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99D4F" w14:textId="6E2A4579" w:rsidR="00B422EC" w:rsidRPr="00A86132" w:rsidRDefault="004D4CB6" w:rsidP="00A66DB1">
      <w:pPr>
        <w:spacing w:before="120"/>
        <w:jc w:val="right"/>
        <w:rPr>
          <w:sz w:val="24"/>
          <w:lang w:val="hu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A86132" w:rsidRPr="00A86132">
        <w:rPr>
          <w:sz w:val="24"/>
          <w:lang w:val="hu"/>
        </w:rPr>
        <w:t>2020. március 5</w:t>
      </w:r>
      <w:r w:rsidR="003C6A25" w:rsidRPr="00A86132">
        <w:rPr>
          <w:sz w:val="24"/>
          <w:lang w:val="hu"/>
        </w:rPr>
        <w:t>.</w:t>
      </w:r>
    </w:p>
    <w:p w14:paraId="7AD4D436" w14:textId="77777777" w:rsidR="005E69D9" w:rsidRDefault="005E69D9" w:rsidP="00B422EC">
      <w:pPr>
        <w:pStyle w:val="Standard12pt"/>
        <w:rPr>
          <w:lang w:val="en-US"/>
        </w:rPr>
      </w:pPr>
    </w:p>
    <w:p w14:paraId="51DE06C4" w14:textId="77777777" w:rsidR="002A6AB9" w:rsidRDefault="002A6AB9" w:rsidP="002A6AB9">
      <w:pPr>
        <w:autoSpaceDE w:val="0"/>
        <w:autoSpaceDN w:val="0"/>
        <w:adjustRightInd w:val="0"/>
        <w:spacing w:line="240" w:lineRule="auto"/>
        <w:jc w:val="both"/>
        <w:rPr>
          <w:sz w:val="24"/>
          <w:lang w:val="hu-HU"/>
        </w:rPr>
      </w:pPr>
    </w:p>
    <w:p w14:paraId="00048F99" w14:textId="77777777" w:rsidR="00A86132" w:rsidRPr="00DC204E" w:rsidRDefault="00A86132" w:rsidP="00A86132">
      <w:pPr>
        <w:autoSpaceDE w:val="0"/>
        <w:autoSpaceDN w:val="0"/>
        <w:adjustRightInd w:val="0"/>
        <w:spacing w:line="240" w:lineRule="auto"/>
        <w:jc w:val="both"/>
        <w:rPr>
          <w:i/>
          <w:sz w:val="24"/>
        </w:rPr>
      </w:pPr>
      <w:r>
        <w:rPr>
          <w:sz w:val="24"/>
          <w:lang w:val="hu"/>
        </w:rPr>
        <w:t>A gazdasági visszaesés és a megnövekedett beruházások befolyásolták a teljesítményt</w:t>
      </w:r>
    </w:p>
    <w:p w14:paraId="4A058D3D" w14:textId="77777777" w:rsidR="00A86132" w:rsidRPr="00DC204E" w:rsidRDefault="00A86132" w:rsidP="00A86132">
      <w:pPr>
        <w:autoSpaceDE w:val="0"/>
        <w:autoSpaceDN w:val="0"/>
        <w:adjustRightInd w:val="0"/>
        <w:spacing w:line="240" w:lineRule="auto"/>
        <w:jc w:val="both"/>
        <w:rPr>
          <w:sz w:val="24"/>
        </w:rPr>
      </w:pPr>
    </w:p>
    <w:p w14:paraId="520840E4" w14:textId="77777777" w:rsidR="00A86132" w:rsidRPr="00C14DED" w:rsidRDefault="00A86132" w:rsidP="00A86132">
      <w:pPr>
        <w:pStyle w:val="Cmsor1"/>
        <w:rPr>
          <w:b w:val="0"/>
          <w:bCs w:val="0"/>
          <w:sz w:val="16"/>
          <w:szCs w:val="16"/>
        </w:rPr>
      </w:pPr>
      <w:r>
        <w:rPr>
          <w:sz w:val="32"/>
          <w:lang w:val="hu"/>
        </w:rPr>
        <w:t xml:space="preserve">A Henkel vegyes üzleti teljesítményről számol be 2019-ben </w:t>
      </w:r>
      <w:r>
        <w:rPr>
          <w:b w:val="0"/>
          <w:bCs w:val="0"/>
          <w:sz w:val="32"/>
          <w:lang w:val="hu"/>
        </w:rPr>
        <w:br/>
      </w:r>
      <w:r>
        <w:rPr>
          <w:sz w:val="32"/>
          <w:lang w:val="hu"/>
        </w:rPr>
        <w:t xml:space="preserve">és kitekintést ad 2020-ra </w:t>
      </w:r>
      <w:r>
        <w:rPr>
          <w:b w:val="0"/>
          <w:bCs w:val="0"/>
          <w:sz w:val="32"/>
          <w:lang w:val="hu"/>
        </w:rPr>
        <w:br/>
      </w:r>
    </w:p>
    <w:p w14:paraId="21AE4977" w14:textId="77777777" w:rsidR="00A86132" w:rsidRDefault="00A86132" w:rsidP="00A86132">
      <w:pPr>
        <w:numPr>
          <w:ilvl w:val="0"/>
          <w:numId w:val="7"/>
        </w:numPr>
        <w:tabs>
          <w:tab w:val="clear" w:pos="1572"/>
          <w:tab w:val="num" w:pos="284"/>
          <w:tab w:val="num" w:pos="426"/>
        </w:tabs>
        <w:spacing w:line="360" w:lineRule="auto"/>
        <w:ind w:left="284" w:right="-109" w:hanging="284"/>
        <w:rPr>
          <w:b/>
          <w:sz w:val="24"/>
        </w:rPr>
      </w:pPr>
      <w:r>
        <w:rPr>
          <w:b/>
          <w:bCs/>
          <w:sz w:val="24"/>
          <w:lang w:val="hu"/>
        </w:rPr>
        <w:t>2019-es eredmények, amelyeket befolyásolt a lassuló gazdasági növekedés és a fogyasztási üzletágakba, valamint a digitalizációba történt befektetések növekedése</w:t>
      </w:r>
    </w:p>
    <w:p w14:paraId="36451D84" w14:textId="77777777" w:rsidR="00A86132" w:rsidRPr="00C14DED" w:rsidRDefault="00A86132" w:rsidP="00A86132">
      <w:pPr>
        <w:numPr>
          <w:ilvl w:val="0"/>
          <w:numId w:val="9"/>
        </w:numPr>
        <w:spacing w:line="360" w:lineRule="auto"/>
        <w:ind w:right="-109"/>
        <w:rPr>
          <w:bCs/>
          <w:sz w:val="24"/>
        </w:rPr>
      </w:pPr>
      <w:r>
        <w:rPr>
          <w:sz w:val="24"/>
          <w:lang w:val="hu"/>
        </w:rPr>
        <w:t>Az árbevétel 1,1% -kal 20 114 millió euróra nőtt, a szerves árbevétel stabil</w:t>
      </w:r>
    </w:p>
    <w:p w14:paraId="148A2F24" w14:textId="1B601314" w:rsidR="00A86132" w:rsidRPr="002F53F2" w:rsidRDefault="00A86132" w:rsidP="00A86132">
      <w:pPr>
        <w:numPr>
          <w:ilvl w:val="0"/>
          <w:numId w:val="9"/>
        </w:numPr>
        <w:spacing w:line="360" w:lineRule="auto"/>
        <w:ind w:right="-109"/>
        <w:rPr>
          <w:bCs/>
          <w:sz w:val="24"/>
          <w:lang w:val="en-US"/>
        </w:rPr>
      </w:pPr>
      <w:r>
        <w:rPr>
          <w:sz w:val="24"/>
          <w:lang w:val="hu"/>
        </w:rPr>
        <w:t>Korrigált* EBIT marzs 16,0%-on (-1,6 pont)</w:t>
      </w:r>
    </w:p>
    <w:p w14:paraId="143F37EC" w14:textId="77777777" w:rsidR="00A86132" w:rsidRPr="002F53F2" w:rsidRDefault="00A86132" w:rsidP="00A86132">
      <w:pPr>
        <w:numPr>
          <w:ilvl w:val="0"/>
          <w:numId w:val="9"/>
        </w:numPr>
        <w:spacing w:line="360" w:lineRule="auto"/>
        <w:ind w:right="-109"/>
        <w:rPr>
          <w:bCs/>
          <w:sz w:val="24"/>
          <w:lang w:val="en-US"/>
        </w:rPr>
      </w:pPr>
      <w:r>
        <w:rPr>
          <w:sz w:val="24"/>
          <w:lang w:val="hu"/>
        </w:rPr>
        <w:t xml:space="preserve">Az elsőbbségi részvények hozama* (EPS) eléri az 5,43 eurót, </w:t>
      </w:r>
      <w:r>
        <w:rPr>
          <w:sz w:val="24"/>
          <w:lang w:val="hu"/>
        </w:rPr>
        <w:br/>
        <w:t xml:space="preserve">nominálisan -9,7%, állandó árfolyamon -10,1% </w:t>
      </w:r>
    </w:p>
    <w:p w14:paraId="585102EB" w14:textId="77777777" w:rsidR="00A86132" w:rsidRPr="002F53F2" w:rsidRDefault="00A86132" w:rsidP="00A86132">
      <w:pPr>
        <w:numPr>
          <w:ilvl w:val="0"/>
          <w:numId w:val="9"/>
        </w:numPr>
        <w:spacing w:line="360" w:lineRule="auto"/>
        <w:ind w:right="-109"/>
        <w:rPr>
          <w:bCs/>
          <w:sz w:val="24"/>
          <w:lang w:val="en-US"/>
        </w:rPr>
      </w:pPr>
      <w:r>
        <w:rPr>
          <w:sz w:val="24"/>
          <w:lang w:val="hu"/>
        </w:rPr>
        <w:t>Szabad cash flow: 2.471 millió euró (+554 millió euró)</w:t>
      </w:r>
    </w:p>
    <w:p w14:paraId="36E9D554" w14:textId="77777777" w:rsidR="00A86132" w:rsidRPr="002F53F2" w:rsidRDefault="00A86132" w:rsidP="00A86132">
      <w:pPr>
        <w:numPr>
          <w:ilvl w:val="0"/>
          <w:numId w:val="9"/>
        </w:numPr>
        <w:spacing w:line="360" w:lineRule="auto"/>
        <w:ind w:right="-109"/>
        <w:rPr>
          <w:bCs/>
          <w:sz w:val="24"/>
          <w:lang w:val="en-US"/>
        </w:rPr>
      </w:pPr>
      <w:r>
        <w:rPr>
          <w:sz w:val="24"/>
          <w:lang w:val="hu"/>
        </w:rPr>
        <w:t>Osztalék** előző évi szinten: 1,85 euro elsőbbségi részvényenként</w:t>
      </w:r>
    </w:p>
    <w:p w14:paraId="43A9B6D5" w14:textId="77777777" w:rsidR="00A86132" w:rsidRPr="002F53F2" w:rsidRDefault="00A86132" w:rsidP="00A86132">
      <w:pPr>
        <w:numPr>
          <w:ilvl w:val="0"/>
          <w:numId w:val="7"/>
        </w:numPr>
        <w:tabs>
          <w:tab w:val="clear" w:pos="1572"/>
          <w:tab w:val="num" w:pos="284"/>
          <w:tab w:val="num" w:pos="720"/>
        </w:tabs>
        <w:spacing w:line="360" w:lineRule="auto"/>
        <w:ind w:left="284" w:right="-109" w:hanging="284"/>
        <w:rPr>
          <w:bCs/>
          <w:sz w:val="24"/>
          <w:lang w:val="en-US"/>
        </w:rPr>
      </w:pPr>
      <w:r>
        <w:rPr>
          <w:b/>
          <w:bCs/>
          <w:sz w:val="24"/>
          <w:lang w:val="hu"/>
        </w:rPr>
        <w:t>2020-ra vonatkozó kilátások: a növekedést célzó beruházások további fokozása bizonytalan ipari piaci környezetben</w:t>
      </w:r>
    </w:p>
    <w:p w14:paraId="60D7CF83" w14:textId="77777777" w:rsidR="00A86132" w:rsidRDefault="00A86132" w:rsidP="00A86132">
      <w:pPr>
        <w:numPr>
          <w:ilvl w:val="0"/>
          <w:numId w:val="9"/>
        </w:numPr>
        <w:spacing w:line="360" w:lineRule="auto"/>
        <w:ind w:right="-109"/>
        <w:rPr>
          <w:bCs/>
          <w:sz w:val="24"/>
        </w:rPr>
      </w:pPr>
      <w:r>
        <w:rPr>
          <w:sz w:val="24"/>
          <w:lang w:val="hu"/>
        </w:rPr>
        <w:t>Szerves árbevétel-növekedés: 0 - 2%</w:t>
      </w:r>
    </w:p>
    <w:p w14:paraId="5240AF07" w14:textId="77777777" w:rsidR="00A86132" w:rsidRPr="00C14DED" w:rsidRDefault="00A86132" w:rsidP="00A86132">
      <w:pPr>
        <w:numPr>
          <w:ilvl w:val="0"/>
          <w:numId w:val="9"/>
        </w:numPr>
        <w:spacing w:line="360" w:lineRule="auto"/>
        <w:ind w:right="-109"/>
        <w:rPr>
          <w:bCs/>
          <w:sz w:val="24"/>
        </w:rPr>
      </w:pPr>
      <w:r>
        <w:rPr>
          <w:sz w:val="24"/>
          <w:lang w:val="hu"/>
        </w:rPr>
        <w:t>Korrigált* EBIT marzs: körülbelül 15%</w:t>
      </w:r>
    </w:p>
    <w:p w14:paraId="1687829A" w14:textId="77777777" w:rsidR="00A86132" w:rsidRDefault="00A86132" w:rsidP="00A86132">
      <w:pPr>
        <w:numPr>
          <w:ilvl w:val="0"/>
          <w:numId w:val="9"/>
        </w:numPr>
        <w:spacing w:line="360" w:lineRule="auto"/>
        <w:ind w:right="-109"/>
        <w:rPr>
          <w:bCs/>
          <w:sz w:val="24"/>
        </w:rPr>
      </w:pPr>
      <w:r>
        <w:rPr>
          <w:sz w:val="24"/>
          <w:lang w:val="hu"/>
        </w:rPr>
        <w:t>Korrigált* EPS (</w:t>
      </w:r>
      <w:r w:rsidRPr="006B231D">
        <w:rPr>
          <w:sz w:val="24"/>
        </w:rPr>
        <w:t>elsőbbségi részvények korrigált hozama)</w:t>
      </w:r>
      <w:r w:rsidRPr="006B231D">
        <w:rPr>
          <w:sz w:val="24"/>
          <w:lang w:val="hu"/>
        </w:rPr>
        <w:t>:</w:t>
      </w:r>
      <w:r>
        <w:rPr>
          <w:sz w:val="24"/>
          <w:lang w:val="hu"/>
        </w:rPr>
        <w:t xml:space="preserve"> csökkenés a közepes és a magas egyszámjegyű százalékos tartományban állandó árfolyamon</w:t>
      </w:r>
    </w:p>
    <w:p w14:paraId="67AA065D" w14:textId="77777777" w:rsidR="00A86132" w:rsidRPr="00084DD7" w:rsidRDefault="00A86132" w:rsidP="00A86132">
      <w:pPr>
        <w:spacing w:line="360" w:lineRule="auto"/>
        <w:ind w:right="-109"/>
        <w:rPr>
          <w:b/>
          <w:sz w:val="24"/>
        </w:rPr>
      </w:pPr>
    </w:p>
    <w:p w14:paraId="00C31560" w14:textId="642C39D5" w:rsidR="00A8613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sz w:val="24"/>
          <w:lang w:val="hu"/>
        </w:rPr>
      </w:pPr>
      <w:r>
        <w:rPr>
          <w:sz w:val="24"/>
          <w:lang w:val="hu"/>
        </w:rPr>
        <w:t xml:space="preserve">„2019-ben üzleti teljesítményünk összességében vegyes volt. Az Adhesive Technologies üzletágunkat a kulcsfontosságú ügyfelek szegmenseinek jelentős visszaesése befolyásolta, különösen az autó- és elektronikai iparban. Ugyanakkor a </w:t>
      </w:r>
      <w:r>
        <w:rPr>
          <w:sz w:val="24"/>
          <w:lang w:val="hu"/>
        </w:rPr>
        <w:lastRenderedPageBreak/>
        <w:t xml:space="preserve">Laundry &amp; Home Care és Beauty Care üzletágaink számos piacon </w:t>
      </w:r>
      <w:r w:rsidR="00C60BCE">
        <w:rPr>
          <w:sz w:val="24"/>
          <w:lang w:val="hu"/>
        </w:rPr>
        <w:t>erős</w:t>
      </w:r>
      <w:r>
        <w:rPr>
          <w:sz w:val="24"/>
          <w:lang w:val="hu"/>
        </w:rPr>
        <w:t xml:space="preserve"> versennyel szembesültek” – mondta Carsten Knobel, </w:t>
      </w:r>
      <w:bookmarkStart w:id="0" w:name="_Hlk505350347"/>
      <w:r>
        <w:rPr>
          <w:sz w:val="24"/>
          <w:lang w:val="hu"/>
        </w:rPr>
        <w:t xml:space="preserve">a Henkel </w:t>
      </w:r>
      <w:r w:rsidRPr="00DC11C2">
        <w:rPr>
          <w:sz w:val="24"/>
        </w:rPr>
        <w:t>igazgatóságának elnöke</w:t>
      </w:r>
      <w:r>
        <w:rPr>
          <w:sz w:val="24"/>
          <w:lang w:val="hu"/>
        </w:rPr>
        <w:t>.</w:t>
      </w:r>
      <w:bookmarkEnd w:id="0"/>
    </w:p>
    <w:p w14:paraId="5717B374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lang w:val="hu"/>
        </w:rPr>
      </w:pPr>
    </w:p>
    <w:p w14:paraId="434C5018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lang w:val="hu"/>
        </w:rPr>
      </w:pPr>
      <w:r>
        <w:rPr>
          <w:sz w:val="24"/>
          <w:lang w:val="hu"/>
        </w:rPr>
        <w:t>„2019 elején bejelentettük azt a tervünket, hogy 2019-től kezdve évente mintegy 300 millió euróval növeljük a növekedést célzó beruházásokat, hogy erősítsük márkáinkat, technológiáinkat és innovációinkat, valamint felgyorsítsuk a Henkel digitális átalakulását. Az év folyamán a Henkel fokozatosan felgyorsította ezeket a növekedést célzó beruházásokat a vállalat egészében, de a kiegészítő finanszírozást nem használtuk ki teljes mértékben. Mind a csökkenő volumenek, mind a megnövekedett növekedési beruházások befolyásolták a 2019-es eredményt és az EBIT marzsot. A költséggazdálkodásnak, a folyamatok nagyobb hatékonyságának és a struktúrák adaptálásának fókuszba helyezésével képesek voltunk ezeket a hatásokat részben enyhíteni. Folytattuk a gyártóhelyek és az innovációs központok bővítését és korszerűsítését szolgáló beruházásokat is. Ezenkívül célzott akvizíciók és partnerségek útján megerősítettük különböző üzleti tevékenységeinket, teljes volumenük közel 600 millió euró”</w:t>
      </w:r>
      <w:r w:rsidRPr="00BF284F">
        <w:rPr>
          <w:sz w:val="24"/>
          <w:lang w:val="hu"/>
        </w:rPr>
        <w:t xml:space="preserve"> </w:t>
      </w:r>
      <w:r>
        <w:rPr>
          <w:sz w:val="24"/>
          <w:lang w:val="hu"/>
        </w:rPr>
        <w:t>– tette hozzá Carsten Knobel.</w:t>
      </w:r>
    </w:p>
    <w:p w14:paraId="61A97DB0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lang w:val="hu"/>
        </w:rPr>
      </w:pPr>
    </w:p>
    <w:p w14:paraId="3E47A207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lang w:val="hu"/>
        </w:rPr>
      </w:pPr>
      <w:r>
        <w:rPr>
          <w:sz w:val="24"/>
          <w:lang w:val="hu"/>
        </w:rPr>
        <w:t>„Ugyanakkor nem vagyunk elégedettek az elért eredményekkel. Nagy ambícióink voltak, következésképpen határozott lépéseket teszünk annak érdekében, hogy a jövőben teljes mértékben kiaknázzuk a növekedési potenciálunkat és javítsuk a pénzügyi teljesítményt” – foglalta össze Knobel a 2019-es üzleti fejlődést.</w:t>
      </w:r>
    </w:p>
    <w:p w14:paraId="5D1FBF42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lang w:val="hu"/>
        </w:rPr>
      </w:pPr>
    </w:p>
    <w:p w14:paraId="25F92337" w14:textId="77777777" w:rsidR="00A86132" w:rsidRPr="002F53F2" w:rsidRDefault="00A86132" w:rsidP="00A86132">
      <w:pPr>
        <w:autoSpaceDE w:val="0"/>
        <w:autoSpaceDN w:val="0"/>
        <w:adjustRightInd w:val="0"/>
        <w:spacing w:after="120" w:line="360" w:lineRule="auto"/>
        <w:jc w:val="both"/>
        <w:rPr>
          <w:b/>
          <w:sz w:val="24"/>
          <w:lang w:val="hu"/>
        </w:rPr>
      </w:pPr>
      <w:r>
        <w:rPr>
          <w:b/>
          <w:bCs/>
          <w:sz w:val="24"/>
          <w:lang w:val="hu"/>
        </w:rPr>
        <w:t xml:space="preserve">Kilátások 2020-ra </w:t>
      </w:r>
    </w:p>
    <w:p w14:paraId="61C8BF75" w14:textId="77777777" w:rsidR="00A8613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lang w:val="hu"/>
        </w:rPr>
      </w:pPr>
      <w:r>
        <w:rPr>
          <w:sz w:val="24"/>
          <w:lang w:val="hu"/>
        </w:rPr>
        <w:t>A Henkel ma a 2019. decemberi bejelentéssel összhangban közzétette a teljes 2020-as pénzügyi évre vonatkozó kilátásait. A Henkel 2020-ra várhatóan 0–2 százalékos szerves árbevétel-növekedést fog elérni. A Henkel arra számít, hogy 2020-ban kedvezőtlen hatás éri majd eredményességi teljesítményét, tekintettel az ipari környezetben uralkodó bizonytalanságra és az egy évvel korábbinál magasabb, a marketing és a reklám, valamint a digitalizálás és az IT területén eszközölt, növekedést célzó beruházásokra. A korrigált EBIT marzs várhatóan eléri a 15 százalékot. Az elsőbbségi részvények hozama (EPS) várhatóan állandó árfolyamon a közepes vagy magas egyjegyű százalékos tartományában csökken.</w:t>
      </w:r>
    </w:p>
    <w:p w14:paraId="6D65DA78" w14:textId="77777777" w:rsidR="00A8613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lang w:val="hu"/>
        </w:rPr>
      </w:pPr>
      <w:r>
        <w:rPr>
          <w:b/>
          <w:bCs/>
          <w:sz w:val="24"/>
          <w:lang w:val="hu"/>
        </w:rPr>
        <w:lastRenderedPageBreak/>
        <w:t xml:space="preserve"> </w:t>
      </w:r>
    </w:p>
    <w:p w14:paraId="777B2E2B" w14:textId="77777777" w:rsidR="00A86132" w:rsidRPr="002F53F2" w:rsidRDefault="00A86132" w:rsidP="00A86132">
      <w:pPr>
        <w:autoSpaceDE w:val="0"/>
        <w:autoSpaceDN w:val="0"/>
        <w:adjustRightInd w:val="0"/>
        <w:spacing w:after="120" w:line="360" w:lineRule="auto"/>
        <w:jc w:val="both"/>
        <w:rPr>
          <w:b/>
          <w:sz w:val="24"/>
          <w:lang w:val="hu"/>
        </w:rPr>
      </w:pPr>
      <w:r>
        <w:rPr>
          <w:b/>
          <w:bCs/>
          <w:sz w:val="24"/>
          <w:lang w:val="hu"/>
        </w:rPr>
        <w:t>Értékesítés és bevételek a 2019-es pénzügyi évben</w:t>
      </w:r>
    </w:p>
    <w:p w14:paraId="4BA71C22" w14:textId="64A0BE1A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sz w:val="24"/>
          <w:lang w:val="hu"/>
        </w:rPr>
        <w:t xml:space="preserve">Az </w:t>
      </w:r>
      <w:r>
        <w:rPr>
          <w:rFonts w:cs="Arial"/>
          <w:b/>
          <w:bCs/>
          <w:sz w:val="24"/>
          <w:lang w:val="hu"/>
        </w:rPr>
        <w:t xml:space="preserve">árbevétel </w:t>
      </w:r>
      <w:r w:rsidRPr="0029238E">
        <w:rPr>
          <w:rFonts w:cs="Arial"/>
          <w:bCs/>
          <w:sz w:val="24"/>
          <w:lang w:val="hu"/>
        </w:rPr>
        <w:t>a</w:t>
      </w:r>
      <w:r>
        <w:rPr>
          <w:rFonts w:cs="Arial"/>
          <w:b/>
          <w:bCs/>
          <w:sz w:val="24"/>
          <w:lang w:val="hu"/>
        </w:rPr>
        <w:t xml:space="preserve"> </w:t>
      </w:r>
      <w:r>
        <w:rPr>
          <w:rFonts w:cs="Arial"/>
          <w:sz w:val="24"/>
          <w:lang w:val="hu"/>
        </w:rPr>
        <w:t>2019-es pénzügyi évben névlegesen 1,1 százalékkal, 20.114 millió euróra nőtt. A valutahatások 0,6%-os pozitív hatással voltak az árbevétel növekedésére. Ezen árfolyamhatásokhoz igazítva az árbevétel 0,5 százalékkal nőtt. A felvásárlásokból és befektetés-megszüntetésekből származó hozzájárulások mértéke 0,5% volt.</w:t>
      </w:r>
      <w:r w:rsidR="00CD6FA4">
        <w:rPr>
          <w:rFonts w:cs="Arial"/>
          <w:sz w:val="24"/>
          <w:lang w:val="hu"/>
        </w:rPr>
        <w:br/>
      </w:r>
      <w:r w:rsidRPr="00CD6FA4">
        <w:rPr>
          <w:rFonts w:cs="Arial"/>
          <w:sz w:val="24"/>
          <w:lang w:val="hu"/>
        </w:rPr>
        <w:t>A</w:t>
      </w:r>
      <w:r>
        <w:rPr>
          <w:rFonts w:cs="Arial"/>
          <w:b/>
          <w:bCs/>
          <w:sz w:val="24"/>
          <w:lang w:val="hu"/>
        </w:rPr>
        <w:t xml:space="preserve"> szerves árbevétel-növekedés </w:t>
      </w:r>
      <w:r>
        <w:rPr>
          <w:rFonts w:cs="Arial"/>
          <w:sz w:val="24"/>
          <w:lang w:val="hu"/>
        </w:rPr>
        <w:t>0,0-os volt, amely nem foglalja magába a valutaváltozások és a felvásárlások/befektetés</w:t>
      </w:r>
      <w:r>
        <w:rPr>
          <w:rFonts w:cs="Arial"/>
          <w:sz w:val="24"/>
          <w:lang w:val="hu"/>
        </w:rPr>
        <w:noBreakHyphen/>
        <w:t>megszüntetések hatásait.</w:t>
      </w:r>
    </w:p>
    <w:p w14:paraId="64EF2F92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</w:p>
    <w:p w14:paraId="4700F178" w14:textId="05A9DFD0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sz w:val="24"/>
          <w:lang w:val="hu"/>
        </w:rPr>
        <w:t xml:space="preserve">Az </w:t>
      </w:r>
      <w:r>
        <w:rPr>
          <w:rFonts w:cs="Arial"/>
          <w:b/>
          <w:bCs/>
          <w:sz w:val="24"/>
          <w:lang w:val="hu"/>
        </w:rPr>
        <w:t>Adhesive Technologies</w:t>
      </w:r>
      <w:r>
        <w:rPr>
          <w:rFonts w:cs="Arial"/>
          <w:sz w:val="24"/>
          <w:lang w:val="hu"/>
        </w:rPr>
        <w:t xml:space="preserve"> üzletág -1,5 százalékos szerves árbevételt jelentett. </w:t>
      </w:r>
      <w:r w:rsidR="00CD6FA4">
        <w:rPr>
          <w:rFonts w:cs="Arial"/>
          <w:sz w:val="24"/>
          <w:lang w:val="hu"/>
        </w:rPr>
        <w:br/>
      </w:r>
      <w:r>
        <w:rPr>
          <w:rFonts w:cs="Arial"/>
          <w:sz w:val="24"/>
          <w:lang w:val="hu"/>
        </w:rPr>
        <w:t xml:space="preserve">A </w:t>
      </w:r>
      <w:r>
        <w:rPr>
          <w:rFonts w:cs="Arial"/>
          <w:b/>
          <w:bCs/>
          <w:sz w:val="24"/>
          <w:lang w:val="hu"/>
        </w:rPr>
        <w:t>Beauty Care</w:t>
      </w:r>
      <w:r>
        <w:rPr>
          <w:rFonts w:cs="Arial"/>
          <w:sz w:val="24"/>
          <w:lang w:val="hu"/>
        </w:rPr>
        <w:t xml:space="preserve"> üzletágban az árbevétel szervesen -2,1 százalékkal maradt el az előző évi szinttől. A </w:t>
      </w:r>
      <w:r>
        <w:rPr>
          <w:rFonts w:cs="Arial"/>
          <w:b/>
          <w:bCs/>
          <w:sz w:val="24"/>
          <w:lang w:val="hu"/>
        </w:rPr>
        <w:t>Laundry &amp; Home Care</w:t>
      </w:r>
      <w:r>
        <w:rPr>
          <w:rFonts w:cs="Arial"/>
          <w:sz w:val="24"/>
          <w:lang w:val="hu"/>
        </w:rPr>
        <w:t xml:space="preserve"> üzletág 3,7 százalékos szerves árbevétel</w:t>
      </w:r>
      <w:r>
        <w:rPr>
          <w:rFonts w:cs="Arial"/>
          <w:sz w:val="24"/>
          <w:lang w:val="hu"/>
        </w:rPr>
        <w:noBreakHyphen/>
        <w:t xml:space="preserve">növekedést könyvelhetett el. </w:t>
      </w:r>
    </w:p>
    <w:p w14:paraId="0A3C64FC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</w:p>
    <w:p w14:paraId="49FAC999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sz w:val="24"/>
          <w:lang w:val="hu"/>
        </w:rPr>
        <w:t>A</w:t>
      </w:r>
      <w:r>
        <w:rPr>
          <w:rFonts w:cs="Arial"/>
          <w:b/>
          <w:bCs/>
          <w:sz w:val="24"/>
          <w:lang w:val="hu"/>
        </w:rPr>
        <w:t xml:space="preserve"> feltörekvő piacok</w:t>
      </w:r>
      <w:r>
        <w:rPr>
          <w:rFonts w:cs="Arial"/>
          <w:sz w:val="24"/>
          <w:lang w:val="hu"/>
        </w:rPr>
        <w:t xml:space="preserve"> 2,5 százalékos szerves árbevétel-növekedést értek el és így a szerves árbevétel-növekedés fő mozgatórugói voltak.  Az </w:t>
      </w:r>
      <w:r>
        <w:rPr>
          <w:rFonts w:cs="Arial"/>
          <w:b/>
          <w:bCs/>
          <w:sz w:val="24"/>
          <w:lang w:val="hu"/>
        </w:rPr>
        <w:t>érett piacokon</w:t>
      </w:r>
      <w:r>
        <w:rPr>
          <w:rFonts w:cs="Arial"/>
          <w:sz w:val="24"/>
          <w:lang w:val="hu"/>
        </w:rPr>
        <w:t xml:space="preserve"> -1,6 százalékos negatív szerves árbevétel alakult ki.</w:t>
      </w:r>
    </w:p>
    <w:p w14:paraId="3514D94F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</w:p>
    <w:p w14:paraId="7BE186A9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b/>
          <w:bCs/>
          <w:sz w:val="24"/>
          <w:lang w:val="hu"/>
        </w:rPr>
        <w:t>Nyugat-Európában</w:t>
      </w:r>
      <w:r>
        <w:rPr>
          <w:rFonts w:cs="Arial"/>
          <w:sz w:val="24"/>
          <w:lang w:val="hu"/>
        </w:rPr>
        <w:t xml:space="preserve"> a szerves árbevétel -1,2 százalékkal alacsonyabb az előző év azonos időszakához képest. </w:t>
      </w:r>
      <w:r>
        <w:rPr>
          <w:rFonts w:cs="Arial"/>
          <w:b/>
          <w:bCs/>
          <w:sz w:val="24"/>
          <w:lang w:val="hu"/>
        </w:rPr>
        <w:t>Kelet-Európa</w:t>
      </w:r>
      <w:r>
        <w:rPr>
          <w:rFonts w:cs="Arial"/>
          <w:sz w:val="24"/>
          <w:lang w:val="hu"/>
        </w:rPr>
        <w:t xml:space="preserve"> 6,5%-os szerves növekedést ért el. </w:t>
      </w:r>
      <w:r>
        <w:rPr>
          <w:rFonts w:cs="Arial"/>
          <w:b/>
          <w:bCs/>
          <w:sz w:val="24"/>
          <w:lang w:val="hu"/>
        </w:rPr>
        <w:t>Afrikában/</w:t>
      </w:r>
      <w:r w:rsidRPr="0029238E">
        <w:rPr>
          <w:rFonts w:cs="Arial"/>
          <w:b/>
          <w:sz w:val="24"/>
          <w:lang w:val="hu"/>
        </w:rPr>
        <w:t>a</w:t>
      </w:r>
      <w:r>
        <w:rPr>
          <w:rFonts w:cs="Arial"/>
          <w:b/>
          <w:bCs/>
          <w:sz w:val="24"/>
          <w:lang w:val="hu"/>
        </w:rPr>
        <w:t xml:space="preserve"> Közel-Keleten</w:t>
      </w:r>
      <w:r>
        <w:rPr>
          <w:rFonts w:cs="Arial"/>
          <w:sz w:val="24"/>
          <w:lang w:val="hu"/>
        </w:rPr>
        <w:t xml:space="preserve"> az árbevétel szerves növekedése 13,3% volt. </w:t>
      </w:r>
      <w:r>
        <w:rPr>
          <w:rFonts w:cs="Arial"/>
          <w:b/>
          <w:bCs/>
          <w:sz w:val="24"/>
          <w:lang w:val="hu"/>
        </w:rPr>
        <w:t>Észak-Amerikában</w:t>
      </w:r>
      <w:r>
        <w:rPr>
          <w:rFonts w:cs="Arial"/>
          <w:sz w:val="24"/>
          <w:lang w:val="hu"/>
        </w:rPr>
        <w:t xml:space="preserve"> a szerves árbevétel -2,3%-kal csökkent. </w:t>
      </w:r>
      <w:r>
        <w:rPr>
          <w:rFonts w:cs="Arial"/>
          <w:b/>
          <w:bCs/>
          <w:sz w:val="24"/>
          <w:lang w:val="hu"/>
        </w:rPr>
        <w:t>Latin-Amerikában</w:t>
      </w:r>
      <w:r>
        <w:rPr>
          <w:rFonts w:cs="Arial"/>
          <w:sz w:val="24"/>
          <w:lang w:val="hu"/>
        </w:rPr>
        <w:t xml:space="preserve"> az árbevétel szervesen 4,9 százalékkal nőtt. Az </w:t>
      </w:r>
      <w:r>
        <w:rPr>
          <w:rFonts w:cs="Arial"/>
          <w:b/>
          <w:bCs/>
          <w:sz w:val="24"/>
          <w:lang w:val="hu"/>
        </w:rPr>
        <w:t xml:space="preserve">ázsiai-csendes-óceáni térségben </w:t>
      </w:r>
      <w:r>
        <w:rPr>
          <w:rFonts w:cs="Arial"/>
          <w:sz w:val="24"/>
          <w:lang w:val="hu"/>
        </w:rPr>
        <w:t>az árbevétel szervesen -6,5 százalékkal csökkent.</w:t>
      </w:r>
    </w:p>
    <w:p w14:paraId="15F7EEDE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</w:p>
    <w:p w14:paraId="63937CA9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sz w:val="24"/>
          <w:lang w:val="hu"/>
        </w:rPr>
        <w:t xml:space="preserve">A </w:t>
      </w:r>
      <w:r>
        <w:rPr>
          <w:rFonts w:cs="Arial"/>
          <w:b/>
          <w:bCs/>
          <w:sz w:val="24"/>
          <w:lang w:val="hu"/>
        </w:rPr>
        <w:t xml:space="preserve">korrigált üzemi eredmény (EBIT) </w:t>
      </w:r>
      <w:r>
        <w:rPr>
          <w:rFonts w:cs="Arial"/>
          <w:sz w:val="24"/>
          <w:lang w:val="hu"/>
        </w:rPr>
        <w:t xml:space="preserve">-7,9 százalékkal csökkent az előző évi 3.496 millió euróról 3.220 millió euróra. </w:t>
      </w:r>
    </w:p>
    <w:p w14:paraId="2C223A36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4"/>
          <w:lang w:val="hu"/>
        </w:rPr>
      </w:pPr>
    </w:p>
    <w:p w14:paraId="381FE2CA" w14:textId="0FB3986B" w:rsidR="00A8613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sz w:val="24"/>
          <w:lang w:val="hu"/>
        </w:rPr>
      </w:pPr>
      <w:r>
        <w:rPr>
          <w:sz w:val="24"/>
          <w:lang w:val="hu"/>
        </w:rPr>
        <w:t xml:space="preserve">A </w:t>
      </w:r>
      <w:r>
        <w:rPr>
          <w:b/>
          <w:sz w:val="24"/>
        </w:rPr>
        <w:t>korrigált árbevétel-arányos megtérülés</w:t>
      </w:r>
      <w:r>
        <w:rPr>
          <w:b/>
          <w:bCs/>
          <w:sz w:val="24"/>
          <w:lang w:val="hu"/>
        </w:rPr>
        <w:t xml:space="preserve"> (EBIT marzs)</w:t>
      </w:r>
      <w:r>
        <w:rPr>
          <w:sz w:val="24"/>
          <w:lang w:val="hu"/>
        </w:rPr>
        <w:t xml:space="preserve"> 16 százalék, mely</w:t>
      </w:r>
      <w:bookmarkStart w:id="1" w:name="_GoBack"/>
      <w:bookmarkEnd w:id="1"/>
      <w:r>
        <w:rPr>
          <w:sz w:val="24"/>
          <w:lang w:val="hu"/>
        </w:rPr>
        <w:t xml:space="preserve"> -1,6 százalékponttal alacsonyabb az előző év azonos időszakához képest.  A Csoport jövedelmezőségét negatívan befolyásolták a márkákba, technológiákba, innovációkba és a digitalizálásba eszközölt, 2019 elején bejelentett megnövekedett beruházások. </w:t>
      </w:r>
      <w:r>
        <w:rPr>
          <w:sz w:val="24"/>
          <w:lang w:val="hu"/>
        </w:rPr>
        <w:lastRenderedPageBreak/>
        <w:t>Ennek ellenére a kiegészítő finanszírozást nem használták ki teljes mértékben. Összességében a tervezett 300 millió eurós összeg kb. 50%-át költötték el 2019-ben.</w:t>
      </w:r>
    </w:p>
    <w:p w14:paraId="3A4C2990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</w:p>
    <w:p w14:paraId="16E34C69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sz w:val="24"/>
          <w:lang w:val="hu"/>
        </w:rPr>
        <w:t xml:space="preserve">A </w:t>
      </w:r>
      <w:r>
        <w:rPr>
          <w:rFonts w:cs="Arial"/>
          <w:b/>
          <w:bCs/>
          <w:sz w:val="24"/>
          <w:lang w:val="hu"/>
        </w:rPr>
        <w:t>pénzügyi eredmény</w:t>
      </w:r>
      <w:r>
        <w:rPr>
          <w:rFonts w:cs="Arial"/>
          <w:sz w:val="24"/>
          <w:lang w:val="hu"/>
        </w:rPr>
        <w:t xml:space="preserve"> a 2018-as -65 millió euróról a tárgyévben -88 millió euróra csökkent. Ez elsősorban az IFRS 16 első alkalommal történő alkalmazását követő lízingkötelezettségek kamatköltségeinek tudható be.</w:t>
      </w:r>
    </w:p>
    <w:p w14:paraId="28F71C7B" w14:textId="77777777" w:rsidR="00A86132" w:rsidRPr="002F53F2" w:rsidRDefault="00A86132" w:rsidP="00A86132">
      <w:pPr>
        <w:spacing w:line="360" w:lineRule="auto"/>
        <w:jc w:val="both"/>
        <w:rPr>
          <w:rFonts w:cs="Arial"/>
          <w:sz w:val="24"/>
          <w:lang w:val="hu"/>
        </w:rPr>
      </w:pPr>
    </w:p>
    <w:p w14:paraId="2B0C6756" w14:textId="77777777" w:rsidR="00A86132" w:rsidRPr="002F53F2" w:rsidRDefault="00A86132" w:rsidP="00A86132">
      <w:pPr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b/>
          <w:bCs/>
          <w:sz w:val="24"/>
          <w:lang w:val="hu"/>
        </w:rPr>
        <w:t>A korrigált nettó jövedelem</w:t>
      </w:r>
      <w:r>
        <w:rPr>
          <w:rFonts w:cs="Arial"/>
          <w:sz w:val="24"/>
          <w:lang w:val="hu"/>
        </w:rPr>
        <w:t xml:space="preserve"> a nem ellenőrzött részesedések levonása után 2.353 millió euró volt, szemben a 2018-as pénzügyi év 2.603 millió eurós értékével.</w:t>
      </w:r>
    </w:p>
    <w:p w14:paraId="15E5211E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4"/>
          <w:lang w:val="hu"/>
        </w:rPr>
      </w:pPr>
    </w:p>
    <w:p w14:paraId="12342B55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sz w:val="24"/>
          <w:lang w:val="hu"/>
        </w:rPr>
        <w:t xml:space="preserve">Az </w:t>
      </w:r>
      <w:r>
        <w:rPr>
          <w:b/>
          <w:sz w:val="24"/>
        </w:rPr>
        <w:t>elsőbbségi részvények korrigált hozama</w:t>
      </w:r>
      <w:r>
        <w:rPr>
          <w:rFonts w:cs="Arial"/>
          <w:b/>
          <w:bCs/>
          <w:sz w:val="24"/>
          <w:lang w:val="hu"/>
        </w:rPr>
        <w:t xml:space="preserve"> </w:t>
      </w:r>
      <w:r>
        <w:rPr>
          <w:rFonts w:cs="Arial"/>
          <w:sz w:val="24"/>
          <w:lang w:val="hu"/>
        </w:rPr>
        <w:t>-9,7 százalékkal csökkent a 2018-as pénzügyi évi 6,01 euróról 5,43 euróra. Állandó átváltási árfolyam mellett az egy elsőbbségi részvények korrigált hozama szintén -10,1 százalékkal csökkent.</w:t>
      </w:r>
    </w:p>
    <w:p w14:paraId="766F0E87" w14:textId="77777777" w:rsidR="00A86132" w:rsidRPr="002F53F2" w:rsidRDefault="00A86132" w:rsidP="00A86132">
      <w:pPr>
        <w:spacing w:line="360" w:lineRule="auto"/>
        <w:jc w:val="both"/>
        <w:rPr>
          <w:sz w:val="24"/>
          <w:lang w:val="hu"/>
        </w:rPr>
      </w:pPr>
    </w:p>
    <w:p w14:paraId="1D8D4928" w14:textId="77777777" w:rsidR="00A86132" w:rsidRPr="002F53F2" w:rsidRDefault="00A86132" w:rsidP="00A86132">
      <w:pPr>
        <w:spacing w:line="360" w:lineRule="auto"/>
        <w:jc w:val="both"/>
        <w:rPr>
          <w:sz w:val="24"/>
          <w:lang w:val="hu"/>
        </w:rPr>
      </w:pPr>
      <w:r>
        <w:rPr>
          <w:sz w:val="24"/>
          <w:lang w:val="hu"/>
        </w:rPr>
        <w:t xml:space="preserve">Az igazgatóság, a felügyelő bizottság és a részvényesek bizottsága ugyanazt az </w:t>
      </w:r>
      <w:r>
        <w:rPr>
          <w:b/>
          <w:bCs/>
          <w:sz w:val="24"/>
          <w:lang w:val="hu"/>
        </w:rPr>
        <w:t xml:space="preserve">osztalékot </w:t>
      </w:r>
      <w:r>
        <w:rPr>
          <w:sz w:val="24"/>
          <w:lang w:val="hu"/>
        </w:rPr>
        <w:t xml:space="preserve">javasolja a 2020. április 20-án megrendezendő éves közgyűlésnek, mint az előző évben, azaz 1,85 eurót elsőbbségi részvényenként és 1,83 eurót törzsrészvényenként. Ez megegyezik a 34,2 százalékos kifizetési mutatóval, ami 3,3 százalékponttal magasabb, mint az előző évben, és jóval az osztalék kifizetési céltartományán belül, 30 és 40 százalék között van. </w:t>
      </w:r>
    </w:p>
    <w:p w14:paraId="503C3D9A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</w:p>
    <w:p w14:paraId="32140E05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sz w:val="24"/>
          <w:lang w:val="hu"/>
        </w:rPr>
        <w:t xml:space="preserve">A </w:t>
      </w:r>
      <w:r>
        <w:rPr>
          <w:rFonts w:cs="Arial"/>
          <w:b/>
          <w:bCs/>
          <w:sz w:val="24"/>
          <w:lang w:val="hu"/>
        </w:rPr>
        <w:t>nettó forgótőke</w:t>
      </w:r>
      <w:r>
        <w:rPr>
          <w:rFonts w:cs="Arial"/>
          <w:sz w:val="24"/>
          <w:lang w:val="hu"/>
        </w:rPr>
        <w:t xml:space="preserve"> az árbevétel százalékában -1.2 százalékponttal 3,9%-ra javult.</w:t>
      </w:r>
    </w:p>
    <w:p w14:paraId="466A9DD3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lang w:val="hu"/>
        </w:rPr>
      </w:pPr>
    </w:p>
    <w:p w14:paraId="0335707D" w14:textId="77777777" w:rsidR="00A86132" w:rsidRPr="002F53F2" w:rsidRDefault="00A86132" w:rsidP="00A86132">
      <w:pPr>
        <w:spacing w:line="360" w:lineRule="auto"/>
        <w:jc w:val="both"/>
        <w:rPr>
          <w:bCs/>
          <w:sz w:val="24"/>
          <w:lang w:val="hu"/>
        </w:rPr>
      </w:pPr>
      <w:r>
        <w:rPr>
          <w:sz w:val="24"/>
          <w:lang w:val="hu"/>
        </w:rPr>
        <w:t xml:space="preserve">A </w:t>
      </w:r>
      <w:r>
        <w:rPr>
          <w:b/>
          <w:bCs/>
          <w:sz w:val="24"/>
          <w:lang w:val="hu"/>
        </w:rPr>
        <w:t xml:space="preserve">szabad cash flow </w:t>
      </w:r>
      <w:r>
        <w:rPr>
          <w:sz w:val="24"/>
          <w:lang w:val="hu"/>
        </w:rPr>
        <w:t xml:space="preserve">új csúcsot ért el, 2.471 millió euróval (előző év: 1.917 millió euró).  </w:t>
      </w:r>
    </w:p>
    <w:p w14:paraId="34290DCE" w14:textId="77777777" w:rsidR="00A86132" w:rsidRPr="002F53F2" w:rsidRDefault="00A86132" w:rsidP="00A86132">
      <w:pPr>
        <w:spacing w:line="360" w:lineRule="auto"/>
        <w:jc w:val="both"/>
        <w:rPr>
          <w:bCs/>
          <w:sz w:val="24"/>
          <w:lang w:val="hu"/>
        </w:rPr>
      </w:pPr>
    </w:p>
    <w:p w14:paraId="260359A1" w14:textId="54138705" w:rsidR="00A86132" w:rsidRDefault="00A86132" w:rsidP="00A86132">
      <w:pPr>
        <w:spacing w:line="360" w:lineRule="auto"/>
        <w:jc w:val="both"/>
        <w:rPr>
          <w:sz w:val="24"/>
          <w:lang w:val="hu"/>
        </w:rPr>
      </w:pPr>
      <w:r>
        <w:rPr>
          <w:sz w:val="24"/>
          <w:lang w:val="hu"/>
        </w:rPr>
        <w:t xml:space="preserve">A </w:t>
      </w:r>
      <w:r>
        <w:rPr>
          <w:b/>
          <w:bCs/>
          <w:sz w:val="24"/>
          <w:lang w:val="hu"/>
        </w:rPr>
        <w:t xml:space="preserve">nettó pénzügyi helyzet </w:t>
      </w:r>
      <w:r>
        <w:rPr>
          <w:sz w:val="24"/>
          <w:lang w:val="hu"/>
        </w:rPr>
        <w:t>tovább javult és az évet -2.045 millió euróval (2018. december 31.: -2.895 millió euróval) zárták.</w:t>
      </w:r>
    </w:p>
    <w:p w14:paraId="69922C09" w14:textId="77777777" w:rsidR="00A86132" w:rsidRDefault="00A86132" w:rsidP="00A86132">
      <w:pPr>
        <w:spacing w:line="360" w:lineRule="auto"/>
        <w:jc w:val="both"/>
        <w:rPr>
          <w:b/>
          <w:bCs/>
          <w:sz w:val="24"/>
          <w:lang w:val="hu"/>
        </w:rPr>
      </w:pPr>
      <w:r>
        <w:rPr>
          <w:b/>
          <w:bCs/>
          <w:sz w:val="24"/>
          <w:lang w:val="hu"/>
        </w:rPr>
        <w:t xml:space="preserve"> </w:t>
      </w:r>
    </w:p>
    <w:p w14:paraId="27B0381A" w14:textId="77777777" w:rsidR="00A86132" w:rsidRPr="002F53F2" w:rsidRDefault="00A86132" w:rsidP="00A86132">
      <w:pPr>
        <w:autoSpaceDE w:val="0"/>
        <w:autoSpaceDN w:val="0"/>
        <w:adjustRightInd w:val="0"/>
        <w:spacing w:after="120" w:line="360" w:lineRule="auto"/>
        <w:jc w:val="both"/>
        <w:rPr>
          <w:b/>
          <w:sz w:val="24"/>
          <w:lang w:val="hu"/>
        </w:rPr>
      </w:pPr>
      <w:r>
        <w:rPr>
          <w:b/>
          <w:bCs/>
          <w:sz w:val="24"/>
          <w:lang w:val="hu"/>
        </w:rPr>
        <w:t>Üzletágak teljesítménye</w:t>
      </w:r>
    </w:p>
    <w:p w14:paraId="2E650753" w14:textId="3A9CC57C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sz w:val="24"/>
          <w:lang w:val="hu"/>
        </w:rPr>
        <w:t xml:space="preserve">Az </w:t>
      </w:r>
      <w:r>
        <w:rPr>
          <w:rFonts w:cs="Arial"/>
          <w:b/>
          <w:bCs/>
          <w:sz w:val="24"/>
          <w:lang w:val="hu"/>
        </w:rPr>
        <w:t xml:space="preserve">Adhesive Technologies </w:t>
      </w:r>
      <w:r>
        <w:rPr>
          <w:rFonts w:cs="Arial"/>
          <w:sz w:val="24"/>
          <w:lang w:val="hu"/>
        </w:rPr>
        <w:t xml:space="preserve">üzletágban az árbevétel nominálisan növekedett </w:t>
      </w:r>
      <w:r>
        <w:rPr>
          <w:rFonts w:cs="Arial"/>
          <w:sz w:val="24"/>
          <w:lang w:val="hu"/>
        </w:rPr>
        <w:br/>
        <w:t xml:space="preserve">0,6 százalékkal 9.461 millió euróra a 2019-es pénzügyi évben. Egy kihívást jelentő ipari környezetben, ahol az autó- és elektronikai ágazat erősen hanyatlik, az </w:t>
      </w:r>
      <w:r>
        <w:rPr>
          <w:rFonts w:cs="Arial"/>
          <w:b/>
          <w:bCs/>
          <w:sz w:val="24"/>
          <w:lang w:val="hu"/>
        </w:rPr>
        <w:t xml:space="preserve">árbevétel </w:t>
      </w:r>
      <w:r>
        <w:rPr>
          <w:rFonts w:cs="Arial"/>
          <w:b/>
          <w:bCs/>
          <w:sz w:val="24"/>
          <w:lang w:val="hu"/>
        </w:rPr>
        <w:lastRenderedPageBreak/>
        <w:t>szervesen</w:t>
      </w:r>
      <w:r>
        <w:rPr>
          <w:rFonts w:cs="Arial"/>
          <w:sz w:val="24"/>
          <w:lang w:val="hu"/>
        </w:rPr>
        <w:t xml:space="preserve"> -1,5%-kal esett vissza. A </w:t>
      </w:r>
      <w:r>
        <w:rPr>
          <w:rFonts w:cs="Arial"/>
          <w:b/>
          <w:bCs/>
          <w:sz w:val="24"/>
          <w:lang w:val="hu"/>
        </w:rPr>
        <w:t xml:space="preserve">korrigált üzemi eredmény </w:t>
      </w:r>
      <w:r w:rsidRPr="00047E23">
        <w:rPr>
          <w:rFonts w:cs="Arial"/>
          <w:sz w:val="24"/>
          <w:lang w:val="hu"/>
        </w:rPr>
        <w:t>-</w:t>
      </w:r>
      <w:r>
        <w:rPr>
          <w:rFonts w:cs="Arial"/>
          <w:sz w:val="24"/>
          <w:lang w:val="hu"/>
        </w:rPr>
        <w:t>2,8 százalékkal csökkent az előző év azonos időszakához képest, elérve az 1.712 millió eurót.</w:t>
      </w:r>
      <w:r w:rsidR="00CD6FA4">
        <w:rPr>
          <w:rFonts w:cs="Arial"/>
          <w:sz w:val="24"/>
          <w:lang w:val="hu"/>
        </w:rPr>
        <w:br/>
      </w:r>
      <w:r>
        <w:rPr>
          <w:rFonts w:cs="Arial"/>
          <w:sz w:val="24"/>
          <w:lang w:val="hu"/>
        </w:rPr>
        <w:t xml:space="preserve">A korrigált árbevétel-arányos megtérülés 18,1% volt (előző év: 18,7 százalék). </w:t>
      </w:r>
    </w:p>
    <w:p w14:paraId="74D6D8BC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4"/>
          <w:lang w:val="hu"/>
        </w:rPr>
      </w:pPr>
    </w:p>
    <w:p w14:paraId="71459F7A" w14:textId="2B5105CF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sz w:val="24"/>
          <w:lang w:val="hu"/>
        </w:rPr>
        <w:t xml:space="preserve">A </w:t>
      </w:r>
      <w:r>
        <w:rPr>
          <w:rFonts w:cs="Arial"/>
          <w:b/>
          <w:bCs/>
          <w:sz w:val="24"/>
          <w:lang w:val="hu"/>
        </w:rPr>
        <w:t xml:space="preserve">Beauty Care </w:t>
      </w:r>
      <w:r>
        <w:rPr>
          <w:rFonts w:cs="Arial"/>
          <w:sz w:val="24"/>
          <w:lang w:val="hu"/>
        </w:rPr>
        <w:t xml:space="preserve">üzletágban a szerves </w:t>
      </w:r>
      <w:r>
        <w:rPr>
          <w:rFonts w:cs="Arial"/>
          <w:b/>
          <w:bCs/>
          <w:sz w:val="24"/>
          <w:lang w:val="hu"/>
        </w:rPr>
        <w:t xml:space="preserve">árbevétel </w:t>
      </w:r>
      <w:r>
        <w:rPr>
          <w:rFonts w:cs="Arial"/>
          <w:sz w:val="24"/>
          <w:lang w:val="hu"/>
        </w:rPr>
        <w:t xml:space="preserve">fejlődése negatív volt </w:t>
      </w:r>
      <w:r>
        <w:rPr>
          <w:rFonts w:cs="Arial"/>
          <w:sz w:val="24"/>
          <w:lang w:val="hu"/>
        </w:rPr>
        <w:br/>
        <w:t xml:space="preserve">-2,1 százalékkal a 2019-es pénzügyi évben. Névlegesen az árbevétel -1,8 százalékkal alacsonyabb volt az előző évinél, elérve a 3.877 millió eurót. A </w:t>
      </w:r>
      <w:r>
        <w:rPr>
          <w:rFonts w:cs="Arial"/>
          <w:b/>
          <w:bCs/>
          <w:sz w:val="24"/>
          <w:lang w:val="hu"/>
        </w:rPr>
        <w:t xml:space="preserve">korrigált üzemi eredmény </w:t>
      </w:r>
      <w:r>
        <w:rPr>
          <w:rFonts w:cs="Arial"/>
          <w:sz w:val="24"/>
          <w:lang w:val="hu"/>
        </w:rPr>
        <w:t xml:space="preserve">519 millió eurós értéke -23,1 százalékkal alulmúlta az előző év értékét. </w:t>
      </w:r>
      <w:r w:rsidR="00CD6FA4">
        <w:rPr>
          <w:rFonts w:cs="Arial"/>
          <w:sz w:val="24"/>
          <w:lang w:val="hu"/>
        </w:rPr>
        <w:br/>
      </w:r>
      <w:r>
        <w:rPr>
          <w:rFonts w:cs="Arial"/>
          <w:sz w:val="24"/>
          <w:lang w:val="hu"/>
        </w:rPr>
        <w:t>A korrigált, árbevétel arányos megtérülés 13,4 százalékra csökkent az előző év azonos időszakához képest (előző év: 17,1 százalék), elsősorban a csökkenő bruttó fedezet és a márkákba, technológiákba, innovációkba és a digitalizálásba történő fokozott beruházások miatt.</w:t>
      </w:r>
    </w:p>
    <w:p w14:paraId="1703FCD7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</w:p>
    <w:p w14:paraId="0F077EC7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color w:val="000000"/>
          <w:sz w:val="24"/>
          <w:lang w:val="hu"/>
        </w:rPr>
        <w:t xml:space="preserve">A </w:t>
      </w:r>
      <w:r>
        <w:rPr>
          <w:rFonts w:cs="Arial"/>
          <w:b/>
          <w:bCs/>
          <w:color w:val="000000"/>
          <w:sz w:val="24"/>
          <w:lang w:val="hu"/>
        </w:rPr>
        <w:t>Laundry &amp; Home Care</w:t>
      </w:r>
      <w:r>
        <w:rPr>
          <w:rFonts w:cs="Arial"/>
          <w:color w:val="000000"/>
          <w:sz w:val="24"/>
          <w:lang w:val="hu"/>
        </w:rPr>
        <w:t xml:space="preserve"> üzletág erős, 3,7 százalékos </w:t>
      </w:r>
      <w:r>
        <w:rPr>
          <w:rFonts w:cs="Arial"/>
          <w:b/>
          <w:bCs/>
          <w:color w:val="000000"/>
          <w:sz w:val="24"/>
          <w:lang w:val="hu"/>
        </w:rPr>
        <w:t>szerves árbevétel</w:t>
      </w:r>
      <w:r>
        <w:rPr>
          <w:rFonts w:cs="Arial"/>
          <w:color w:val="000000"/>
          <w:sz w:val="24"/>
          <w:lang w:val="hu"/>
        </w:rPr>
        <w:noBreakHyphen/>
      </w:r>
      <w:r w:rsidRPr="00691F4F">
        <w:rPr>
          <w:rFonts w:cs="Arial"/>
          <w:b/>
          <w:color w:val="000000"/>
          <w:sz w:val="24"/>
          <w:lang w:val="hu"/>
        </w:rPr>
        <w:t>növekedést</w:t>
      </w:r>
      <w:r>
        <w:rPr>
          <w:rFonts w:cs="Arial"/>
          <w:color w:val="000000"/>
          <w:sz w:val="24"/>
          <w:lang w:val="hu"/>
        </w:rPr>
        <w:t xml:space="preserve"> könyvelhetett el a 2019-es pénzügyi évben. A nominális árbevétel 3,7%-os növekedést mutatott és elérte a </w:t>
      </w:r>
      <w:r>
        <w:rPr>
          <w:rFonts w:cs="Arial"/>
          <w:sz w:val="24"/>
          <w:lang w:val="hu"/>
        </w:rPr>
        <w:t xml:space="preserve">6.656 </w:t>
      </w:r>
      <w:r>
        <w:rPr>
          <w:rFonts w:cs="Arial"/>
          <w:color w:val="000000"/>
          <w:sz w:val="24"/>
          <w:lang w:val="hu"/>
        </w:rPr>
        <w:t xml:space="preserve">millió eurót. A </w:t>
      </w:r>
      <w:r>
        <w:rPr>
          <w:rFonts w:cs="Arial"/>
          <w:b/>
          <w:bCs/>
          <w:color w:val="000000"/>
          <w:sz w:val="24"/>
          <w:lang w:val="hu"/>
        </w:rPr>
        <w:t xml:space="preserve">korrigált üzemi eredmény </w:t>
      </w:r>
      <w:r>
        <w:rPr>
          <w:rFonts w:cs="Arial"/>
          <w:color w:val="000000"/>
          <w:sz w:val="24"/>
          <w:lang w:val="hu"/>
        </w:rPr>
        <w:t xml:space="preserve">elérte az 1.096 millió eurót, amely -5,7 százalékkal alacsonyabb az előző év szintjétől. A </w:t>
      </w:r>
      <w:r>
        <w:rPr>
          <w:rFonts w:cs="Arial"/>
          <w:b/>
          <w:bCs/>
          <w:color w:val="000000"/>
          <w:sz w:val="24"/>
          <w:lang w:val="hu"/>
        </w:rPr>
        <w:t xml:space="preserve">korrigált árbevétel-arányos megtérülés </w:t>
      </w:r>
      <w:r>
        <w:rPr>
          <w:rFonts w:cs="Arial"/>
          <w:color w:val="000000"/>
          <w:sz w:val="24"/>
          <w:lang w:val="hu"/>
        </w:rPr>
        <w:t xml:space="preserve">-1,6 százalékponttal 16,5 százalékra csökkent, elsősorban a márkákba, a technológiákba, az innovációkba és a digitalizálásba történő fokozott beruházások miatt. </w:t>
      </w:r>
    </w:p>
    <w:p w14:paraId="2D975463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4"/>
          <w:lang w:val="hu"/>
        </w:rPr>
      </w:pPr>
    </w:p>
    <w:p w14:paraId="218D275E" w14:textId="7777777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4"/>
          <w:lang w:val="hu"/>
        </w:rPr>
      </w:pPr>
      <w:r>
        <w:rPr>
          <w:rFonts w:cs="Arial"/>
          <w:b/>
          <w:bCs/>
          <w:sz w:val="24"/>
          <w:lang w:val="hu"/>
        </w:rPr>
        <w:t>Új stratégiai keret: Nyerő pozíció a 2020-as években, célzott növekedés révén</w:t>
      </w:r>
    </w:p>
    <w:p w14:paraId="3F2C0CFA" w14:textId="31DB08C7" w:rsidR="00A86132" w:rsidRPr="002F53F2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lang w:val="hu"/>
        </w:rPr>
      </w:pPr>
      <w:r>
        <w:rPr>
          <w:sz w:val="24"/>
          <w:lang w:val="hu"/>
        </w:rPr>
        <w:t>„</w:t>
      </w:r>
      <w:r w:rsidR="008C445C">
        <w:rPr>
          <w:sz w:val="24"/>
          <w:lang w:val="hu"/>
        </w:rPr>
        <w:t xml:space="preserve">A jövőre vonatkozóan </w:t>
      </w:r>
      <w:r>
        <w:rPr>
          <w:sz w:val="24"/>
          <w:lang w:val="hu"/>
        </w:rPr>
        <w:t xml:space="preserve">meghatároztuk </w:t>
      </w:r>
      <w:r w:rsidR="00CD6FA4">
        <w:rPr>
          <w:sz w:val="24"/>
          <w:lang w:val="hu"/>
        </w:rPr>
        <w:t>a célzott növekedés</w:t>
      </w:r>
      <w:r w:rsidR="00CD6FA4">
        <w:rPr>
          <w:sz w:val="24"/>
          <w:lang w:val="hu"/>
        </w:rPr>
        <w:t xml:space="preserve"> </w:t>
      </w:r>
      <w:r>
        <w:rPr>
          <w:sz w:val="24"/>
          <w:lang w:val="hu"/>
        </w:rPr>
        <w:t>új stratégiai keret</w:t>
      </w:r>
      <w:r w:rsidR="00CD6FA4">
        <w:rPr>
          <w:sz w:val="24"/>
          <w:lang w:val="hu"/>
        </w:rPr>
        <w:t>é</w:t>
      </w:r>
      <w:r>
        <w:rPr>
          <w:sz w:val="24"/>
          <w:lang w:val="hu"/>
        </w:rPr>
        <w:t xml:space="preserve">t, </w:t>
      </w:r>
      <w:r w:rsidR="00CD6FA4">
        <w:rPr>
          <w:sz w:val="24"/>
          <w:lang w:val="hu"/>
        </w:rPr>
        <w:t>a Henkel jövőbe</w:t>
      </w:r>
      <w:r w:rsidR="00CD6FA4">
        <w:rPr>
          <w:sz w:val="24"/>
          <w:lang w:val="hu"/>
        </w:rPr>
        <w:t>l</w:t>
      </w:r>
      <w:r w:rsidR="00CD6FA4">
        <w:rPr>
          <w:sz w:val="24"/>
          <w:lang w:val="hu"/>
        </w:rPr>
        <w:t>i sikeres fejlődésé</w:t>
      </w:r>
      <w:r w:rsidR="00CD6FA4">
        <w:rPr>
          <w:sz w:val="24"/>
          <w:lang w:val="hu"/>
        </w:rPr>
        <w:t>nek biztosítása érdekében</w:t>
      </w:r>
      <w:r>
        <w:rPr>
          <w:sz w:val="24"/>
          <w:lang w:val="hu"/>
        </w:rPr>
        <w:t>. Erős alapokra építve és a fenntartható értékteremtés</w:t>
      </w:r>
      <w:r w:rsidR="00AC7550">
        <w:rPr>
          <w:sz w:val="24"/>
          <w:lang w:val="hu"/>
        </w:rPr>
        <w:t>re irányuló</w:t>
      </w:r>
      <w:r>
        <w:rPr>
          <w:sz w:val="24"/>
          <w:lang w:val="hu"/>
        </w:rPr>
        <w:t xml:space="preserve"> közös cél</w:t>
      </w:r>
      <w:r w:rsidR="00AC7550">
        <w:rPr>
          <w:sz w:val="24"/>
          <w:lang w:val="hu"/>
        </w:rPr>
        <w:t>unk</w:t>
      </w:r>
      <w:r>
        <w:rPr>
          <w:sz w:val="24"/>
          <w:lang w:val="hu"/>
        </w:rPr>
        <w:t xml:space="preserve"> által</w:t>
      </w:r>
      <w:r w:rsidR="00AC7550">
        <w:rPr>
          <w:sz w:val="24"/>
          <w:lang w:val="hu"/>
        </w:rPr>
        <w:t xml:space="preserve">, </w:t>
      </w:r>
      <w:r w:rsidR="00CD6FA4">
        <w:rPr>
          <w:sz w:val="24"/>
          <w:lang w:val="hu"/>
        </w:rPr>
        <w:t xml:space="preserve">jövőbeli irányunk </w:t>
      </w:r>
      <w:r w:rsidR="005150EB">
        <w:rPr>
          <w:sz w:val="24"/>
          <w:lang w:val="hu"/>
        </w:rPr>
        <w:t>fő elemei</w:t>
      </w:r>
      <w:r w:rsidR="008C445C">
        <w:rPr>
          <w:sz w:val="24"/>
          <w:lang w:val="hu"/>
        </w:rPr>
        <w:t>:</w:t>
      </w:r>
      <w:r>
        <w:rPr>
          <w:sz w:val="24"/>
          <w:lang w:val="hu"/>
        </w:rPr>
        <w:t xml:space="preserve"> </w:t>
      </w:r>
      <w:r w:rsidR="009318D6">
        <w:rPr>
          <w:sz w:val="24"/>
          <w:lang w:val="hu"/>
        </w:rPr>
        <w:t>sikeres</w:t>
      </w:r>
      <w:r>
        <w:rPr>
          <w:sz w:val="24"/>
          <w:lang w:val="hu"/>
        </w:rPr>
        <w:t xml:space="preserve"> portfólió, </w:t>
      </w:r>
      <w:r w:rsidR="008C445C">
        <w:rPr>
          <w:sz w:val="24"/>
          <w:lang w:val="hu"/>
        </w:rPr>
        <w:t xml:space="preserve">egyértelmű </w:t>
      </w:r>
      <w:r>
        <w:rPr>
          <w:sz w:val="24"/>
          <w:lang w:val="hu"/>
        </w:rPr>
        <w:t>versenyelőny</w:t>
      </w:r>
      <w:r w:rsidR="008C445C">
        <w:rPr>
          <w:sz w:val="24"/>
          <w:lang w:val="hu"/>
        </w:rPr>
        <w:t xml:space="preserve">ök az </w:t>
      </w:r>
      <w:r>
        <w:rPr>
          <w:sz w:val="24"/>
          <w:lang w:val="hu"/>
        </w:rPr>
        <w:t>innováció</w:t>
      </w:r>
      <w:r w:rsidR="008C445C">
        <w:rPr>
          <w:sz w:val="24"/>
          <w:lang w:val="hu"/>
        </w:rPr>
        <w:t xml:space="preserve"> területén</w:t>
      </w:r>
      <w:r>
        <w:rPr>
          <w:sz w:val="24"/>
          <w:lang w:val="hu"/>
        </w:rPr>
        <w:t>, fenntarthatóság és digitalizáció, valamint jövő</w:t>
      </w:r>
      <w:r w:rsidR="009318D6">
        <w:rPr>
          <w:sz w:val="24"/>
          <w:lang w:val="hu"/>
        </w:rPr>
        <w:t>orientált üzleti folyamatok</w:t>
      </w:r>
      <w:r w:rsidR="008C445C">
        <w:rPr>
          <w:sz w:val="24"/>
          <w:lang w:val="hu"/>
        </w:rPr>
        <w:t xml:space="preserve">, – </w:t>
      </w:r>
      <w:r>
        <w:rPr>
          <w:sz w:val="24"/>
          <w:lang w:val="hu"/>
        </w:rPr>
        <w:t>amelye</w:t>
      </w:r>
      <w:r w:rsidR="005150EB">
        <w:rPr>
          <w:sz w:val="24"/>
          <w:lang w:val="hu"/>
        </w:rPr>
        <w:t>k</w:t>
      </w:r>
      <w:r>
        <w:rPr>
          <w:sz w:val="24"/>
          <w:lang w:val="hu"/>
        </w:rPr>
        <w:t xml:space="preserve"> </w:t>
      </w:r>
      <w:r w:rsidR="009318D6">
        <w:rPr>
          <w:sz w:val="24"/>
          <w:lang w:val="hu"/>
        </w:rPr>
        <w:t>erős vállalati kul</w:t>
      </w:r>
      <w:r>
        <w:rPr>
          <w:sz w:val="24"/>
          <w:lang w:val="hu"/>
        </w:rPr>
        <w:t>túrá</w:t>
      </w:r>
      <w:r w:rsidR="009318D6">
        <w:rPr>
          <w:sz w:val="24"/>
          <w:lang w:val="hu"/>
        </w:rPr>
        <w:t>n alapulnak, melyben a hangsúly a szoros együttműködés</w:t>
      </w:r>
      <w:r w:rsidR="008C445C">
        <w:rPr>
          <w:sz w:val="24"/>
          <w:lang w:val="hu"/>
        </w:rPr>
        <w:t xml:space="preserve">en </w:t>
      </w:r>
      <w:r w:rsidR="005150EB">
        <w:rPr>
          <w:sz w:val="24"/>
          <w:lang w:val="hu"/>
        </w:rPr>
        <w:t>és a munkavállalók felhatalmazásán van</w:t>
      </w:r>
      <w:r>
        <w:rPr>
          <w:sz w:val="24"/>
          <w:lang w:val="hu"/>
        </w:rPr>
        <w:t xml:space="preserve">” – mondta Carsten Knobel. </w:t>
      </w:r>
    </w:p>
    <w:p w14:paraId="17FAA5C5" w14:textId="77777777" w:rsidR="00A86132" w:rsidRPr="00193116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bCs/>
          <w:sz w:val="24"/>
        </w:rPr>
      </w:pPr>
      <w:r>
        <w:rPr>
          <w:sz w:val="24"/>
          <w:lang w:val="hu"/>
        </w:rPr>
        <w:br/>
        <w:t xml:space="preserve">Az új stratégiai keretről bővebb információ: </w:t>
      </w:r>
      <w:hyperlink r:id="rId8" w:history="1">
        <w:r>
          <w:rPr>
            <w:rStyle w:val="Hiperhivatkozs"/>
            <w:sz w:val="24"/>
            <w:lang w:val="hu"/>
          </w:rPr>
          <w:t>https://www.henkel.com/press</w:t>
        </w:r>
      </w:hyperlink>
    </w:p>
    <w:p w14:paraId="05B62CF8" w14:textId="77777777" w:rsidR="00A86132" w:rsidRPr="00193116" w:rsidRDefault="00A86132" w:rsidP="00A86132">
      <w:pPr>
        <w:autoSpaceDE w:val="0"/>
        <w:autoSpaceDN w:val="0"/>
        <w:adjustRightInd w:val="0"/>
        <w:spacing w:line="360" w:lineRule="auto"/>
        <w:jc w:val="both"/>
        <w:rPr>
          <w:bCs/>
          <w:sz w:val="24"/>
        </w:rPr>
      </w:pPr>
    </w:p>
    <w:p w14:paraId="38E7D4A0" w14:textId="77777777" w:rsidR="00A86132" w:rsidRPr="002F53F2" w:rsidRDefault="00A86132" w:rsidP="00A86132">
      <w:pPr>
        <w:spacing w:line="360" w:lineRule="auto"/>
        <w:jc w:val="both"/>
        <w:rPr>
          <w:lang w:val="hu"/>
        </w:rPr>
      </w:pPr>
      <w:r>
        <w:rPr>
          <w:b/>
          <w:bCs/>
          <w:lang w:val="hu"/>
        </w:rPr>
        <w:lastRenderedPageBreak/>
        <w:t>A Henkelről</w:t>
      </w:r>
    </w:p>
    <w:p w14:paraId="30D4D03F" w14:textId="77777777" w:rsidR="00A86132" w:rsidRDefault="00A86132" w:rsidP="00A86132">
      <w:pPr>
        <w:spacing w:line="276" w:lineRule="auto"/>
        <w:jc w:val="both"/>
        <w:rPr>
          <w:rFonts w:cs="Arial"/>
          <w:b/>
          <w:szCs w:val="20"/>
          <w:lang w:val="hu-HU" w:eastAsia="de-DE"/>
        </w:rPr>
      </w:pPr>
      <w:r w:rsidRPr="003E32D6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</w:t>
      </w:r>
      <w:r w:rsidRPr="009A3057">
        <w:rPr>
          <w:rFonts w:cs="Arial"/>
          <w:szCs w:val="20"/>
          <w:lang w:val="hu-HU"/>
        </w:rPr>
        <w:t>A Henkel Adhesive Technologies üzletága globális vezető szerepet tölt be a ragasztók piacán – valamennyi iparági szegmensben, világszerte</w:t>
      </w:r>
      <w:r w:rsidRPr="00153603">
        <w:rPr>
          <w:rFonts w:cs="Arial"/>
          <w:szCs w:val="20"/>
          <w:lang w:val="hu-HU"/>
        </w:rPr>
        <w:t xml:space="preserve"> </w:t>
      </w:r>
      <w:r w:rsidRPr="009A3057">
        <w:rPr>
          <w:rFonts w:cs="Arial"/>
          <w:szCs w:val="20"/>
          <w:lang w:val="hu-HU"/>
        </w:rPr>
        <w:t>A Henkel Laundry &amp; Home Care és a Beauty Care üzletágaival számos piacon és kategóriában vezető szerepet tölt be, szerte a világon.</w:t>
      </w:r>
      <w:r w:rsidRPr="003E32D6">
        <w:rPr>
          <w:rFonts w:cs="Arial"/>
          <w:szCs w:val="20"/>
          <w:lang w:val="hu-HU"/>
        </w:rPr>
        <w:t xml:space="preserve"> A</w:t>
      </w:r>
      <w:r>
        <w:rPr>
          <w:rFonts w:cs="Arial"/>
          <w:szCs w:val="20"/>
          <w:lang w:val="hu-HU"/>
        </w:rPr>
        <w:t>z</w:t>
      </w:r>
      <w:r w:rsidRPr="003E32D6">
        <w:rPr>
          <w:rFonts w:cs="Arial"/>
          <w:szCs w:val="20"/>
          <w:lang w:val="hu-HU"/>
        </w:rPr>
        <w:t xml:space="preserve"> 1876-ban alapított Henkel több mint 140 éves sikert tudhat maga mögött. </w:t>
      </w:r>
      <w:r>
        <w:rPr>
          <w:lang w:val="hu"/>
        </w:rPr>
        <w:t>A Henkel 2019-ben több mint 20 milliárd euró árbevételt</w:t>
      </w:r>
      <w:r>
        <w:rPr>
          <w:color w:val="000000"/>
          <w:lang w:val="hu"/>
        </w:rPr>
        <w:t xml:space="preserve"> </w:t>
      </w:r>
      <w:r>
        <w:rPr>
          <w:lang w:val="hu"/>
        </w:rPr>
        <w:t xml:space="preserve">és több mint 3,2 milliárd euró korrigált üzemi eredményt ért el. </w:t>
      </w:r>
      <w:r w:rsidRPr="003E32D6">
        <w:rPr>
          <w:rFonts w:cs="Arial"/>
          <w:szCs w:val="20"/>
          <w:lang w:val="hu-HU"/>
        </w:rPr>
        <w:t>A Henkel világszerte több mint 5</w:t>
      </w:r>
      <w:r>
        <w:rPr>
          <w:rFonts w:cs="Arial"/>
          <w:szCs w:val="20"/>
          <w:lang w:val="hu-HU"/>
        </w:rPr>
        <w:t>2</w:t>
      </w:r>
      <w:r w:rsidRPr="003E32D6">
        <w:rPr>
          <w:rFonts w:cs="Arial"/>
          <w:szCs w:val="20"/>
          <w:lang w:val="hu-HU"/>
        </w:rPr>
        <w:t xml:space="preserve"> 000 embert foglalkoztat – lelkes és sokszínű csapat, amelyet erős vállalati kultúra, a fenntartható érték létrehozásának közös célja és </w:t>
      </w:r>
      <w:r>
        <w:rPr>
          <w:rFonts w:cs="Arial"/>
          <w:szCs w:val="20"/>
          <w:lang w:val="hu-HU"/>
        </w:rPr>
        <w:t>azonos</w:t>
      </w:r>
      <w:r w:rsidRPr="003E32D6">
        <w:rPr>
          <w:rFonts w:cs="Arial"/>
          <w:szCs w:val="20"/>
          <w:lang w:val="hu-HU"/>
        </w:rPr>
        <w:t xml:space="preserve"> értékek egyesítenek.</w:t>
      </w:r>
      <w:r>
        <w:rPr>
          <w:rFonts w:cs="Arial"/>
          <w:szCs w:val="20"/>
          <w:lang w:val="hu-HU"/>
        </w:rPr>
        <w:t xml:space="preserve"> Mint a fenntarthatóság terén </w:t>
      </w:r>
      <w:r w:rsidRPr="003E32D6">
        <w:rPr>
          <w:rFonts w:cs="Arial"/>
          <w:szCs w:val="20"/>
          <w:lang w:val="hu-HU"/>
        </w:rPr>
        <w:t>elismert vezető</w:t>
      </w:r>
      <w:r>
        <w:rPr>
          <w:rFonts w:cs="Arial"/>
          <w:szCs w:val="20"/>
          <w:lang w:val="hu-HU"/>
        </w:rPr>
        <w:t xml:space="preserve"> vállalat a</w:t>
      </w:r>
      <w:r w:rsidRPr="003E32D6">
        <w:rPr>
          <w:rFonts w:cs="Arial"/>
          <w:szCs w:val="20"/>
          <w:lang w:val="hu-HU"/>
        </w:rPr>
        <w:t xml:space="preserve">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9" w:history="1">
        <w:r w:rsidRPr="001B238D">
          <w:rPr>
            <w:rStyle w:val="Hiperhivatkozs"/>
            <w:rFonts w:cs="Arial"/>
            <w:szCs w:val="20"/>
            <w:lang w:val="hu-HU"/>
          </w:rPr>
          <w:t>www.henkel.com</w:t>
        </w:r>
      </w:hyperlink>
      <w:r w:rsidRPr="003E32D6">
        <w:rPr>
          <w:rFonts w:cs="Arial"/>
          <w:szCs w:val="20"/>
          <w:lang w:val="hu-HU"/>
        </w:rPr>
        <w:t>.</w:t>
      </w:r>
    </w:p>
    <w:p w14:paraId="6F45DDB8" w14:textId="77777777" w:rsidR="00A86132" w:rsidRPr="002D012E" w:rsidRDefault="00A86132" w:rsidP="00A86132">
      <w:pPr>
        <w:spacing w:line="240" w:lineRule="auto"/>
        <w:jc w:val="both"/>
        <w:rPr>
          <w:bCs/>
          <w:sz w:val="16"/>
          <w:szCs w:val="20"/>
          <w:lang w:val="hu-HU" w:eastAsia="de-DE"/>
        </w:rPr>
      </w:pPr>
    </w:p>
    <w:p w14:paraId="1C1723D5" w14:textId="77777777" w:rsidR="00A86132" w:rsidRDefault="00A86132" w:rsidP="00A86132">
      <w:pPr>
        <w:spacing w:line="240" w:lineRule="auto"/>
        <w:jc w:val="both"/>
        <w:rPr>
          <w:sz w:val="14"/>
          <w:szCs w:val="14"/>
          <w:lang w:val="hu"/>
        </w:rPr>
      </w:pPr>
    </w:p>
    <w:p w14:paraId="6657DE11" w14:textId="0C2FAD47" w:rsidR="00A86132" w:rsidRPr="00B5171E" w:rsidRDefault="00A86132" w:rsidP="00A86132">
      <w:pPr>
        <w:spacing w:line="240" w:lineRule="auto"/>
        <w:jc w:val="both"/>
        <w:rPr>
          <w:sz w:val="14"/>
          <w:szCs w:val="14"/>
          <w:lang w:val="hu"/>
        </w:rPr>
      </w:pPr>
      <w:r w:rsidRPr="00B5171E">
        <w:rPr>
          <w:sz w:val="14"/>
          <w:szCs w:val="14"/>
          <w:lang w:val="hu"/>
        </w:rPr>
        <w:t xml:space="preserve">Ez a tájékoztatás a jövőre vonatkozó állításokat tartalmaz, amelyek a Henkel AG &amp; Co. KGaA vállalati vezetősége jelenlegi becslésein és feltételezésein alapulnak. A jövőre vonatkozó állításokat olyan és hasonló szavakkal fejezzük ki, mint a „vár”, „szándékozik”, „tervez”, „jósol”, „feltételez”, „vél”, „becsül” és hasonló kifejezések. Az ilyen állítások semmiképpen sem értelmezendők úgy, hogy azok garanciát jelentenének az általuk kifejezett várakozások pontos teljesülésére. A Henkel AG &amp; Co. KGaA és kapcsolt vállalkozásainak jövőbeli teljesítménye és tényleges eredményei számos kockázat és bizonytalanság függvényei, és így jelentősen eltérhetnek a jövőre vonatkozó állításoktól. Sok ilyen tényezőre nincs befolyása a Henkelnek, és ezek előre nem becsülhetők fel pontosan, mint például a későbbi gazdasági környezet, vagy a versenytársak és más piaci szereplők tevékenysége. A Henkel nem tervezi és nem vállalja, hogy a jövőre vonatkozó állításait frissítse. </w:t>
      </w:r>
    </w:p>
    <w:p w14:paraId="53EF26B0" w14:textId="77777777" w:rsidR="00A86132" w:rsidRPr="00B5171E" w:rsidRDefault="00A86132" w:rsidP="00A86132">
      <w:pPr>
        <w:spacing w:line="240" w:lineRule="auto"/>
        <w:jc w:val="both"/>
        <w:rPr>
          <w:sz w:val="14"/>
          <w:szCs w:val="14"/>
          <w:lang w:val="hu"/>
        </w:rPr>
      </w:pPr>
    </w:p>
    <w:p w14:paraId="18AC1916" w14:textId="77777777" w:rsidR="00A86132" w:rsidRPr="00B5171E" w:rsidRDefault="00A86132" w:rsidP="00A86132">
      <w:pPr>
        <w:spacing w:line="240" w:lineRule="auto"/>
        <w:jc w:val="both"/>
        <w:rPr>
          <w:sz w:val="14"/>
          <w:szCs w:val="14"/>
          <w:lang w:val="hu"/>
        </w:rPr>
      </w:pPr>
      <w:r w:rsidRPr="00B5171E">
        <w:rPr>
          <w:sz w:val="14"/>
          <w:szCs w:val="14"/>
          <w:lang w:val="hu"/>
        </w:rPr>
        <w:t>Ez a dokumentum - az alkalmazandó pénzügyi beszámolási keretrendszerben nem egyértelműen meghatározva - tartalmazza azokat a kiegészítő pénzügyi intézkedéseket, amelyek alternatív teljesítménymutatók, vagy azok lehetnek (nem GAAP-intézkedések). Ezeket a kiegészítő pénzügyi intézkedéseket nem szabad külön-külön vagy a Henkel nettó eszközeinek, illetve pénzügyi pozícióinak vagy eredményeinek vagy ezek alternatíváinak tekinteni, a konszolidált pénzügyi kimutatásaiban szereplő vonatkozó pénzügyi beszámolási keretrendszer szerint. Más, hasonlóan megnevezett alternatív teljesítménymutatókat jelentő vagy leíró vállalatok eltérő módon számíthatják ki őket.</w:t>
      </w:r>
    </w:p>
    <w:p w14:paraId="1D4B3118" w14:textId="77777777" w:rsidR="00A86132" w:rsidRPr="00B5171E" w:rsidRDefault="00A86132" w:rsidP="00A86132">
      <w:pPr>
        <w:spacing w:line="240" w:lineRule="auto"/>
        <w:jc w:val="both"/>
        <w:rPr>
          <w:sz w:val="14"/>
          <w:szCs w:val="14"/>
          <w:lang w:val="hu"/>
        </w:rPr>
      </w:pPr>
    </w:p>
    <w:p w14:paraId="68A71FDC" w14:textId="77777777" w:rsidR="00A86132" w:rsidRPr="00B5171E" w:rsidRDefault="00A86132" w:rsidP="00A86132">
      <w:pPr>
        <w:spacing w:line="240" w:lineRule="auto"/>
        <w:jc w:val="both"/>
        <w:rPr>
          <w:sz w:val="14"/>
          <w:szCs w:val="14"/>
          <w:lang w:val="hu"/>
        </w:rPr>
      </w:pPr>
      <w:r w:rsidRPr="00B5171E">
        <w:rPr>
          <w:sz w:val="14"/>
          <w:szCs w:val="14"/>
          <w:lang w:val="hu"/>
        </w:rPr>
        <w:t>Ezt a dokumentumot csak tájékoztatási célból bocsátották ki, és nem célja befektetési tanácsadás, vagy értékpapírokra vonatkozó eladási ajánlat, vagy vételi ajánlat kérése.</w:t>
      </w:r>
    </w:p>
    <w:p w14:paraId="6E7E3953" w14:textId="77777777" w:rsidR="00A86132" w:rsidRPr="002D012E" w:rsidRDefault="00A86132" w:rsidP="00A86132">
      <w:pPr>
        <w:spacing w:line="240" w:lineRule="auto"/>
        <w:jc w:val="both"/>
        <w:rPr>
          <w:bCs/>
          <w:sz w:val="16"/>
          <w:szCs w:val="20"/>
          <w:lang w:val="hu-HU" w:eastAsia="de-DE"/>
        </w:rPr>
      </w:pPr>
    </w:p>
    <w:p w14:paraId="7B6A0F66" w14:textId="3EC66E35" w:rsidR="00A86132" w:rsidRDefault="00A86132" w:rsidP="00A86132">
      <w:pPr>
        <w:spacing w:line="240" w:lineRule="auto"/>
        <w:rPr>
          <w:rFonts w:cs="Arial"/>
          <w:b/>
          <w:szCs w:val="20"/>
          <w:lang w:val="hu"/>
        </w:rPr>
      </w:pPr>
    </w:p>
    <w:p w14:paraId="5D7EBA33" w14:textId="77777777" w:rsidR="00A86132" w:rsidRPr="002F53F2" w:rsidRDefault="00A86132" w:rsidP="00A86132">
      <w:pPr>
        <w:spacing w:line="240" w:lineRule="auto"/>
        <w:rPr>
          <w:rFonts w:cs="Arial"/>
          <w:b/>
          <w:szCs w:val="20"/>
          <w:lang w:val="hu"/>
        </w:rPr>
      </w:pPr>
    </w:p>
    <w:p w14:paraId="2EDDABC6" w14:textId="77777777" w:rsidR="00A86132" w:rsidRPr="002F53F2" w:rsidRDefault="00A86132" w:rsidP="00A86132">
      <w:pPr>
        <w:spacing w:line="240" w:lineRule="auto"/>
        <w:rPr>
          <w:rFonts w:cs="Arial"/>
          <w:b/>
          <w:szCs w:val="20"/>
          <w:lang w:val="hu"/>
        </w:rPr>
      </w:pPr>
      <w:r>
        <w:rPr>
          <w:rFonts w:cs="Arial"/>
          <w:b/>
          <w:bCs/>
          <w:szCs w:val="20"/>
          <w:lang w:val="hu"/>
        </w:rPr>
        <w:t>Kapcsolat</w:t>
      </w:r>
    </w:p>
    <w:p w14:paraId="09139E2E" w14:textId="77777777" w:rsidR="00A86132" w:rsidRPr="002F53F2" w:rsidRDefault="00A86132" w:rsidP="00A86132">
      <w:pPr>
        <w:spacing w:line="280" w:lineRule="exact"/>
        <w:rPr>
          <w:rFonts w:cs="Arial"/>
          <w:szCs w:val="20"/>
          <w:lang w:val="hu"/>
        </w:rPr>
      </w:pPr>
    </w:p>
    <w:p w14:paraId="50A7F69E" w14:textId="77777777" w:rsidR="00A86132" w:rsidRPr="002F53F2" w:rsidRDefault="00A86132" w:rsidP="00A86132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  <w:lang w:val="hu"/>
        </w:rPr>
      </w:pPr>
      <w:r>
        <w:rPr>
          <w:rFonts w:cs="Arial"/>
          <w:b/>
          <w:bCs/>
          <w:szCs w:val="20"/>
          <w:lang w:val="hu"/>
        </w:rPr>
        <w:t>Befektetők és elemzők                                          Sajtó és Média</w:t>
      </w:r>
      <w:r>
        <w:rPr>
          <w:rFonts w:cs="Arial"/>
          <w:szCs w:val="20"/>
          <w:lang w:val="hu"/>
        </w:rPr>
        <w:tab/>
      </w:r>
    </w:p>
    <w:p w14:paraId="56ACF62C" w14:textId="77777777" w:rsidR="00A86132" w:rsidRPr="002F53F2" w:rsidRDefault="00A86132" w:rsidP="00A86132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  <w:lang w:val="hu"/>
        </w:rPr>
      </w:pPr>
    </w:p>
    <w:p w14:paraId="446CC99B" w14:textId="77777777" w:rsidR="00A86132" w:rsidRPr="002F53F2" w:rsidRDefault="00A86132" w:rsidP="00A86132">
      <w:pPr>
        <w:tabs>
          <w:tab w:val="left" w:pos="851"/>
          <w:tab w:val="left" w:pos="4536"/>
        </w:tabs>
        <w:spacing w:line="240" w:lineRule="auto"/>
        <w:rPr>
          <w:rFonts w:cs="Arial"/>
          <w:szCs w:val="20"/>
          <w:lang w:val="en-US"/>
        </w:rPr>
      </w:pPr>
      <w:r>
        <w:rPr>
          <w:rFonts w:cs="Arial"/>
          <w:b/>
          <w:bCs/>
          <w:szCs w:val="20"/>
          <w:lang w:val="hu"/>
        </w:rPr>
        <w:t>Lars Korinth</w:t>
      </w:r>
      <w:r>
        <w:rPr>
          <w:rFonts w:cs="Arial"/>
          <w:b/>
          <w:bCs/>
          <w:szCs w:val="20"/>
          <w:lang w:val="hu"/>
        </w:rPr>
        <w:tab/>
        <w:t>Lars Witteck</w:t>
      </w:r>
    </w:p>
    <w:p w14:paraId="1C7F0E10" w14:textId="77777777" w:rsidR="00A86132" w:rsidRPr="002F53F2" w:rsidRDefault="00A86132" w:rsidP="00A86132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val="en-US"/>
        </w:rPr>
      </w:pPr>
      <w:r>
        <w:rPr>
          <w:rFonts w:cs="Arial"/>
          <w:szCs w:val="20"/>
          <w:lang w:val="hu"/>
        </w:rPr>
        <w:t>Tel.:</w:t>
      </w:r>
      <w:r>
        <w:rPr>
          <w:rFonts w:cs="Arial"/>
          <w:szCs w:val="20"/>
          <w:lang w:val="hu"/>
        </w:rPr>
        <w:tab/>
        <w:t>+49 211 797 - 1631</w:t>
      </w:r>
      <w:r>
        <w:rPr>
          <w:rFonts w:cs="Arial"/>
          <w:szCs w:val="20"/>
          <w:lang w:val="hu"/>
        </w:rPr>
        <w:tab/>
        <w:t>Tel.:</w:t>
      </w:r>
      <w:r>
        <w:rPr>
          <w:rFonts w:cs="Arial"/>
          <w:szCs w:val="20"/>
          <w:lang w:val="hu"/>
        </w:rPr>
        <w:tab/>
        <w:t>+49 211 797 - 2606</w:t>
      </w:r>
    </w:p>
    <w:p w14:paraId="514B2B9E" w14:textId="77777777" w:rsidR="00A86132" w:rsidRPr="002F53F2" w:rsidRDefault="00A86132" w:rsidP="00A86132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hu"/>
        </w:rPr>
        <w:t xml:space="preserve">Email: </w:t>
      </w:r>
      <w:r>
        <w:rPr>
          <w:rFonts w:cs="Arial"/>
          <w:color w:val="000000"/>
          <w:szCs w:val="20"/>
          <w:lang w:val="hu"/>
        </w:rPr>
        <w:tab/>
      </w:r>
      <w:hyperlink r:id="rId10" w:history="1">
        <w:r>
          <w:rPr>
            <w:rStyle w:val="Hiperhivatkozs"/>
            <w:rFonts w:cs="Arial"/>
            <w:szCs w:val="20"/>
            <w:lang w:val="hu"/>
          </w:rPr>
          <w:t>lars.korinth@henkel.com</w:t>
        </w:r>
      </w:hyperlink>
      <w:r>
        <w:rPr>
          <w:lang w:val="hu"/>
        </w:rPr>
        <w:tab/>
      </w:r>
      <w:r>
        <w:rPr>
          <w:rFonts w:cs="Arial"/>
          <w:color w:val="000000"/>
          <w:szCs w:val="20"/>
          <w:lang w:val="hu"/>
        </w:rPr>
        <w:t>Email:</w:t>
      </w:r>
      <w:r>
        <w:rPr>
          <w:rFonts w:cs="Arial"/>
          <w:color w:val="000000"/>
          <w:szCs w:val="20"/>
          <w:lang w:val="hu"/>
        </w:rPr>
        <w:tab/>
      </w:r>
      <w:hyperlink r:id="rId11" w:history="1">
        <w:r>
          <w:rPr>
            <w:rStyle w:val="Hiperhivatkozs"/>
            <w:rFonts w:cs="Arial"/>
            <w:szCs w:val="20"/>
            <w:lang w:val="hu"/>
          </w:rPr>
          <w:t>lars.witteck@henkel.com</w:t>
        </w:r>
      </w:hyperlink>
    </w:p>
    <w:p w14:paraId="4BD521E4" w14:textId="77777777" w:rsidR="00A86132" w:rsidRPr="002F53F2" w:rsidRDefault="00A86132" w:rsidP="00A8613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  <w:lang w:val="en-US"/>
        </w:rPr>
      </w:pPr>
    </w:p>
    <w:p w14:paraId="4A820B55" w14:textId="77777777" w:rsidR="00A86132" w:rsidRPr="00DA63D6" w:rsidRDefault="00A86132" w:rsidP="00A86132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  <w:lang w:val="hu"/>
        </w:rPr>
        <w:t>Mona Niermann</w:t>
      </w:r>
      <w:r>
        <w:rPr>
          <w:rFonts w:cs="Arial"/>
          <w:b/>
          <w:bCs/>
          <w:szCs w:val="20"/>
          <w:lang w:val="hu"/>
        </w:rPr>
        <w:tab/>
        <w:t>Wulf Klüppelholz</w:t>
      </w:r>
    </w:p>
    <w:p w14:paraId="79F99E1B" w14:textId="77777777" w:rsidR="00A86132" w:rsidRPr="00DA63D6" w:rsidRDefault="00A86132" w:rsidP="00A86132">
      <w:pPr>
        <w:tabs>
          <w:tab w:val="left" w:pos="709"/>
          <w:tab w:val="left" w:pos="851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  <w:lang w:val="hu"/>
        </w:rPr>
        <w:t>Tel:</w:t>
      </w:r>
      <w:r>
        <w:rPr>
          <w:rFonts w:cs="Arial"/>
          <w:szCs w:val="20"/>
          <w:lang w:val="hu"/>
        </w:rPr>
        <w:tab/>
        <w:t>+49 211 797 - 7151</w:t>
      </w:r>
      <w:r>
        <w:rPr>
          <w:rFonts w:cs="Arial"/>
          <w:szCs w:val="20"/>
          <w:lang w:val="hu"/>
        </w:rPr>
        <w:tab/>
        <w:t xml:space="preserve">Tel: </w:t>
      </w:r>
      <w:r>
        <w:rPr>
          <w:rFonts w:cs="Arial"/>
          <w:szCs w:val="20"/>
          <w:lang w:val="hu"/>
        </w:rPr>
        <w:tab/>
        <w:t>+49 211 797 - 1875</w:t>
      </w:r>
    </w:p>
    <w:p w14:paraId="78337707" w14:textId="77777777" w:rsidR="00A86132" w:rsidRPr="002F53F2" w:rsidRDefault="00A86132" w:rsidP="00A86132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color w:val="0000FF"/>
          <w:szCs w:val="20"/>
          <w:lang w:val="en-US"/>
        </w:rPr>
      </w:pPr>
      <w:r>
        <w:rPr>
          <w:color w:val="000000"/>
          <w:szCs w:val="20"/>
          <w:lang w:val="hu"/>
        </w:rPr>
        <w:t xml:space="preserve">Email: </w:t>
      </w:r>
      <w:r>
        <w:rPr>
          <w:color w:val="000000"/>
          <w:szCs w:val="20"/>
          <w:lang w:val="hu"/>
        </w:rPr>
        <w:tab/>
      </w:r>
      <w:hyperlink r:id="rId12" w:history="1">
        <w:r>
          <w:rPr>
            <w:rStyle w:val="Hiperhivatkozs"/>
            <w:lang w:val="hu"/>
          </w:rPr>
          <w:t>mona.niermann</w:t>
        </w:r>
        <w:r>
          <w:rPr>
            <w:rStyle w:val="Hiperhivatkozs"/>
            <w:szCs w:val="20"/>
            <w:lang w:val="hu"/>
          </w:rPr>
          <w:t>@henkel.com</w:t>
        </w:r>
      </w:hyperlink>
      <w:r>
        <w:rPr>
          <w:lang w:val="hu"/>
        </w:rPr>
        <w:tab/>
      </w:r>
      <w:r>
        <w:rPr>
          <w:szCs w:val="20"/>
          <w:lang w:val="hu"/>
        </w:rPr>
        <w:t>Email:</w:t>
      </w:r>
      <w:r>
        <w:rPr>
          <w:color w:val="0000FF"/>
          <w:szCs w:val="20"/>
          <w:lang w:val="hu"/>
        </w:rPr>
        <w:tab/>
      </w:r>
      <w:r>
        <w:rPr>
          <w:color w:val="0000FF"/>
          <w:szCs w:val="20"/>
          <w:u w:val="single"/>
          <w:lang w:val="hu"/>
        </w:rPr>
        <w:t>wulf.klueppelholz@henkel.com</w:t>
      </w:r>
    </w:p>
    <w:p w14:paraId="696A463F" w14:textId="77777777" w:rsidR="00A86132" w:rsidRPr="002F53F2" w:rsidRDefault="00A86132" w:rsidP="00A86132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szCs w:val="20"/>
          <w:lang w:val="en-US"/>
        </w:rPr>
      </w:pPr>
    </w:p>
    <w:p w14:paraId="2D15BEB9" w14:textId="77777777" w:rsidR="00A86132" w:rsidRPr="002F53F2" w:rsidRDefault="00A86132" w:rsidP="00A86132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en-US"/>
        </w:rPr>
      </w:pPr>
      <w:r>
        <w:rPr>
          <w:rFonts w:cs="Arial"/>
          <w:b/>
          <w:bCs/>
          <w:szCs w:val="20"/>
          <w:lang w:val="hu"/>
        </w:rPr>
        <w:t>Dorothee Brinkmann</w:t>
      </w:r>
      <w:r>
        <w:rPr>
          <w:rFonts w:cs="Arial"/>
          <w:b/>
          <w:bCs/>
          <w:color w:val="000000"/>
          <w:szCs w:val="20"/>
          <w:lang w:val="hu"/>
        </w:rPr>
        <w:t xml:space="preserve"> </w:t>
      </w:r>
      <w:r>
        <w:rPr>
          <w:rFonts w:cs="Arial"/>
          <w:b/>
          <w:bCs/>
          <w:color w:val="000000"/>
          <w:szCs w:val="20"/>
          <w:lang w:val="hu"/>
        </w:rPr>
        <w:tab/>
        <w:t>Jennifer Ott</w:t>
      </w:r>
    </w:p>
    <w:p w14:paraId="36427EE6" w14:textId="77777777" w:rsidR="00A86132" w:rsidRPr="002F53F2" w:rsidRDefault="00A86132" w:rsidP="00A86132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val="en-US"/>
        </w:rPr>
      </w:pPr>
      <w:r>
        <w:rPr>
          <w:rFonts w:cs="Arial"/>
          <w:szCs w:val="20"/>
          <w:lang w:val="hu"/>
        </w:rPr>
        <w:t>Tel:</w:t>
      </w:r>
      <w:r>
        <w:rPr>
          <w:rFonts w:cs="Arial"/>
          <w:szCs w:val="20"/>
          <w:lang w:val="hu"/>
        </w:rPr>
        <w:tab/>
        <w:t xml:space="preserve">+49 211 797 - 5299 </w:t>
      </w:r>
      <w:r>
        <w:rPr>
          <w:rFonts w:cs="Arial"/>
          <w:szCs w:val="20"/>
          <w:lang w:val="hu"/>
        </w:rPr>
        <w:tab/>
        <w:t>Tel:</w:t>
      </w:r>
      <w:r>
        <w:rPr>
          <w:rFonts w:cs="Arial"/>
          <w:szCs w:val="20"/>
          <w:lang w:val="hu"/>
        </w:rPr>
        <w:tab/>
        <w:t>+49 211 797 - 2756</w:t>
      </w:r>
    </w:p>
    <w:p w14:paraId="300B002B" w14:textId="77777777" w:rsidR="00A86132" w:rsidRPr="002F53F2" w:rsidRDefault="00A86132" w:rsidP="00A86132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val="en-US"/>
        </w:rPr>
      </w:pPr>
      <w:r>
        <w:rPr>
          <w:rFonts w:cs="Arial"/>
          <w:color w:val="000000"/>
          <w:szCs w:val="20"/>
          <w:lang w:val="hu"/>
        </w:rPr>
        <w:t xml:space="preserve">Email: </w:t>
      </w:r>
      <w:r>
        <w:rPr>
          <w:rFonts w:cs="Arial"/>
          <w:color w:val="000000"/>
          <w:szCs w:val="20"/>
          <w:lang w:val="hu"/>
        </w:rPr>
        <w:tab/>
      </w:r>
      <w:hyperlink r:id="rId13" w:history="1">
        <w:r>
          <w:rPr>
            <w:rStyle w:val="Hiperhivatkozs"/>
            <w:rFonts w:cs="Arial"/>
            <w:lang w:val="hu"/>
          </w:rPr>
          <w:t>dorothee.brinkmann@henkel.com</w:t>
        </w:r>
      </w:hyperlink>
      <w:r>
        <w:rPr>
          <w:rFonts w:cs="Arial"/>
          <w:szCs w:val="20"/>
          <w:lang w:val="hu"/>
        </w:rPr>
        <w:t xml:space="preserve"> </w:t>
      </w:r>
      <w:r>
        <w:rPr>
          <w:rFonts w:cs="Arial"/>
          <w:szCs w:val="20"/>
          <w:lang w:val="hu"/>
        </w:rPr>
        <w:tab/>
        <w:t>Email:</w:t>
      </w:r>
      <w:r>
        <w:rPr>
          <w:rFonts w:cs="Arial"/>
          <w:szCs w:val="20"/>
          <w:lang w:val="hu"/>
        </w:rPr>
        <w:tab/>
      </w:r>
      <w:hyperlink r:id="rId14" w:history="1">
        <w:r>
          <w:rPr>
            <w:rStyle w:val="Hiperhivatkozs"/>
            <w:rFonts w:cs="Arial"/>
            <w:szCs w:val="20"/>
            <w:lang w:val="hu"/>
          </w:rPr>
          <w:t>jennifer.ott@henkel.com</w:t>
        </w:r>
      </w:hyperlink>
    </w:p>
    <w:p w14:paraId="31123775" w14:textId="77777777" w:rsidR="00A86132" w:rsidRPr="002F53F2" w:rsidRDefault="00A86132" w:rsidP="00A8613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en-US"/>
        </w:rPr>
      </w:pPr>
    </w:p>
    <w:p w14:paraId="22E64212" w14:textId="77777777" w:rsidR="00A86132" w:rsidRPr="002F53F2" w:rsidRDefault="00CB13F9" w:rsidP="00A86132">
      <w:pPr>
        <w:autoSpaceDE w:val="0"/>
        <w:autoSpaceDN w:val="0"/>
        <w:rPr>
          <w:rFonts w:ascii="Calibri" w:hAnsi="Calibri" w:cs="Calibri"/>
          <w:sz w:val="22"/>
          <w:szCs w:val="22"/>
          <w:lang w:val="en-US"/>
        </w:rPr>
      </w:pPr>
      <w:hyperlink r:id="rId15" w:history="1">
        <w:r w:rsidR="00A86132">
          <w:rPr>
            <w:color w:val="0000FF"/>
            <w:u w:val="single"/>
            <w:lang w:val="hu"/>
          </w:rPr>
          <w:t>www.henkel.com/press</w:t>
        </w:r>
      </w:hyperlink>
    </w:p>
    <w:p w14:paraId="768179B6" w14:textId="77777777" w:rsidR="00A86132" w:rsidRDefault="00CB13F9" w:rsidP="00A86132">
      <w:pPr>
        <w:autoSpaceDE w:val="0"/>
        <w:autoSpaceDN w:val="0"/>
        <w:rPr>
          <w:color w:val="0000FF"/>
          <w:u w:val="single"/>
          <w:lang w:val="hu"/>
        </w:rPr>
      </w:pPr>
      <w:hyperlink r:id="rId16" w:history="1">
        <w:r w:rsidR="00A86132">
          <w:rPr>
            <w:color w:val="0000FF"/>
            <w:u w:val="single"/>
            <w:lang w:val="hu"/>
          </w:rPr>
          <w:t>www.henkel.com/ir</w:t>
        </w:r>
      </w:hyperlink>
    </w:p>
    <w:p w14:paraId="60273EC4" w14:textId="77777777" w:rsidR="00A86132" w:rsidRDefault="00A86132" w:rsidP="00A86132">
      <w:pPr>
        <w:autoSpaceDE w:val="0"/>
        <w:autoSpaceDN w:val="0"/>
        <w:rPr>
          <w:color w:val="0000FF"/>
          <w:u w:val="single"/>
          <w:lang w:val="hu"/>
        </w:rPr>
      </w:pPr>
    </w:p>
    <w:p w14:paraId="5C9FC496" w14:textId="77777777" w:rsidR="00A86132" w:rsidRDefault="00A86132" w:rsidP="00A86132">
      <w:pPr>
        <w:autoSpaceDE w:val="0"/>
        <w:autoSpaceDN w:val="0"/>
        <w:rPr>
          <w:color w:val="0000FF"/>
          <w:u w:val="single"/>
          <w:lang w:val="hu"/>
        </w:rPr>
      </w:pPr>
    </w:p>
    <w:p w14:paraId="78459118" w14:textId="77777777" w:rsidR="00A86132" w:rsidRPr="00A858AE" w:rsidRDefault="00A86132" w:rsidP="00A86132">
      <w:pPr>
        <w:spacing w:line="280" w:lineRule="exact"/>
        <w:rPr>
          <w:lang w:val="hu-HU" w:eastAsia="de-DE"/>
        </w:rPr>
      </w:pPr>
      <w:r w:rsidRPr="00A858AE">
        <w:rPr>
          <w:lang w:val="hu-HU" w:eastAsia="de-DE"/>
        </w:rPr>
        <w:t>Dispiter Dorottya</w:t>
      </w:r>
    </w:p>
    <w:p w14:paraId="1FDC476C" w14:textId="77777777" w:rsidR="00A86132" w:rsidRPr="00A858AE" w:rsidRDefault="00A86132" w:rsidP="00A86132">
      <w:pPr>
        <w:spacing w:line="280" w:lineRule="exact"/>
        <w:rPr>
          <w:rFonts w:cs="Arial"/>
          <w:lang w:val="hu-HU" w:eastAsia="de-DE"/>
        </w:rPr>
      </w:pPr>
      <w:r w:rsidRPr="00A858AE">
        <w:rPr>
          <w:rFonts w:cs="Arial"/>
          <w:lang w:val="hu-HU" w:eastAsia="de-DE"/>
        </w:rPr>
        <w:t>Tel.</w:t>
      </w:r>
      <w:r w:rsidRPr="00A858AE">
        <w:rPr>
          <w:rFonts w:cs="Arial"/>
          <w:lang w:val="hu-HU" w:eastAsia="de-DE"/>
        </w:rPr>
        <w:tab/>
        <w:t>(1) 372-55</w:t>
      </w:r>
      <w:r>
        <w:rPr>
          <w:rFonts w:cs="Arial"/>
          <w:lang w:val="hu-HU" w:eastAsia="de-DE"/>
        </w:rPr>
        <w:t>55</w:t>
      </w:r>
    </w:p>
    <w:p w14:paraId="60ACBDE5" w14:textId="77777777" w:rsidR="00A86132" w:rsidRPr="00A858AE" w:rsidRDefault="00A86132" w:rsidP="00A86132">
      <w:pPr>
        <w:spacing w:line="280" w:lineRule="exact"/>
        <w:rPr>
          <w:rFonts w:cs="Arial"/>
          <w:color w:val="000000"/>
          <w:lang w:val="hu-HU" w:eastAsia="de-DE"/>
        </w:rPr>
      </w:pPr>
      <w:r w:rsidRPr="00A858AE">
        <w:rPr>
          <w:rFonts w:cs="Arial"/>
          <w:color w:val="000000"/>
          <w:lang w:val="hu-HU" w:eastAsia="de-DE"/>
        </w:rPr>
        <w:t xml:space="preserve">Email: </w:t>
      </w:r>
      <w:hyperlink r:id="rId17" w:history="1">
        <w:r w:rsidRPr="00A858AE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14:paraId="5DFDD4DA" w14:textId="77777777" w:rsidR="00A86132" w:rsidRPr="00A858AE" w:rsidRDefault="00A86132" w:rsidP="00A8613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A858AE">
        <w:rPr>
          <w:rFonts w:cs="Arial"/>
          <w:szCs w:val="20"/>
          <w:lang w:val="hu-HU"/>
        </w:rPr>
        <w:t>Henkel Magyarország Kft.</w:t>
      </w:r>
    </w:p>
    <w:p w14:paraId="67007E0D" w14:textId="3A82D2C7" w:rsidR="003C6A25" w:rsidRPr="00A858AE" w:rsidRDefault="00A86132" w:rsidP="00A86132">
      <w:pPr>
        <w:pStyle w:val="lfej"/>
        <w:jc w:val="both"/>
        <w:rPr>
          <w:lang w:val="hu-HU"/>
        </w:rPr>
      </w:pPr>
      <w:r w:rsidRPr="00A858AE">
        <w:rPr>
          <w:rFonts w:cs="Arial"/>
          <w:szCs w:val="20"/>
          <w:lang w:val="hu-HU"/>
        </w:rPr>
        <w:t>Vállalati kommunikáció</w:t>
      </w:r>
    </w:p>
    <w:sectPr w:rsidR="003C6A25" w:rsidRPr="00A858AE" w:rsidSect="00782139"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49CA5" w14:textId="77777777" w:rsidR="00CB13F9" w:rsidRDefault="00CB13F9">
      <w:r>
        <w:separator/>
      </w:r>
    </w:p>
  </w:endnote>
  <w:endnote w:type="continuationSeparator" w:id="0">
    <w:p w14:paraId="7914B6B1" w14:textId="77777777" w:rsidR="00CB13F9" w:rsidRDefault="00CB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A8AF2" w14:textId="77777777"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36554D">
      <w:rPr>
        <w:color w:val="auto"/>
        <w:lang w:val="en-US"/>
      </w:rPr>
      <w:t>Henkel AG &amp; Co. KGaA  / Henkel Magyarország Kft. Vállalati kommunikáció</w:t>
    </w:r>
    <w:r w:rsidR="00CF6F33" w:rsidRPr="00B80304">
      <w:rPr>
        <w:color w:val="auto"/>
      </w:rPr>
      <w:tab/>
    </w:r>
    <w:r w:rsidR="00B80304" w:rsidRPr="00B80304">
      <w:rPr>
        <w:b w:val="0"/>
        <w:color w:val="auto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CC343" w14:textId="77777777" w:rsidR="00A86132" w:rsidRPr="001F504A" w:rsidRDefault="00A86132" w:rsidP="00A86132">
    <w:pPr>
      <w:spacing w:line="276" w:lineRule="auto"/>
      <w:jc w:val="both"/>
      <w:rPr>
        <w:sz w:val="16"/>
        <w:szCs w:val="16"/>
      </w:rPr>
    </w:pPr>
    <w:r>
      <w:rPr>
        <w:sz w:val="16"/>
        <w:szCs w:val="16"/>
        <w:lang w:val="hu"/>
      </w:rPr>
      <w:t>* Egyszeri költségekkel/nyereségekkel és átszervezési költségekkel kiigazítva.</w:t>
    </w:r>
  </w:p>
  <w:p w14:paraId="245BA707" w14:textId="77777777" w:rsidR="00A86132" w:rsidRPr="001F504A" w:rsidRDefault="00A86132" w:rsidP="00A86132">
    <w:pPr>
      <w:spacing w:line="276" w:lineRule="auto"/>
      <w:jc w:val="both"/>
      <w:rPr>
        <w:sz w:val="16"/>
        <w:szCs w:val="16"/>
      </w:rPr>
    </w:pPr>
    <w:r>
      <w:rPr>
        <w:sz w:val="16"/>
        <w:szCs w:val="16"/>
        <w:lang w:val="hu"/>
      </w:rPr>
      <w:t>** Javaslat a részvényeseknek a 2020. április 20-án megtartandó éves közgyűlésre</w:t>
    </w:r>
  </w:p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7777777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4D268" w14:textId="77777777" w:rsidR="00CB13F9" w:rsidRDefault="00CB13F9">
      <w:r>
        <w:separator/>
      </w:r>
    </w:p>
  </w:footnote>
  <w:footnote w:type="continuationSeparator" w:id="0">
    <w:p w14:paraId="1A476A87" w14:textId="77777777" w:rsidR="00CB13F9" w:rsidRDefault="00CB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4B1FFE35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4BE5386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681C42" wp14:editId="2610E4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15BC1"/>
    <w:rsid w:val="00021C67"/>
    <w:rsid w:val="000244BF"/>
    <w:rsid w:val="00030557"/>
    <w:rsid w:val="00030F51"/>
    <w:rsid w:val="000360E3"/>
    <w:rsid w:val="00054EA1"/>
    <w:rsid w:val="000575F9"/>
    <w:rsid w:val="000618FC"/>
    <w:rsid w:val="000732FB"/>
    <w:rsid w:val="00077DAF"/>
    <w:rsid w:val="00080A02"/>
    <w:rsid w:val="00080D10"/>
    <w:rsid w:val="0008241F"/>
    <w:rsid w:val="000C56DD"/>
    <w:rsid w:val="000D1672"/>
    <w:rsid w:val="000E3034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41D9E"/>
    <w:rsid w:val="001443BD"/>
    <w:rsid w:val="00146346"/>
    <w:rsid w:val="00151B0C"/>
    <w:rsid w:val="001B0474"/>
    <w:rsid w:val="001C0B32"/>
    <w:rsid w:val="001C4BE1"/>
    <w:rsid w:val="001D398E"/>
    <w:rsid w:val="001E0F71"/>
    <w:rsid w:val="001E6D05"/>
    <w:rsid w:val="001E7C28"/>
    <w:rsid w:val="001F1BDF"/>
    <w:rsid w:val="001F7110"/>
    <w:rsid w:val="001F7E96"/>
    <w:rsid w:val="00212488"/>
    <w:rsid w:val="00220628"/>
    <w:rsid w:val="00225227"/>
    <w:rsid w:val="00237F62"/>
    <w:rsid w:val="0024586A"/>
    <w:rsid w:val="00253042"/>
    <w:rsid w:val="00262C05"/>
    <w:rsid w:val="00270F6D"/>
    <w:rsid w:val="00285B75"/>
    <w:rsid w:val="0029735B"/>
    <w:rsid w:val="002A0DF7"/>
    <w:rsid w:val="002A45C8"/>
    <w:rsid w:val="002A60E0"/>
    <w:rsid w:val="002A6AB9"/>
    <w:rsid w:val="002B6C10"/>
    <w:rsid w:val="002C252E"/>
    <w:rsid w:val="002C6773"/>
    <w:rsid w:val="002E0B17"/>
    <w:rsid w:val="002E272F"/>
    <w:rsid w:val="002E7DED"/>
    <w:rsid w:val="002F7E11"/>
    <w:rsid w:val="00304087"/>
    <w:rsid w:val="00310ACD"/>
    <w:rsid w:val="0031379F"/>
    <w:rsid w:val="00320A26"/>
    <w:rsid w:val="00321344"/>
    <w:rsid w:val="00326717"/>
    <w:rsid w:val="0034015C"/>
    <w:rsid w:val="00340508"/>
    <w:rsid w:val="00341FA4"/>
    <w:rsid w:val="00353705"/>
    <w:rsid w:val="003562E8"/>
    <w:rsid w:val="0036357D"/>
    <w:rsid w:val="0036554D"/>
    <w:rsid w:val="00367AA1"/>
    <w:rsid w:val="00367F22"/>
    <w:rsid w:val="00372E36"/>
    <w:rsid w:val="00377CBB"/>
    <w:rsid w:val="003877B6"/>
    <w:rsid w:val="00393887"/>
    <w:rsid w:val="00394C6B"/>
    <w:rsid w:val="003B1069"/>
    <w:rsid w:val="003B390A"/>
    <w:rsid w:val="003C15DE"/>
    <w:rsid w:val="003C38EC"/>
    <w:rsid w:val="003C4EB2"/>
    <w:rsid w:val="003C6A25"/>
    <w:rsid w:val="003E4234"/>
    <w:rsid w:val="003F1AF3"/>
    <w:rsid w:val="003F4D8D"/>
    <w:rsid w:val="0040489E"/>
    <w:rsid w:val="00406921"/>
    <w:rsid w:val="0040727E"/>
    <w:rsid w:val="00417A82"/>
    <w:rsid w:val="004313E7"/>
    <w:rsid w:val="0044763B"/>
    <w:rsid w:val="004629B3"/>
    <w:rsid w:val="0046376E"/>
    <w:rsid w:val="0046690F"/>
    <w:rsid w:val="00477B58"/>
    <w:rsid w:val="00483BD6"/>
    <w:rsid w:val="00490A03"/>
    <w:rsid w:val="00494DBE"/>
    <w:rsid w:val="00495CE6"/>
    <w:rsid w:val="004A323C"/>
    <w:rsid w:val="004A3D35"/>
    <w:rsid w:val="004A791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1106A"/>
    <w:rsid w:val="005150EB"/>
    <w:rsid w:val="0052212B"/>
    <w:rsid w:val="00534B46"/>
    <w:rsid w:val="00540358"/>
    <w:rsid w:val="005446C0"/>
    <w:rsid w:val="00547E79"/>
    <w:rsid w:val="00553455"/>
    <w:rsid w:val="00555A2F"/>
    <w:rsid w:val="00556F67"/>
    <w:rsid w:val="005751AA"/>
    <w:rsid w:val="005765B2"/>
    <w:rsid w:val="00585CDE"/>
    <w:rsid w:val="00586CAF"/>
    <w:rsid w:val="00591180"/>
    <w:rsid w:val="00597D07"/>
    <w:rsid w:val="005C2F36"/>
    <w:rsid w:val="005C7112"/>
    <w:rsid w:val="005D0561"/>
    <w:rsid w:val="005D0AD9"/>
    <w:rsid w:val="005D22F6"/>
    <w:rsid w:val="005E0C30"/>
    <w:rsid w:val="005E69D9"/>
    <w:rsid w:val="005F25AF"/>
    <w:rsid w:val="005F27F4"/>
    <w:rsid w:val="005F3239"/>
    <w:rsid w:val="005F58CE"/>
    <w:rsid w:val="00602C7F"/>
    <w:rsid w:val="00607256"/>
    <w:rsid w:val="006144B1"/>
    <w:rsid w:val="00617ECF"/>
    <w:rsid w:val="006335F1"/>
    <w:rsid w:val="006345B6"/>
    <w:rsid w:val="00635712"/>
    <w:rsid w:val="00636D3E"/>
    <w:rsid w:val="00652229"/>
    <w:rsid w:val="00652793"/>
    <w:rsid w:val="006610A4"/>
    <w:rsid w:val="006626CA"/>
    <w:rsid w:val="00663487"/>
    <w:rsid w:val="00670A2E"/>
    <w:rsid w:val="00672382"/>
    <w:rsid w:val="006861DB"/>
    <w:rsid w:val="00690B19"/>
    <w:rsid w:val="006A3639"/>
    <w:rsid w:val="006A4D1B"/>
    <w:rsid w:val="006B499F"/>
    <w:rsid w:val="006C52CD"/>
    <w:rsid w:val="006D343E"/>
    <w:rsid w:val="006D4996"/>
    <w:rsid w:val="006D54AB"/>
    <w:rsid w:val="006E21FF"/>
    <w:rsid w:val="006E3ED2"/>
    <w:rsid w:val="006E5032"/>
    <w:rsid w:val="006F5AA4"/>
    <w:rsid w:val="006F670F"/>
    <w:rsid w:val="00703272"/>
    <w:rsid w:val="007058BD"/>
    <w:rsid w:val="007065F8"/>
    <w:rsid w:val="0070733C"/>
    <w:rsid w:val="00710C5D"/>
    <w:rsid w:val="0071348C"/>
    <w:rsid w:val="00717273"/>
    <w:rsid w:val="00720FD4"/>
    <w:rsid w:val="0073096C"/>
    <w:rsid w:val="00742398"/>
    <w:rsid w:val="007507B5"/>
    <w:rsid w:val="00753A24"/>
    <w:rsid w:val="00772188"/>
    <w:rsid w:val="00774B6F"/>
    <w:rsid w:val="00780C94"/>
    <w:rsid w:val="00781D40"/>
    <w:rsid w:val="00782139"/>
    <w:rsid w:val="00786BA3"/>
    <w:rsid w:val="007965DD"/>
    <w:rsid w:val="007A1667"/>
    <w:rsid w:val="007A1BBD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B1E"/>
    <w:rsid w:val="007F62B4"/>
    <w:rsid w:val="007F7399"/>
    <w:rsid w:val="008010A9"/>
    <w:rsid w:val="00801517"/>
    <w:rsid w:val="008167D3"/>
    <w:rsid w:val="00817DE8"/>
    <w:rsid w:val="008229F5"/>
    <w:rsid w:val="00833090"/>
    <w:rsid w:val="00833CEB"/>
    <w:rsid w:val="008372D2"/>
    <w:rsid w:val="008430B6"/>
    <w:rsid w:val="00844C17"/>
    <w:rsid w:val="00847726"/>
    <w:rsid w:val="00852511"/>
    <w:rsid w:val="008614F1"/>
    <w:rsid w:val="008639B3"/>
    <w:rsid w:val="00863C1A"/>
    <w:rsid w:val="0087142D"/>
    <w:rsid w:val="00873956"/>
    <w:rsid w:val="00874104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C445C"/>
    <w:rsid w:val="008C5796"/>
    <w:rsid w:val="008D294B"/>
    <w:rsid w:val="008D76C5"/>
    <w:rsid w:val="008E0AFA"/>
    <w:rsid w:val="008E75D3"/>
    <w:rsid w:val="008F125E"/>
    <w:rsid w:val="008F4D2F"/>
    <w:rsid w:val="009026EC"/>
    <w:rsid w:val="009042F7"/>
    <w:rsid w:val="00911B05"/>
    <w:rsid w:val="00917162"/>
    <w:rsid w:val="009251CC"/>
    <w:rsid w:val="0092714E"/>
    <w:rsid w:val="009318D6"/>
    <w:rsid w:val="00942002"/>
    <w:rsid w:val="00947885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D35"/>
    <w:rsid w:val="009E0864"/>
    <w:rsid w:val="009E211D"/>
    <w:rsid w:val="009E5EB4"/>
    <w:rsid w:val="009F6026"/>
    <w:rsid w:val="00A044D6"/>
    <w:rsid w:val="00A04ADB"/>
    <w:rsid w:val="00A11E0F"/>
    <w:rsid w:val="00A17EB3"/>
    <w:rsid w:val="00A244C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721AE"/>
    <w:rsid w:val="00A86132"/>
    <w:rsid w:val="00A91A70"/>
    <w:rsid w:val="00A973C3"/>
    <w:rsid w:val="00AA1B85"/>
    <w:rsid w:val="00AB1CB6"/>
    <w:rsid w:val="00AB1D9A"/>
    <w:rsid w:val="00AB733B"/>
    <w:rsid w:val="00AC1852"/>
    <w:rsid w:val="00AC7550"/>
    <w:rsid w:val="00AD44FE"/>
    <w:rsid w:val="00AE49F1"/>
    <w:rsid w:val="00AE76BB"/>
    <w:rsid w:val="00B04496"/>
    <w:rsid w:val="00B05CCA"/>
    <w:rsid w:val="00B14271"/>
    <w:rsid w:val="00B2685D"/>
    <w:rsid w:val="00B30351"/>
    <w:rsid w:val="00B33C2A"/>
    <w:rsid w:val="00B422EC"/>
    <w:rsid w:val="00B60007"/>
    <w:rsid w:val="00B80304"/>
    <w:rsid w:val="00B86A4F"/>
    <w:rsid w:val="00B958E8"/>
    <w:rsid w:val="00BA09B2"/>
    <w:rsid w:val="00BA51DB"/>
    <w:rsid w:val="00BC0995"/>
    <w:rsid w:val="00BE793A"/>
    <w:rsid w:val="00BF432A"/>
    <w:rsid w:val="00BF6E82"/>
    <w:rsid w:val="00C0159B"/>
    <w:rsid w:val="00C04A99"/>
    <w:rsid w:val="00C24C17"/>
    <w:rsid w:val="00C24C2F"/>
    <w:rsid w:val="00C40B88"/>
    <w:rsid w:val="00C47D87"/>
    <w:rsid w:val="00C5376E"/>
    <w:rsid w:val="00C60BCE"/>
    <w:rsid w:val="00C76F73"/>
    <w:rsid w:val="00C83A21"/>
    <w:rsid w:val="00C97091"/>
    <w:rsid w:val="00CA2001"/>
    <w:rsid w:val="00CB13F9"/>
    <w:rsid w:val="00CB5B6C"/>
    <w:rsid w:val="00CC7B25"/>
    <w:rsid w:val="00CD4616"/>
    <w:rsid w:val="00CD6FA4"/>
    <w:rsid w:val="00CE272F"/>
    <w:rsid w:val="00CE33D5"/>
    <w:rsid w:val="00CF5D37"/>
    <w:rsid w:val="00CF6F33"/>
    <w:rsid w:val="00D02248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5442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1ED9"/>
    <w:rsid w:val="00DC366F"/>
    <w:rsid w:val="00DD512E"/>
    <w:rsid w:val="00DE1177"/>
    <w:rsid w:val="00DE2CEA"/>
    <w:rsid w:val="00DE6A3C"/>
    <w:rsid w:val="00DE7F97"/>
    <w:rsid w:val="00DF1010"/>
    <w:rsid w:val="00DF29E1"/>
    <w:rsid w:val="00DF49A7"/>
    <w:rsid w:val="00DF5AEA"/>
    <w:rsid w:val="00DF63F6"/>
    <w:rsid w:val="00E0140F"/>
    <w:rsid w:val="00E13747"/>
    <w:rsid w:val="00E25AEA"/>
    <w:rsid w:val="00E30DEF"/>
    <w:rsid w:val="00E30ED2"/>
    <w:rsid w:val="00E329B5"/>
    <w:rsid w:val="00E37F70"/>
    <w:rsid w:val="00E446C1"/>
    <w:rsid w:val="00E61CB9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7D05"/>
    <w:rsid w:val="00EC142D"/>
    <w:rsid w:val="00ED2B5C"/>
    <w:rsid w:val="00EE2F8E"/>
    <w:rsid w:val="00EF15FF"/>
    <w:rsid w:val="00EF7111"/>
    <w:rsid w:val="00EF7AD1"/>
    <w:rsid w:val="00EF7D1A"/>
    <w:rsid w:val="00F0448F"/>
    <w:rsid w:val="00F142F3"/>
    <w:rsid w:val="00F238D4"/>
    <w:rsid w:val="00F275C0"/>
    <w:rsid w:val="00F36145"/>
    <w:rsid w:val="00F37BDD"/>
    <w:rsid w:val="00F41503"/>
    <w:rsid w:val="00F466C8"/>
    <w:rsid w:val="00F50B46"/>
    <w:rsid w:val="00F52372"/>
    <w:rsid w:val="00F6288A"/>
    <w:rsid w:val="00F629FF"/>
    <w:rsid w:val="00F63D03"/>
    <w:rsid w:val="00F65E2F"/>
    <w:rsid w:val="00F67DF1"/>
    <w:rsid w:val="00F76D8D"/>
    <w:rsid w:val="00F8309B"/>
    <w:rsid w:val="00F833C9"/>
    <w:rsid w:val="00F90064"/>
    <w:rsid w:val="00F96AFD"/>
    <w:rsid w:val="00FA2E19"/>
    <w:rsid w:val="00FB610D"/>
    <w:rsid w:val="00FD4CCA"/>
    <w:rsid w:val="00FE2A9E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kel.com/press" TargetMode="External"/><Relationship Id="rId13" Type="http://schemas.openxmlformats.org/officeDocument/2006/relationships/hyperlink" Target="mailto:dorothee.brinkmann@henke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mona.niermann@henkel.com" TargetMode="External"/><Relationship Id="rId17" Type="http://schemas.openxmlformats.org/officeDocument/2006/relationships/hyperlink" Target="mailto:vallalati.kommunikacio@henke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enkel.de/i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rs.witteck@henke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nkel.de/press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ars.korinth@henke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enkel.com" TargetMode="External"/><Relationship Id="rId14" Type="http://schemas.openxmlformats.org/officeDocument/2006/relationships/hyperlink" Target="mailto:jennifer.ott@henkel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3303-B6CE-4A79-BE83-BEA4F975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6</Pages>
  <Words>1690</Words>
  <Characters>11666</Characters>
  <Application>Microsoft Office Word</Application>
  <DocSecurity>0</DocSecurity>
  <Lines>97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13330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6</cp:revision>
  <cp:lastPrinted>2016-11-16T08:11:00Z</cp:lastPrinted>
  <dcterms:created xsi:type="dcterms:W3CDTF">2020-03-05T15:53:00Z</dcterms:created>
  <dcterms:modified xsi:type="dcterms:W3CDTF">2020-03-05T16:45:00Z</dcterms:modified>
</cp:coreProperties>
</file>