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Вплив уповільнення темпів економічного розвитку та збільшення обсягу інвестицій на показники діяльності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Компанія «Хенкель» повідомляє низку показників діяльності за 2019 рік і надає прогноз на 2020-й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-109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Результати діяльності за 2019 рік, на яких позначилося уповільнення темпів економічного зростання та збільшення обсягу інвестицій у  сегмент споживчих продуктів та у прискорення переходу до цифрових технологій на всіх рівнях компанії: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-10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показник обсягу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продажів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збільшився на 1,1% і становить 20114 млн євро, органічне зростання обсягу збуту є стабільним;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-10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скоригована* рентабельність обороту (EBIT) становила 16,0% (-1,6 процентного пункту);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-10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скоригований* прибуток на привілейовану акцію (EPS) становить 5,43 євро, номінальна вартість зменшилася на 9,7% при постійному обмінному курсі -10,1%;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-10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потік вільних грошових коштів – 2471 мільйон євро (+554 мільйони євро);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-10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дивіденди** на рівні попереднього року – 1,85 євро на привілейовану акцію.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-109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Прогноз на 2020 рік: подальше збільшення обсягу інвестицій в умовах невизначеності промислового ринку: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-10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зростання обсягу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продажів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органічному вираженні – 0–2%;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-10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скоригована* рентабельність обороту (EBIT) – близько 15%;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644" w:right="-10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скоригований* прибуток на привілейовану акцію (EPS) – зменшення середніх і високих значень в інтервалі до 10 відсотків за умови стабільних обмінних курсів.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 2019 році показники нашої діяльності були в цілому неоднозначними. На показниках діяльності нашого бізнес-підрозділу «Клейові технології» позначилося помітне зниження ділової активності у ключових сегментах споживчого ринку, зокрема у сегменті «Загальна промисловість» та «Електроніка». Водночас у сегменті споживчих продуктів за напрямами «Засоби для прання та догляду за оселею» і «Косметичні засоби» ми відчули активну конкуренцію на багатьох ринках», – зазначив голова правління Ради директорів «Хенкель» Карстен Кнобель (Carsten Knobel).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2179320</wp:posOffset>
                </wp:positionV>
                <wp:extent cx="5721985" cy="39243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9770" y="3588548"/>
                          <a:ext cx="571246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*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16"/>
                                <w:highlight w:val="white"/>
                                <w:vertAlign w:val="baseline"/>
                              </w:rPr>
                              <w:t xml:space="preserve">З коригуванням для врахування разових доходів, разових видатків і витрат на реструктуризацію</w:t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28"/>
                                <w:highlight w:val="white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22222"/>
                                <w:sz w:val="16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**Буде запропоновано акціонерам під час Річних загальних зборів 20 квітня 2020 р.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2179320</wp:posOffset>
                </wp:positionV>
                <wp:extent cx="5721985" cy="392430"/>
                <wp:effectExtent b="0" l="0" r="0" t="0"/>
                <wp:wrapSquare wrapText="bothSides" distB="45720" distT="45720" distL="114300" distR="114300"/>
                <wp:docPr id="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985" cy="392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«На початку 2019 року ми оголосили про наш план збільшення інвестицій у зростання приблизно на 300 мільйонів євро щороку, починаючи з 2019 р. і надалі, з метою зміцнення наших брендів, технологій та інноваційних рішень, а також прискорення переходу до цифрових технологій у компанії «Хенкель», – додав Карстен Кнобель. Протягом року поступово нарощували темпи збільшення обсягу інвестицій, проте додаткове фінансування не було використано в повному обсязі. Скорочення обсягів збуту та збільшення інвестицій у розвиток позначилися на прибутку та рентабельності обороту (EBIT) у 2019 р. «Завдяки тому, що компанія незмінно приділяє особливу увагу управлінню витратами, прагне до підвищення продуктивності технологічних процесів і здійснює адаптування власних організаційних структур, ми спромоглися частково послабити відповідні наслідки», – повідомив Карстен Кнобель. «Ми також, як і раніше, здійснюватимемо інвестиції у розширення та модернізацію виробничих об’єктів і центрів розроблення інноваційних рішень. До того ж ми зміцнили наші різні бізнес-напрями за рахунок цільового придбання компаній і встановлення партнерських відносин на загальну суму майже 600 мільйонів євро».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«Проте ми не задоволені досягнутими результатами. Перед компанією «Хенкель» стояли більш амбітні цілі, тому ми вживатимемо рішучих заходів для того, щоб в повному обсязі використати наш потенціал зростання та покращення фінансових показників у майбутньому», – заявив Кнобель, підбиваючи підсумки розвитку діяльності компанії у 2019 році.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Прогноз на 2020 рік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Сьогодні компанія «Хенкель» опублікувала свій прогноз на весь фінансовий 2020 рік відповідно до прогнозу, анонсованого у грудні 2019 року. У 2020 році «Хенкель» очікує зростання обсягу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продажів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органічному вираженні на 0–2 відсотки. Компанія передбачає, що показники її прибутку в 2020 році зазнають негативного впливу, беручи до уваги невизначеність на ринках промислового виробництва та щорічне збільшення обсягу інвестицій у маркетингові й рекламні заходи, а також у прискорене впровадження компанією цифрових та інформаційних технологій з метою стабільного зміцнення ділової діяльності. Передбачається, що скоригована рентабельність обороту (EBIT) досягне близько 15 відсотків. Щодо скоригованого прибутку на привілейовану акцію (EPS) компанія очікує зменшення середніх і високих значень в інтервалі до 10 відсотків за умови стабільних обмінних курсів.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Показники збуту та прибутків у фінансовому 2019 році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Обсяг збуту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в 2019 фінансовому році виріс на 1,1 відсотка у номінальному вираженні і сягнув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мільйонів євро.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Зміни обмінних курсів валют мали позитивний вплив на обсяг збуту на рівні 0,6 відсотка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 урахуванням впливу змін обмінних курсів валют обсяг збуту збільшився на 0,5 відсотка.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Внесок за статтями придбання/вибуття активів – 0,5 відсотка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Обсяг продажу в органічному вираженні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, в якому не враховується вплив змін обмінних курсів валют і статті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придбання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/вибуття активів, залишався на рівні 0,0 відсотка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Бізнес-підрозділ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«Клейові технології»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зафіксував зміну обсягу збуту в органічному вираженні на рівні -1,5 відсотка. У бізнес-підрозділі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«Косметичні  засоби»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обсяг збуту в органічному вираженні становив -2,1 відсотка, якщо порівняти з показником попереднього року. Бізнес-підрозділ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«Засоби для прання та догляду за оселею»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  досяг зростання показника обсягу збуту в органічному вираженні на рівні 3,7 відсотка.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На ринках 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країн, що розвиваються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 досягнуто зростання обсягу збуту в органічному вираженні на рівні 2,5 відсотка.  Саме ці ринки стали основними у забезпеченні зростання обсягу збуту в органічному вираженні. На ринках у 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розвинених країнах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зафіксовано негативну зміну обсягу збуту в органічному вираженні на рівні -1,6 відсотка.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Обсяг збуту в країнах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Західної Європи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зазнав негативної зміни в органічному вираженні на -1,2 відсотка порівняно з попереднім роком. У країнах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Східної Європи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досягнуто зростання обсягу збуту в органічному вираженні на рівні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6,5 відсотка. У країнах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Африки та Близького Сходу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зростання обсягу збуту в органічному вираженні становило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13,3 відсотка. У країнах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Північної Америки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зафіксовано негативну зміну обсягу збуту в органічному вираженні на рівні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2,3 відсотка. У країнах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Латинської Америки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обсяг збуту в органічному вираженні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збільшився на 4,9 відсотка. У країнах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Азійсько-Тихоокеанського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регіону обсяг збуту в органічному вираженні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зменшився на -6,5 відсотка.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Скоригований операційний прибуток (EBIT)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зменшився на -7,9 відсотка – 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мільйонів євро в попередньому році 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мільйонів євро.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Показник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скоригованої рентабельності обороту (EBIT)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опустився на 1,6 відсоткового пункту, якщо порівнювати з показником минулого року, який становив 16,0 відсотків. Прибутковість Групи зазнала негативного впливу внаслідок збільшення обсягу інвестицій у зміцнення брендів, технологій, інноваційних рішень, а також у прискорення переходу до цифрових технологій, про які було оголошено на початку 2019 року. Проте це додаткове фінансування не було використано в повному обсязі. Загалом у 2019 році витратили  приблизно 50 відсотків запланованої суми (300 мільйонів євро).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Фінансовий результат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компанії знизився з -65 мільйонів євро у 2018 році </w:t>
        <w:br w:type="textWrapping"/>
        <w:t xml:space="preserve">до -88 мільйонів євро у звітному році. Це було зумовлено, в основному, витратами на виплату відсотків за орендними зобов’язаннями після першого застосування стандарту IFRS 16.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Скоригований чистий прибуток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після вирахування частки міноритарних акціонерів – 2353 мільйони євро(у 2018 фінансовому році – 2603 мільйони євро).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Скоригований прибуток на привілейовану акцію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(EPS)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зменшився на -9,7 відсотка – з 6,01 євро у 2018 фінансовому році до 5,43 євро. За умови відсутності коливань обмінних курсів валют зменшення скоригованого прибутку на привілейовану акцію (EPS) становило -10,1 відсотка.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Правління компанії, Наглядова рада та Комітет акціонерів мають намір 20 квітня 2020 року під час річних загальних зборів компанії внести пропозицію щодо такого самого розміру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дивідендів, що й минулого року: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рівні 1,85 євро за привілейовану акцію та 1,83 за звичайну акцію. При цьому відповідний коефіцієнт виплати дивідендів становитиме 34,2 відсотка, тобто на 3,3 відсоткового пункту вище, ніж у попередньому році, і перебуватиме в запланованому інтервалі від 30 до 40 відсотків.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Співвідношення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чистого оборотного капіталу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й обсягу збуту покращилося на -1,2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відсоткового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пункту  – до рівня 3,9 відсотка.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Обсяг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вільних грошових коштів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сягнув нової високої позначки на рівні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мільйон євро (показник попереднього року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мільйонів євро).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Чиста фінансова позиція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компанії поліпшилася і на кінець року становила -2045 мільйонів євро (станом на 31 грудня 2018 року – 2895 мільйонів євро).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Показники діяльності бізнес-підрозділів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Бізнес-підрозділ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«Клейові технології»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забезпечив у 2019 фінансовому році зростання обсягу збуту в номінальному вираженні на 0,6 відсотка – до 9461 мільйона євро.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Через складну ситуацію в промислових галузях, що характеризується послабленням виробництва в автомобільній та електронній промисловості, в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органічному вираженні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зміна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обсягу збуту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становила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1,5 відсотка.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Скоригований операційний прибуток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продемонстрував зменшення порівняно з попереднім роком на -2,8 відсотка і сягнув 1712 мільйонів євро. Показник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скоригованої рентабельності обороту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становив 18,1 відсотка (попередній рік – 18,7 відсотка).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2019 році зміна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обсягу збуту в органічному вираженні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у бізнес-підрозділі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«Косметичні  засоби»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була негативною –  -2,1 відсотка. У номінальному вираженні зміна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обсягу збуту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становила -1,8 відсотка порівняно з попереднім роком, він сягнув 3877 мільйонів євро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Скоригований операційний прибуток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– 519 мільйонів євро, його зміна становила -23,1 відсотка порівняно з попереднім роком. Показник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скоригованої рентабельності обороту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порівняно з попереднім роком знизився до 13,4 відсотка (попередній рік – 17,1 відсотка) здебільшого внаслідок зменшення валового прибутку та збільшення обсягу інвестицій у зміцнення брендів, технологій та інноваційних рішень, а також у прискорення переходу до цифрових технологій.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2019 фінансовому році бізнес-підрозділ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«Засоби для прання та догляду за оселею»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продемонстрував потужне зростання обсягу збуту розміром 3,7 відсотка. Обсяг збуту в номінальному вираженні збільшився на 3,7 відсотка – до 6656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мільйонів євро.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Скоригований операційний прибуток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 який становив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мільйонів євро, виявився на -5,7 відсотка нижчим порівняно з попереднім роком. Показник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скоригованої рентабельності обороту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знизився на -1,6 відсоткового  пункту – до 16,5 відсотка,  в основному внаслідок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збільшення обсягу інвестицій у зміцнення брендів, технологій та інноваційних рішень, а також у прискорення переходу до цифрових технологій.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Нова стратегічна програма: переможні здобутки у 2020 році на засадах цілеспрямованого зростання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«На перспективу ми визначили нову стратегічну програму цілеспрямованого розвитку, яка забезпечить компанії «Хенкель» успішний розвиток у майбутньому. Ключові елементи цієї програми ґрунтуються на міцному фундаменті наших здобутків і визначаються нашою спільною метою, тобто створенням цінності згідно з принципами сталого розвитку. Це привабливий портфель продуктів, конкурентні переваги в галузі втілення інноваційних рішень, дотримання принципів ста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йкого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розвитку та прискорення переходу до цифрових технологій, а також перспективні моделі здійснення діяльності, основою яких є міцна корпоративна культура та вмотивований персонал», – наголосив Карстен Кнобель.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Детальна інформація про нову стратегічну програму буде надана о 9:30 за середньоєвропейським часом на сайті: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1"/>
      <w:bookmarkEnd w:id="1"/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https://www.henkel.com/press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 компанію «Хенкель»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Компанія «Хенкель» здійснює свою діяльність у світовому масштабі та має збалансований і диверсифікований портфель продукції. Силами трьох своїх бізнес-підрозділів компанія утримує провідні позиції у сегментах промислових і споживчих продуктів завдяки своїм потужним брендам, інноваційному підходу та застосуванню передових технологій. Бізнес-підрозділ «Клейові технології» компанії «Хенкель» є світовим лідером на ринку клейових матеріалів  у всіх сегментах продуктів для промисловості на глобальному рівні. Бізнес-підрозділи «Засоби для прання та догляду за оселею» і «Косметичні засоби» компанії «Хенкель» утримують провідні позиції на багатьох ринках світу й у численних категоріях продукції. Компанія «Хенкель», заснована у 1876 році, має історію успіху, що триває понад 140 років. У 2019 році обсяг продажу компанії становив понад 20 мільярдів євро, а скоригований операційний прибуток – більш як  3,2 мільярда євро. Чисельність працівників компанії «Хенкель» становить понад 52 000 осіб у всьому світі. Це віддана та різноманітна команда ентузіастів, яких об’єднує спільна корпоративна культура та спільна мета – створення цінності з дотриманням принципів сталого розвитку, а також спільні ідеї. Компанія «Хенкель» є визнаним лідером у сфері сталого розвитку, вона посідає провідні позиції у багатьох міжнародних індексах і рейтингах. Привілейовані акції компанії «Хенкель» внесені до переліку, що охоплюється фондовим індексом Німеччини DAX. Більш детальна інформація міститься на сайті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www.henkel.com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4"/>
          <w:szCs w:val="14"/>
          <w:u w:val="none"/>
          <w:shd w:fill="auto" w:val="clear"/>
          <w:vertAlign w:val="baseline"/>
          <w:rtl w:val="0"/>
        </w:rPr>
        <w:t xml:space="preserve">Ця інформація містить прогнозні заяви, які будуються на основі поточних оцінок і припущень, що зроблені керівництвом «Хенкель АГ &amp; Ко. КГаА». Заяви стосовно перспективи характеризуються використанням таких слів, як «очікувати», «мати намір», «планувати», «передбачати», «вважати», «оцінювати» та подібних. Ці заяви в жодному разі не слід розуміти як такі, які гарантують, що ці очікування будуть точними. Показники діяльності у майбутньому та результати, які  вже отримані «Хенкель АГ &amp; Ко. КГаА» та її афілійованими особами на сьогодні, залежать від низки ризиків і невизначених обставин, а тому можуть значно відрізнятися від заяв про перспективу. Велика кількість таких факторів знаходиться поза контролем «Хенкель» і не може бути оцінена наперед, як, наприклад, економічна ситуація та дії конкурентів й інших осіб, що здійснюють свою діяльність на цьому ринку. «Хенкель» не планує і не зобов’язується поновлювати будь-які заяви про прогноз розвитку компанії.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4"/>
          <w:szCs w:val="14"/>
          <w:u w:val="none"/>
          <w:shd w:fill="auto" w:val="clear"/>
          <w:vertAlign w:val="baseline"/>
          <w:rtl w:val="0"/>
        </w:rPr>
        <w:t xml:space="preserve">Цей документ містить – у прийнятній формі фінансової звітності, що чітко не визначена – додаткові фінансові показники, які є чи можуть бути альтернативними показниками діяльності (не-GAAP-показники). Такі додаткові фінансові показники не слід  розглядати відокремлено або як альтернативу показникам, що характеризують чисті активи «Хенкель» і фінансовий стан чи результати операційної діяльності, які представлені згідно з чинними вимогами до фінансової звітності в її Консолідованих фінансових звітах. Інші компанії, що відображають у звітності або описують альтернативні показники діяльності з подібною назвою, можуть обчислювати їх в інший спосіб.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4"/>
          <w:szCs w:val="14"/>
          <w:u w:val="none"/>
          <w:shd w:fill="auto" w:val="clear"/>
          <w:vertAlign w:val="baseline"/>
          <w:rtl w:val="0"/>
        </w:rPr>
        <w:t xml:space="preserve">Цей документ випущений лише з метою ознайомлення, він не є інвестиційною порадою або пропозицією щодо продажу чи запитом пропозиції щодо купівлі якихось цінних паперів.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За додатковою інформацією, будь ласка, звертайтеся до: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8.0" w:type="dxa"/>
        <w:jc w:val="left"/>
        <w:tblInd w:w="0.0" w:type="dxa"/>
        <w:tblLayout w:type="fixed"/>
        <w:tblLook w:val="0000"/>
      </w:tblPr>
      <w:tblGrid>
        <w:gridCol w:w="9976"/>
        <w:gridCol w:w="222"/>
        <w:tblGridChange w:id="0">
          <w:tblGrid>
            <w:gridCol w:w="9976"/>
            <w:gridCol w:w="222"/>
          </w:tblGrid>
        </w:tblGridChange>
      </w:tblGrid>
      <w:tr>
        <w:trPr>
          <w:trHeight w:val="615" w:hRule="atLeast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760.0" w:type="dxa"/>
              <w:jc w:val="left"/>
              <w:tblLayout w:type="fixed"/>
              <w:tblLook w:val="0000"/>
            </w:tblPr>
            <w:tblGrid>
              <w:gridCol w:w="9538"/>
              <w:gridCol w:w="222"/>
              <w:tblGridChange w:id="0">
                <w:tblGrid>
                  <w:gridCol w:w="9538"/>
                  <w:gridCol w:w="222"/>
                </w:tblGrid>
              </w:tblGridChange>
            </w:tblGrid>
            <w:tr>
              <w:trPr>
                <w:trHeight w:val="615" w:hRule="atLeast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9322.0" w:type="dxa"/>
                    <w:jc w:val="left"/>
                    <w:tblLayout w:type="fixed"/>
                    <w:tblLook w:val="0000"/>
                  </w:tblPr>
                  <w:tblGrid>
                    <w:gridCol w:w="4644"/>
                    <w:gridCol w:w="4678"/>
                    <w:tblGridChange w:id="0">
                      <w:tblGrid>
                        <w:gridCol w:w="4644"/>
                        <w:gridCol w:w="4678"/>
                      </w:tblGrid>
                    </w:tblGridChange>
                  </w:tblGrid>
                  <w:tr>
                    <w:trPr>
                      <w:trHeight w:val="615" w:hRule="atLeast"/>
                    </w:trPr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46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Олени Андрощук,</w:t>
                        </w:r>
                      </w:p>
                      <w:p w:rsidR="00000000" w:rsidDel="00000000" w:rsidP="00000000" w:rsidRDefault="00000000" w:rsidRPr="00000000" w14:paraId="00000047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керівника відділу корпоративних комунікацій компанії  «Хенкель» в Україні</w:t>
                        </w:r>
                      </w:p>
                      <w:p w:rsidR="00000000" w:rsidDel="00000000" w:rsidP="00000000" w:rsidRDefault="00000000" w:rsidRPr="00000000" w14:paraId="00000048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49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4A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«Хенкель Україна» </w:t>
                        </w:r>
                      </w:p>
                      <w:p w:rsidR="00000000" w:rsidDel="00000000" w:rsidP="00000000" w:rsidRDefault="00000000" w:rsidRPr="00000000" w14:paraId="0000004B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Тел.: +38 050 389 83 45</w:t>
                        </w:r>
                      </w:p>
                      <w:p w:rsidR="00000000" w:rsidDel="00000000" w:rsidP="00000000" w:rsidRDefault="00000000" w:rsidRPr="00000000" w14:paraId="0000004C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Факс: +38 044 247-51-00 </w:t>
                        </w:r>
                      </w:p>
                      <w:p w:rsidR="00000000" w:rsidDel="00000000" w:rsidP="00000000" w:rsidRDefault="00000000" w:rsidRPr="00000000" w14:paraId="0000004D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e-mail: elena.androschuk@henkel.com</w:t>
                        </w:r>
                      </w:p>
                    </w:tc>
                    <w:tc>
                      <w:tcPr>
                        <w:vAlign w:val="top"/>
                      </w:tcPr>
                      <w:p w:rsidR="00000000" w:rsidDel="00000000" w:rsidP="00000000" w:rsidRDefault="00000000" w:rsidRPr="00000000" w14:paraId="0000004E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Олени Хмари,</w:t>
                        </w:r>
                      </w:p>
                      <w:p w:rsidR="00000000" w:rsidDel="00000000" w:rsidP="00000000" w:rsidRDefault="00000000" w:rsidRPr="00000000" w14:paraId="0000004F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керівника PR-проектів </w:t>
                        </w:r>
                      </w:p>
                      <w:p w:rsidR="00000000" w:rsidDel="00000000" w:rsidP="00000000" w:rsidRDefault="00000000" w:rsidRPr="00000000" w14:paraId="00000050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1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2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53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Агенція «PR-Service»</w:t>
                        </w:r>
                      </w:p>
                      <w:p w:rsidR="00000000" w:rsidDel="00000000" w:rsidP="00000000" w:rsidRDefault="00000000" w:rsidRPr="00000000" w14:paraId="00000054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Тел./факс: +38 044 501 32 44</w:t>
                        </w:r>
                      </w:p>
                      <w:p w:rsidR="00000000" w:rsidDel="00000000" w:rsidP="00000000" w:rsidRDefault="00000000" w:rsidRPr="00000000" w14:paraId="00000055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Моб. тел.: +38 050 382 82 74</w:t>
                        </w:r>
                      </w:p>
                      <w:p w:rsidR="00000000" w:rsidDel="00000000" w:rsidP="00000000" w:rsidRDefault="00000000" w:rsidRPr="00000000" w14:paraId="00000056">
                        <w:pPr>
                          <w:keepNext w:val="0"/>
                          <w:keepLines w:val="0"/>
                          <w:widowControl w:val="1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both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8"/>
                            <w:szCs w:val="18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e-mail: a.khmara@pr-service.com.ua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40" w:w="11907"/>
      <w:pgMar w:bottom="2269" w:top="1134" w:left="1418" w:right="1418" w:header="1304" w:footer="129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5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Henkel AG &amp; Co. KGaA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7083"/>
        <w:tab w:val="right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</w:rPr>
    </w:pPr>
    <w:bookmarkStart w:colFirst="0" w:colLast="0" w:name="_1fob9te" w:id="2"/>
    <w:bookmarkEnd w:id="2"/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</w:rPr>
      <w:drawing>
        <wp:inline distB="0" distT="0" distL="114300" distR="114300">
          <wp:extent cx="583565" cy="97790"/>
          <wp:effectExtent b="0" l="0" r="0" t="0"/>
          <wp:docPr descr="Loctite" id="3" name="image2.jpg"/>
          <a:graphic>
            <a:graphicData uri="http://schemas.openxmlformats.org/drawingml/2006/picture">
              <pic:pic>
                <pic:nvPicPr>
                  <pic:cNvPr descr="Locti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97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</w:rPr>
      <w:drawing>
        <wp:inline distB="0" distT="0" distL="114300" distR="114300">
          <wp:extent cx="991870" cy="97790"/>
          <wp:effectExtent b="0" l="0" r="0" t="0"/>
          <wp:docPr descr="LOGO_TECHNOMELT_3C_62" id="2" name="image1.jpg"/>
          <a:graphic>
            <a:graphicData uri="http://schemas.openxmlformats.org/drawingml/2006/picture">
              <pic:pic>
                <pic:nvPicPr>
                  <pic:cNvPr descr="LOGO_TECHNOMELT_3C_62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870" cy="97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</w:rPr>
      <w:drawing>
        <wp:inline distB="0" distT="0" distL="114300" distR="114300">
          <wp:extent cx="840105" cy="107950"/>
          <wp:effectExtent b="0" l="0" r="0" t="0"/>
          <wp:docPr descr="BONDERITE" id="5" name="image10.png"/>
          <a:graphic>
            <a:graphicData uri="http://schemas.openxmlformats.org/drawingml/2006/picture">
              <pic:pic>
                <pic:nvPicPr>
                  <pic:cNvPr descr="BONDERITE" id="0" name="image10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0105" cy="107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</w:rPr>
      <w:drawing>
        <wp:inline distB="0" distT="0" distL="114300" distR="114300">
          <wp:extent cx="619125" cy="280670"/>
          <wp:effectExtent b="0" l="0" r="0" t="0"/>
          <wp:docPr descr="SK_Logo_2014_Event_100mm_black" id="4" name="image5.png"/>
          <a:graphic>
            <a:graphicData uri="http://schemas.openxmlformats.org/drawingml/2006/picture">
              <pic:pic>
                <pic:nvPicPr>
                  <pic:cNvPr descr="SK_Logo_2014_Event_100mm_black" id="0" name="image5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2806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</w:rPr>
      <w:drawing>
        <wp:inline distB="0" distT="0" distL="114300" distR="114300">
          <wp:extent cx="358775" cy="280670"/>
          <wp:effectExtent b="0" l="0" r="0" t="0"/>
          <wp:docPr descr="Dial_Logo_0207" id="7" name="image8.jpg"/>
          <a:graphic>
            <a:graphicData uri="http://schemas.openxmlformats.org/drawingml/2006/picture">
              <pic:pic>
                <pic:nvPicPr>
                  <pic:cNvPr descr="Dial_Logo_0207" id="0" name="image8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775" cy="2806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</w:rPr>
      <w:drawing>
        <wp:inline distB="0" distT="0" distL="114300" distR="114300">
          <wp:extent cx="492760" cy="126365"/>
          <wp:effectExtent b="0" l="0" r="0" t="0"/>
          <wp:docPr descr="Logo_Syoss" id="6" name="image4.jpg"/>
          <a:graphic>
            <a:graphicData uri="http://schemas.openxmlformats.org/drawingml/2006/picture">
              <pic:pic>
                <pic:nvPicPr>
                  <pic:cNvPr descr="Logo_Syoss" id="0" name="image4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" cy="126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</w:rPr>
      <w:drawing>
        <wp:inline distB="0" distT="0" distL="114300" distR="114300">
          <wp:extent cx="422910" cy="154940"/>
          <wp:effectExtent b="0" l="0" r="0" t="0"/>
          <wp:docPr descr="Persil Logo 2007_RGB1" id="9" name="image9.jpg"/>
          <a:graphic>
            <a:graphicData uri="http://schemas.openxmlformats.org/drawingml/2006/picture">
              <pic:pic>
                <pic:nvPicPr>
                  <pic:cNvPr descr="Persil Logo 2007_RGB1" id="0" name="image9.jp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2910" cy="154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</w:rPr>
      <w:drawing>
        <wp:inline distB="0" distT="0" distL="114300" distR="114300">
          <wp:extent cx="253365" cy="252730"/>
          <wp:effectExtent b="0" l="0" r="0" t="0"/>
          <wp:docPr id="8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8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365" cy="2527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e1000f"/>
        <w:sz w:val="40"/>
        <w:szCs w:val="40"/>
        <w:u w:val="none"/>
        <w:shd w:fill="auto" w:val="clear"/>
        <w:vertAlign w:val="baseline"/>
      </w:rPr>
      <w:drawing>
        <wp:inline distB="0" distT="0" distL="114300" distR="114300">
          <wp:extent cx="335915" cy="152400"/>
          <wp:effectExtent b="0" l="0" r="0" t="0"/>
          <wp:docPr descr="bref_logo (002)" id="11" name="image3.png"/>
          <a:graphic>
            <a:graphicData uri="http://schemas.openxmlformats.org/drawingml/2006/picture">
              <pic:pic>
                <pic:nvPicPr>
                  <pic:cNvPr descr="bref_logo (002)" id="0" name="image3.png"/>
                  <pic:cNvPicPr preferRelativeResize="0"/>
                </pic:nvPicPr>
                <pic:blipFill>
                  <a:blip r:embed="rId9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915" cy="152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71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7083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e1000f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4725035</wp:posOffset>
          </wp:positionH>
          <wp:positionV relativeFrom="paragraph">
            <wp:posOffset>0</wp:posOffset>
          </wp:positionV>
          <wp:extent cx="1166495" cy="789305"/>
          <wp:effectExtent b="0" l="0" r="0" t="0"/>
          <wp:wrapSquare wrapText="bothSides" distB="0" distT="0" distL="114300" distR="114300"/>
          <wp:docPr id="10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6495" cy="7893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607"/>
        <w:tab w:val="right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607"/>
        <w:tab w:val="right" w:pos="9071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3e3c3c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3e3c3c"/>
        <w:sz w:val="40"/>
        <w:szCs w:val="40"/>
        <w:u w:val="none"/>
        <w:shd w:fill="auto" w:val="clear"/>
        <w:vertAlign w:val="baseline"/>
        <w:rtl w:val="0"/>
      </w:rPr>
      <w:t xml:space="preserve">Пресреліз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hyperlink" Target="https://www.henkel.com/press" TargetMode="External"/><Relationship Id="rId8" Type="http://schemas.openxmlformats.org/officeDocument/2006/relationships/hyperlink" Target="http://www.henkel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image" Target="media/image8.jpg"/><Relationship Id="rId6" Type="http://schemas.openxmlformats.org/officeDocument/2006/relationships/image" Target="media/image4.jpg"/><Relationship Id="rId7" Type="http://schemas.openxmlformats.org/officeDocument/2006/relationships/image" Target="media/image9.jpg"/><Relationship Id="rId8" Type="http://schemas.openxmlformats.org/officeDocument/2006/relationships/image" Target="media/image6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