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1968698" w:rsidR="00B422EC" w:rsidRPr="00233C37" w:rsidRDefault="00E41377" w:rsidP="00233C37">
      <w:pPr>
        <w:pStyle w:val="MonthDayYear"/>
        <w:tabs>
          <w:tab w:val="left" w:pos="7513"/>
        </w:tabs>
        <w:rPr>
          <w:lang w:val="it-CH"/>
        </w:rPr>
      </w:pPr>
      <w:r w:rsidRPr="000069EB">
        <w:tab/>
      </w:r>
      <w:r w:rsidR="00635616" w:rsidRPr="00233C37">
        <w:rPr>
          <w:lang w:val="it-CH"/>
        </w:rPr>
        <w:t>6</w:t>
      </w:r>
      <w:r w:rsidR="00233C37" w:rsidRPr="00233C37">
        <w:rPr>
          <w:lang w:val="it-CH"/>
        </w:rPr>
        <w:t xml:space="preserve"> agosto</w:t>
      </w:r>
      <w:r w:rsidR="00BF6E82" w:rsidRPr="00233C37">
        <w:rPr>
          <w:lang w:val="it-CH"/>
        </w:rPr>
        <w:t xml:space="preserve"> 20</w:t>
      </w:r>
      <w:r w:rsidR="00F635FC" w:rsidRPr="00233C37">
        <w:rPr>
          <w:lang w:val="it-CH"/>
        </w:rPr>
        <w:t>20</w:t>
      </w:r>
    </w:p>
    <w:p w14:paraId="09896324" w14:textId="5FE7442A" w:rsidR="007F0F63" w:rsidRPr="00233C37" w:rsidRDefault="00635616" w:rsidP="00635616">
      <w:pPr>
        <w:pStyle w:val="Topline"/>
        <w:spacing w:after="360"/>
        <w:rPr>
          <w:rFonts w:asciiTheme="majorHAnsi" w:hAnsiTheme="majorHAnsi" w:cstheme="majorHAnsi"/>
          <w:lang w:val="it-CH"/>
        </w:rPr>
      </w:pPr>
      <w:r w:rsidRPr="00233C37">
        <w:rPr>
          <w:rFonts w:asciiTheme="majorHAnsi" w:hAnsiTheme="majorHAnsi" w:cstheme="majorHAnsi"/>
          <w:lang w:val="it-CH"/>
        </w:rPr>
        <w:t xml:space="preserve">Henkel </w:t>
      </w:r>
      <w:r w:rsidR="00233C37" w:rsidRPr="00233C37">
        <w:rPr>
          <w:rFonts w:asciiTheme="majorHAnsi" w:hAnsiTheme="majorHAnsi" w:cstheme="majorHAnsi"/>
          <w:lang w:val="it-CH"/>
        </w:rPr>
        <w:t xml:space="preserve">presenta </w:t>
      </w:r>
      <w:r w:rsidR="00233C37">
        <w:rPr>
          <w:rFonts w:asciiTheme="majorHAnsi" w:hAnsiTheme="majorHAnsi" w:cstheme="majorHAnsi"/>
          <w:lang w:val="it-CH"/>
        </w:rPr>
        <w:t>i</w:t>
      </w:r>
      <w:r w:rsidR="00233C37" w:rsidRPr="00233C37">
        <w:rPr>
          <w:rFonts w:asciiTheme="majorHAnsi" w:hAnsiTheme="majorHAnsi" w:cstheme="majorHAnsi"/>
          <w:lang w:val="it-CH"/>
        </w:rPr>
        <w:t xml:space="preserve"> risultati del primo semestre e secondo tri</w:t>
      </w:r>
      <w:r w:rsidR="00233C37">
        <w:rPr>
          <w:rFonts w:asciiTheme="majorHAnsi" w:hAnsiTheme="majorHAnsi" w:cstheme="majorHAnsi"/>
          <w:lang w:val="it-CH"/>
        </w:rPr>
        <w:t>mestre</w:t>
      </w:r>
      <w:r w:rsidRPr="00233C37">
        <w:rPr>
          <w:rFonts w:asciiTheme="majorHAnsi" w:hAnsiTheme="majorHAnsi" w:cstheme="majorHAnsi"/>
          <w:lang w:val="it-CH"/>
        </w:rPr>
        <w:t xml:space="preserve"> 2020</w:t>
      </w:r>
    </w:p>
    <w:p w14:paraId="76AD0789" w14:textId="3EC435A1" w:rsidR="007F0F63" w:rsidRPr="00233C37" w:rsidRDefault="00233C37" w:rsidP="00635616">
      <w:pPr>
        <w:jc w:val="left"/>
        <w:rPr>
          <w:rStyle w:val="Headline"/>
          <w:rFonts w:asciiTheme="majorHAnsi" w:hAnsiTheme="majorHAnsi" w:cstheme="majorHAnsi"/>
          <w:lang w:val="it-CH"/>
        </w:rPr>
      </w:pPr>
      <w:r w:rsidRPr="00233C37">
        <w:rPr>
          <w:rStyle w:val="Headline"/>
          <w:rFonts w:asciiTheme="majorHAnsi" w:hAnsiTheme="majorHAnsi" w:cstheme="majorHAnsi"/>
          <w:lang w:val="it-CH"/>
        </w:rPr>
        <w:t xml:space="preserve">Buona la performance economica di </w:t>
      </w:r>
      <w:r w:rsidR="00C66218" w:rsidRPr="00233C37">
        <w:rPr>
          <w:rStyle w:val="Headline"/>
          <w:rFonts w:asciiTheme="majorHAnsi" w:hAnsiTheme="majorHAnsi" w:cstheme="majorHAnsi"/>
          <w:lang w:val="it-CH"/>
        </w:rPr>
        <w:t xml:space="preserve">Henkel </w:t>
      </w:r>
      <w:r>
        <w:rPr>
          <w:rStyle w:val="Headline"/>
          <w:rFonts w:asciiTheme="majorHAnsi" w:hAnsiTheme="majorHAnsi" w:cstheme="majorHAnsi"/>
          <w:lang w:val="it-CH"/>
        </w:rPr>
        <w:t>n</w:t>
      </w:r>
      <w:r w:rsidRPr="00233C37">
        <w:rPr>
          <w:rStyle w:val="Headline"/>
          <w:rFonts w:asciiTheme="majorHAnsi" w:hAnsiTheme="majorHAnsi" w:cstheme="majorHAnsi"/>
          <w:lang w:val="it-CH"/>
        </w:rPr>
        <w:t>onostante l’impatto sostanziale della pandemia</w:t>
      </w:r>
      <w:r w:rsidR="000425ED" w:rsidRPr="00233C37">
        <w:rPr>
          <w:rStyle w:val="Headline"/>
          <w:rFonts w:asciiTheme="majorHAnsi" w:hAnsiTheme="majorHAnsi" w:cstheme="majorHAnsi"/>
          <w:lang w:val="it-CH"/>
        </w:rPr>
        <w:t xml:space="preserve"> </w:t>
      </w:r>
      <w:r w:rsidR="00C66218" w:rsidRPr="00233C37">
        <w:rPr>
          <w:rStyle w:val="Headline"/>
          <w:rFonts w:asciiTheme="majorHAnsi" w:hAnsiTheme="majorHAnsi" w:cstheme="majorHAnsi"/>
          <w:lang w:val="it-CH"/>
        </w:rPr>
        <w:t xml:space="preserve">COVID-19 </w:t>
      </w:r>
    </w:p>
    <w:p w14:paraId="6706FA18" w14:textId="77777777" w:rsidR="00852511" w:rsidRPr="00233C37" w:rsidRDefault="00852511" w:rsidP="00365E44">
      <w:pPr>
        <w:rPr>
          <w:lang w:val="it-CH"/>
        </w:rPr>
      </w:pPr>
    </w:p>
    <w:p w14:paraId="63D72995" w14:textId="489CD535" w:rsidR="00635616" w:rsidRPr="00233C37" w:rsidRDefault="00635616" w:rsidP="00635616">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bookmarkStart w:id="0" w:name="_Hlk43712519"/>
      <w:r w:rsidRPr="00233C37">
        <w:rPr>
          <w:rFonts w:asciiTheme="majorHAnsi" w:hAnsiTheme="majorHAnsi" w:cstheme="majorHAnsi"/>
          <w:b/>
          <w:szCs w:val="22"/>
          <w:lang w:val="it-CH"/>
        </w:rPr>
        <w:t>Foc</w:t>
      </w:r>
      <w:r w:rsidR="00233C37" w:rsidRPr="00233C37">
        <w:rPr>
          <w:rFonts w:asciiTheme="majorHAnsi" w:hAnsiTheme="majorHAnsi" w:cstheme="majorHAnsi"/>
          <w:b/>
          <w:szCs w:val="22"/>
          <w:lang w:val="it-CH"/>
        </w:rPr>
        <w:t>alizzazione sulla sicurezza dei dipendenti, la continuità dell</w:t>
      </w:r>
      <w:r w:rsidR="00233C37">
        <w:rPr>
          <w:rFonts w:asciiTheme="majorHAnsi" w:hAnsiTheme="majorHAnsi" w:cstheme="majorHAnsi"/>
          <w:b/>
          <w:szCs w:val="22"/>
          <w:lang w:val="it-CH"/>
        </w:rPr>
        <w:t>e</w:t>
      </w:r>
      <w:r w:rsidR="00233C37" w:rsidRPr="00233C37">
        <w:rPr>
          <w:rFonts w:asciiTheme="majorHAnsi" w:hAnsiTheme="majorHAnsi" w:cstheme="majorHAnsi"/>
          <w:b/>
          <w:szCs w:val="22"/>
          <w:lang w:val="it-CH"/>
        </w:rPr>
        <w:t xml:space="preserve"> fornitur</w:t>
      </w:r>
      <w:r w:rsidR="00233C37">
        <w:rPr>
          <w:rFonts w:asciiTheme="majorHAnsi" w:hAnsiTheme="majorHAnsi" w:cstheme="majorHAnsi"/>
          <w:b/>
          <w:szCs w:val="22"/>
          <w:lang w:val="it-CH"/>
        </w:rPr>
        <w:t>e</w:t>
      </w:r>
      <w:r w:rsidR="00233C37" w:rsidRPr="00233C37">
        <w:rPr>
          <w:rFonts w:asciiTheme="majorHAnsi" w:hAnsiTheme="majorHAnsi" w:cstheme="majorHAnsi"/>
          <w:b/>
          <w:szCs w:val="22"/>
          <w:lang w:val="it-CH"/>
        </w:rPr>
        <w:t xml:space="preserve"> ai</w:t>
      </w:r>
      <w:r w:rsidR="00233C37">
        <w:rPr>
          <w:rFonts w:asciiTheme="majorHAnsi" w:hAnsiTheme="majorHAnsi" w:cstheme="majorHAnsi"/>
          <w:b/>
          <w:szCs w:val="22"/>
          <w:lang w:val="it-CH"/>
        </w:rPr>
        <w:t xml:space="preserve"> clienti</w:t>
      </w:r>
      <w:r w:rsidRPr="00233C37">
        <w:rPr>
          <w:rFonts w:asciiTheme="majorHAnsi" w:hAnsiTheme="majorHAnsi" w:cstheme="majorHAnsi"/>
          <w:b/>
          <w:szCs w:val="22"/>
          <w:lang w:val="it-CH"/>
        </w:rPr>
        <w:t xml:space="preserve"> </w:t>
      </w:r>
      <w:r w:rsidR="00233C37">
        <w:rPr>
          <w:rFonts w:asciiTheme="majorHAnsi" w:hAnsiTheme="majorHAnsi" w:cstheme="majorHAnsi"/>
          <w:b/>
          <w:szCs w:val="22"/>
          <w:lang w:val="it-CH"/>
        </w:rPr>
        <w:t xml:space="preserve">e il </w:t>
      </w:r>
      <w:r w:rsidRPr="00233C37">
        <w:rPr>
          <w:rFonts w:asciiTheme="majorHAnsi" w:hAnsiTheme="majorHAnsi" w:cstheme="majorHAnsi"/>
          <w:b/>
          <w:szCs w:val="22"/>
          <w:lang w:val="it-CH"/>
        </w:rPr>
        <w:t>support</w:t>
      </w:r>
      <w:r w:rsidR="00233C37">
        <w:rPr>
          <w:rFonts w:asciiTheme="majorHAnsi" w:hAnsiTheme="majorHAnsi" w:cstheme="majorHAnsi"/>
          <w:b/>
          <w:szCs w:val="22"/>
          <w:lang w:val="it-CH"/>
        </w:rPr>
        <w:t>o alle comunità</w:t>
      </w:r>
      <w:r w:rsidR="004B49DA">
        <w:rPr>
          <w:rFonts w:asciiTheme="majorHAnsi" w:hAnsiTheme="majorHAnsi" w:cstheme="majorHAnsi"/>
          <w:b/>
          <w:szCs w:val="22"/>
          <w:lang w:val="it-CH"/>
        </w:rPr>
        <w:t xml:space="preserve"> colpite dalla pandemia</w:t>
      </w:r>
    </w:p>
    <w:p w14:paraId="50631AFC" w14:textId="2A44F0D3" w:rsidR="00635616" w:rsidRPr="00233C37" w:rsidRDefault="00233C37" w:rsidP="00233C37">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233C37">
        <w:rPr>
          <w:rFonts w:asciiTheme="majorHAnsi" w:hAnsiTheme="majorHAnsi" w:cstheme="majorHAnsi"/>
          <w:b/>
          <w:szCs w:val="22"/>
          <w:lang w:val="it-CH"/>
        </w:rPr>
        <w:t xml:space="preserve">Fatturato complessivo del semestre a </w:t>
      </w:r>
      <w:r w:rsidR="00F9586C" w:rsidRPr="00233C37">
        <w:rPr>
          <w:rFonts w:asciiTheme="majorHAnsi" w:hAnsiTheme="majorHAnsi" w:cstheme="majorHAnsi"/>
          <w:b/>
          <w:szCs w:val="22"/>
          <w:lang w:val="it-CH"/>
        </w:rPr>
        <w:t>9</w:t>
      </w:r>
      <w:r>
        <w:rPr>
          <w:rFonts w:asciiTheme="majorHAnsi" w:hAnsiTheme="majorHAnsi" w:cstheme="majorHAnsi"/>
          <w:b/>
          <w:szCs w:val="22"/>
          <w:lang w:val="it-CH"/>
        </w:rPr>
        <w:t>.</w:t>
      </w:r>
      <w:r w:rsidR="00F9586C" w:rsidRPr="00233C37">
        <w:rPr>
          <w:rFonts w:asciiTheme="majorHAnsi" w:hAnsiTheme="majorHAnsi" w:cstheme="majorHAnsi"/>
          <w:b/>
          <w:szCs w:val="22"/>
          <w:lang w:val="it-CH"/>
        </w:rPr>
        <w:t>485</w:t>
      </w:r>
      <w:r w:rsidR="00635616" w:rsidRPr="00233C37">
        <w:rPr>
          <w:rFonts w:asciiTheme="majorHAnsi" w:hAnsiTheme="majorHAnsi" w:cstheme="majorHAnsi"/>
          <w:b/>
          <w:szCs w:val="22"/>
          <w:lang w:val="it-CH"/>
        </w:rPr>
        <w:t xml:space="preserve"> </w:t>
      </w:r>
      <w:r w:rsidR="00F9586C" w:rsidRPr="00233C37">
        <w:rPr>
          <w:rFonts w:asciiTheme="majorHAnsi" w:hAnsiTheme="majorHAnsi" w:cstheme="majorHAnsi"/>
          <w:b/>
          <w:szCs w:val="22"/>
          <w:lang w:val="it-CH"/>
        </w:rPr>
        <w:t>m</w:t>
      </w:r>
      <w:r w:rsidR="00635616" w:rsidRPr="00233C37">
        <w:rPr>
          <w:rFonts w:asciiTheme="majorHAnsi" w:hAnsiTheme="majorHAnsi" w:cstheme="majorHAnsi"/>
          <w:b/>
          <w:szCs w:val="22"/>
          <w:lang w:val="it-CH"/>
        </w:rPr>
        <w:t>ilion</w:t>
      </w:r>
      <w:r>
        <w:rPr>
          <w:rFonts w:asciiTheme="majorHAnsi" w:hAnsiTheme="majorHAnsi" w:cstheme="majorHAnsi"/>
          <w:b/>
          <w:szCs w:val="22"/>
          <w:lang w:val="it-CH"/>
        </w:rPr>
        <w:t>i di</w:t>
      </w:r>
      <w:r w:rsidR="00635616" w:rsidRPr="00233C37">
        <w:rPr>
          <w:rFonts w:asciiTheme="majorHAnsi" w:hAnsiTheme="majorHAnsi" w:cstheme="majorHAnsi"/>
          <w:b/>
          <w:szCs w:val="22"/>
          <w:lang w:val="it-CH"/>
        </w:rPr>
        <w:t xml:space="preserve"> euro, </w:t>
      </w:r>
      <w:bookmarkEnd w:id="0"/>
      <w:r>
        <w:rPr>
          <w:rFonts w:asciiTheme="majorHAnsi" w:hAnsiTheme="majorHAnsi" w:cstheme="majorHAnsi"/>
          <w:b/>
          <w:szCs w:val="22"/>
          <w:lang w:val="it-CH"/>
        </w:rPr>
        <w:t xml:space="preserve">andamento </w:t>
      </w:r>
      <w:r w:rsidR="00635616" w:rsidRPr="00233C37">
        <w:rPr>
          <w:rFonts w:asciiTheme="majorHAnsi" w:hAnsiTheme="majorHAnsi" w:cstheme="majorHAnsi"/>
          <w:b/>
          <w:szCs w:val="22"/>
          <w:lang w:val="it-CH"/>
        </w:rPr>
        <w:t>nominal</w:t>
      </w:r>
      <w:r>
        <w:rPr>
          <w:rFonts w:asciiTheme="majorHAnsi" w:hAnsiTheme="majorHAnsi" w:cstheme="majorHAnsi"/>
          <w:b/>
          <w:szCs w:val="22"/>
          <w:lang w:val="it-CH"/>
        </w:rPr>
        <w:t>e</w:t>
      </w:r>
      <w:r w:rsidR="00635616" w:rsidRPr="00233C37">
        <w:rPr>
          <w:rFonts w:asciiTheme="majorHAnsi" w:hAnsiTheme="majorHAnsi" w:cstheme="majorHAnsi"/>
          <w:b/>
          <w:szCs w:val="22"/>
          <w:lang w:val="it-CH"/>
        </w:rPr>
        <w:t>: -</w:t>
      </w:r>
      <w:r w:rsidR="00F9586C" w:rsidRPr="00233C37">
        <w:rPr>
          <w:rFonts w:asciiTheme="majorHAnsi" w:hAnsiTheme="majorHAnsi" w:cstheme="majorHAnsi"/>
          <w:b/>
          <w:szCs w:val="22"/>
          <w:lang w:val="it-CH"/>
        </w:rPr>
        <w:t>6</w:t>
      </w:r>
      <w:r>
        <w:rPr>
          <w:rFonts w:asciiTheme="majorHAnsi" w:hAnsiTheme="majorHAnsi" w:cstheme="majorHAnsi"/>
          <w:b/>
          <w:szCs w:val="22"/>
          <w:lang w:val="it-CH"/>
        </w:rPr>
        <w:t>,</w:t>
      </w:r>
      <w:r w:rsidR="00F9586C" w:rsidRPr="00233C37">
        <w:rPr>
          <w:rFonts w:asciiTheme="majorHAnsi" w:hAnsiTheme="majorHAnsi" w:cstheme="majorHAnsi"/>
          <w:b/>
          <w:szCs w:val="22"/>
          <w:lang w:val="it-CH"/>
        </w:rPr>
        <w:t>0</w:t>
      </w:r>
      <w:r w:rsidR="00635616" w:rsidRPr="00233C37">
        <w:rPr>
          <w:rFonts w:asciiTheme="majorHAnsi" w:hAnsiTheme="majorHAnsi" w:cstheme="majorHAnsi"/>
          <w:b/>
          <w:szCs w:val="22"/>
          <w:lang w:val="it-CH"/>
        </w:rPr>
        <w:t>%, organic</w:t>
      </w:r>
      <w:r>
        <w:rPr>
          <w:rFonts w:asciiTheme="majorHAnsi" w:hAnsiTheme="majorHAnsi" w:cstheme="majorHAnsi"/>
          <w:b/>
          <w:szCs w:val="22"/>
          <w:lang w:val="it-CH"/>
        </w:rPr>
        <w:t>o</w:t>
      </w:r>
      <w:r w:rsidR="00635616" w:rsidRPr="00233C37">
        <w:rPr>
          <w:rFonts w:asciiTheme="majorHAnsi" w:hAnsiTheme="majorHAnsi" w:cstheme="majorHAnsi"/>
          <w:b/>
          <w:szCs w:val="22"/>
          <w:lang w:val="it-CH"/>
        </w:rPr>
        <w:t>: -</w:t>
      </w:r>
      <w:r w:rsidR="00F9586C" w:rsidRPr="00233C37">
        <w:rPr>
          <w:rFonts w:asciiTheme="majorHAnsi" w:hAnsiTheme="majorHAnsi" w:cstheme="majorHAnsi"/>
          <w:b/>
          <w:szCs w:val="22"/>
          <w:lang w:val="it-CH"/>
        </w:rPr>
        <w:t>5</w:t>
      </w:r>
      <w:r>
        <w:rPr>
          <w:rFonts w:asciiTheme="majorHAnsi" w:hAnsiTheme="majorHAnsi" w:cstheme="majorHAnsi"/>
          <w:b/>
          <w:szCs w:val="22"/>
          <w:lang w:val="it-CH"/>
        </w:rPr>
        <w:t>,</w:t>
      </w:r>
      <w:r w:rsidR="00F9586C" w:rsidRPr="00233C37">
        <w:rPr>
          <w:rFonts w:asciiTheme="majorHAnsi" w:hAnsiTheme="majorHAnsi" w:cstheme="majorHAnsi"/>
          <w:b/>
          <w:szCs w:val="22"/>
          <w:lang w:val="it-CH"/>
        </w:rPr>
        <w:t>2</w:t>
      </w:r>
      <w:r w:rsidR="00635616" w:rsidRPr="00233C37">
        <w:rPr>
          <w:rFonts w:asciiTheme="majorHAnsi" w:hAnsiTheme="majorHAnsi" w:cstheme="majorHAnsi"/>
          <w:b/>
          <w:szCs w:val="22"/>
          <w:lang w:val="it-CH"/>
        </w:rPr>
        <w:t>%</w:t>
      </w:r>
    </w:p>
    <w:p w14:paraId="050F17EF" w14:textId="37DB0D4B" w:rsidR="00635616" w:rsidRPr="00233C37" w:rsidRDefault="00233C37" w:rsidP="00635616">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233C37">
        <w:rPr>
          <w:rFonts w:asciiTheme="majorHAnsi" w:hAnsiTheme="majorHAnsi" w:cstheme="majorHAnsi"/>
          <w:b/>
          <w:szCs w:val="22"/>
          <w:lang w:val="it-CH"/>
        </w:rPr>
        <w:t>Profitto operativo</w:t>
      </w:r>
      <w:r w:rsidR="00635616" w:rsidRPr="00233C37">
        <w:rPr>
          <w:rFonts w:asciiTheme="majorHAnsi" w:hAnsiTheme="majorHAnsi" w:cstheme="majorHAnsi"/>
          <w:b/>
          <w:szCs w:val="22"/>
          <w:lang w:val="it-CH"/>
        </w:rPr>
        <w:t xml:space="preserve">* a </w:t>
      </w:r>
      <w:r w:rsidR="00233D04" w:rsidRPr="00233C37">
        <w:rPr>
          <w:rFonts w:asciiTheme="majorHAnsi" w:hAnsiTheme="majorHAnsi" w:cstheme="majorHAnsi"/>
          <w:b/>
          <w:szCs w:val="22"/>
          <w:lang w:val="it-CH"/>
        </w:rPr>
        <w:t>1</w:t>
      </w:r>
      <w:r>
        <w:rPr>
          <w:rFonts w:asciiTheme="majorHAnsi" w:hAnsiTheme="majorHAnsi" w:cstheme="majorHAnsi"/>
          <w:b/>
          <w:szCs w:val="22"/>
          <w:lang w:val="it-CH"/>
        </w:rPr>
        <w:t>.</w:t>
      </w:r>
      <w:r w:rsidR="00233D04" w:rsidRPr="00233C37">
        <w:rPr>
          <w:rFonts w:asciiTheme="majorHAnsi" w:hAnsiTheme="majorHAnsi" w:cstheme="majorHAnsi"/>
          <w:b/>
          <w:szCs w:val="22"/>
          <w:lang w:val="it-CH"/>
        </w:rPr>
        <w:t>1</w:t>
      </w:r>
      <w:r w:rsidR="00B35967" w:rsidRPr="00233C37">
        <w:rPr>
          <w:rFonts w:asciiTheme="majorHAnsi" w:hAnsiTheme="majorHAnsi" w:cstheme="majorHAnsi"/>
          <w:b/>
          <w:szCs w:val="22"/>
          <w:lang w:val="it-CH"/>
        </w:rPr>
        <w:t>91</w:t>
      </w:r>
      <w:r w:rsidR="00635616" w:rsidRPr="00233C37">
        <w:rPr>
          <w:rFonts w:asciiTheme="majorHAnsi" w:hAnsiTheme="majorHAnsi" w:cstheme="majorHAnsi"/>
          <w:b/>
          <w:szCs w:val="22"/>
          <w:lang w:val="it-CH"/>
        </w:rPr>
        <w:t xml:space="preserve"> milion</w:t>
      </w:r>
      <w:r>
        <w:rPr>
          <w:rFonts w:asciiTheme="majorHAnsi" w:hAnsiTheme="majorHAnsi" w:cstheme="majorHAnsi"/>
          <w:b/>
          <w:szCs w:val="22"/>
          <w:lang w:val="it-CH"/>
        </w:rPr>
        <w:t>i di</w:t>
      </w:r>
      <w:r w:rsidR="00635616" w:rsidRPr="00233C37">
        <w:rPr>
          <w:rFonts w:asciiTheme="majorHAnsi" w:hAnsiTheme="majorHAnsi" w:cstheme="majorHAnsi"/>
          <w:b/>
          <w:szCs w:val="22"/>
          <w:lang w:val="it-CH"/>
        </w:rPr>
        <w:t xml:space="preserve"> euro, -</w:t>
      </w:r>
      <w:r w:rsidR="007B58C6" w:rsidRPr="00233C37">
        <w:rPr>
          <w:rFonts w:asciiTheme="majorHAnsi" w:hAnsiTheme="majorHAnsi" w:cstheme="majorHAnsi"/>
          <w:b/>
          <w:szCs w:val="22"/>
          <w:lang w:val="it-CH"/>
        </w:rPr>
        <w:t>27</w:t>
      </w:r>
      <w:r>
        <w:rPr>
          <w:rFonts w:asciiTheme="majorHAnsi" w:hAnsiTheme="majorHAnsi" w:cstheme="majorHAnsi"/>
          <w:b/>
          <w:szCs w:val="22"/>
          <w:lang w:val="it-CH"/>
        </w:rPr>
        <w:t>,</w:t>
      </w:r>
      <w:r w:rsidR="005E3FBB" w:rsidRPr="00233C37">
        <w:rPr>
          <w:rFonts w:asciiTheme="majorHAnsi" w:hAnsiTheme="majorHAnsi" w:cstheme="majorHAnsi"/>
          <w:b/>
          <w:szCs w:val="22"/>
          <w:lang w:val="it-CH"/>
        </w:rPr>
        <w:t>5</w:t>
      </w:r>
      <w:r w:rsidR="00635616" w:rsidRPr="00233C37">
        <w:rPr>
          <w:rFonts w:asciiTheme="majorHAnsi" w:hAnsiTheme="majorHAnsi" w:cstheme="majorHAnsi"/>
          <w:b/>
          <w:szCs w:val="22"/>
          <w:lang w:val="it-CH"/>
        </w:rPr>
        <w:t>%</w:t>
      </w:r>
    </w:p>
    <w:p w14:paraId="2F15CBE5" w14:textId="68210348" w:rsidR="00635616" w:rsidRPr="00233C37" w:rsidRDefault="00233C37" w:rsidP="00635616">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233C37">
        <w:rPr>
          <w:rFonts w:asciiTheme="majorHAnsi" w:hAnsiTheme="majorHAnsi" w:cstheme="majorHAnsi"/>
          <w:b/>
          <w:szCs w:val="22"/>
          <w:lang w:val="it-CH"/>
        </w:rPr>
        <w:t xml:space="preserve">Margine </w:t>
      </w:r>
      <w:r w:rsidR="00635616" w:rsidRPr="00233C37">
        <w:rPr>
          <w:rFonts w:asciiTheme="majorHAnsi" w:hAnsiTheme="majorHAnsi" w:cstheme="majorHAnsi"/>
          <w:b/>
          <w:szCs w:val="22"/>
          <w:lang w:val="it-CH"/>
        </w:rPr>
        <w:t>EBIT</w:t>
      </w:r>
      <w:r w:rsidR="00635616" w:rsidRPr="00233C37">
        <w:rPr>
          <w:rFonts w:asciiTheme="majorHAnsi" w:hAnsiTheme="majorHAnsi" w:cstheme="majorHAnsi"/>
          <w:b/>
          <w:szCs w:val="22"/>
          <w:vertAlign w:val="superscript"/>
          <w:lang w:val="it-CH"/>
        </w:rPr>
        <w:t>*</w:t>
      </w:r>
      <w:r w:rsidR="00635616" w:rsidRPr="00233C37">
        <w:rPr>
          <w:rFonts w:asciiTheme="majorHAnsi" w:hAnsiTheme="majorHAnsi" w:cstheme="majorHAnsi"/>
          <w:b/>
          <w:szCs w:val="22"/>
          <w:lang w:val="it-CH"/>
        </w:rPr>
        <w:t xml:space="preserve"> a</w:t>
      </w:r>
      <w:r w:rsidRPr="00233C37">
        <w:rPr>
          <w:rFonts w:asciiTheme="majorHAnsi" w:hAnsiTheme="majorHAnsi" w:cstheme="majorHAnsi"/>
          <w:b/>
          <w:szCs w:val="22"/>
          <w:lang w:val="it-CH"/>
        </w:rPr>
        <w:t>l</w:t>
      </w:r>
      <w:r w:rsidR="00635616" w:rsidRPr="00233C37">
        <w:rPr>
          <w:rFonts w:asciiTheme="majorHAnsi" w:hAnsiTheme="majorHAnsi" w:cstheme="majorHAnsi"/>
          <w:b/>
          <w:szCs w:val="22"/>
          <w:lang w:val="it-CH"/>
        </w:rPr>
        <w:t xml:space="preserve"> </w:t>
      </w:r>
      <w:r w:rsidR="00F9586C" w:rsidRPr="00233C37">
        <w:rPr>
          <w:rFonts w:asciiTheme="majorHAnsi" w:hAnsiTheme="majorHAnsi" w:cstheme="majorHAnsi"/>
          <w:b/>
          <w:szCs w:val="22"/>
          <w:lang w:val="it-CH"/>
        </w:rPr>
        <w:t>12</w:t>
      </w:r>
      <w:r w:rsidRPr="00233C37">
        <w:rPr>
          <w:rFonts w:asciiTheme="majorHAnsi" w:hAnsiTheme="majorHAnsi" w:cstheme="majorHAnsi"/>
          <w:b/>
          <w:szCs w:val="22"/>
          <w:lang w:val="it-CH"/>
        </w:rPr>
        <w:t>,</w:t>
      </w:r>
      <w:r w:rsidR="00B35967" w:rsidRPr="00233C37">
        <w:rPr>
          <w:rFonts w:asciiTheme="majorHAnsi" w:hAnsiTheme="majorHAnsi" w:cstheme="majorHAnsi"/>
          <w:b/>
          <w:szCs w:val="22"/>
          <w:lang w:val="it-CH"/>
        </w:rPr>
        <w:t>6</w:t>
      </w:r>
      <w:r w:rsidR="00635616" w:rsidRPr="00233C37">
        <w:rPr>
          <w:rFonts w:asciiTheme="majorHAnsi" w:hAnsiTheme="majorHAnsi" w:cstheme="majorHAnsi"/>
          <w:b/>
          <w:szCs w:val="22"/>
          <w:lang w:val="it-CH"/>
        </w:rPr>
        <w:t>%, -</w:t>
      </w:r>
      <w:r w:rsidR="00F9586C" w:rsidRPr="00233C37">
        <w:rPr>
          <w:rFonts w:asciiTheme="majorHAnsi" w:hAnsiTheme="majorHAnsi" w:cstheme="majorHAnsi"/>
          <w:b/>
          <w:szCs w:val="22"/>
          <w:lang w:val="it-CH"/>
        </w:rPr>
        <w:t>3</w:t>
      </w:r>
      <w:r w:rsidR="00B35967" w:rsidRPr="00233C37">
        <w:rPr>
          <w:rFonts w:asciiTheme="majorHAnsi" w:hAnsiTheme="majorHAnsi" w:cstheme="majorHAnsi"/>
          <w:b/>
          <w:szCs w:val="22"/>
          <w:lang w:val="it-CH"/>
        </w:rPr>
        <w:t>7</w:t>
      </w:r>
      <w:r w:rsidR="00F9586C" w:rsidRPr="00233C37">
        <w:rPr>
          <w:rFonts w:asciiTheme="majorHAnsi" w:hAnsiTheme="majorHAnsi" w:cstheme="majorHAnsi"/>
          <w:b/>
          <w:szCs w:val="22"/>
          <w:lang w:val="it-CH"/>
        </w:rPr>
        <w:t>0</w:t>
      </w:r>
      <w:r w:rsidR="00635616" w:rsidRPr="00233C37">
        <w:rPr>
          <w:rFonts w:asciiTheme="majorHAnsi" w:hAnsiTheme="majorHAnsi" w:cstheme="majorHAnsi"/>
          <w:b/>
          <w:szCs w:val="22"/>
          <w:lang w:val="it-CH"/>
        </w:rPr>
        <w:t xml:space="preserve"> </w:t>
      </w:r>
      <w:r w:rsidRPr="00233C37">
        <w:rPr>
          <w:rFonts w:asciiTheme="majorHAnsi" w:hAnsiTheme="majorHAnsi" w:cstheme="majorHAnsi"/>
          <w:b/>
          <w:szCs w:val="22"/>
          <w:lang w:val="it-CH"/>
        </w:rPr>
        <w:t>punti b</w:t>
      </w:r>
      <w:r>
        <w:rPr>
          <w:rFonts w:asciiTheme="majorHAnsi" w:hAnsiTheme="majorHAnsi" w:cstheme="majorHAnsi"/>
          <w:b/>
          <w:szCs w:val="22"/>
          <w:lang w:val="it-CH"/>
        </w:rPr>
        <w:t>ase</w:t>
      </w:r>
    </w:p>
    <w:p w14:paraId="723BE023" w14:textId="0BFA33A6" w:rsidR="00635616" w:rsidRPr="00233C37" w:rsidRDefault="00233C37" w:rsidP="00635616">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233C37">
        <w:rPr>
          <w:rFonts w:asciiTheme="majorHAnsi" w:hAnsiTheme="majorHAnsi" w:cstheme="majorHAnsi"/>
          <w:b/>
          <w:szCs w:val="22"/>
          <w:lang w:val="it-CH"/>
        </w:rPr>
        <w:t>Rendimento per azione privilegiata</w:t>
      </w:r>
      <w:r w:rsidR="00635616" w:rsidRPr="00233C37">
        <w:rPr>
          <w:rFonts w:asciiTheme="majorHAnsi" w:hAnsiTheme="majorHAnsi" w:cstheme="majorHAnsi"/>
          <w:b/>
          <w:szCs w:val="22"/>
          <w:lang w:val="it-CH"/>
        </w:rPr>
        <w:t xml:space="preserve"> (EPS)</w:t>
      </w:r>
      <w:r w:rsidR="00635616" w:rsidRPr="00233C37">
        <w:rPr>
          <w:rFonts w:asciiTheme="majorHAnsi" w:hAnsiTheme="majorHAnsi" w:cstheme="majorHAnsi"/>
          <w:b/>
          <w:szCs w:val="22"/>
          <w:vertAlign w:val="superscript"/>
          <w:lang w:val="it-CH"/>
        </w:rPr>
        <w:t>*</w:t>
      </w:r>
      <w:r w:rsidR="00635616" w:rsidRPr="00233C37">
        <w:rPr>
          <w:rFonts w:asciiTheme="majorHAnsi" w:hAnsiTheme="majorHAnsi" w:cstheme="majorHAnsi"/>
          <w:b/>
          <w:szCs w:val="22"/>
          <w:lang w:val="it-CH"/>
        </w:rPr>
        <w:t>: -</w:t>
      </w:r>
      <w:r w:rsidR="00126C65" w:rsidRPr="00233C37">
        <w:rPr>
          <w:rFonts w:asciiTheme="majorHAnsi" w:hAnsiTheme="majorHAnsi" w:cstheme="majorHAnsi"/>
          <w:b/>
          <w:szCs w:val="22"/>
          <w:lang w:val="it-CH"/>
        </w:rPr>
        <w:t>29</w:t>
      </w:r>
      <w:r w:rsidRPr="00233C37">
        <w:rPr>
          <w:rFonts w:asciiTheme="majorHAnsi" w:hAnsiTheme="majorHAnsi" w:cstheme="majorHAnsi"/>
          <w:b/>
          <w:szCs w:val="22"/>
          <w:lang w:val="it-CH"/>
        </w:rPr>
        <w:t>,</w:t>
      </w:r>
      <w:r w:rsidR="00126C65" w:rsidRPr="00233C37">
        <w:rPr>
          <w:rFonts w:asciiTheme="majorHAnsi" w:hAnsiTheme="majorHAnsi" w:cstheme="majorHAnsi"/>
          <w:b/>
          <w:szCs w:val="22"/>
          <w:lang w:val="it-CH"/>
        </w:rPr>
        <w:t>2</w:t>
      </w:r>
      <w:r w:rsidR="00635616" w:rsidRPr="00233C37">
        <w:rPr>
          <w:rFonts w:asciiTheme="majorHAnsi" w:hAnsiTheme="majorHAnsi" w:cstheme="majorHAnsi"/>
          <w:b/>
          <w:szCs w:val="22"/>
          <w:lang w:val="it-CH"/>
        </w:rPr>
        <w:t xml:space="preserve">% </w:t>
      </w:r>
      <w:r w:rsidRPr="00233C37">
        <w:rPr>
          <w:rFonts w:asciiTheme="majorHAnsi" w:hAnsiTheme="majorHAnsi" w:cstheme="majorHAnsi"/>
          <w:b/>
          <w:szCs w:val="22"/>
          <w:lang w:val="it-CH"/>
        </w:rPr>
        <w:t>a</w:t>
      </w:r>
      <w:r w:rsidR="00635616" w:rsidRPr="00233C37">
        <w:rPr>
          <w:rFonts w:asciiTheme="majorHAnsi" w:hAnsiTheme="majorHAnsi" w:cstheme="majorHAnsi"/>
          <w:b/>
          <w:szCs w:val="22"/>
          <w:lang w:val="it-CH"/>
        </w:rPr>
        <w:t xml:space="preserve"> </w:t>
      </w:r>
      <w:r w:rsidR="00F9586C" w:rsidRPr="00233C37">
        <w:rPr>
          <w:rFonts w:asciiTheme="majorHAnsi" w:hAnsiTheme="majorHAnsi" w:cstheme="majorHAnsi"/>
          <w:b/>
          <w:szCs w:val="22"/>
          <w:lang w:val="it-CH"/>
        </w:rPr>
        <w:t>1</w:t>
      </w:r>
      <w:r w:rsidRPr="00233C37">
        <w:rPr>
          <w:rFonts w:asciiTheme="majorHAnsi" w:hAnsiTheme="majorHAnsi" w:cstheme="majorHAnsi"/>
          <w:b/>
          <w:szCs w:val="22"/>
          <w:lang w:val="it-CH"/>
        </w:rPr>
        <w:t>,</w:t>
      </w:r>
      <w:r w:rsidR="00F9586C" w:rsidRPr="00233C37">
        <w:rPr>
          <w:rFonts w:asciiTheme="majorHAnsi" w:hAnsiTheme="majorHAnsi" w:cstheme="majorHAnsi"/>
          <w:b/>
          <w:szCs w:val="22"/>
          <w:lang w:val="it-CH"/>
        </w:rPr>
        <w:t>9</w:t>
      </w:r>
      <w:r w:rsidR="00B35967" w:rsidRPr="00233C37">
        <w:rPr>
          <w:rFonts w:asciiTheme="majorHAnsi" w:hAnsiTheme="majorHAnsi" w:cstheme="majorHAnsi"/>
          <w:b/>
          <w:szCs w:val="22"/>
          <w:lang w:val="it-CH"/>
        </w:rPr>
        <w:t>6</w:t>
      </w:r>
      <w:r w:rsidR="00635616" w:rsidRPr="00233C37">
        <w:rPr>
          <w:rFonts w:asciiTheme="majorHAnsi" w:hAnsiTheme="majorHAnsi" w:cstheme="majorHAnsi"/>
          <w:b/>
          <w:szCs w:val="22"/>
          <w:lang w:val="it-CH"/>
        </w:rPr>
        <w:t xml:space="preserve"> euro,</w:t>
      </w:r>
      <w:r w:rsidRPr="00233C37">
        <w:rPr>
          <w:rFonts w:asciiTheme="majorHAnsi" w:hAnsiTheme="majorHAnsi" w:cstheme="majorHAnsi"/>
          <w:b/>
          <w:szCs w:val="22"/>
          <w:lang w:val="it-CH"/>
        </w:rPr>
        <w:t xml:space="preserve"> </w:t>
      </w:r>
      <w:r w:rsidR="00635616" w:rsidRPr="00233C37">
        <w:rPr>
          <w:rFonts w:asciiTheme="majorHAnsi" w:hAnsiTheme="majorHAnsi" w:cstheme="majorHAnsi"/>
          <w:b/>
          <w:szCs w:val="22"/>
          <w:lang w:val="it-CH"/>
        </w:rPr>
        <w:t>-</w:t>
      </w:r>
      <w:r w:rsidR="00F9586C" w:rsidRPr="00233C37">
        <w:rPr>
          <w:rFonts w:asciiTheme="majorHAnsi" w:hAnsiTheme="majorHAnsi" w:cstheme="majorHAnsi"/>
          <w:b/>
          <w:szCs w:val="22"/>
          <w:lang w:val="it-CH"/>
        </w:rPr>
        <w:t>28</w:t>
      </w:r>
      <w:r>
        <w:rPr>
          <w:rFonts w:asciiTheme="majorHAnsi" w:hAnsiTheme="majorHAnsi" w:cstheme="majorHAnsi"/>
          <w:b/>
          <w:szCs w:val="22"/>
          <w:lang w:val="it-CH"/>
        </w:rPr>
        <w:t>,</w:t>
      </w:r>
      <w:r w:rsidR="005E3FBB" w:rsidRPr="00233C37">
        <w:rPr>
          <w:rFonts w:asciiTheme="majorHAnsi" w:hAnsiTheme="majorHAnsi" w:cstheme="majorHAnsi"/>
          <w:b/>
          <w:szCs w:val="22"/>
          <w:lang w:val="it-CH"/>
        </w:rPr>
        <w:t>2</w:t>
      </w:r>
      <w:r w:rsidR="00635616" w:rsidRPr="00233C37">
        <w:rPr>
          <w:rFonts w:asciiTheme="majorHAnsi" w:hAnsiTheme="majorHAnsi" w:cstheme="majorHAnsi"/>
          <w:b/>
          <w:szCs w:val="22"/>
          <w:lang w:val="it-CH"/>
        </w:rPr>
        <w:t>% a</w:t>
      </w:r>
      <w:r>
        <w:rPr>
          <w:rFonts w:asciiTheme="majorHAnsi" w:hAnsiTheme="majorHAnsi" w:cstheme="majorHAnsi"/>
          <w:b/>
          <w:szCs w:val="22"/>
          <w:lang w:val="it-CH"/>
        </w:rPr>
        <w:t xml:space="preserve"> tassi costanti di cambio</w:t>
      </w:r>
      <w:r w:rsidR="00635616" w:rsidRPr="00233C37">
        <w:rPr>
          <w:rFonts w:asciiTheme="majorHAnsi" w:hAnsiTheme="majorHAnsi" w:cstheme="majorHAnsi"/>
          <w:b/>
          <w:szCs w:val="22"/>
          <w:lang w:val="it-CH"/>
        </w:rPr>
        <w:t xml:space="preserve"> </w:t>
      </w:r>
    </w:p>
    <w:p w14:paraId="7E1297A5" w14:textId="638DC61C" w:rsidR="00635616" w:rsidRPr="00233C37" w:rsidRDefault="00C66218" w:rsidP="00635616">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233C37">
        <w:rPr>
          <w:rFonts w:asciiTheme="majorHAnsi" w:hAnsiTheme="majorHAnsi" w:cstheme="majorHAnsi"/>
          <w:b/>
          <w:szCs w:val="22"/>
          <w:lang w:val="it-CH"/>
        </w:rPr>
        <w:t>F</w:t>
      </w:r>
      <w:r w:rsidR="00233C37" w:rsidRPr="00233C37">
        <w:rPr>
          <w:rFonts w:asciiTheme="majorHAnsi" w:hAnsiTheme="majorHAnsi" w:cstheme="majorHAnsi"/>
          <w:b/>
          <w:szCs w:val="22"/>
          <w:lang w:val="it-CH"/>
        </w:rPr>
        <w:t>lusso libero di</w:t>
      </w:r>
      <w:r w:rsidR="00233C37">
        <w:rPr>
          <w:rFonts w:asciiTheme="majorHAnsi" w:hAnsiTheme="majorHAnsi" w:cstheme="majorHAnsi"/>
          <w:b/>
          <w:szCs w:val="22"/>
          <w:lang w:val="it-CH"/>
        </w:rPr>
        <w:t xml:space="preserve"> cassa a</w:t>
      </w:r>
      <w:r w:rsidR="00635616" w:rsidRPr="00233C37">
        <w:rPr>
          <w:rFonts w:asciiTheme="majorHAnsi" w:hAnsiTheme="majorHAnsi" w:cstheme="majorHAnsi"/>
          <w:b/>
          <w:szCs w:val="22"/>
          <w:lang w:val="it-CH"/>
        </w:rPr>
        <w:t xml:space="preserve"> </w:t>
      </w:r>
      <w:r w:rsidR="00B35967" w:rsidRPr="00233C37">
        <w:rPr>
          <w:rFonts w:asciiTheme="majorHAnsi" w:hAnsiTheme="majorHAnsi" w:cstheme="majorHAnsi"/>
          <w:b/>
          <w:szCs w:val="22"/>
          <w:lang w:val="it-CH"/>
        </w:rPr>
        <w:t>93</w:t>
      </w:r>
      <w:r w:rsidR="00DF7BD0" w:rsidRPr="00233C37">
        <w:rPr>
          <w:rFonts w:asciiTheme="majorHAnsi" w:hAnsiTheme="majorHAnsi" w:cstheme="majorHAnsi"/>
          <w:b/>
          <w:szCs w:val="22"/>
          <w:lang w:val="it-CH"/>
        </w:rPr>
        <w:t>8</w:t>
      </w:r>
      <w:r w:rsidR="00635616" w:rsidRPr="00233C37">
        <w:rPr>
          <w:rFonts w:asciiTheme="majorHAnsi" w:hAnsiTheme="majorHAnsi" w:cstheme="majorHAnsi"/>
          <w:b/>
          <w:szCs w:val="22"/>
          <w:lang w:val="it-CH"/>
        </w:rPr>
        <w:t xml:space="preserve"> milion</w:t>
      </w:r>
      <w:r w:rsidR="00233C37">
        <w:rPr>
          <w:rFonts w:asciiTheme="majorHAnsi" w:hAnsiTheme="majorHAnsi" w:cstheme="majorHAnsi"/>
          <w:b/>
          <w:szCs w:val="22"/>
          <w:lang w:val="it-CH"/>
        </w:rPr>
        <w:t>i di</w:t>
      </w:r>
      <w:r w:rsidR="00635616" w:rsidRPr="00233C37">
        <w:rPr>
          <w:rFonts w:asciiTheme="majorHAnsi" w:hAnsiTheme="majorHAnsi" w:cstheme="majorHAnsi"/>
          <w:b/>
          <w:szCs w:val="22"/>
          <w:lang w:val="it-CH"/>
        </w:rPr>
        <w:t xml:space="preserve"> euro</w:t>
      </w:r>
      <w:r w:rsidR="0046266D" w:rsidRPr="00233C37">
        <w:rPr>
          <w:rFonts w:asciiTheme="majorHAnsi" w:hAnsiTheme="majorHAnsi" w:cstheme="majorHAnsi"/>
          <w:b/>
          <w:szCs w:val="22"/>
          <w:lang w:val="it-CH"/>
        </w:rPr>
        <w:t xml:space="preserve">, </w:t>
      </w:r>
      <w:r w:rsidR="00233C37">
        <w:rPr>
          <w:rFonts w:asciiTheme="majorHAnsi" w:hAnsiTheme="majorHAnsi" w:cstheme="majorHAnsi"/>
          <w:b/>
          <w:szCs w:val="22"/>
          <w:lang w:val="it-CH"/>
        </w:rPr>
        <w:t xml:space="preserve">migliora la posizione finanziaria netta </w:t>
      </w:r>
    </w:p>
    <w:p w14:paraId="7A6D7614" w14:textId="77777777" w:rsidR="00C973A2" w:rsidRDefault="0064107F" w:rsidP="002C37E2">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C973A2">
        <w:rPr>
          <w:rFonts w:asciiTheme="majorHAnsi" w:hAnsiTheme="majorHAnsi" w:cstheme="majorHAnsi"/>
          <w:b/>
          <w:szCs w:val="22"/>
          <w:lang w:val="it-CH"/>
        </w:rPr>
        <w:t>N</w:t>
      </w:r>
      <w:r w:rsidR="00233C37" w:rsidRPr="00C973A2">
        <w:rPr>
          <w:rFonts w:asciiTheme="majorHAnsi" w:hAnsiTheme="majorHAnsi" w:cstheme="majorHAnsi"/>
          <w:b/>
          <w:szCs w:val="22"/>
          <w:lang w:val="it-CH"/>
        </w:rPr>
        <w:t>essuna nuova previsione per l’anno fiscale</w:t>
      </w:r>
      <w:r w:rsidRPr="00C973A2">
        <w:rPr>
          <w:rFonts w:asciiTheme="majorHAnsi" w:hAnsiTheme="majorHAnsi" w:cstheme="majorHAnsi"/>
          <w:b/>
          <w:szCs w:val="22"/>
          <w:lang w:val="it-CH"/>
        </w:rPr>
        <w:t xml:space="preserve"> 2020 </w:t>
      </w:r>
      <w:r w:rsidR="00C973A2" w:rsidRPr="00233C37">
        <w:rPr>
          <w:rFonts w:asciiTheme="majorHAnsi" w:hAnsiTheme="majorHAnsi" w:cstheme="majorHAnsi"/>
          <w:b/>
          <w:szCs w:val="22"/>
          <w:lang w:val="it-CH"/>
        </w:rPr>
        <w:t xml:space="preserve">a causa </w:t>
      </w:r>
      <w:r w:rsidR="00C973A2">
        <w:rPr>
          <w:rFonts w:asciiTheme="majorHAnsi" w:hAnsiTheme="majorHAnsi" w:cstheme="majorHAnsi"/>
          <w:b/>
          <w:szCs w:val="22"/>
          <w:lang w:val="it-CH"/>
        </w:rPr>
        <w:t>del perdurare dell’incertezza dei mercati</w:t>
      </w:r>
      <w:r w:rsidR="00C973A2" w:rsidRPr="00C973A2">
        <w:rPr>
          <w:rFonts w:asciiTheme="majorHAnsi" w:hAnsiTheme="majorHAnsi" w:cstheme="majorHAnsi"/>
          <w:b/>
          <w:szCs w:val="22"/>
          <w:lang w:val="it-CH"/>
        </w:rPr>
        <w:t xml:space="preserve"> </w:t>
      </w:r>
    </w:p>
    <w:p w14:paraId="717372CE" w14:textId="560AE12E" w:rsidR="00635616" w:rsidRPr="00C973A2" w:rsidRDefault="00233C37" w:rsidP="002C37E2">
      <w:pPr>
        <w:pStyle w:val="Paragrafoelenco"/>
        <w:numPr>
          <w:ilvl w:val="0"/>
          <w:numId w:val="7"/>
        </w:numPr>
        <w:spacing w:after="80"/>
        <w:ind w:left="357" w:right="-108" w:hanging="357"/>
        <w:contextualSpacing w:val="0"/>
        <w:jc w:val="left"/>
        <w:rPr>
          <w:rFonts w:asciiTheme="majorHAnsi" w:hAnsiTheme="majorHAnsi" w:cstheme="majorHAnsi"/>
          <w:b/>
          <w:szCs w:val="22"/>
          <w:lang w:val="it-CH"/>
        </w:rPr>
      </w:pPr>
      <w:r w:rsidRPr="00C973A2">
        <w:rPr>
          <w:rFonts w:asciiTheme="majorHAnsi" w:hAnsiTheme="majorHAnsi" w:cstheme="majorHAnsi"/>
          <w:b/>
          <w:szCs w:val="22"/>
          <w:lang w:val="it-CH"/>
        </w:rPr>
        <w:t>Prosegue l’i</w:t>
      </w:r>
      <w:r w:rsidR="00635616" w:rsidRPr="00C973A2">
        <w:rPr>
          <w:rFonts w:asciiTheme="majorHAnsi" w:hAnsiTheme="majorHAnsi" w:cstheme="majorHAnsi"/>
          <w:b/>
          <w:szCs w:val="22"/>
          <w:lang w:val="it-CH"/>
        </w:rPr>
        <w:t>mplementa</w:t>
      </w:r>
      <w:r w:rsidRPr="00C973A2">
        <w:rPr>
          <w:rFonts w:asciiTheme="majorHAnsi" w:hAnsiTheme="majorHAnsi" w:cstheme="majorHAnsi"/>
          <w:b/>
          <w:szCs w:val="22"/>
          <w:lang w:val="it-CH"/>
        </w:rPr>
        <w:t>zione della nuova agenda strategica</w:t>
      </w:r>
      <w:r w:rsidR="00635616" w:rsidRPr="00C973A2">
        <w:rPr>
          <w:rFonts w:asciiTheme="majorHAnsi" w:hAnsiTheme="majorHAnsi" w:cstheme="majorHAnsi"/>
          <w:b/>
          <w:szCs w:val="22"/>
          <w:lang w:val="it-CH"/>
        </w:rPr>
        <w:t xml:space="preserve"> </w:t>
      </w:r>
      <w:r w:rsidRPr="00C973A2">
        <w:rPr>
          <w:rFonts w:asciiTheme="majorHAnsi" w:hAnsiTheme="majorHAnsi" w:cstheme="majorHAnsi"/>
          <w:b/>
          <w:szCs w:val="22"/>
          <w:lang w:val="it-CH"/>
        </w:rPr>
        <w:t xml:space="preserve">per una crescita fondata sul </w:t>
      </w:r>
      <w:r w:rsidRPr="00C973A2">
        <w:rPr>
          <w:rFonts w:asciiTheme="majorHAnsi" w:hAnsiTheme="majorHAnsi" w:cstheme="majorHAnsi"/>
          <w:b/>
          <w:i/>
          <w:iCs/>
          <w:szCs w:val="22"/>
          <w:lang w:val="it-CH"/>
        </w:rPr>
        <w:t>purpose</w:t>
      </w:r>
    </w:p>
    <w:p w14:paraId="2BD6A07A" w14:textId="0F3DAA06" w:rsidR="00635616" w:rsidRDefault="00635616" w:rsidP="00643D8A">
      <w:pPr>
        <w:rPr>
          <w:rFonts w:cs="Segoe UI"/>
          <w:szCs w:val="22"/>
          <w:lang w:val="it-CH"/>
        </w:rPr>
      </w:pPr>
    </w:p>
    <w:p w14:paraId="4BB056B6" w14:textId="57F6BA7E" w:rsidR="00E64DD5" w:rsidRPr="00E64DD5" w:rsidRDefault="00E64DD5" w:rsidP="00643D8A">
      <w:pPr>
        <w:rPr>
          <w:rFonts w:cs="Segoe UI"/>
          <w:szCs w:val="22"/>
          <w:lang w:val="it-CH"/>
        </w:rPr>
      </w:pPr>
      <w:r w:rsidRPr="00E64DD5">
        <w:rPr>
          <w:rFonts w:ascii="SegoeUI" w:hAnsi="SegoeUI" w:cs="SegoeUI"/>
          <w:sz w:val="16"/>
          <w:szCs w:val="16"/>
          <w:lang w:val="it-CH"/>
        </w:rPr>
        <w:t xml:space="preserve">* Depurato da </w:t>
      </w:r>
      <w:r>
        <w:rPr>
          <w:rFonts w:ascii="SegoeUI" w:hAnsi="SegoeUI" w:cs="SegoeUI"/>
          <w:sz w:val="16"/>
          <w:szCs w:val="16"/>
          <w:lang w:val="it-CH"/>
        </w:rPr>
        <w:t>entrate</w:t>
      </w:r>
      <w:r w:rsidRPr="00E64DD5">
        <w:rPr>
          <w:rFonts w:ascii="SegoeUI" w:hAnsi="SegoeUI" w:cs="SegoeUI"/>
          <w:sz w:val="16"/>
          <w:szCs w:val="16"/>
          <w:lang w:val="it-CH"/>
        </w:rPr>
        <w:t xml:space="preserve"> e oneri straordinari, e costi di ristruttu</w:t>
      </w:r>
      <w:r>
        <w:rPr>
          <w:rFonts w:ascii="SegoeUI" w:hAnsi="SegoeUI" w:cs="SegoeUI"/>
          <w:sz w:val="16"/>
          <w:szCs w:val="16"/>
          <w:lang w:val="it-CH"/>
        </w:rPr>
        <w:t>razione</w:t>
      </w:r>
      <w:r w:rsidRPr="00E64DD5">
        <w:rPr>
          <w:rFonts w:ascii="SegoeUI" w:hAnsi="SegoeUI" w:cs="SegoeUI"/>
          <w:sz w:val="16"/>
          <w:szCs w:val="16"/>
          <w:lang w:val="it-CH"/>
        </w:rPr>
        <w:t>.</w:t>
      </w:r>
    </w:p>
    <w:p w14:paraId="33283EFF" w14:textId="77777777" w:rsidR="00E64DD5" w:rsidRPr="00E64DD5" w:rsidRDefault="00E64DD5" w:rsidP="00643D8A">
      <w:pPr>
        <w:rPr>
          <w:rFonts w:cs="Segoe UI"/>
          <w:szCs w:val="22"/>
          <w:lang w:val="it-CH"/>
        </w:rPr>
      </w:pPr>
    </w:p>
    <w:p w14:paraId="7F461B2E" w14:textId="77777777" w:rsidR="001809FF" w:rsidRDefault="0046266D" w:rsidP="00EE4DF0">
      <w:pPr>
        <w:rPr>
          <w:rFonts w:asciiTheme="majorHAnsi" w:hAnsiTheme="majorHAnsi" w:cstheme="majorHAnsi"/>
          <w:b/>
          <w:szCs w:val="22"/>
          <w:lang w:val="it-CH"/>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1E23DD7D" wp14:editId="0B125B64">
                <wp:simplePos x="0" y="0"/>
                <wp:positionH relativeFrom="margin">
                  <wp:posOffset>-19050</wp:posOffset>
                </wp:positionH>
                <wp:positionV relativeFrom="paragraph">
                  <wp:posOffset>3239579</wp:posOffset>
                </wp:positionV>
                <wp:extent cx="4683760" cy="273133"/>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F54" w14:textId="57EAC4FE"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r w:rsidRPr="00D746F6">
                              <w:rPr>
                                <w:sz w:val="16"/>
                                <w:szCs w:val="16"/>
                              </w:rPr>
                              <w:t xml:space="preserve">Adjusted for one-time </w:t>
                            </w:r>
                            <w:r w:rsidR="007845AC">
                              <w:rPr>
                                <w:sz w:val="16"/>
                                <w:szCs w:val="16"/>
                              </w:rPr>
                              <w:t xml:space="preserve">expenses and </w:t>
                            </w:r>
                            <w:proofErr w:type="gramStart"/>
                            <w:r w:rsidR="007845AC">
                              <w:rPr>
                                <w:sz w:val="16"/>
                                <w:szCs w:val="16"/>
                              </w:rPr>
                              <w:t>income</w:t>
                            </w:r>
                            <w:r w:rsidR="00832633">
                              <w:rPr>
                                <w:sz w:val="16"/>
                                <w:szCs w:val="16"/>
                              </w:rPr>
                              <w:t>,</w:t>
                            </w:r>
                            <w:r w:rsidR="007845AC">
                              <w:rPr>
                                <w:sz w:val="16"/>
                                <w:szCs w:val="16"/>
                              </w:rPr>
                              <w:t xml:space="preserve"> </w:t>
                            </w:r>
                            <w:r w:rsidRPr="00D746F6">
                              <w:rPr>
                                <w:sz w:val="16"/>
                                <w:szCs w:val="16"/>
                              </w:rPr>
                              <w:t>and</w:t>
                            </w:r>
                            <w:proofErr w:type="gramEnd"/>
                            <w:r w:rsidRPr="00D746F6">
                              <w:rPr>
                                <w:sz w:val="16"/>
                                <w:szCs w:val="16"/>
                              </w:rPr>
                              <w:t xml:space="preserve"> restructuring </w:t>
                            </w:r>
                            <w:r>
                              <w:rPr>
                                <w:sz w:val="16"/>
                                <w:szCs w:val="16"/>
                              </w:rPr>
                              <w:t>expenses.</w:t>
                            </w:r>
                          </w:p>
                          <w:p w14:paraId="257A5710" w14:textId="77777777" w:rsidR="00BE47D4" w:rsidRPr="00ED5A2D" w:rsidRDefault="00BE47D4" w:rsidP="00BE47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5pt;margin-top:255.1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" stroked="f">
                <v:textbox>
                  <w:txbxContent>
                    <w:p w14:paraId="77D0EF54" w14:textId="57EAC4FE"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r w:rsidRPr="00D746F6">
                        <w:rPr>
                          <w:sz w:val="16"/>
                          <w:szCs w:val="16"/>
                        </w:rPr>
                        <w:t xml:space="preserve">Adjusted for one-time </w:t>
                      </w:r>
                      <w:r w:rsidR="007845AC">
                        <w:rPr>
                          <w:sz w:val="16"/>
                          <w:szCs w:val="16"/>
                        </w:rPr>
                        <w:t xml:space="preserve">expenses and </w:t>
                      </w:r>
                      <w:proofErr w:type="gramStart"/>
                      <w:r w:rsidR="007845AC">
                        <w:rPr>
                          <w:sz w:val="16"/>
                          <w:szCs w:val="16"/>
                        </w:rPr>
                        <w:t>income</w:t>
                      </w:r>
                      <w:r w:rsidR="00832633">
                        <w:rPr>
                          <w:sz w:val="16"/>
                          <w:szCs w:val="16"/>
                        </w:rPr>
                        <w:t>,</w:t>
                      </w:r>
                      <w:r w:rsidR="007845AC">
                        <w:rPr>
                          <w:sz w:val="16"/>
                          <w:szCs w:val="16"/>
                        </w:rPr>
                        <w:t xml:space="preserve"> </w:t>
                      </w:r>
                      <w:r w:rsidRPr="00D746F6">
                        <w:rPr>
                          <w:sz w:val="16"/>
                          <w:szCs w:val="16"/>
                        </w:rPr>
                        <w:t>and</w:t>
                      </w:r>
                      <w:proofErr w:type="gramEnd"/>
                      <w:r w:rsidRPr="00D746F6">
                        <w:rPr>
                          <w:sz w:val="16"/>
                          <w:szCs w:val="16"/>
                        </w:rPr>
                        <w:t xml:space="preserve"> restructuring </w:t>
                      </w:r>
                      <w:r>
                        <w:rPr>
                          <w:sz w:val="16"/>
                          <w:szCs w:val="16"/>
                        </w:rPr>
                        <w:t>expenses.</w:t>
                      </w:r>
                    </w:p>
                    <w:p w14:paraId="257A5710" w14:textId="77777777" w:rsidR="00BE47D4" w:rsidRPr="00ED5A2D" w:rsidRDefault="00BE47D4" w:rsidP="00BE47D4"/>
                  </w:txbxContent>
                </v:textbox>
                <w10:wrap anchorx="margin"/>
              </v:shape>
            </w:pict>
          </mc:Fallback>
        </mc:AlternateContent>
      </w:r>
      <w:r w:rsidR="00635616" w:rsidRPr="00E64DD5">
        <w:rPr>
          <w:rFonts w:cs="Segoe UI"/>
          <w:b/>
          <w:bCs/>
          <w:szCs w:val="22"/>
          <w:lang w:val="it-CH"/>
        </w:rPr>
        <w:t>Düsseldorf</w:t>
      </w:r>
      <w:r w:rsidR="007F0F63" w:rsidRPr="00E64DD5">
        <w:rPr>
          <w:rFonts w:cs="Segoe UI"/>
          <w:b/>
          <w:bCs/>
          <w:szCs w:val="22"/>
          <w:lang w:val="it-CH"/>
        </w:rPr>
        <w:t xml:space="preserve"> –</w:t>
      </w:r>
      <w:r w:rsidR="007F0F63" w:rsidRPr="00E64DD5">
        <w:rPr>
          <w:rFonts w:cs="Segoe UI"/>
          <w:szCs w:val="22"/>
          <w:lang w:val="it-CH"/>
        </w:rPr>
        <w:t xml:space="preserve"> </w:t>
      </w:r>
      <w:r w:rsidR="00813492" w:rsidRPr="00E64DD5">
        <w:rPr>
          <w:rFonts w:cs="Segoe UI"/>
          <w:b/>
          <w:bCs/>
          <w:szCs w:val="22"/>
          <w:lang w:val="it-CH"/>
        </w:rPr>
        <w:t>“</w:t>
      </w:r>
      <w:r w:rsidR="00F6652A" w:rsidRPr="00E64DD5">
        <w:rPr>
          <w:rFonts w:cs="Segoe UI"/>
          <w:b/>
          <w:bCs/>
          <w:szCs w:val="22"/>
          <w:lang w:val="it-CH"/>
        </w:rPr>
        <w:t>Nel primo semestre</w:t>
      </w:r>
      <w:r w:rsidR="00813492" w:rsidRPr="00E64DD5">
        <w:rPr>
          <w:rFonts w:cs="Segoe UI"/>
          <w:b/>
          <w:bCs/>
          <w:szCs w:val="22"/>
          <w:lang w:val="it-CH"/>
        </w:rPr>
        <w:t xml:space="preserve"> 2020</w:t>
      </w:r>
      <w:r w:rsidR="00DB3786" w:rsidRPr="00E64DD5">
        <w:rPr>
          <w:rFonts w:cs="Segoe UI"/>
          <w:b/>
          <w:bCs/>
          <w:szCs w:val="22"/>
          <w:lang w:val="it-CH"/>
        </w:rPr>
        <w:t xml:space="preserve">, Henkel </w:t>
      </w:r>
      <w:r w:rsidR="00E64DD5" w:rsidRPr="00E64DD5">
        <w:rPr>
          <w:rFonts w:cs="Segoe UI"/>
          <w:b/>
          <w:bCs/>
          <w:szCs w:val="22"/>
          <w:lang w:val="it-CH"/>
        </w:rPr>
        <w:t>è</w:t>
      </w:r>
      <w:r w:rsidR="00E64DD5">
        <w:rPr>
          <w:rFonts w:cs="Segoe UI"/>
          <w:b/>
          <w:bCs/>
          <w:szCs w:val="22"/>
          <w:lang w:val="it-CH"/>
        </w:rPr>
        <w:t xml:space="preserve"> stata fortemente penalizzata dalla recessione economica mondiale e dal netto declino della domanda in molti settori. Durante questa crisi senza precedenti, le nostre priorità sono state </w:t>
      </w:r>
      <w:r w:rsidR="00E64DD5" w:rsidRPr="00233C37">
        <w:rPr>
          <w:rFonts w:asciiTheme="majorHAnsi" w:hAnsiTheme="majorHAnsi" w:cstheme="majorHAnsi"/>
          <w:b/>
          <w:szCs w:val="22"/>
          <w:lang w:val="it-CH"/>
        </w:rPr>
        <w:t>la sicurezza dei dipendenti, la continuità dell</w:t>
      </w:r>
      <w:r w:rsidR="00E64DD5">
        <w:rPr>
          <w:rFonts w:asciiTheme="majorHAnsi" w:hAnsiTheme="majorHAnsi" w:cstheme="majorHAnsi"/>
          <w:b/>
          <w:szCs w:val="22"/>
          <w:lang w:val="it-CH"/>
        </w:rPr>
        <w:t>e</w:t>
      </w:r>
      <w:r w:rsidR="00E64DD5" w:rsidRPr="00233C37">
        <w:rPr>
          <w:rFonts w:asciiTheme="majorHAnsi" w:hAnsiTheme="majorHAnsi" w:cstheme="majorHAnsi"/>
          <w:b/>
          <w:szCs w:val="22"/>
          <w:lang w:val="it-CH"/>
        </w:rPr>
        <w:t xml:space="preserve"> fornitur</w:t>
      </w:r>
      <w:r w:rsidR="00E64DD5">
        <w:rPr>
          <w:rFonts w:asciiTheme="majorHAnsi" w:hAnsiTheme="majorHAnsi" w:cstheme="majorHAnsi"/>
          <w:b/>
          <w:szCs w:val="22"/>
          <w:lang w:val="it-CH"/>
        </w:rPr>
        <w:t>e</w:t>
      </w:r>
      <w:r w:rsidR="00E64DD5" w:rsidRPr="00233C37">
        <w:rPr>
          <w:rFonts w:asciiTheme="majorHAnsi" w:hAnsiTheme="majorHAnsi" w:cstheme="majorHAnsi"/>
          <w:b/>
          <w:szCs w:val="22"/>
          <w:lang w:val="it-CH"/>
        </w:rPr>
        <w:t xml:space="preserve"> ai</w:t>
      </w:r>
      <w:r w:rsidR="00E64DD5">
        <w:rPr>
          <w:rFonts w:asciiTheme="majorHAnsi" w:hAnsiTheme="majorHAnsi" w:cstheme="majorHAnsi"/>
          <w:b/>
          <w:szCs w:val="22"/>
          <w:lang w:val="it-CH"/>
        </w:rPr>
        <w:t xml:space="preserve"> clienti</w:t>
      </w:r>
      <w:r w:rsidR="00E64DD5" w:rsidRPr="00233C37">
        <w:rPr>
          <w:rFonts w:asciiTheme="majorHAnsi" w:hAnsiTheme="majorHAnsi" w:cstheme="majorHAnsi"/>
          <w:b/>
          <w:szCs w:val="22"/>
          <w:lang w:val="it-CH"/>
        </w:rPr>
        <w:t xml:space="preserve"> </w:t>
      </w:r>
      <w:r w:rsidR="00E64DD5">
        <w:rPr>
          <w:rFonts w:asciiTheme="majorHAnsi" w:hAnsiTheme="majorHAnsi" w:cstheme="majorHAnsi"/>
          <w:b/>
          <w:szCs w:val="22"/>
          <w:lang w:val="it-CH"/>
        </w:rPr>
        <w:t xml:space="preserve">e il </w:t>
      </w:r>
      <w:r w:rsidR="00E64DD5" w:rsidRPr="00233C37">
        <w:rPr>
          <w:rFonts w:asciiTheme="majorHAnsi" w:hAnsiTheme="majorHAnsi" w:cstheme="majorHAnsi"/>
          <w:b/>
          <w:szCs w:val="22"/>
          <w:lang w:val="it-CH"/>
        </w:rPr>
        <w:t>support</w:t>
      </w:r>
      <w:r w:rsidR="00E64DD5">
        <w:rPr>
          <w:rFonts w:asciiTheme="majorHAnsi" w:hAnsiTheme="majorHAnsi" w:cstheme="majorHAnsi"/>
          <w:b/>
          <w:szCs w:val="22"/>
          <w:lang w:val="it-CH"/>
        </w:rPr>
        <w:t xml:space="preserve">o alle comunità colpite dal COVID-19. Grazie allo spirito di squadra e all’impegno dei nostri dipendenti in tutto il mondo, siamo riusciti a </w:t>
      </w:r>
      <w:r w:rsidR="004B49DA">
        <w:rPr>
          <w:rFonts w:asciiTheme="majorHAnsi" w:hAnsiTheme="majorHAnsi" w:cstheme="majorHAnsi"/>
          <w:b/>
          <w:szCs w:val="22"/>
          <w:lang w:val="it-CH"/>
        </w:rPr>
        <w:t>raggiungere questi obiettivi</w:t>
      </w:r>
      <w:r w:rsidR="00E64DD5">
        <w:rPr>
          <w:rFonts w:asciiTheme="majorHAnsi" w:hAnsiTheme="majorHAnsi" w:cstheme="majorHAnsi"/>
          <w:b/>
          <w:szCs w:val="22"/>
          <w:lang w:val="it-CH"/>
        </w:rPr>
        <w:t xml:space="preserve"> nel primo semestre 2020. </w:t>
      </w:r>
      <w:r w:rsidR="00E64DD5" w:rsidRPr="00E64DD5">
        <w:rPr>
          <w:rFonts w:asciiTheme="majorHAnsi" w:hAnsiTheme="majorHAnsi" w:cstheme="majorHAnsi"/>
          <w:b/>
          <w:szCs w:val="22"/>
          <w:lang w:val="it-CH"/>
        </w:rPr>
        <w:t xml:space="preserve">L’ampiezza del nostro portafoglio per </w:t>
      </w:r>
      <w:r w:rsidR="00E64DD5">
        <w:rPr>
          <w:rFonts w:asciiTheme="majorHAnsi" w:hAnsiTheme="majorHAnsi" w:cstheme="majorHAnsi"/>
          <w:b/>
          <w:szCs w:val="22"/>
          <w:lang w:val="it-CH"/>
        </w:rPr>
        <w:t>i</w:t>
      </w:r>
      <w:r w:rsidR="00E64DD5" w:rsidRPr="00E64DD5">
        <w:rPr>
          <w:rFonts w:asciiTheme="majorHAnsi" w:hAnsiTheme="majorHAnsi" w:cstheme="majorHAnsi"/>
          <w:b/>
          <w:szCs w:val="22"/>
          <w:lang w:val="it-CH"/>
        </w:rPr>
        <w:t xml:space="preserve"> mercati industriali e i</w:t>
      </w:r>
      <w:r w:rsidR="00E64DD5">
        <w:rPr>
          <w:rFonts w:asciiTheme="majorHAnsi" w:hAnsiTheme="majorHAnsi" w:cstheme="majorHAnsi"/>
          <w:b/>
          <w:szCs w:val="22"/>
          <w:lang w:val="it-CH"/>
        </w:rPr>
        <w:t xml:space="preserve">l largo consumo ci ha permesso di mitigare l’impatto della crisi sul fatturato e la marginalità complessiva. </w:t>
      </w:r>
    </w:p>
    <w:p w14:paraId="11B55725" w14:textId="3545A4DE" w:rsidR="0055571E" w:rsidRPr="00EE4DF0" w:rsidRDefault="00E64DD5" w:rsidP="00EE4DF0">
      <w:pPr>
        <w:rPr>
          <w:rFonts w:cs="Segoe UI"/>
          <w:b/>
          <w:bCs/>
          <w:szCs w:val="22"/>
          <w:lang w:val="it-CH"/>
        </w:rPr>
      </w:pPr>
      <w:r>
        <w:rPr>
          <w:rFonts w:asciiTheme="majorHAnsi" w:hAnsiTheme="majorHAnsi" w:cstheme="majorHAnsi"/>
          <w:b/>
          <w:szCs w:val="22"/>
          <w:lang w:val="it-CH"/>
        </w:rPr>
        <w:t>Nei primi sei mesi dell’anno abbiamo fatturato circa 9,5 miliardi di euro, con un profitto operativo di 1,2 miliardi di euro e un margine EBIT pari al 12,6%. Abbiamo corrisposto agli azionisti l’intero dividen</w:t>
      </w:r>
      <w:r w:rsidR="007E6EF3">
        <w:rPr>
          <w:rFonts w:asciiTheme="majorHAnsi" w:hAnsiTheme="majorHAnsi" w:cstheme="majorHAnsi"/>
          <w:b/>
          <w:szCs w:val="22"/>
          <w:lang w:val="it-CH"/>
        </w:rPr>
        <w:t>d</w:t>
      </w:r>
      <w:r>
        <w:rPr>
          <w:rFonts w:asciiTheme="majorHAnsi" w:hAnsiTheme="majorHAnsi" w:cstheme="majorHAnsi"/>
          <w:b/>
          <w:szCs w:val="22"/>
          <w:lang w:val="it-CH"/>
        </w:rPr>
        <w:t>o 2019, siamo riusciti a generare un flusso di cassa comunque solido e migliorare la posizione finanziaria netta.</w:t>
      </w:r>
      <w:r w:rsidR="000032A7">
        <w:rPr>
          <w:rFonts w:asciiTheme="majorHAnsi" w:hAnsiTheme="majorHAnsi" w:cstheme="majorHAnsi"/>
          <w:b/>
          <w:szCs w:val="22"/>
          <w:lang w:val="it-CH"/>
        </w:rPr>
        <w:t xml:space="preserve"> Non abbiamo </w:t>
      </w:r>
      <w:r w:rsidR="00EE4DF0">
        <w:rPr>
          <w:rFonts w:asciiTheme="majorHAnsi" w:hAnsiTheme="majorHAnsi" w:cstheme="majorHAnsi"/>
          <w:b/>
          <w:szCs w:val="22"/>
          <w:lang w:val="it-CH"/>
        </w:rPr>
        <w:t xml:space="preserve">ridotto l’orario di lavoro o il nostro organico a causa della crisi, né chiesto aiuti governativi. In sintesi, abbiamo ottenuto una buona performance economica in uno scenario eccezionalmente complesso”, </w:t>
      </w:r>
      <w:r w:rsidR="00EE4DF0" w:rsidRPr="00EE4DF0">
        <w:rPr>
          <w:rFonts w:cs="Segoe UI"/>
          <w:b/>
          <w:bCs/>
          <w:szCs w:val="22"/>
          <w:lang w:val="it-CH"/>
        </w:rPr>
        <w:t>ha</w:t>
      </w:r>
      <w:r w:rsidR="00EE4DF0">
        <w:rPr>
          <w:rFonts w:cs="Segoe UI"/>
          <w:b/>
          <w:bCs/>
          <w:szCs w:val="22"/>
          <w:lang w:val="it-CH"/>
        </w:rPr>
        <w:t xml:space="preserve"> commentato</w:t>
      </w:r>
      <w:r w:rsidR="00813492" w:rsidRPr="00EE4DF0">
        <w:rPr>
          <w:rFonts w:cs="Segoe UI"/>
          <w:b/>
          <w:bCs/>
          <w:szCs w:val="22"/>
          <w:lang w:val="it-CH"/>
        </w:rPr>
        <w:t xml:space="preserve"> Carsten Knobel</w:t>
      </w:r>
      <w:r w:rsidR="00EE4DF0">
        <w:rPr>
          <w:rFonts w:cs="Segoe UI"/>
          <w:b/>
          <w:bCs/>
          <w:szCs w:val="22"/>
          <w:lang w:val="it-CH"/>
        </w:rPr>
        <w:t>, CEO di Henkel</w:t>
      </w:r>
      <w:r w:rsidR="00813492" w:rsidRPr="00EE4DF0">
        <w:rPr>
          <w:rFonts w:cs="Segoe UI"/>
          <w:b/>
          <w:bCs/>
          <w:szCs w:val="22"/>
          <w:lang w:val="it-CH"/>
        </w:rPr>
        <w:t>.</w:t>
      </w:r>
    </w:p>
    <w:p w14:paraId="74DCD38C" w14:textId="43CFC8BF" w:rsidR="007F0F63" w:rsidRPr="00EE4DF0" w:rsidRDefault="007F0F63" w:rsidP="00643D8A">
      <w:pPr>
        <w:rPr>
          <w:rFonts w:cs="Segoe UI"/>
          <w:szCs w:val="22"/>
          <w:lang w:val="it-CH"/>
        </w:rPr>
      </w:pPr>
    </w:p>
    <w:p w14:paraId="3961B889" w14:textId="43285F5C" w:rsidR="00846017" w:rsidRPr="00C973A2" w:rsidRDefault="00846017" w:rsidP="00093345">
      <w:pPr>
        <w:rPr>
          <w:rFonts w:cs="Segoe UI"/>
          <w:b/>
          <w:bCs/>
          <w:szCs w:val="22"/>
          <w:lang w:val="it-CH"/>
        </w:rPr>
      </w:pPr>
      <w:r w:rsidRPr="00093345">
        <w:rPr>
          <w:rFonts w:cs="Segoe UI"/>
          <w:b/>
          <w:bCs/>
          <w:szCs w:val="22"/>
          <w:lang w:val="it-CH"/>
        </w:rPr>
        <w:t xml:space="preserve">Henkel </w:t>
      </w:r>
      <w:r w:rsidR="00093345" w:rsidRPr="00093345">
        <w:rPr>
          <w:rFonts w:cs="Segoe UI"/>
          <w:b/>
          <w:bCs/>
          <w:szCs w:val="22"/>
          <w:lang w:val="it-CH"/>
        </w:rPr>
        <w:t>ha registrato un f</w:t>
      </w:r>
      <w:r w:rsidR="00093345">
        <w:rPr>
          <w:rFonts w:cs="Segoe UI"/>
          <w:b/>
          <w:bCs/>
          <w:szCs w:val="22"/>
          <w:lang w:val="it-CH"/>
        </w:rPr>
        <w:t xml:space="preserve">atturato di </w:t>
      </w:r>
      <w:r w:rsidR="00233D04" w:rsidRPr="00093345">
        <w:rPr>
          <w:rFonts w:cs="Segoe UI"/>
          <w:b/>
          <w:bCs/>
          <w:szCs w:val="22"/>
          <w:lang w:val="it-CH"/>
        </w:rPr>
        <w:t>9</w:t>
      </w:r>
      <w:r w:rsidR="00093345">
        <w:rPr>
          <w:rFonts w:cs="Segoe UI"/>
          <w:b/>
          <w:bCs/>
          <w:szCs w:val="22"/>
          <w:lang w:val="it-CH"/>
        </w:rPr>
        <w:t>.</w:t>
      </w:r>
      <w:r w:rsidR="00233D04" w:rsidRPr="00093345">
        <w:rPr>
          <w:rFonts w:cs="Segoe UI"/>
          <w:b/>
          <w:bCs/>
          <w:szCs w:val="22"/>
          <w:lang w:val="it-CH"/>
        </w:rPr>
        <w:t>485 m</w:t>
      </w:r>
      <w:r w:rsidRPr="00093345">
        <w:rPr>
          <w:rFonts w:cs="Segoe UI"/>
          <w:b/>
          <w:bCs/>
          <w:szCs w:val="22"/>
          <w:lang w:val="it-CH"/>
        </w:rPr>
        <w:t>ilion</w:t>
      </w:r>
      <w:r w:rsidR="00093345">
        <w:rPr>
          <w:rFonts w:cs="Segoe UI"/>
          <w:b/>
          <w:bCs/>
          <w:szCs w:val="22"/>
          <w:lang w:val="it-CH"/>
        </w:rPr>
        <w:t>i di</w:t>
      </w:r>
      <w:r w:rsidRPr="00093345">
        <w:rPr>
          <w:rFonts w:cs="Segoe UI"/>
          <w:b/>
          <w:bCs/>
          <w:szCs w:val="22"/>
          <w:lang w:val="it-CH"/>
        </w:rPr>
        <w:t xml:space="preserve"> euro</w:t>
      </w:r>
      <w:r w:rsidR="00093345">
        <w:rPr>
          <w:rFonts w:cs="Segoe UI"/>
          <w:b/>
          <w:bCs/>
          <w:szCs w:val="22"/>
          <w:lang w:val="it-CH"/>
        </w:rPr>
        <w:t xml:space="preserve"> nel primo semestre</w:t>
      </w:r>
      <w:r w:rsidRPr="00093345">
        <w:rPr>
          <w:rFonts w:cs="Segoe UI"/>
          <w:b/>
          <w:bCs/>
          <w:szCs w:val="22"/>
          <w:lang w:val="it-CH"/>
        </w:rPr>
        <w:t xml:space="preserve"> 2020</w:t>
      </w:r>
      <w:r w:rsidR="00093345">
        <w:rPr>
          <w:rFonts w:cs="Segoe UI"/>
          <w:b/>
          <w:bCs/>
          <w:szCs w:val="22"/>
          <w:lang w:val="it-CH"/>
        </w:rPr>
        <w:t xml:space="preserve">, che corrisponde a un calo del 6,0% in termini nominali e 5,2% in termini organici rispetto allo stesso periodo dell’anno precedente. </w:t>
      </w:r>
      <w:r w:rsidR="00093345" w:rsidRPr="00093345">
        <w:rPr>
          <w:rFonts w:cs="Segoe UI"/>
          <w:b/>
          <w:bCs/>
          <w:szCs w:val="22"/>
          <w:lang w:val="it-CH"/>
        </w:rPr>
        <w:t xml:space="preserve">Il profitto operativo è stato pari a </w:t>
      </w:r>
      <w:r w:rsidR="00233D04" w:rsidRPr="00093345">
        <w:rPr>
          <w:rFonts w:cs="Segoe UI"/>
          <w:b/>
          <w:bCs/>
          <w:szCs w:val="22"/>
          <w:lang w:val="it-CH"/>
        </w:rPr>
        <w:t>1</w:t>
      </w:r>
      <w:r w:rsidR="00093345" w:rsidRPr="00093345">
        <w:rPr>
          <w:rFonts w:cs="Segoe UI"/>
          <w:b/>
          <w:bCs/>
          <w:szCs w:val="22"/>
          <w:lang w:val="it-CH"/>
        </w:rPr>
        <w:t>.</w:t>
      </w:r>
      <w:r w:rsidR="00233D04" w:rsidRPr="00093345">
        <w:rPr>
          <w:rFonts w:cs="Segoe UI"/>
          <w:b/>
          <w:bCs/>
          <w:szCs w:val="22"/>
          <w:lang w:val="it-CH"/>
        </w:rPr>
        <w:t>1</w:t>
      </w:r>
      <w:r w:rsidR="00E41377" w:rsidRPr="00093345">
        <w:rPr>
          <w:rFonts w:cs="Segoe UI"/>
          <w:b/>
          <w:bCs/>
          <w:szCs w:val="22"/>
          <w:lang w:val="it-CH"/>
        </w:rPr>
        <w:t>91</w:t>
      </w:r>
      <w:r w:rsidRPr="00093345">
        <w:rPr>
          <w:rFonts w:cs="Segoe UI"/>
          <w:b/>
          <w:bCs/>
          <w:szCs w:val="22"/>
          <w:lang w:val="it-CH"/>
        </w:rPr>
        <w:t xml:space="preserve"> milion</w:t>
      </w:r>
      <w:r w:rsidR="00093345" w:rsidRPr="00093345">
        <w:rPr>
          <w:rFonts w:cs="Segoe UI"/>
          <w:b/>
          <w:bCs/>
          <w:szCs w:val="22"/>
          <w:lang w:val="it-CH"/>
        </w:rPr>
        <w:t xml:space="preserve">i </w:t>
      </w:r>
      <w:r w:rsidR="00093345">
        <w:rPr>
          <w:rFonts w:cs="Segoe UI"/>
          <w:b/>
          <w:bCs/>
          <w:szCs w:val="22"/>
          <w:lang w:val="it-CH"/>
        </w:rPr>
        <w:t xml:space="preserve">di </w:t>
      </w:r>
      <w:r w:rsidRPr="00093345">
        <w:rPr>
          <w:rFonts w:cs="Segoe UI"/>
          <w:b/>
          <w:bCs/>
          <w:szCs w:val="22"/>
          <w:lang w:val="it-CH"/>
        </w:rPr>
        <w:t>euro, -</w:t>
      </w:r>
      <w:r w:rsidR="007B58C6" w:rsidRPr="00093345">
        <w:rPr>
          <w:rFonts w:cs="Segoe UI"/>
          <w:b/>
          <w:bCs/>
          <w:szCs w:val="22"/>
          <w:lang w:val="it-CH"/>
        </w:rPr>
        <w:t>27</w:t>
      </w:r>
      <w:r w:rsidR="00093345">
        <w:rPr>
          <w:rFonts w:cs="Segoe UI"/>
          <w:b/>
          <w:bCs/>
          <w:szCs w:val="22"/>
          <w:lang w:val="it-CH"/>
        </w:rPr>
        <w:t>,</w:t>
      </w:r>
      <w:r w:rsidR="005E3FBB" w:rsidRPr="00093345">
        <w:rPr>
          <w:rFonts w:cs="Segoe UI"/>
          <w:b/>
          <w:bCs/>
          <w:szCs w:val="22"/>
          <w:lang w:val="it-CH"/>
        </w:rPr>
        <w:t>5</w:t>
      </w:r>
      <w:r w:rsidR="00093345">
        <w:rPr>
          <w:rFonts w:cs="Segoe UI"/>
          <w:b/>
          <w:bCs/>
          <w:szCs w:val="22"/>
          <w:lang w:val="it-CH"/>
        </w:rPr>
        <w:t xml:space="preserve">% rispetto all’anno scorso. Il margine EBIT depurato è stato pari al 12,6%, con una diminuzione di 370 punti base. </w:t>
      </w:r>
    </w:p>
    <w:p w14:paraId="74F11F3B" w14:textId="7EDF285B" w:rsidR="00846017" w:rsidRPr="00C973A2" w:rsidRDefault="00846017" w:rsidP="00846017">
      <w:pPr>
        <w:rPr>
          <w:rFonts w:cs="Segoe UI"/>
          <w:b/>
          <w:bCs/>
          <w:szCs w:val="22"/>
          <w:lang w:val="it-CH"/>
        </w:rPr>
      </w:pPr>
    </w:p>
    <w:p w14:paraId="521C2664" w14:textId="2B0FBD83" w:rsidR="00093345" w:rsidRPr="00412B05" w:rsidRDefault="00093345" w:rsidP="00846017">
      <w:pPr>
        <w:rPr>
          <w:rFonts w:cs="Segoe UI"/>
          <w:b/>
          <w:bCs/>
          <w:szCs w:val="22"/>
          <w:lang w:val="it-CH"/>
        </w:rPr>
      </w:pPr>
      <w:r w:rsidRPr="00093345">
        <w:rPr>
          <w:rFonts w:cs="Segoe UI"/>
          <w:b/>
          <w:bCs/>
          <w:szCs w:val="22"/>
          <w:lang w:val="it-CH"/>
        </w:rPr>
        <w:t>Nei primi sei mesi d</w:t>
      </w:r>
      <w:r>
        <w:rPr>
          <w:rFonts w:cs="Segoe UI"/>
          <w:b/>
          <w:bCs/>
          <w:szCs w:val="22"/>
          <w:lang w:val="it-CH"/>
        </w:rPr>
        <w:t xml:space="preserve">ell’anno, la divisione </w:t>
      </w:r>
      <w:r w:rsidRPr="00093345">
        <w:rPr>
          <w:rFonts w:cs="Segoe UI"/>
          <w:b/>
          <w:bCs/>
          <w:szCs w:val="22"/>
          <w:lang w:val="it-CH"/>
        </w:rPr>
        <w:t>Adhesive Technologies</w:t>
      </w:r>
      <w:r>
        <w:rPr>
          <w:rFonts w:cs="Segoe UI"/>
          <w:b/>
          <w:bCs/>
          <w:szCs w:val="22"/>
          <w:lang w:val="it-CH"/>
        </w:rPr>
        <w:t xml:space="preserve"> è stata </w:t>
      </w:r>
      <w:r w:rsidR="00412B05">
        <w:rPr>
          <w:rFonts w:cs="Segoe UI"/>
          <w:b/>
          <w:bCs/>
          <w:szCs w:val="22"/>
          <w:lang w:val="it-CH"/>
        </w:rPr>
        <w:t xml:space="preserve">condizionata dal </w:t>
      </w:r>
      <w:r w:rsidR="004B49DA">
        <w:rPr>
          <w:rFonts w:cs="Segoe UI"/>
          <w:b/>
          <w:bCs/>
          <w:szCs w:val="22"/>
          <w:lang w:val="it-CH"/>
        </w:rPr>
        <w:t xml:space="preserve">calo </w:t>
      </w:r>
      <w:r w:rsidR="00412B05">
        <w:rPr>
          <w:rFonts w:cs="Segoe UI"/>
          <w:b/>
          <w:bCs/>
          <w:szCs w:val="22"/>
          <w:lang w:val="it-CH"/>
        </w:rPr>
        <w:t xml:space="preserve">significativo della domanda dei principali settori industriali. </w:t>
      </w:r>
      <w:r w:rsidR="00412B05" w:rsidRPr="00412B05">
        <w:rPr>
          <w:rFonts w:cs="Segoe UI"/>
          <w:b/>
          <w:bCs/>
          <w:szCs w:val="22"/>
          <w:lang w:val="it-CH"/>
        </w:rPr>
        <w:t>Sui risultati di Beauty Care hanno pesato le difficoltà d</w:t>
      </w:r>
      <w:r w:rsidR="00412B05">
        <w:rPr>
          <w:rFonts w:cs="Segoe UI"/>
          <w:b/>
          <w:bCs/>
          <w:szCs w:val="22"/>
          <w:lang w:val="it-CH"/>
        </w:rPr>
        <w:t xml:space="preserve">ei saloni di bellezza, chiusi in molti Paesi a causa della pandemia. </w:t>
      </w:r>
      <w:r w:rsidR="00412B05" w:rsidRPr="00412B05">
        <w:rPr>
          <w:rFonts w:cs="Segoe UI"/>
          <w:b/>
          <w:bCs/>
          <w:szCs w:val="22"/>
          <w:lang w:val="it-CH"/>
        </w:rPr>
        <w:t>La divisione Laundry &amp; Home Care ha invece avuto uno s</w:t>
      </w:r>
      <w:r w:rsidR="00412B05">
        <w:rPr>
          <w:rFonts w:cs="Segoe UI"/>
          <w:b/>
          <w:bCs/>
          <w:szCs w:val="22"/>
          <w:lang w:val="it-CH"/>
        </w:rPr>
        <w:t>viluppo molto positivo, alimentato dall’importante</w:t>
      </w:r>
      <w:r w:rsidR="00A474B7">
        <w:rPr>
          <w:rFonts w:cs="Segoe UI"/>
          <w:b/>
          <w:bCs/>
          <w:szCs w:val="22"/>
          <w:lang w:val="it-CH"/>
        </w:rPr>
        <w:t xml:space="preserve"> aumento delle richieste di prodotti per l’igiene personale e la pulizia degli ambienti.</w:t>
      </w:r>
    </w:p>
    <w:p w14:paraId="25555AFF" w14:textId="2545F4A0" w:rsidR="00846017" w:rsidRPr="00C973A2" w:rsidRDefault="00846017" w:rsidP="00846017">
      <w:pPr>
        <w:rPr>
          <w:rFonts w:cs="Segoe UI"/>
          <w:b/>
          <w:bCs/>
          <w:szCs w:val="22"/>
          <w:lang w:val="it-CH"/>
        </w:rPr>
      </w:pPr>
    </w:p>
    <w:p w14:paraId="03299EDE" w14:textId="6CD41A0E" w:rsidR="0064107F" w:rsidRPr="00A474B7" w:rsidRDefault="00846017" w:rsidP="00A474B7">
      <w:pPr>
        <w:rPr>
          <w:rFonts w:cs="Segoe UI"/>
          <w:b/>
          <w:bCs/>
          <w:szCs w:val="22"/>
          <w:lang w:val="it-CH"/>
        </w:rPr>
      </w:pPr>
      <w:r w:rsidRPr="00A474B7">
        <w:rPr>
          <w:rFonts w:cs="Segoe UI"/>
          <w:b/>
          <w:bCs/>
          <w:szCs w:val="22"/>
          <w:lang w:val="it-CH"/>
        </w:rPr>
        <w:t>“</w:t>
      </w:r>
      <w:r w:rsidR="00A474B7" w:rsidRPr="00A474B7">
        <w:rPr>
          <w:rFonts w:cs="Segoe UI"/>
          <w:b/>
          <w:bCs/>
          <w:szCs w:val="22"/>
          <w:lang w:val="it-CH"/>
        </w:rPr>
        <w:t>Considera</w:t>
      </w:r>
      <w:r w:rsidR="004B49DA">
        <w:rPr>
          <w:rFonts w:cs="Segoe UI"/>
          <w:b/>
          <w:bCs/>
          <w:szCs w:val="22"/>
          <w:lang w:val="it-CH"/>
        </w:rPr>
        <w:t>ta</w:t>
      </w:r>
      <w:r w:rsidR="00A474B7" w:rsidRPr="00A474B7">
        <w:rPr>
          <w:rFonts w:cs="Segoe UI"/>
          <w:b/>
          <w:bCs/>
          <w:szCs w:val="22"/>
          <w:lang w:val="it-CH"/>
        </w:rPr>
        <w:t xml:space="preserve"> l’in</w:t>
      </w:r>
      <w:r w:rsidR="007E6EF3">
        <w:rPr>
          <w:rFonts w:cs="Segoe UI"/>
          <w:b/>
          <w:bCs/>
          <w:szCs w:val="22"/>
          <w:lang w:val="it-CH"/>
        </w:rPr>
        <w:t>c</w:t>
      </w:r>
      <w:r w:rsidR="00A474B7" w:rsidRPr="00A474B7">
        <w:rPr>
          <w:rFonts w:cs="Segoe UI"/>
          <w:b/>
          <w:bCs/>
          <w:szCs w:val="22"/>
          <w:lang w:val="it-CH"/>
        </w:rPr>
        <w:t>ertezza che continua a</w:t>
      </w:r>
      <w:r w:rsidR="00A474B7">
        <w:rPr>
          <w:rFonts w:cs="Segoe UI"/>
          <w:b/>
          <w:bCs/>
          <w:szCs w:val="22"/>
          <w:lang w:val="it-CH"/>
        </w:rPr>
        <w:t xml:space="preserve"> caratterizzare i mercati, non possiamo formulare una nuova, attendibile previsione per la chiusura dell’anno fiscale”, </w:t>
      </w:r>
      <w:r w:rsidR="00A474B7" w:rsidRPr="00A474B7">
        <w:rPr>
          <w:rFonts w:cs="Segoe UI"/>
          <w:b/>
          <w:bCs/>
          <w:szCs w:val="22"/>
          <w:lang w:val="it-CH"/>
        </w:rPr>
        <w:t>ha</w:t>
      </w:r>
      <w:r w:rsidR="00A474B7">
        <w:rPr>
          <w:rFonts w:cs="Segoe UI"/>
          <w:b/>
          <w:bCs/>
          <w:szCs w:val="22"/>
          <w:lang w:val="it-CH"/>
        </w:rPr>
        <w:t xml:space="preserve"> spiegato</w:t>
      </w:r>
      <w:r w:rsidR="0064107F" w:rsidRPr="00A474B7">
        <w:rPr>
          <w:rFonts w:cs="Segoe UI"/>
          <w:b/>
          <w:bCs/>
          <w:szCs w:val="22"/>
          <w:lang w:val="it-CH"/>
        </w:rPr>
        <w:t xml:space="preserve"> Carsten Knobel. </w:t>
      </w:r>
    </w:p>
    <w:p w14:paraId="0856CCF5" w14:textId="23EFA747" w:rsidR="00846017" w:rsidRPr="00A474B7" w:rsidRDefault="00846017" w:rsidP="00846017">
      <w:pPr>
        <w:rPr>
          <w:rFonts w:cs="Segoe UI"/>
          <w:b/>
          <w:bCs/>
          <w:szCs w:val="22"/>
          <w:lang w:val="it-CH"/>
        </w:rPr>
      </w:pPr>
    </w:p>
    <w:p w14:paraId="17DAC333" w14:textId="23359177" w:rsidR="00A474B7" w:rsidRPr="00A474B7" w:rsidRDefault="00846017" w:rsidP="00846017">
      <w:pPr>
        <w:rPr>
          <w:rFonts w:cs="Segoe UI"/>
          <w:b/>
          <w:bCs/>
          <w:szCs w:val="22"/>
          <w:lang w:val="it-CH"/>
        </w:rPr>
      </w:pPr>
      <w:r w:rsidRPr="00A474B7">
        <w:rPr>
          <w:rFonts w:cs="Segoe UI"/>
          <w:b/>
          <w:bCs/>
          <w:szCs w:val="22"/>
          <w:lang w:val="it-CH"/>
        </w:rPr>
        <w:t>“</w:t>
      </w:r>
      <w:r w:rsidR="00A474B7" w:rsidRPr="00A474B7">
        <w:rPr>
          <w:rFonts w:cs="Segoe UI"/>
          <w:b/>
          <w:bCs/>
          <w:szCs w:val="22"/>
          <w:lang w:val="it-CH"/>
        </w:rPr>
        <w:t>Mentre gestiamo la crisi t</w:t>
      </w:r>
      <w:r w:rsidR="00A474B7">
        <w:rPr>
          <w:rFonts w:cs="Segoe UI"/>
          <w:b/>
          <w:bCs/>
          <w:szCs w:val="22"/>
          <w:lang w:val="it-CH"/>
        </w:rPr>
        <w:t xml:space="preserve">uttora in corso, restiamo focalizzati sui nostri ambiziosi obiettivi di crescita per i prossimi anni. Abbiamo avviato le prime iniziative previste dalla nostra piattaforma strategica e proseguiremo nell’implementazione dell’agenda per una crescita fondata sul </w:t>
      </w:r>
      <w:r w:rsidR="00A474B7" w:rsidRPr="00A474B7">
        <w:rPr>
          <w:rFonts w:cs="Segoe UI"/>
          <w:b/>
          <w:bCs/>
          <w:i/>
          <w:iCs/>
          <w:szCs w:val="22"/>
          <w:lang w:val="it-CH"/>
        </w:rPr>
        <w:t>purpose</w:t>
      </w:r>
      <w:r w:rsidR="00A474B7">
        <w:rPr>
          <w:rFonts w:cs="Segoe UI"/>
          <w:b/>
          <w:bCs/>
          <w:szCs w:val="22"/>
          <w:lang w:val="it-CH"/>
        </w:rPr>
        <w:t xml:space="preserve">”. </w:t>
      </w:r>
    </w:p>
    <w:p w14:paraId="3309AAB4" w14:textId="77777777" w:rsidR="00A474B7" w:rsidRPr="00A474B7" w:rsidRDefault="00A474B7" w:rsidP="00846017">
      <w:pPr>
        <w:rPr>
          <w:rFonts w:cs="Segoe UI"/>
          <w:b/>
          <w:bCs/>
          <w:szCs w:val="22"/>
          <w:lang w:val="it-CH"/>
        </w:rPr>
      </w:pPr>
    </w:p>
    <w:p w14:paraId="6AF0818E" w14:textId="77777777" w:rsidR="00385438" w:rsidRPr="001809FF" w:rsidRDefault="00385438" w:rsidP="00846017">
      <w:pPr>
        <w:spacing w:after="120"/>
        <w:rPr>
          <w:rFonts w:cs="Segoe UI"/>
          <w:b/>
          <w:szCs w:val="22"/>
          <w:lang w:val="it-CH"/>
        </w:rPr>
      </w:pPr>
    </w:p>
    <w:p w14:paraId="1A1A3031" w14:textId="28FE0B82" w:rsidR="00846017" w:rsidRPr="00A93EA1" w:rsidRDefault="00A93EA1" w:rsidP="00846017">
      <w:pPr>
        <w:spacing w:after="120"/>
        <w:rPr>
          <w:rFonts w:cs="Segoe UI"/>
          <w:b/>
          <w:szCs w:val="22"/>
          <w:lang w:val="it-CH"/>
        </w:rPr>
      </w:pPr>
      <w:r w:rsidRPr="00A93EA1">
        <w:rPr>
          <w:rFonts w:cs="Segoe UI"/>
          <w:b/>
          <w:szCs w:val="22"/>
          <w:lang w:val="it-CH"/>
        </w:rPr>
        <w:t>La risposta alla pandemia</w:t>
      </w:r>
      <w:r w:rsidR="00BE2D0A" w:rsidRPr="00A93EA1">
        <w:rPr>
          <w:rFonts w:cs="Segoe UI"/>
          <w:b/>
          <w:szCs w:val="22"/>
          <w:lang w:val="it-CH"/>
        </w:rPr>
        <w:t xml:space="preserve"> </w:t>
      </w:r>
      <w:r w:rsidR="00846017" w:rsidRPr="00A93EA1">
        <w:rPr>
          <w:rFonts w:cs="Segoe UI"/>
          <w:b/>
          <w:szCs w:val="22"/>
          <w:lang w:val="it-CH"/>
        </w:rPr>
        <w:t xml:space="preserve">COVID-19 </w:t>
      </w:r>
    </w:p>
    <w:p w14:paraId="330518BD" w14:textId="0372C97B" w:rsidR="00A93EA1" w:rsidRDefault="00A93EA1" w:rsidP="00F317B5">
      <w:pPr>
        <w:rPr>
          <w:rFonts w:cs="Segoe UI"/>
          <w:szCs w:val="22"/>
          <w:lang w:val="it-CH" w:eastAsia="de-DE"/>
        </w:rPr>
      </w:pPr>
      <w:r w:rsidRPr="00A93EA1">
        <w:rPr>
          <w:rFonts w:cs="Segoe UI"/>
          <w:szCs w:val="22"/>
          <w:lang w:val="it-CH" w:eastAsia="de-DE"/>
        </w:rPr>
        <w:t>La pandemia COVID-19 ha t</w:t>
      </w:r>
      <w:r>
        <w:rPr>
          <w:rFonts w:cs="Segoe UI"/>
          <w:szCs w:val="22"/>
          <w:lang w:val="it-CH" w:eastAsia="de-DE"/>
        </w:rPr>
        <w:t xml:space="preserve">occato la vita delle persone e avuto un notevole impatto sull’economia globale. </w:t>
      </w:r>
      <w:r w:rsidR="007E4048">
        <w:rPr>
          <w:rFonts w:cs="Segoe UI"/>
          <w:szCs w:val="22"/>
          <w:lang w:val="it-CH" w:eastAsia="de-DE"/>
        </w:rPr>
        <w:t>L</w:t>
      </w:r>
      <w:r w:rsidR="004C25AB">
        <w:rPr>
          <w:rFonts w:cs="Segoe UI"/>
          <w:szCs w:val="22"/>
          <w:lang w:val="it-CH" w:eastAsia="de-DE"/>
        </w:rPr>
        <w:t xml:space="preserve">a salute e la sicurezza dei dipendenti, dei clienti e dei partner </w:t>
      </w:r>
      <w:r w:rsidR="007E4048">
        <w:rPr>
          <w:rFonts w:cs="Segoe UI"/>
          <w:szCs w:val="22"/>
          <w:lang w:val="it-CH" w:eastAsia="de-DE"/>
        </w:rPr>
        <w:t>sono e continuano a essere</w:t>
      </w:r>
      <w:r w:rsidR="004C25AB">
        <w:rPr>
          <w:rFonts w:cs="Segoe UI"/>
          <w:szCs w:val="22"/>
          <w:lang w:val="it-CH" w:eastAsia="de-DE"/>
        </w:rPr>
        <w:t xml:space="preserve"> la massima priorità di Henkel. L’azienda ha introdotto fin dal principio dell’emergenza un’ampia serie di misure protettive e, al tempo stesso, si è impegnata ad assicurare la continuità delle operazioni per non interrompere le forniture a clienti e consumatori. </w:t>
      </w:r>
    </w:p>
    <w:p w14:paraId="396BE6CB" w14:textId="7B81C8F1" w:rsidR="004C25AB" w:rsidRDefault="004C25AB" w:rsidP="00F317B5">
      <w:pPr>
        <w:rPr>
          <w:rFonts w:cs="Segoe UI"/>
          <w:szCs w:val="22"/>
          <w:lang w:val="it-CH" w:eastAsia="de-DE"/>
        </w:rPr>
      </w:pPr>
    </w:p>
    <w:p w14:paraId="2F69066E" w14:textId="7BFD20A3" w:rsidR="004C25AB" w:rsidRPr="00A93EA1" w:rsidRDefault="004C25AB" w:rsidP="004C25AB">
      <w:pPr>
        <w:rPr>
          <w:rFonts w:cs="Segoe UI"/>
          <w:szCs w:val="22"/>
          <w:lang w:val="it-CH" w:eastAsia="de-DE"/>
        </w:rPr>
      </w:pPr>
      <w:r>
        <w:rPr>
          <w:rFonts w:cs="Segoe UI"/>
          <w:szCs w:val="22"/>
          <w:lang w:val="it-CH" w:eastAsia="de-DE"/>
        </w:rPr>
        <w:t xml:space="preserve">Henkel ha inoltre lanciato un piano globale di solidarietà con </w:t>
      </w:r>
      <w:r w:rsidRPr="004C25AB">
        <w:rPr>
          <w:rFonts w:cs="Segoe UI"/>
          <w:szCs w:val="22"/>
          <w:lang w:val="it-CH" w:eastAsia="de-DE"/>
        </w:rPr>
        <w:t>contribut</w:t>
      </w:r>
      <w:r w:rsidR="007E4048">
        <w:rPr>
          <w:rFonts w:cs="Segoe UI"/>
          <w:szCs w:val="22"/>
          <w:lang w:val="it-CH" w:eastAsia="de-DE"/>
        </w:rPr>
        <w:t>i</w:t>
      </w:r>
      <w:r w:rsidRPr="004C25AB">
        <w:rPr>
          <w:rFonts w:cs="Segoe UI"/>
          <w:szCs w:val="22"/>
          <w:lang w:val="it-CH" w:eastAsia="de-DE"/>
        </w:rPr>
        <w:t xml:space="preserve"> economic</w:t>
      </w:r>
      <w:r w:rsidR="007E4048">
        <w:rPr>
          <w:rFonts w:cs="Segoe UI"/>
          <w:szCs w:val="22"/>
          <w:lang w:val="it-CH" w:eastAsia="de-DE"/>
        </w:rPr>
        <w:t>i</w:t>
      </w:r>
      <w:r>
        <w:rPr>
          <w:rFonts w:cs="Segoe UI"/>
          <w:szCs w:val="22"/>
          <w:lang w:val="it-CH" w:eastAsia="de-DE"/>
        </w:rPr>
        <w:t xml:space="preserve"> </w:t>
      </w:r>
      <w:r w:rsidRPr="004C25AB">
        <w:rPr>
          <w:rFonts w:cs="Segoe UI"/>
          <w:szCs w:val="22"/>
          <w:lang w:val="it-CH" w:eastAsia="de-DE"/>
        </w:rPr>
        <w:t>al fondo creato da OMS e ONU e</w:t>
      </w:r>
      <w:r w:rsidR="00943F8B">
        <w:rPr>
          <w:rFonts w:cs="Segoe UI"/>
          <w:szCs w:val="22"/>
          <w:lang w:val="it-CH" w:eastAsia="de-DE"/>
        </w:rPr>
        <w:t>d</w:t>
      </w:r>
      <w:r w:rsidRPr="004C25AB">
        <w:rPr>
          <w:rFonts w:cs="Segoe UI"/>
          <w:szCs w:val="22"/>
          <w:lang w:val="it-CH" w:eastAsia="de-DE"/>
        </w:rPr>
        <w:t xml:space="preserve"> altre organizzazioni impegnate nella gestione dell’emergenza</w:t>
      </w:r>
      <w:r>
        <w:rPr>
          <w:rFonts w:cs="Segoe UI"/>
          <w:szCs w:val="22"/>
          <w:lang w:val="it-CH" w:eastAsia="de-DE"/>
        </w:rPr>
        <w:t xml:space="preserve">, inclusa </w:t>
      </w:r>
      <w:r w:rsidRPr="004C25AB">
        <w:rPr>
          <w:rFonts w:cs="Segoe UI"/>
          <w:szCs w:val="22"/>
          <w:lang w:val="it-CH" w:eastAsia="de-DE"/>
        </w:rPr>
        <w:t>la Protezione Civile italiana</w:t>
      </w:r>
      <w:r>
        <w:rPr>
          <w:rFonts w:cs="Segoe UI"/>
          <w:szCs w:val="22"/>
          <w:lang w:val="it-CH" w:eastAsia="de-DE"/>
        </w:rPr>
        <w:t>.</w:t>
      </w:r>
      <w:r w:rsidRPr="004C25AB">
        <w:rPr>
          <w:rFonts w:cs="Segoe UI"/>
          <w:szCs w:val="22"/>
          <w:lang w:val="it-CH" w:eastAsia="de-DE"/>
        </w:rPr>
        <w:t xml:space="preserve"> </w:t>
      </w:r>
      <w:r>
        <w:rPr>
          <w:rFonts w:cs="Segoe UI"/>
          <w:szCs w:val="22"/>
          <w:lang w:val="it-CH" w:eastAsia="de-DE"/>
        </w:rPr>
        <w:t xml:space="preserve">L’azienda ha donato </w:t>
      </w:r>
      <w:r w:rsidRPr="004C25AB">
        <w:rPr>
          <w:rFonts w:cs="Segoe UI"/>
          <w:szCs w:val="22"/>
          <w:lang w:val="it-CH" w:eastAsia="de-DE"/>
        </w:rPr>
        <w:t>5 milioni di prodotti per l’igiene personale</w:t>
      </w:r>
      <w:r>
        <w:rPr>
          <w:rFonts w:cs="Segoe UI"/>
          <w:szCs w:val="22"/>
          <w:lang w:val="it-CH" w:eastAsia="de-DE"/>
        </w:rPr>
        <w:t xml:space="preserve"> e</w:t>
      </w:r>
      <w:r w:rsidRPr="004C25AB">
        <w:rPr>
          <w:rFonts w:cs="Segoe UI"/>
          <w:szCs w:val="22"/>
          <w:lang w:val="it-CH" w:eastAsia="de-DE"/>
        </w:rPr>
        <w:t xml:space="preserve"> la sanificazione degli ambienti</w:t>
      </w:r>
      <w:r>
        <w:rPr>
          <w:rFonts w:cs="Segoe UI"/>
          <w:szCs w:val="22"/>
          <w:lang w:val="it-CH" w:eastAsia="de-DE"/>
        </w:rPr>
        <w:t xml:space="preserve"> </w:t>
      </w:r>
      <w:r w:rsidRPr="004C25AB">
        <w:rPr>
          <w:rFonts w:cs="Segoe UI"/>
          <w:szCs w:val="22"/>
          <w:lang w:val="it-CH" w:eastAsia="de-DE"/>
        </w:rPr>
        <w:t>ad organizzazioni non profit e partner attivi nelle comunità più colpite dal COVID-19</w:t>
      </w:r>
      <w:r>
        <w:rPr>
          <w:rFonts w:cs="Segoe UI"/>
          <w:szCs w:val="22"/>
          <w:lang w:val="it-CH" w:eastAsia="de-DE"/>
        </w:rPr>
        <w:t>, producendo oltre 111 mila litri di disinfettanti per autorità locali e ospedali. Ad oggi Henkel ha sostenuto quasi 500 progetti legati al COVID-19 in oltre 40 Paesi del mondo, aiutando almeno 5 milioni di persone.</w:t>
      </w:r>
    </w:p>
    <w:p w14:paraId="4F57B40B" w14:textId="77777777" w:rsidR="00A93EA1" w:rsidRPr="00A93EA1" w:rsidRDefault="00A93EA1" w:rsidP="00F317B5">
      <w:pPr>
        <w:rPr>
          <w:rFonts w:cs="Segoe UI"/>
          <w:szCs w:val="22"/>
          <w:lang w:val="it-CH" w:eastAsia="de-DE"/>
        </w:rPr>
      </w:pPr>
    </w:p>
    <w:p w14:paraId="6E9EF439" w14:textId="60A279F2" w:rsidR="000C01B7" w:rsidRPr="000C01B7" w:rsidRDefault="00846017" w:rsidP="00D06825">
      <w:pPr>
        <w:rPr>
          <w:rFonts w:cs="Segoe UI"/>
          <w:szCs w:val="22"/>
          <w:lang w:val="it-CH" w:eastAsia="de-DE"/>
        </w:rPr>
      </w:pPr>
      <w:r w:rsidRPr="004C25AB">
        <w:rPr>
          <w:rFonts w:cs="Segoe UI"/>
          <w:szCs w:val="22"/>
          <w:lang w:val="it-CH" w:eastAsia="de-DE"/>
        </w:rPr>
        <w:t>“</w:t>
      </w:r>
      <w:r w:rsidR="004C25AB" w:rsidRPr="004C25AB">
        <w:rPr>
          <w:rFonts w:cs="Segoe UI"/>
          <w:szCs w:val="22"/>
          <w:lang w:val="it-CH" w:eastAsia="de-DE"/>
        </w:rPr>
        <w:t>Dobbiamo costantemente adattarci all’evoluzione d</w:t>
      </w:r>
      <w:r w:rsidR="004C25AB">
        <w:rPr>
          <w:rFonts w:cs="Segoe UI"/>
          <w:szCs w:val="22"/>
          <w:lang w:val="it-CH" w:eastAsia="de-DE"/>
        </w:rPr>
        <w:t>ella crisi</w:t>
      </w:r>
      <w:r w:rsidR="000C01B7">
        <w:rPr>
          <w:rFonts w:cs="Segoe UI"/>
          <w:szCs w:val="22"/>
          <w:lang w:val="it-CH" w:eastAsia="de-DE"/>
        </w:rPr>
        <w:t xml:space="preserve">, reagendo con flessibilità e tempestività a quello che accadrà nei nostri mercati di riferimento. Dobbiamo essere parte attiva del cambiamento e imparare ad agire su basi nuove”, ha aggiunto </w:t>
      </w:r>
      <w:r w:rsidRPr="000C01B7">
        <w:rPr>
          <w:rFonts w:cs="Segoe UI"/>
          <w:szCs w:val="22"/>
          <w:lang w:val="it-CH" w:eastAsia="de-DE"/>
        </w:rPr>
        <w:t>Carsten Knobel</w:t>
      </w:r>
      <w:r w:rsidR="000C01B7" w:rsidRPr="000C01B7">
        <w:rPr>
          <w:rFonts w:cs="Segoe UI"/>
          <w:szCs w:val="22"/>
          <w:lang w:val="it-CH" w:eastAsia="de-DE"/>
        </w:rPr>
        <w:t>.</w:t>
      </w:r>
      <w:r w:rsidRPr="000C01B7">
        <w:rPr>
          <w:rFonts w:cs="Segoe UI"/>
          <w:szCs w:val="22"/>
          <w:lang w:val="it-CH" w:eastAsia="de-DE"/>
        </w:rPr>
        <w:t xml:space="preserve"> </w:t>
      </w:r>
      <w:bookmarkStart w:id="1" w:name="_Hlk1487071"/>
      <w:r w:rsidRPr="000C01B7">
        <w:rPr>
          <w:rFonts w:cs="Segoe UI"/>
          <w:szCs w:val="22"/>
          <w:lang w:val="it-CH" w:eastAsia="de-DE"/>
        </w:rPr>
        <w:t>“</w:t>
      </w:r>
      <w:r w:rsidR="000C01B7" w:rsidRPr="000C01B7">
        <w:rPr>
          <w:rFonts w:cs="Segoe UI"/>
          <w:szCs w:val="22"/>
          <w:lang w:val="it-CH" w:eastAsia="de-DE"/>
        </w:rPr>
        <w:t>Sono convinto che il nostro team globale, la focalizzazione s</w:t>
      </w:r>
      <w:r w:rsidR="000C01B7">
        <w:rPr>
          <w:rFonts w:cs="Segoe UI"/>
          <w:szCs w:val="22"/>
          <w:lang w:val="it-CH" w:eastAsia="de-DE"/>
        </w:rPr>
        <w:t xml:space="preserve">ull’agenda strategica e la crescita basata sul </w:t>
      </w:r>
      <w:r w:rsidR="000C01B7" w:rsidRPr="000C01B7">
        <w:rPr>
          <w:rFonts w:cs="Segoe UI"/>
          <w:i/>
          <w:iCs/>
          <w:szCs w:val="22"/>
          <w:lang w:val="it-CH" w:eastAsia="de-DE"/>
        </w:rPr>
        <w:t>purpose</w:t>
      </w:r>
      <w:r w:rsidR="000C01B7">
        <w:rPr>
          <w:rFonts w:cs="Segoe UI"/>
          <w:szCs w:val="22"/>
          <w:lang w:val="it-CH" w:eastAsia="de-DE"/>
        </w:rPr>
        <w:t>, la nostra solidità e flessibilità finanziaria, oltre alla capacità di generare un buon flusso di cassa, ci permetteranno di superare questa difficile situazione ed emergere ancora pi</w:t>
      </w:r>
      <w:r w:rsidR="000C01B7" w:rsidRPr="000C01B7">
        <w:rPr>
          <w:rFonts w:cs="Segoe UI"/>
          <w:szCs w:val="22"/>
          <w:lang w:val="it-CH" w:eastAsia="de-DE"/>
        </w:rPr>
        <w:t>ù</w:t>
      </w:r>
      <w:r w:rsidR="000C01B7">
        <w:rPr>
          <w:rFonts w:cs="Segoe UI"/>
          <w:szCs w:val="22"/>
          <w:lang w:val="it-CH" w:eastAsia="de-DE"/>
        </w:rPr>
        <w:t xml:space="preserve"> forti dalla crisi”.</w:t>
      </w:r>
    </w:p>
    <w:p w14:paraId="60BB2771" w14:textId="77777777" w:rsidR="000C01B7" w:rsidRPr="000C01B7" w:rsidRDefault="000C01B7" w:rsidP="00D06825">
      <w:pPr>
        <w:rPr>
          <w:rFonts w:cs="Segoe UI"/>
          <w:szCs w:val="22"/>
          <w:lang w:val="it-CH" w:eastAsia="de-DE"/>
        </w:rPr>
      </w:pPr>
    </w:p>
    <w:bookmarkEnd w:id="1"/>
    <w:p w14:paraId="2E652C40" w14:textId="77777777" w:rsidR="00E24632" w:rsidRPr="00FA5D60" w:rsidRDefault="00E24632" w:rsidP="00D06825">
      <w:pPr>
        <w:rPr>
          <w:rStyle w:val="AboutandContactHeadline"/>
          <w:lang w:val="it-IT"/>
        </w:rPr>
      </w:pPr>
    </w:p>
    <w:p w14:paraId="127B15A2" w14:textId="77777777" w:rsidR="004C25AB" w:rsidRPr="00FA5D60" w:rsidRDefault="004C25AB">
      <w:pPr>
        <w:spacing w:line="240" w:lineRule="auto"/>
        <w:jc w:val="left"/>
        <w:rPr>
          <w:rStyle w:val="AboutandContactHeadline"/>
          <w:lang w:val="it-IT"/>
        </w:rPr>
      </w:pPr>
    </w:p>
    <w:p w14:paraId="16F99303" w14:textId="77777777" w:rsidR="004C25AB" w:rsidRPr="001809FF" w:rsidRDefault="004C25AB" w:rsidP="004C25AB">
      <w:pPr>
        <w:spacing w:after="120"/>
        <w:rPr>
          <w:rFonts w:cs="Segoe UI"/>
          <w:szCs w:val="22"/>
          <w:lang w:val="it-CH"/>
        </w:rPr>
      </w:pPr>
      <w:r w:rsidRPr="001809FF">
        <w:rPr>
          <w:rFonts w:cs="Segoe UI"/>
          <w:szCs w:val="22"/>
          <w:lang w:val="it-CH"/>
        </w:rPr>
        <w:t xml:space="preserve">Per ulteriori informazioni sull’andamento del fatturato e della marginalità nel primo semestre 2020, i risultati delle singole business unit e l’implementazione dell’agenda strategica, si rimanda al </w:t>
      </w:r>
      <w:hyperlink r:id="rId12" w:history="1">
        <w:r w:rsidRPr="001809FF">
          <w:rPr>
            <w:rStyle w:val="Collegamentoipertestuale"/>
            <w:rFonts w:cs="Segoe UI"/>
            <w:sz w:val="22"/>
            <w:szCs w:val="22"/>
            <w:lang w:val="it-CH"/>
          </w:rPr>
          <w:t>comunicato stampa integrale</w:t>
        </w:r>
      </w:hyperlink>
      <w:r w:rsidRPr="001809FF">
        <w:rPr>
          <w:rFonts w:cs="Segoe UI"/>
          <w:szCs w:val="22"/>
          <w:lang w:val="it-CH"/>
        </w:rPr>
        <w:t>, disponibile in lingua inglese.</w:t>
      </w:r>
    </w:p>
    <w:p w14:paraId="3FB35DE3" w14:textId="5EA09BF6" w:rsidR="00DB59E8" w:rsidRDefault="00DB59E8">
      <w:pPr>
        <w:spacing w:line="240" w:lineRule="auto"/>
        <w:jc w:val="left"/>
        <w:rPr>
          <w:rStyle w:val="AboutandContactHeadline"/>
          <w:lang w:val="it-CH"/>
        </w:rPr>
      </w:pPr>
    </w:p>
    <w:p w14:paraId="528C1DE2" w14:textId="77777777" w:rsidR="004C25AB" w:rsidRPr="004C25AB" w:rsidRDefault="004C25AB">
      <w:pPr>
        <w:spacing w:line="240" w:lineRule="auto"/>
        <w:jc w:val="left"/>
        <w:rPr>
          <w:rStyle w:val="AboutandContactHeadline"/>
          <w:lang w:val="it-CH"/>
        </w:rPr>
      </w:pPr>
    </w:p>
    <w:p w14:paraId="3411FCC1" w14:textId="34915094" w:rsidR="00D06825" w:rsidRPr="00C973A2" w:rsidRDefault="00A93EA1" w:rsidP="00D06825">
      <w:pPr>
        <w:rPr>
          <w:rStyle w:val="AboutandContactHeadline"/>
          <w:lang w:val="it-CH"/>
        </w:rPr>
      </w:pPr>
      <w:r w:rsidRPr="00C973A2">
        <w:rPr>
          <w:rStyle w:val="AboutandContactHeadline"/>
          <w:lang w:val="it-CH"/>
        </w:rPr>
        <w:t xml:space="preserve">Informazioni su </w:t>
      </w:r>
      <w:r w:rsidR="00D06825" w:rsidRPr="00C973A2">
        <w:rPr>
          <w:rStyle w:val="AboutandContactHeadline"/>
          <w:lang w:val="it-CH"/>
        </w:rPr>
        <w:t>Henkel</w:t>
      </w:r>
    </w:p>
    <w:p w14:paraId="48F9E369" w14:textId="3595FD66" w:rsidR="00A93EA1" w:rsidRPr="00C973A2" w:rsidRDefault="00A93EA1" w:rsidP="00BB5D0B">
      <w:pPr>
        <w:rPr>
          <w:rStyle w:val="AboutandContactBody"/>
          <w:lang w:val="it-CH"/>
        </w:rPr>
      </w:pPr>
    </w:p>
    <w:p w14:paraId="56270C1E" w14:textId="19E82B88" w:rsidR="00A93EA1" w:rsidRDefault="00A93EA1" w:rsidP="00BB5D0B">
      <w:pPr>
        <w:rPr>
          <w:rStyle w:val="AboutandContactBody"/>
        </w:rPr>
      </w:pPr>
      <w:r w:rsidRPr="00A93EA1">
        <w:rPr>
          <w:rStyle w:val="AboutandContactBody"/>
          <w:lang w:val="it-CH"/>
        </w:rPr>
        <w:t>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w:t>
      </w:r>
      <w:r>
        <w:rPr>
          <w:rStyle w:val="AboutandContactBody"/>
          <w:lang w:val="it-CH"/>
        </w:rPr>
        <w:t>, in tutti i segmenti</w:t>
      </w:r>
      <w:r w:rsidRPr="00A93EA1">
        <w:rPr>
          <w:rStyle w:val="AboutandContactBody"/>
          <w:lang w:val="it-CH"/>
        </w:rPr>
        <w:t xml:space="preserve">. Nei mercati Laundry &amp; Home Care e Beauty Care, Henkel vanta posizioni di leadership in molti mercati e categorie in diversi Paesi del mondo. Fondata nel 1876, Henkel ha costruito una storia di successi lunga oltre 140 anni. Nel 2019 l’azienda ha registrato un fatturato complessivo di oltre 20 miliardi di euro, con un margine operativo depurato pari a 3,2 miliardi di euro. Oggi il gruppo impiega circa 52.000 collaboratori in tutto il mondo – un team motivato ed estremamente eterogeneo, unito da una forte cultura aziendale, il comune obiettivo di creare valore sostenibile, </w:t>
      </w:r>
      <w:r w:rsidR="007E6EF3" w:rsidRPr="00A93EA1">
        <w:rPr>
          <w:rStyle w:val="AboutandContactBody"/>
          <w:lang w:val="it-CH"/>
        </w:rPr>
        <w:t>nonché</w:t>
      </w:r>
      <w:r w:rsidRPr="00A93EA1">
        <w:rPr>
          <w:rStyle w:val="AboutandContactBody"/>
          <w:lang w:val="it-CH"/>
        </w:rPr>
        <w:t xml:space="preserve"> valori condivisi. Leader riconosciuto nell’ambito della sostenibilità, Henkel è tra le maggiori aziende in molti indici e ranking internazionali. Le azioni privilegiate Henkel sono quotate presso la Borsa tedesca secondo l'indice DAX. </w:t>
      </w:r>
      <w:r w:rsidRPr="00A93EA1">
        <w:rPr>
          <w:rStyle w:val="AboutandContactBody"/>
        </w:rPr>
        <w:t xml:space="preserve">Per maggiori informazioni, visitate il sito </w:t>
      </w:r>
      <w:hyperlink r:id="rId13" w:history="1">
        <w:r w:rsidRPr="008B7079">
          <w:rPr>
            <w:rStyle w:val="Collegamentoipertestuale"/>
            <w:szCs w:val="24"/>
          </w:rPr>
          <w:t>www.henkel.com</w:t>
        </w:r>
      </w:hyperlink>
      <w:r>
        <w:rPr>
          <w:rStyle w:val="AboutandContactBody"/>
        </w:rPr>
        <w:t xml:space="preserve"> </w:t>
      </w:r>
    </w:p>
    <w:p w14:paraId="71F33258" w14:textId="45CCFDE7" w:rsidR="00A93EA1" w:rsidRDefault="00A93EA1" w:rsidP="00BB5D0B">
      <w:pPr>
        <w:rPr>
          <w:rStyle w:val="AboutandContactBody"/>
        </w:rPr>
      </w:pPr>
    </w:p>
    <w:p w14:paraId="3D18C1BF" w14:textId="77777777" w:rsidR="00AB503C" w:rsidRDefault="00AB503C" w:rsidP="00BB5D0B">
      <w:pPr>
        <w:rPr>
          <w:rStyle w:val="AboutandContactHeadline"/>
        </w:rPr>
      </w:pPr>
    </w:p>
    <w:p w14:paraId="5EB2C49F" w14:textId="77777777" w:rsidR="00AB503C" w:rsidRDefault="00AB503C" w:rsidP="00BB5D0B">
      <w:pPr>
        <w:rPr>
          <w:rStyle w:val="AboutandContactHeadline"/>
        </w:rPr>
      </w:pPr>
    </w:p>
    <w:p w14:paraId="64357356" w14:textId="79CD93FA" w:rsidR="00A93EA1" w:rsidRPr="00A93EA1" w:rsidRDefault="00A93EA1" w:rsidP="00BB5D0B">
      <w:pPr>
        <w:rPr>
          <w:rStyle w:val="AboutandContactHeadline"/>
        </w:rPr>
      </w:pPr>
      <w:r w:rsidRPr="00A93EA1">
        <w:rPr>
          <w:rStyle w:val="AboutandContactHeadline"/>
        </w:rPr>
        <w:t>Nota</w:t>
      </w:r>
    </w:p>
    <w:p w14:paraId="23DB05BB" w14:textId="77777777" w:rsidR="00F27440" w:rsidRDefault="00F27440">
      <w:pPr>
        <w:spacing w:line="240" w:lineRule="auto"/>
        <w:jc w:val="left"/>
        <w:rPr>
          <w:rFonts w:asciiTheme="majorHAnsi" w:hAnsiTheme="majorHAnsi" w:cstheme="majorHAnsi"/>
          <w:bCs/>
          <w:sz w:val="14"/>
          <w:szCs w:val="14"/>
        </w:rPr>
      </w:pPr>
    </w:p>
    <w:p w14:paraId="06DCFD5C" w14:textId="6A3F13D9" w:rsidR="00E30D26" w:rsidRPr="00CF2487" w:rsidRDefault="00E30D26" w:rsidP="00E30D26">
      <w:pPr>
        <w:rPr>
          <w:rFonts w:asciiTheme="majorHAnsi" w:hAnsiTheme="majorHAnsi" w:cstheme="majorHAnsi"/>
        </w:rPr>
      </w:pPr>
      <w:r w:rsidRPr="00CF2487">
        <w:rPr>
          <w:rFonts w:asciiTheme="majorHAnsi" w:hAnsiTheme="majorHAnsi" w:cstheme="majorHAnsi"/>
          <w:bCs/>
          <w:sz w:val="14"/>
          <w:szCs w:val="14"/>
        </w:rPr>
        <w:t xml:space="preserve">This information contains forward-looking statements which are based on current estimates and assumptions made by the corporate management of Henkel AG &amp; Co. KGaA. Statements with respect to the future are characterized by the use of words such as “expect”, “intend”, “plan”, “anticipate”, “believe”, “estimate”, and similar terms. Such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66F0667F" w14:textId="77777777" w:rsidR="00E30D26" w:rsidRPr="00CF2487" w:rsidRDefault="00E30D26" w:rsidP="00E30D26">
      <w:pPr>
        <w:rPr>
          <w:rFonts w:asciiTheme="majorHAnsi" w:hAnsiTheme="majorHAnsi" w:cstheme="majorHAnsi"/>
          <w:bCs/>
          <w:sz w:val="14"/>
          <w:szCs w:val="14"/>
        </w:rPr>
      </w:pPr>
    </w:p>
    <w:p w14:paraId="2F98F931" w14:textId="77777777" w:rsidR="00E30D26" w:rsidRPr="00CF2487" w:rsidRDefault="00E30D26" w:rsidP="00E30D26">
      <w:pPr>
        <w:rPr>
          <w:rFonts w:asciiTheme="majorHAnsi" w:hAnsiTheme="majorHAnsi" w:cstheme="majorHAnsi"/>
          <w:bCs/>
          <w:sz w:val="14"/>
          <w:szCs w:val="14"/>
        </w:rPr>
      </w:pPr>
      <w:r w:rsidRPr="00CF2487">
        <w:rPr>
          <w:rFonts w:asciiTheme="majorHAnsi" w:hAnsiTheme="majorHAnsi" w:cstheme="majorHAnsi"/>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1A9CAB96" w14:textId="77777777" w:rsidR="00E30D26" w:rsidRPr="00CF2487" w:rsidRDefault="00E30D26" w:rsidP="00E30D26">
      <w:pPr>
        <w:rPr>
          <w:rFonts w:asciiTheme="majorHAnsi" w:hAnsiTheme="majorHAnsi" w:cstheme="majorHAnsi"/>
          <w:bCs/>
          <w:sz w:val="14"/>
          <w:szCs w:val="14"/>
        </w:rPr>
      </w:pPr>
    </w:p>
    <w:p w14:paraId="076F6AB8" w14:textId="77777777" w:rsidR="00E30D26" w:rsidRPr="00CF2487" w:rsidRDefault="00E30D26" w:rsidP="00E30D26">
      <w:pPr>
        <w:rPr>
          <w:rFonts w:asciiTheme="majorHAnsi" w:hAnsiTheme="majorHAnsi" w:cstheme="majorHAnsi"/>
          <w:b/>
          <w:szCs w:val="20"/>
          <w:lang w:eastAsia="de-DE"/>
        </w:rPr>
      </w:pPr>
      <w:r w:rsidRPr="00CF2487">
        <w:rPr>
          <w:rFonts w:asciiTheme="majorHAnsi" w:hAnsiTheme="majorHAnsi" w:cstheme="majorHAnsi"/>
          <w:bCs/>
          <w:sz w:val="14"/>
          <w:szCs w:val="14"/>
        </w:rPr>
        <w:t>This document has been issued for information purposes only and is not intended to constitute an investment advice or an offer to sell, or a solicitation of an offer to buy, any securities.</w:t>
      </w:r>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18E93883" w14:textId="1E11D4A9" w:rsidR="0013569C" w:rsidRDefault="0013569C">
      <w:pPr>
        <w:spacing w:line="240" w:lineRule="auto"/>
        <w:jc w:val="left"/>
        <w:rPr>
          <w:rStyle w:val="AboutandContactBody"/>
          <w:rFonts w:asciiTheme="majorHAnsi" w:hAnsiTheme="majorHAnsi" w:cstheme="majorHAnsi"/>
          <w:b/>
          <w:szCs w:val="18"/>
        </w:rPr>
      </w:pPr>
    </w:p>
    <w:p w14:paraId="1EAFB544"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p>
    <w:p w14:paraId="2B183976" w14:textId="77777777" w:rsidR="00A93EA1" w:rsidRDefault="00A93EA1" w:rsidP="00A93EA1">
      <w:pPr>
        <w:tabs>
          <w:tab w:val="left" w:pos="1080"/>
          <w:tab w:val="left" w:pos="4500"/>
        </w:tabs>
        <w:rPr>
          <w:rStyle w:val="AboutandContactBody"/>
          <w:rFonts w:asciiTheme="majorHAnsi" w:hAnsiTheme="majorHAnsi" w:cstheme="majorHAnsi"/>
          <w:b/>
          <w:szCs w:val="18"/>
          <w:lang w:val="it-CH"/>
        </w:rPr>
      </w:pPr>
    </w:p>
    <w:p w14:paraId="55C9A5ED" w14:textId="341A347D"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Cecilia de’ Guarinoni</w:t>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33EF6617" w14:textId="1D84E8CB" w:rsidR="00A93EA1" w:rsidRPr="00A93EA1" w:rsidRDefault="00A93EA1" w:rsidP="00A93EA1">
      <w:pPr>
        <w:tabs>
          <w:tab w:val="left" w:pos="1080"/>
          <w:tab w:val="left" w:pos="4500"/>
        </w:tabs>
        <w:rPr>
          <w:rStyle w:val="AboutandContactBody"/>
          <w:rFonts w:asciiTheme="majorHAnsi" w:hAnsiTheme="majorHAnsi" w:cstheme="majorHAnsi"/>
          <w:bCs/>
          <w:szCs w:val="18"/>
        </w:rPr>
      </w:pPr>
      <w:r w:rsidRPr="00A93EA1">
        <w:rPr>
          <w:rStyle w:val="AboutandContactBody"/>
          <w:rFonts w:asciiTheme="majorHAnsi" w:hAnsiTheme="majorHAnsi" w:cstheme="majorHAnsi"/>
          <w:bCs/>
          <w:szCs w:val="18"/>
        </w:rPr>
        <w:t>Corporate Communication, Henkel Italia</w:t>
      </w:r>
      <w:r w:rsidRPr="00A93EA1">
        <w:rPr>
          <w:rStyle w:val="AboutandContactBody"/>
          <w:rFonts w:asciiTheme="majorHAnsi" w:hAnsiTheme="majorHAnsi" w:cstheme="majorHAnsi"/>
          <w:bCs/>
          <w:szCs w:val="18"/>
        </w:rPr>
        <w:tab/>
        <w:t>B-Story</w:t>
      </w:r>
      <w:r w:rsidRPr="00A93EA1">
        <w:rPr>
          <w:rStyle w:val="AboutandContactBody"/>
          <w:rFonts w:asciiTheme="majorHAnsi" w:hAnsiTheme="majorHAnsi" w:cstheme="majorHAnsi"/>
          <w:bCs/>
          <w:szCs w:val="18"/>
        </w:rPr>
        <w:tab/>
      </w:r>
      <w:r w:rsidRPr="00A93EA1">
        <w:rPr>
          <w:rStyle w:val="AboutandContactBody"/>
          <w:rFonts w:asciiTheme="majorHAnsi" w:hAnsiTheme="majorHAnsi" w:cstheme="majorHAnsi"/>
          <w:bCs/>
          <w:szCs w:val="18"/>
        </w:rPr>
        <w:tab/>
      </w:r>
    </w:p>
    <w:p w14:paraId="022C56E7" w14:textId="6B5AEFA3"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Tel: +39 02 35792435</w:t>
      </w:r>
      <w:r w:rsidRPr="00A93EA1">
        <w:rPr>
          <w:rStyle w:val="AboutandContactBody"/>
          <w:rFonts w:asciiTheme="majorHAnsi" w:hAnsiTheme="majorHAnsi" w:cstheme="majorHAnsi"/>
          <w:bCs/>
          <w:szCs w:val="18"/>
          <w:lang w:val="it-CH"/>
        </w:rPr>
        <w:tab/>
        <w:t>Tel: +39 349 7668102</w:t>
      </w:r>
    </w:p>
    <w:p w14:paraId="259A5CA9" w14:textId="0E0CF8C1" w:rsidR="00A93EA1" w:rsidRPr="00A93EA1" w:rsidRDefault="00A93EA1" w:rsidP="00A93EA1">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E-mail: </w:t>
      </w:r>
      <w:hyperlink r:id="rId14" w:history="1">
        <w:r w:rsidRPr="00A93EA1">
          <w:rPr>
            <w:rStyle w:val="Collegamentoipertestuale"/>
            <w:rFonts w:asciiTheme="majorHAnsi" w:hAnsiTheme="majorHAnsi" w:cstheme="majorHAnsi"/>
            <w:bCs/>
            <w:lang w:val="it-CH"/>
          </w:rPr>
          <w:t>Cecilia.deGuarinoni@henkel.com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5" w:history="1">
        <w:r w:rsidRPr="008B7079">
          <w:rPr>
            <w:rStyle w:val="Collegamentoipertestuale"/>
            <w:rFonts w:asciiTheme="majorHAnsi" w:hAnsiTheme="majorHAnsi" w:cstheme="majorHAnsi"/>
            <w:bCs/>
            <w:lang w:val="it-CH"/>
          </w:rPr>
          <w:t>silvia.vergani@b-story.eu</w:t>
        </w:r>
      </w:hyperlink>
      <w:r>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 xml:space="preserve">  </w:t>
      </w:r>
    </w:p>
    <w:p w14:paraId="5E998F2C" w14:textId="77777777" w:rsidR="00A93EA1" w:rsidRPr="00A93EA1" w:rsidRDefault="00A93EA1" w:rsidP="00A93EA1">
      <w:pPr>
        <w:tabs>
          <w:tab w:val="left" w:pos="1080"/>
          <w:tab w:val="left" w:pos="4500"/>
        </w:tabs>
        <w:rPr>
          <w:rStyle w:val="AboutandContactBody"/>
          <w:rFonts w:asciiTheme="majorHAnsi" w:hAnsiTheme="majorHAnsi" w:cstheme="majorHAnsi"/>
          <w:b/>
          <w:szCs w:val="18"/>
          <w:lang w:val="it-CH"/>
        </w:rPr>
      </w:pPr>
    </w:p>
    <w:sectPr w:rsidR="00A93EA1" w:rsidRPr="00A93EA1"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7EDDF" w14:textId="77777777" w:rsidR="00556CCE" w:rsidRDefault="00556CCE">
      <w:r>
        <w:separator/>
      </w:r>
    </w:p>
  </w:endnote>
  <w:endnote w:type="continuationSeparator" w:id="0">
    <w:p w14:paraId="136E949D" w14:textId="77777777" w:rsidR="00556CCE" w:rsidRDefault="0055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Pidipagina"/>
    </w:pPr>
    <w:bookmarkStart w:id="2"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592E" w14:textId="77777777" w:rsidR="00556CCE" w:rsidRDefault="00556CCE">
      <w:r>
        <w:separator/>
      </w:r>
    </w:p>
  </w:footnote>
  <w:footnote w:type="continuationSeparator" w:id="0">
    <w:p w14:paraId="57FB9476" w14:textId="77777777" w:rsidR="00556CCE" w:rsidRDefault="0055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5141A34D" w:rsidR="00CF6F33" w:rsidRPr="00EB46D9" w:rsidRDefault="0059722C" w:rsidP="00EB46D9">
    <w:pPr>
      <w:pStyle w:val="Intestazione"/>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49EAD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33C37">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2A7"/>
    <w:rsid w:val="00005267"/>
    <w:rsid w:val="00006346"/>
    <w:rsid w:val="000069EB"/>
    <w:rsid w:val="00006A45"/>
    <w:rsid w:val="00021C67"/>
    <w:rsid w:val="000301F0"/>
    <w:rsid w:val="00030557"/>
    <w:rsid w:val="00030F51"/>
    <w:rsid w:val="00035A84"/>
    <w:rsid w:val="00040CC9"/>
    <w:rsid w:val="000425ED"/>
    <w:rsid w:val="000510FC"/>
    <w:rsid w:val="00051E86"/>
    <w:rsid w:val="000575F9"/>
    <w:rsid w:val="000618FC"/>
    <w:rsid w:val="00067071"/>
    <w:rsid w:val="00080D10"/>
    <w:rsid w:val="0008357F"/>
    <w:rsid w:val="0008406B"/>
    <w:rsid w:val="00093345"/>
    <w:rsid w:val="000B5D2F"/>
    <w:rsid w:val="000B695A"/>
    <w:rsid w:val="000C01B7"/>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2DA9"/>
    <w:rsid w:val="0013305B"/>
    <w:rsid w:val="00133B99"/>
    <w:rsid w:val="0013569C"/>
    <w:rsid w:val="001443BD"/>
    <w:rsid w:val="001577E9"/>
    <w:rsid w:val="0016138C"/>
    <w:rsid w:val="001731CE"/>
    <w:rsid w:val="001809FF"/>
    <w:rsid w:val="001B7C20"/>
    <w:rsid w:val="001C0B32"/>
    <w:rsid w:val="001C4BE1"/>
    <w:rsid w:val="001D7ADF"/>
    <w:rsid w:val="001E0F71"/>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C37"/>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F1AF3"/>
    <w:rsid w:val="003F4D8D"/>
    <w:rsid w:val="0040386D"/>
    <w:rsid w:val="00412B05"/>
    <w:rsid w:val="004313E7"/>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49DA"/>
    <w:rsid w:val="004B54E8"/>
    <w:rsid w:val="004C25AB"/>
    <w:rsid w:val="004C4FEB"/>
    <w:rsid w:val="004C6B79"/>
    <w:rsid w:val="004D059B"/>
    <w:rsid w:val="004D0E64"/>
    <w:rsid w:val="004D48A8"/>
    <w:rsid w:val="004D4CB6"/>
    <w:rsid w:val="004E3341"/>
    <w:rsid w:val="004F10C1"/>
    <w:rsid w:val="004F5AD9"/>
    <w:rsid w:val="00502E62"/>
    <w:rsid w:val="00506B8A"/>
    <w:rsid w:val="0052212B"/>
    <w:rsid w:val="005266EA"/>
    <w:rsid w:val="00534B46"/>
    <w:rsid w:val="00540358"/>
    <w:rsid w:val="00540D47"/>
    <w:rsid w:val="005463C3"/>
    <w:rsid w:val="00550864"/>
    <w:rsid w:val="0055571E"/>
    <w:rsid w:val="00556CC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E6F45"/>
    <w:rsid w:val="005F27F4"/>
    <w:rsid w:val="005F3239"/>
    <w:rsid w:val="005F6567"/>
    <w:rsid w:val="00607094"/>
    <w:rsid w:val="00607256"/>
    <w:rsid w:val="006144B1"/>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C33BE"/>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10C5D"/>
    <w:rsid w:val="0071348C"/>
    <w:rsid w:val="00717273"/>
    <w:rsid w:val="00720FD4"/>
    <w:rsid w:val="00724AF2"/>
    <w:rsid w:val="0073096C"/>
    <w:rsid w:val="00733A46"/>
    <w:rsid w:val="00742398"/>
    <w:rsid w:val="007432A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D2A02"/>
    <w:rsid w:val="007D62A4"/>
    <w:rsid w:val="007E4048"/>
    <w:rsid w:val="007E6EA1"/>
    <w:rsid w:val="007E6EF3"/>
    <w:rsid w:val="007F0F63"/>
    <w:rsid w:val="007F2B1E"/>
    <w:rsid w:val="007F62B4"/>
    <w:rsid w:val="00801517"/>
    <w:rsid w:val="00813492"/>
    <w:rsid w:val="00817AE8"/>
    <w:rsid w:val="00817DE8"/>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D76C5"/>
    <w:rsid w:val="008E0A04"/>
    <w:rsid w:val="008E0AFA"/>
    <w:rsid w:val="008E75D3"/>
    <w:rsid w:val="008F0CE4"/>
    <w:rsid w:val="008F125E"/>
    <w:rsid w:val="008F4D2F"/>
    <w:rsid w:val="00906292"/>
    <w:rsid w:val="00914B5B"/>
    <w:rsid w:val="00917162"/>
    <w:rsid w:val="009178AA"/>
    <w:rsid w:val="009251CC"/>
    <w:rsid w:val="0092714E"/>
    <w:rsid w:val="00942002"/>
    <w:rsid w:val="00943F8B"/>
    <w:rsid w:val="00947885"/>
    <w:rsid w:val="009504AB"/>
    <w:rsid w:val="00952168"/>
    <w:rsid w:val="009527FE"/>
    <w:rsid w:val="009529B2"/>
    <w:rsid w:val="009739A0"/>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474B7"/>
    <w:rsid w:val="00A54AC5"/>
    <w:rsid w:val="00A55DC3"/>
    <w:rsid w:val="00A56D41"/>
    <w:rsid w:val="00A60529"/>
    <w:rsid w:val="00A61353"/>
    <w:rsid w:val="00A61481"/>
    <w:rsid w:val="00A66DB1"/>
    <w:rsid w:val="00A67A92"/>
    <w:rsid w:val="00A87870"/>
    <w:rsid w:val="00A91A70"/>
    <w:rsid w:val="00A93EA1"/>
    <w:rsid w:val="00A97316"/>
    <w:rsid w:val="00AA1B85"/>
    <w:rsid w:val="00AB1CB6"/>
    <w:rsid w:val="00AB1D9A"/>
    <w:rsid w:val="00AB503C"/>
    <w:rsid w:val="00AD0C22"/>
    <w:rsid w:val="00AD442C"/>
    <w:rsid w:val="00AD44FE"/>
    <w:rsid w:val="00AD5A37"/>
    <w:rsid w:val="00AE400C"/>
    <w:rsid w:val="00AE49F1"/>
    <w:rsid w:val="00AE5532"/>
    <w:rsid w:val="00B05CCA"/>
    <w:rsid w:val="00B14271"/>
    <w:rsid w:val="00B16270"/>
    <w:rsid w:val="00B2685D"/>
    <w:rsid w:val="00B30351"/>
    <w:rsid w:val="00B33C2A"/>
    <w:rsid w:val="00B35967"/>
    <w:rsid w:val="00B422EC"/>
    <w:rsid w:val="00B54885"/>
    <w:rsid w:val="00B634AB"/>
    <w:rsid w:val="00B726D4"/>
    <w:rsid w:val="00B8214F"/>
    <w:rsid w:val="00B82B48"/>
    <w:rsid w:val="00B86A4F"/>
    <w:rsid w:val="00B93035"/>
    <w:rsid w:val="00B958E8"/>
    <w:rsid w:val="00B97E4A"/>
    <w:rsid w:val="00BA09B2"/>
    <w:rsid w:val="00BA465D"/>
    <w:rsid w:val="00BA5B46"/>
    <w:rsid w:val="00BB2D73"/>
    <w:rsid w:val="00BB45BA"/>
    <w:rsid w:val="00BB5D0B"/>
    <w:rsid w:val="00BC0995"/>
    <w:rsid w:val="00BE2D0A"/>
    <w:rsid w:val="00BE47D4"/>
    <w:rsid w:val="00BE793A"/>
    <w:rsid w:val="00BF2B82"/>
    <w:rsid w:val="00BF432A"/>
    <w:rsid w:val="00BF6E82"/>
    <w:rsid w:val="00C060C7"/>
    <w:rsid w:val="00C24C17"/>
    <w:rsid w:val="00C3758F"/>
    <w:rsid w:val="00C40B88"/>
    <w:rsid w:val="00C44489"/>
    <w:rsid w:val="00C47D87"/>
    <w:rsid w:val="00C5376E"/>
    <w:rsid w:val="00C5701B"/>
    <w:rsid w:val="00C66218"/>
    <w:rsid w:val="00C677C9"/>
    <w:rsid w:val="00C808A6"/>
    <w:rsid w:val="00C97091"/>
    <w:rsid w:val="00C97260"/>
    <w:rsid w:val="00C973A2"/>
    <w:rsid w:val="00CA2001"/>
    <w:rsid w:val="00CB5B6C"/>
    <w:rsid w:val="00CC052E"/>
    <w:rsid w:val="00CD16BE"/>
    <w:rsid w:val="00CD4616"/>
    <w:rsid w:val="00CD56AF"/>
    <w:rsid w:val="00CE33D5"/>
    <w:rsid w:val="00CF5D37"/>
    <w:rsid w:val="00CF6F33"/>
    <w:rsid w:val="00D02248"/>
    <w:rsid w:val="00D05B31"/>
    <w:rsid w:val="00D063B8"/>
    <w:rsid w:val="00D06825"/>
    <w:rsid w:val="00D17E3B"/>
    <w:rsid w:val="00D2306F"/>
    <w:rsid w:val="00D23C09"/>
    <w:rsid w:val="00D23CED"/>
    <w:rsid w:val="00D24BD2"/>
    <w:rsid w:val="00D2573D"/>
    <w:rsid w:val="00D260A2"/>
    <w:rsid w:val="00D30CC6"/>
    <w:rsid w:val="00D3260C"/>
    <w:rsid w:val="00D35790"/>
    <w:rsid w:val="00D5611E"/>
    <w:rsid w:val="00D5653B"/>
    <w:rsid w:val="00D62EF1"/>
    <w:rsid w:val="00D6309D"/>
    <w:rsid w:val="00D644CA"/>
    <w:rsid w:val="00D64EA0"/>
    <w:rsid w:val="00D66FC2"/>
    <w:rsid w:val="00D7044E"/>
    <w:rsid w:val="00D76C7E"/>
    <w:rsid w:val="00D771DE"/>
    <w:rsid w:val="00D7776D"/>
    <w:rsid w:val="00D92179"/>
    <w:rsid w:val="00D922C6"/>
    <w:rsid w:val="00D9293F"/>
    <w:rsid w:val="00D93598"/>
    <w:rsid w:val="00DA1E18"/>
    <w:rsid w:val="00DA2009"/>
    <w:rsid w:val="00DB05B1"/>
    <w:rsid w:val="00DB3786"/>
    <w:rsid w:val="00DB59E8"/>
    <w:rsid w:val="00DB5A79"/>
    <w:rsid w:val="00DC2465"/>
    <w:rsid w:val="00DC7D48"/>
    <w:rsid w:val="00DD3C29"/>
    <w:rsid w:val="00DD512E"/>
    <w:rsid w:val="00DE1177"/>
    <w:rsid w:val="00DE2CEA"/>
    <w:rsid w:val="00DE6A3C"/>
    <w:rsid w:val="00DE74F4"/>
    <w:rsid w:val="00DE7F97"/>
    <w:rsid w:val="00DF1010"/>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45D7"/>
    <w:rsid w:val="00E547FE"/>
    <w:rsid w:val="00E60ECA"/>
    <w:rsid w:val="00E64DD5"/>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E1A8C"/>
    <w:rsid w:val="00EE4643"/>
    <w:rsid w:val="00EE4DF0"/>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652A"/>
    <w:rsid w:val="00F67DF1"/>
    <w:rsid w:val="00F8309B"/>
    <w:rsid w:val="00F833C9"/>
    <w:rsid w:val="00F90064"/>
    <w:rsid w:val="00F9586C"/>
    <w:rsid w:val="00F96AFD"/>
    <w:rsid w:val="00FA1398"/>
    <w:rsid w:val="00FA2E19"/>
    <w:rsid w:val="00FA5D60"/>
    <w:rsid w:val="00FA697F"/>
    <w:rsid w:val="00FB3846"/>
    <w:rsid w:val="00FB5521"/>
    <w:rsid w:val="00FB610D"/>
    <w:rsid w:val="00FC4477"/>
    <w:rsid w:val="00FC46FB"/>
    <w:rsid w:val="00FC7B66"/>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character" w:styleId="Testosegnaposto">
    <w:name w:val="Placeholder Text"/>
    <w:basedOn w:val="Carpredefinitoparagrafo"/>
    <w:uiPriority w:val="99"/>
    <w:unhideWhenUsed/>
    <w:rsid w:val="000C01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0-08-06-henkel-delivers-overall-robust-business-performance-despite-substantial-impact-from-covid-19-pandemic-11058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b-story.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ecilia.deGuarino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4F0E5-FD79-436B-84C5-BFF9F74BBC26}">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1371</Words>
  <Characters>7819</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9172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cp:lastModifiedBy>
  <cp:revision>19</cp:revision>
  <cp:lastPrinted>2020-08-05T16:24:00Z</cp:lastPrinted>
  <dcterms:created xsi:type="dcterms:W3CDTF">2020-08-06T07:18:00Z</dcterms:created>
  <dcterms:modified xsi:type="dcterms:W3CDTF">2020-08-06T08:50:00Z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