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45C" w:rsidRPr="00106247" w:rsidRDefault="00024E67" w:rsidP="00743AED">
      <w:pPr>
        <w:pStyle w:val="Standard12pt"/>
        <w:spacing w:before="120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102445" w:rsidRPr="00106247">
        <w:rPr>
          <w:rFonts w:asciiTheme="minorHAnsi" w:hAnsiTheme="minorHAnsi" w:cstheme="minorHAnsi"/>
          <w:sz w:val="22"/>
          <w:szCs w:val="22"/>
        </w:rPr>
        <w:t xml:space="preserve"> </w:t>
      </w:r>
      <w:r w:rsidR="00184BE1" w:rsidRPr="00106247">
        <w:rPr>
          <w:rFonts w:asciiTheme="minorHAnsi" w:hAnsiTheme="minorHAnsi" w:cstheme="minorHAnsi"/>
          <w:sz w:val="22"/>
          <w:szCs w:val="22"/>
        </w:rPr>
        <w:t xml:space="preserve">de </w:t>
      </w:r>
      <w:r>
        <w:rPr>
          <w:rFonts w:asciiTheme="minorHAnsi" w:hAnsiTheme="minorHAnsi" w:cstheme="minorHAnsi"/>
          <w:sz w:val="22"/>
          <w:szCs w:val="22"/>
        </w:rPr>
        <w:t>agosto</w:t>
      </w:r>
      <w:r w:rsidR="00184BE1" w:rsidRPr="00106247">
        <w:rPr>
          <w:rFonts w:asciiTheme="minorHAnsi" w:hAnsiTheme="minorHAnsi" w:cstheme="minorHAnsi"/>
          <w:sz w:val="22"/>
          <w:szCs w:val="22"/>
        </w:rPr>
        <w:t xml:space="preserve"> de 2020</w:t>
      </w:r>
    </w:p>
    <w:p w:rsidR="00C14DED" w:rsidRPr="00106247" w:rsidRDefault="00C14DED" w:rsidP="00131DDD">
      <w:pPr>
        <w:autoSpaceDE w:val="0"/>
        <w:autoSpaceDN w:val="0"/>
        <w:adjustRightInd w:val="0"/>
        <w:spacing w:line="240" w:lineRule="auto"/>
        <w:jc w:val="both"/>
        <w:rPr>
          <w:sz w:val="24"/>
        </w:rPr>
      </w:pPr>
    </w:p>
    <w:p w:rsidR="00024E67" w:rsidRPr="00024E67" w:rsidRDefault="00024E67" w:rsidP="00024E67">
      <w:pPr>
        <w:pStyle w:val="Ttulo1"/>
        <w:jc w:val="center"/>
        <w:rPr>
          <w:rFonts w:asciiTheme="minorHAnsi" w:hAnsiTheme="minorHAnsi" w:cstheme="minorHAnsi"/>
          <w:sz w:val="28"/>
          <w:szCs w:val="28"/>
        </w:rPr>
      </w:pPr>
    </w:p>
    <w:p w:rsidR="00024E67" w:rsidRDefault="00024E67" w:rsidP="00024E67">
      <w:pPr>
        <w:pStyle w:val="Ttulo1"/>
        <w:jc w:val="center"/>
        <w:rPr>
          <w:rFonts w:asciiTheme="minorHAnsi" w:hAnsiTheme="minorHAnsi" w:cstheme="minorHAnsi"/>
          <w:sz w:val="28"/>
          <w:szCs w:val="28"/>
        </w:rPr>
      </w:pPr>
      <w:r w:rsidRPr="00024E67">
        <w:rPr>
          <w:rFonts w:asciiTheme="minorHAnsi" w:hAnsiTheme="minorHAnsi" w:cstheme="minorHAnsi"/>
          <w:sz w:val="28"/>
          <w:szCs w:val="28"/>
        </w:rPr>
        <w:t xml:space="preserve">Henkel </w:t>
      </w:r>
      <w:r>
        <w:rPr>
          <w:rFonts w:asciiTheme="minorHAnsi" w:hAnsiTheme="minorHAnsi" w:cstheme="minorHAnsi"/>
          <w:sz w:val="28"/>
          <w:szCs w:val="28"/>
        </w:rPr>
        <w:t xml:space="preserve">registra desempenho robusto </w:t>
      </w:r>
      <w:r w:rsidRPr="00024E67">
        <w:rPr>
          <w:rFonts w:asciiTheme="minorHAnsi" w:hAnsiTheme="minorHAnsi" w:cstheme="minorHAnsi"/>
          <w:sz w:val="28"/>
          <w:szCs w:val="28"/>
        </w:rPr>
        <w:t>apesar do</w:t>
      </w:r>
      <w:r>
        <w:rPr>
          <w:rFonts w:asciiTheme="minorHAnsi" w:hAnsiTheme="minorHAnsi" w:cstheme="minorHAnsi"/>
          <w:sz w:val="28"/>
          <w:szCs w:val="28"/>
        </w:rPr>
        <w:t xml:space="preserve"> grande </w:t>
      </w:r>
      <w:r w:rsidRPr="00024E67">
        <w:rPr>
          <w:rFonts w:asciiTheme="minorHAnsi" w:hAnsiTheme="minorHAnsi" w:cstheme="minorHAnsi"/>
          <w:sz w:val="28"/>
          <w:szCs w:val="28"/>
        </w:rPr>
        <w:t xml:space="preserve">impacto </w:t>
      </w:r>
      <w:r>
        <w:rPr>
          <w:rFonts w:asciiTheme="minorHAnsi" w:hAnsiTheme="minorHAnsi" w:cstheme="minorHAnsi"/>
          <w:sz w:val="28"/>
          <w:szCs w:val="28"/>
        </w:rPr>
        <w:t>da pandemia d</w:t>
      </w:r>
      <w:r w:rsidR="00590FA7">
        <w:rPr>
          <w:rFonts w:asciiTheme="minorHAnsi" w:hAnsiTheme="minorHAnsi" w:cstheme="minorHAnsi"/>
          <w:sz w:val="28"/>
          <w:szCs w:val="28"/>
        </w:rPr>
        <w:t>a</w:t>
      </w:r>
      <w:r>
        <w:rPr>
          <w:rFonts w:asciiTheme="minorHAnsi" w:hAnsiTheme="minorHAnsi" w:cstheme="minorHAnsi"/>
          <w:sz w:val="28"/>
          <w:szCs w:val="28"/>
        </w:rPr>
        <w:t xml:space="preserve"> Covid</w:t>
      </w:r>
      <w:r w:rsidRPr="00024E67">
        <w:rPr>
          <w:rFonts w:asciiTheme="minorHAnsi" w:hAnsiTheme="minorHAnsi" w:cstheme="minorHAnsi"/>
          <w:sz w:val="28"/>
          <w:szCs w:val="28"/>
        </w:rPr>
        <w:t>-19</w:t>
      </w:r>
    </w:p>
    <w:p w:rsidR="00EF5909" w:rsidRDefault="00EF5909" w:rsidP="00A05A6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A05A6F" w:rsidRPr="001E1794" w:rsidRDefault="00024E67" w:rsidP="00A05A6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A companhia anuncia </w:t>
      </w:r>
      <w:r w:rsidR="00590FA7">
        <w:rPr>
          <w:rFonts w:asciiTheme="minorHAnsi" w:hAnsiTheme="minorHAnsi" w:cstheme="minorHAnsi"/>
          <w:i/>
          <w:sz w:val="22"/>
          <w:szCs w:val="22"/>
        </w:rPr>
        <w:t xml:space="preserve">seus resultados </w:t>
      </w:r>
      <w:r w:rsidR="00013BE6">
        <w:rPr>
          <w:rFonts w:asciiTheme="minorHAnsi" w:hAnsiTheme="minorHAnsi" w:cstheme="minorHAnsi"/>
          <w:i/>
          <w:sz w:val="22"/>
          <w:szCs w:val="22"/>
        </w:rPr>
        <w:t xml:space="preserve">do primeiro semestre </w:t>
      </w:r>
      <w:r w:rsidR="00590FA7">
        <w:rPr>
          <w:rFonts w:asciiTheme="minorHAnsi" w:hAnsiTheme="minorHAnsi" w:cstheme="minorHAnsi"/>
          <w:i/>
          <w:sz w:val="22"/>
          <w:szCs w:val="22"/>
        </w:rPr>
        <w:t xml:space="preserve">e do segundo trimestre </w:t>
      </w:r>
      <w:r w:rsidRPr="00024E67">
        <w:rPr>
          <w:rFonts w:asciiTheme="minorHAnsi" w:hAnsiTheme="minorHAnsi" w:cstheme="minorHAnsi"/>
          <w:i/>
          <w:sz w:val="22"/>
          <w:szCs w:val="22"/>
        </w:rPr>
        <w:t>de 2020</w:t>
      </w:r>
    </w:p>
    <w:p w:rsidR="00C10C17" w:rsidRPr="001E1794" w:rsidRDefault="00C10C17" w:rsidP="00A05A6F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</w:p>
    <w:p w:rsidR="00DC204E" w:rsidRDefault="00013BE6" w:rsidP="00013BE6">
      <w:pPr>
        <w:numPr>
          <w:ilvl w:val="0"/>
          <w:numId w:val="22"/>
        </w:numPr>
        <w:spacing w:line="360" w:lineRule="auto"/>
        <w:ind w:right="-1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13BE6">
        <w:rPr>
          <w:rFonts w:asciiTheme="minorHAnsi" w:hAnsiTheme="minorHAnsi" w:cstheme="minorHAnsi"/>
          <w:bCs/>
          <w:sz w:val="22"/>
          <w:szCs w:val="22"/>
        </w:rPr>
        <w:t>Foco em garantir a segurança d</w:t>
      </w:r>
      <w:r>
        <w:rPr>
          <w:rFonts w:asciiTheme="minorHAnsi" w:hAnsiTheme="minorHAnsi" w:cstheme="minorHAnsi"/>
          <w:bCs/>
          <w:sz w:val="22"/>
          <w:szCs w:val="22"/>
        </w:rPr>
        <w:t xml:space="preserve">os </w:t>
      </w:r>
      <w:r w:rsidR="009B3320">
        <w:rPr>
          <w:rFonts w:asciiTheme="minorHAnsi" w:hAnsiTheme="minorHAnsi" w:cstheme="minorHAnsi"/>
          <w:bCs/>
          <w:sz w:val="22"/>
          <w:szCs w:val="22"/>
        </w:rPr>
        <w:t>colaboradores</w: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013BE6">
        <w:rPr>
          <w:rFonts w:asciiTheme="minorHAnsi" w:hAnsiTheme="minorHAnsi" w:cstheme="minorHAnsi"/>
          <w:bCs/>
          <w:sz w:val="22"/>
          <w:szCs w:val="22"/>
        </w:rPr>
        <w:t>clientes</w:t>
      </w:r>
      <w:r w:rsidR="009B3320">
        <w:rPr>
          <w:rFonts w:asciiTheme="minorHAnsi" w:hAnsiTheme="minorHAnsi" w:cstheme="minorHAnsi"/>
          <w:bCs/>
          <w:sz w:val="22"/>
          <w:szCs w:val="22"/>
        </w:rPr>
        <w:t xml:space="preserve"> e</w:t>
      </w:r>
      <w:r>
        <w:rPr>
          <w:rFonts w:asciiTheme="minorHAnsi" w:hAnsiTheme="minorHAnsi" w:cstheme="minorHAnsi"/>
          <w:bCs/>
          <w:sz w:val="22"/>
          <w:szCs w:val="22"/>
        </w:rPr>
        <w:t xml:space="preserve"> fornecedores e </w:t>
      </w:r>
      <w:r w:rsidR="009B3320">
        <w:rPr>
          <w:rFonts w:asciiTheme="minorHAnsi" w:hAnsiTheme="minorHAnsi" w:cstheme="minorHAnsi"/>
          <w:bCs/>
          <w:sz w:val="22"/>
          <w:szCs w:val="22"/>
        </w:rPr>
        <w:t>apoiar as comunidades</w:t>
      </w:r>
      <w:r w:rsidR="00805E0D">
        <w:rPr>
          <w:rFonts w:asciiTheme="minorHAnsi" w:hAnsiTheme="minorHAnsi" w:cstheme="minorHAnsi"/>
          <w:bCs/>
          <w:sz w:val="22"/>
          <w:szCs w:val="22"/>
        </w:rPr>
        <w:t>:</w:t>
      </w:r>
    </w:p>
    <w:p w:rsidR="00013BE6" w:rsidRPr="00013BE6" w:rsidRDefault="00590FA7" w:rsidP="00013BE6">
      <w:pPr>
        <w:numPr>
          <w:ilvl w:val="0"/>
          <w:numId w:val="22"/>
        </w:numPr>
        <w:spacing w:line="360" w:lineRule="auto"/>
        <w:ind w:right="-109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As vendas semestrais 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 xml:space="preserve">atingem 9.485 milhões de euros, </w:t>
      </w:r>
      <w:r w:rsidR="00013BE6">
        <w:rPr>
          <w:rFonts w:asciiTheme="minorHAnsi" w:hAnsiTheme="minorHAnsi" w:cstheme="minorHAnsi"/>
          <w:bCs/>
          <w:sz w:val="22"/>
          <w:szCs w:val="22"/>
        </w:rPr>
        <w:t xml:space="preserve">sendo 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>-6,0%</w:t>
      </w:r>
      <w:r w:rsidR="00013BE6">
        <w:rPr>
          <w:rFonts w:asciiTheme="minorHAnsi" w:hAnsiTheme="minorHAnsi" w:cstheme="minorHAnsi"/>
          <w:bCs/>
          <w:sz w:val="22"/>
          <w:szCs w:val="22"/>
        </w:rPr>
        <w:t xml:space="preserve"> nomina</w:t>
      </w:r>
      <w:r w:rsidR="009B3320">
        <w:rPr>
          <w:rFonts w:asciiTheme="minorHAnsi" w:hAnsiTheme="minorHAnsi" w:cstheme="minorHAnsi"/>
          <w:bCs/>
          <w:sz w:val="22"/>
          <w:szCs w:val="22"/>
        </w:rPr>
        <w:t>is</w:t>
      </w:r>
      <w:r w:rsidR="00013BE6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>-5,2%</w:t>
      </w:r>
      <w:r w:rsidR="00013BE6">
        <w:rPr>
          <w:rFonts w:asciiTheme="minorHAnsi" w:hAnsiTheme="minorHAnsi" w:cstheme="minorHAnsi"/>
          <w:bCs/>
          <w:sz w:val="22"/>
          <w:szCs w:val="22"/>
        </w:rPr>
        <w:t xml:space="preserve"> orgânica</w:t>
      </w:r>
      <w:r w:rsidR="009B3320">
        <w:rPr>
          <w:rFonts w:asciiTheme="minorHAnsi" w:hAnsiTheme="minorHAnsi" w:cstheme="minorHAnsi"/>
          <w:bCs/>
          <w:sz w:val="22"/>
          <w:szCs w:val="22"/>
        </w:rPr>
        <w:t>s</w:t>
      </w:r>
      <w:r w:rsidR="00013BE6">
        <w:rPr>
          <w:rFonts w:asciiTheme="minorHAnsi" w:hAnsiTheme="minorHAnsi" w:cstheme="minorHAnsi"/>
          <w:bCs/>
          <w:sz w:val="22"/>
          <w:szCs w:val="22"/>
        </w:rPr>
        <w:t>;</w:t>
      </w:r>
    </w:p>
    <w:p w:rsidR="00013BE6" w:rsidRPr="00013BE6" w:rsidRDefault="00590FA7" w:rsidP="00013BE6">
      <w:pPr>
        <w:numPr>
          <w:ilvl w:val="0"/>
          <w:numId w:val="22"/>
        </w:numPr>
        <w:spacing w:line="360" w:lineRule="auto"/>
        <w:ind w:right="-1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90FA7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l</w:t>
      </w:r>
      <w:r w:rsidR="00013BE6" w:rsidRPr="009B3320">
        <w:rPr>
          <w:rFonts w:asciiTheme="minorHAnsi" w:hAnsiTheme="minorHAnsi" w:cstheme="minorHAnsi"/>
          <w:b/>
          <w:bCs/>
          <w:sz w:val="22"/>
          <w:szCs w:val="22"/>
        </w:rPr>
        <w:t>ucro operacional *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é </w:t>
      </w:r>
      <w:r w:rsidR="00013BE6">
        <w:rPr>
          <w:rFonts w:asciiTheme="minorHAnsi" w:hAnsiTheme="minorHAnsi" w:cstheme="minorHAnsi"/>
          <w:bCs/>
          <w:sz w:val="22"/>
          <w:szCs w:val="22"/>
        </w:rPr>
        <w:t>de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 xml:space="preserve"> 1.191 milhões de euros, </w:t>
      </w:r>
      <w:r>
        <w:rPr>
          <w:rFonts w:asciiTheme="minorHAnsi" w:hAnsiTheme="minorHAnsi" w:cstheme="minorHAnsi"/>
          <w:bCs/>
          <w:sz w:val="22"/>
          <w:szCs w:val="22"/>
        </w:rPr>
        <w:t>uma queda de</w:t>
      </w:r>
      <w:r w:rsidR="00013BE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>-27,5%</w:t>
      </w:r>
      <w:r w:rsidR="00013BE6">
        <w:rPr>
          <w:rFonts w:asciiTheme="minorHAnsi" w:hAnsiTheme="minorHAnsi" w:cstheme="minorHAnsi"/>
          <w:bCs/>
          <w:sz w:val="22"/>
          <w:szCs w:val="22"/>
        </w:rPr>
        <w:t>;</w:t>
      </w:r>
    </w:p>
    <w:p w:rsidR="00013BE6" w:rsidRPr="00013BE6" w:rsidRDefault="00590FA7" w:rsidP="00013BE6">
      <w:pPr>
        <w:numPr>
          <w:ilvl w:val="0"/>
          <w:numId w:val="22"/>
        </w:numPr>
        <w:spacing w:line="360" w:lineRule="auto"/>
        <w:ind w:right="-1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90FA7">
        <w:rPr>
          <w:rFonts w:asciiTheme="minorHAnsi" w:hAnsiTheme="minorHAnsi" w:cstheme="minorHAnsi"/>
          <w:bCs/>
          <w:sz w:val="22"/>
          <w:szCs w:val="22"/>
        </w:rPr>
        <w:t>A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m</w:t>
      </w:r>
      <w:r w:rsidR="00013BE6" w:rsidRPr="009B3320">
        <w:rPr>
          <w:rFonts w:asciiTheme="minorHAnsi" w:hAnsiTheme="minorHAnsi" w:cstheme="minorHAnsi"/>
          <w:b/>
          <w:bCs/>
          <w:sz w:val="22"/>
          <w:szCs w:val="22"/>
        </w:rPr>
        <w:t>argem EBIT *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é </w:t>
      </w:r>
      <w:r w:rsidR="00013BE6">
        <w:rPr>
          <w:rFonts w:asciiTheme="minorHAnsi" w:hAnsiTheme="minorHAnsi" w:cstheme="minorHAnsi"/>
          <w:bCs/>
          <w:sz w:val="22"/>
          <w:szCs w:val="22"/>
        </w:rPr>
        <w:t>de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 xml:space="preserve"> 12,6%, </w:t>
      </w:r>
      <w:r>
        <w:rPr>
          <w:rFonts w:asciiTheme="minorHAnsi" w:hAnsiTheme="minorHAnsi" w:cstheme="minorHAnsi"/>
          <w:bCs/>
          <w:sz w:val="22"/>
          <w:szCs w:val="22"/>
        </w:rPr>
        <w:t>redução de</w:t>
      </w:r>
      <w:r w:rsidR="00013BE6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>-370 pontos base</w:t>
      </w:r>
      <w:r w:rsidR="00013BE6">
        <w:rPr>
          <w:rFonts w:asciiTheme="minorHAnsi" w:hAnsiTheme="minorHAnsi" w:cstheme="minorHAnsi"/>
          <w:bCs/>
          <w:sz w:val="22"/>
          <w:szCs w:val="22"/>
        </w:rPr>
        <w:t>;</w:t>
      </w:r>
    </w:p>
    <w:p w:rsidR="00013BE6" w:rsidRPr="00013BE6" w:rsidRDefault="00590FA7" w:rsidP="00013BE6">
      <w:pPr>
        <w:numPr>
          <w:ilvl w:val="0"/>
          <w:numId w:val="22"/>
        </w:numPr>
        <w:spacing w:line="360" w:lineRule="auto"/>
        <w:ind w:right="-1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90FA7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l</w:t>
      </w:r>
      <w:r w:rsidR="00013BE6" w:rsidRPr="009B3320">
        <w:rPr>
          <w:rFonts w:asciiTheme="minorHAnsi" w:hAnsiTheme="minorHAnsi" w:cstheme="minorHAnsi"/>
          <w:b/>
          <w:bCs/>
          <w:sz w:val="22"/>
          <w:szCs w:val="22"/>
        </w:rPr>
        <w:t>ucro por ação preferencial (EPS)*</w:t>
      </w:r>
      <w:r w:rsidR="00013BE6">
        <w:rPr>
          <w:rFonts w:asciiTheme="minorHAnsi" w:hAnsiTheme="minorHAnsi" w:cstheme="minorHAnsi"/>
          <w:bCs/>
          <w:sz w:val="22"/>
          <w:szCs w:val="22"/>
        </w:rPr>
        <w:t xml:space="preserve">: -29,2% a 1,96 euro; </w:t>
      </w:r>
      <w:r w:rsidR="00013BE6" w:rsidRPr="00013BE6">
        <w:rPr>
          <w:rFonts w:asciiTheme="minorHAnsi" w:hAnsiTheme="minorHAnsi" w:cstheme="minorHAnsi"/>
          <w:bCs/>
          <w:sz w:val="22"/>
          <w:szCs w:val="22"/>
        </w:rPr>
        <w:t>-28,2% a taxas de câmbio constantes</w:t>
      </w:r>
      <w:r w:rsidR="00013BE6">
        <w:rPr>
          <w:rFonts w:asciiTheme="minorHAnsi" w:hAnsiTheme="minorHAnsi" w:cstheme="minorHAnsi"/>
          <w:bCs/>
          <w:sz w:val="22"/>
          <w:szCs w:val="22"/>
        </w:rPr>
        <w:t>;</w:t>
      </w:r>
    </w:p>
    <w:p w:rsidR="00013BE6" w:rsidRPr="00013BE6" w:rsidRDefault="00013BE6" w:rsidP="00013BE6">
      <w:pPr>
        <w:numPr>
          <w:ilvl w:val="0"/>
          <w:numId w:val="22"/>
        </w:numPr>
        <w:spacing w:line="360" w:lineRule="auto"/>
        <w:ind w:right="-1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B3320">
        <w:rPr>
          <w:rFonts w:asciiTheme="minorHAnsi" w:hAnsiTheme="minorHAnsi" w:cstheme="minorHAnsi"/>
          <w:b/>
          <w:bCs/>
          <w:sz w:val="22"/>
          <w:szCs w:val="22"/>
        </w:rPr>
        <w:t>Fluxo de caixa livre de 938 milhões de euros</w:t>
      </w:r>
      <w:r w:rsidRPr="00013BE6">
        <w:rPr>
          <w:rFonts w:asciiTheme="minorHAnsi" w:hAnsiTheme="minorHAnsi" w:cstheme="minorHAnsi"/>
          <w:bCs/>
          <w:sz w:val="22"/>
          <w:szCs w:val="22"/>
        </w:rPr>
        <w:t>, melhora da posição financeira líquida</w:t>
      </w:r>
      <w:r>
        <w:rPr>
          <w:rFonts w:asciiTheme="minorHAnsi" w:hAnsiTheme="minorHAnsi" w:cstheme="minorHAnsi"/>
          <w:bCs/>
          <w:sz w:val="22"/>
          <w:szCs w:val="22"/>
        </w:rPr>
        <w:t>;</w:t>
      </w:r>
    </w:p>
    <w:p w:rsidR="00013BE6" w:rsidRPr="00013BE6" w:rsidRDefault="00013BE6" w:rsidP="00013BE6">
      <w:pPr>
        <w:numPr>
          <w:ilvl w:val="0"/>
          <w:numId w:val="22"/>
        </w:numPr>
        <w:spacing w:line="360" w:lineRule="auto"/>
        <w:ind w:right="-1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13BE6">
        <w:rPr>
          <w:rFonts w:asciiTheme="minorHAnsi" w:hAnsiTheme="minorHAnsi" w:cstheme="minorHAnsi"/>
          <w:bCs/>
          <w:sz w:val="22"/>
          <w:szCs w:val="22"/>
        </w:rPr>
        <w:t xml:space="preserve">Nenhuma nova perspectiva para o ano </w:t>
      </w:r>
      <w:r>
        <w:rPr>
          <w:rFonts w:asciiTheme="minorHAnsi" w:hAnsiTheme="minorHAnsi" w:cstheme="minorHAnsi"/>
          <w:bCs/>
          <w:sz w:val="22"/>
          <w:szCs w:val="22"/>
        </w:rPr>
        <w:t>de</w:t>
      </w:r>
      <w:r w:rsidRPr="00013BE6">
        <w:rPr>
          <w:rFonts w:asciiTheme="minorHAnsi" w:hAnsiTheme="minorHAnsi" w:cstheme="minorHAnsi"/>
          <w:bCs/>
          <w:sz w:val="22"/>
          <w:szCs w:val="22"/>
        </w:rPr>
        <w:t xml:space="preserve"> 2020 devido </w:t>
      </w:r>
      <w:r>
        <w:rPr>
          <w:rFonts w:asciiTheme="minorHAnsi" w:hAnsiTheme="minorHAnsi" w:cstheme="minorHAnsi"/>
          <w:bCs/>
          <w:sz w:val="22"/>
          <w:szCs w:val="22"/>
        </w:rPr>
        <w:t>às</w:t>
      </w:r>
      <w:r w:rsidRPr="00013BE6">
        <w:rPr>
          <w:rFonts w:asciiTheme="minorHAnsi" w:hAnsiTheme="minorHAnsi" w:cstheme="minorHAnsi"/>
          <w:bCs/>
          <w:sz w:val="22"/>
          <w:szCs w:val="22"/>
        </w:rPr>
        <w:t xml:space="preserve"> incertezas contínuas do mercado</w:t>
      </w:r>
      <w:r w:rsidR="00590FA7">
        <w:rPr>
          <w:rFonts w:asciiTheme="minorHAnsi" w:hAnsiTheme="minorHAnsi" w:cstheme="minorHAnsi"/>
          <w:bCs/>
          <w:sz w:val="22"/>
          <w:szCs w:val="22"/>
        </w:rPr>
        <w:t xml:space="preserve"> por conta da pandemia</w:t>
      </w:r>
      <w:r>
        <w:rPr>
          <w:rFonts w:asciiTheme="minorHAnsi" w:hAnsiTheme="minorHAnsi" w:cstheme="minorHAnsi"/>
          <w:bCs/>
          <w:sz w:val="22"/>
          <w:szCs w:val="22"/>
        </w:rPr>
        <w:t>;</w:t>
      </w:r>
    </w:p>
    <w:p w:rsidR="00013BE6" w:rsidRDefault="00013BE6" w:rsidP="00013BE6">
      <w:pPr>
        <w:numPr>
          <w:ilvl w:val="0"/>
          <w:numId w:val="22"/>
        </w:numPr>
        <w:spacing w:line="360" w:lineRule="auto"/>
        <w:ind w:right="-1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13BE6">
        <w:rPr>
          <w:rFonts w:asciiTheme="minorHAnsi" w:hAnsiTheme="minorHAnsi" w:cstheme="minorHAnsi"/>
          <w:bCs/>
          <w:noProof/>
          <w:sz w:val="22"/>
          <w:szCs w:val="22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229235</wp:posOffset>
                </wp:positionV>
                <wp:extent cx="3943350" cy="1404620"/>
                <wp:effectExtent l="0" t="0" r="19050" b="203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BE6" w:rsidRPr="009B3320" w:rsidRDefault="009B3320" w:rsidP="009B3320">
                            <w:pPr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9B3320">
                              <w:rPr>
                                <w:rFonts w:asciiTheme="minorHAnsi" w:hAnsiTheme="minorHAnsi" w:cstheme="minorHAnsi"/>
                                <w:i/>
                              </w:rPr>
                              <w:t>* Ajustado por despesas e receitas únicas e despesas de reestruturação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.1pt;margin-top:18.05pt;width:310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">
                <v:textbox style="mso-fit-shape-to-text:t">
                  <w:txbxContent>
                    <w:p w:rsidR="00013BE6" w:rsidRPr="009B3320" w:rsidRDefault="009B3320" w:rsidP="009B3320">
                      <w:pPr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9B3320">
                        <w:rPr>
                          <w:rFonts w:asciiTheme="minorHAnsi" w:hAnsiTheme="minorHAnsi" w:cstheme="minorHAnsi"/>
                          <w:i/>
                        </w:rPr>
                        <w:t>* Ajustado por despesas e receitas únicas e despesas de reestruturação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3BE6">
        <w:rPr>
          <w:rFonts w:asciiTheme="minorHAnsi" w:hAnsiTheme="minorHAnsi" w:cstheme="minorHAnsi"/>
          <w:bCs/>
          <w:sz w:val="22"/>
          <w:szCs w:val="22"/>
        </w:rPr>
        <w:t>Implementação de nova age</w:t>
      </w:r>
      <w:r>
        <w:rPr>
          <w:rFonts w:asciiTheme="minorHAnsi" w:hAnsiTheme="minorHAnsi" w:cstheme="minorHAnsi"/>
          <w:bCs/>
          <w:sz w:val="22"/>
          <w:szCs w:val="22"/>
        </w:rPr>
        <w:t>nda para crescimento.</w:t>
      </w:r>
    </w:p>
    <w:p w:rsidR="00AE536D" w:rsidRPr="00A84743" w:rsidRDefault="00AE536D" w:rsidP="00AE536D">
      <w:pPr>
        <w:spacing w:line="360" w:lineRule="auto"/>
        <w:ind w:right="-109"/>
        <w:jc w:val="both"/>
        <w:rPr>
          <w:rFonts w:asciiTheme="minorHAnsi" w:hAnsiTheme="minorHAnsi" w:cstheme="minorHAnsi"/>
          <w:bCs/>
          <w:sz w:val="24"/>
        </w:rPr>
      </w:pPr>
    </w:p>
    <w:p w:rsidR="009B3320" w:rsidRDefault="009B3320" w:rsidP="00A8474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B63BEC" w:rsidRDefault="00685538" w:rsidP="00F43BA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E1794">
        <w:rPr>
          <w:rFonts w:asciiTheme="minorHAnsi" w:hAnsiTheme="minorHAnsi" w:cstheme="minorHAnsi"/>
          <w:b/>
          <w:bCs/>
          <w:sz w:val="22"/>
          <w:szCs w:val="22"/>
        </w:rPr>
        <w:t>Düsseldorf</w:t>
      </w:r>
      <w:r w:rsidRPr="001E1794">
        <w:rPr>
          <w:rFonts w:asciiTheme="minorHAnsi" w:hAnsiTheme="minorHAnsi" w:cstheme="minorHAnsi"/>
          <w:bCs/>
          <w:sz w:val="22"/>
          <w:szCs w:val="22"/>
        </w:rPr>
        <w:t xml:space="preserve"> – 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>“</w:t>
      </w:r>
      <w:r w:rsidR="009B3320">
        <w:rPr>
          <w:rFonts w:asciiTheme="minorHAnsi" w:hAnsiTheme="minorHAnsi" w:cstheme="minorHAnsi"/>
          <w:bCs/>
          <w:sz w:val="22"/>
          <w:szCs w:val="22"/>
        </w:rPr>
        <w:t>No primeiro semestre de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 xml:space="preserve"> 202</w:t>
      </w:r>
      <w:r w:rsidR="009B3320">
        <w:rPr>
          <w:rFonts w:asciiTheme="minorHAnsi" w:hAnsiTheme="minorHAnsi" w:cstheme="minorHAnsi"/>
          <w:bCs/>
          <w:sz w:val="22"/>
          <w:szCs w:val="22"/>
        </w:rPr>
        <w:t>0, a Henkel foi fortemente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 xml:space="preserve"> impactada pela significativa desaceleração econômica global e pelo acentuado declínio da demanda em </w:t>
      </w:r>
      <w:r w:rsidR="009B3320">
        <w:rPr>
          <w:rFonts w:asciiTheme="minorHAnsi" w:hAnsiTheme="minorHAnsi" w:cstheme="minorHAnsi"/>
          <w:bCs/>
          <w:sz w:val="22"/>
          <w:szCs w:val="22"/>
        </w:rPr>
        <w:t>diversos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 xml:space="preserve"> setores. Durante essa crise global sem precedentes, nosso foco é proteger </w:t>
      </w:r>
      <w:r w:rsidR="009B3320">
        <w:rPr>
          <w:rFonts w:asciiTheme="minorHAnsi" w:hAnsiTheme="minorHAnsi" w:cstheme="minorHAnsi"/>
          <w:bCs/>
          <w:sz w:val="22"/>
          <w:szCs w:val="22"/>
        </w:rPr>
        <w:t>nossos colaboradores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>, fornece</w:t>
      </w:r>
      <w:r w:rsidR="009B3320">
        <w:rPr>
          <w:rFonts w:asciiTheme="minorHAnsi" w:hAnsiTheme="minorHAnsi" w:cstheme="minorHAnsi"/>
          <w:bCs/>
          <w:sz w:val="22"/>
          <w:szCs w:val="22"/>
        </w:rPr>
        <w:t>dores e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 xml:space="preserve"> clientes, </w:t>
      </w:r>
      <w:r w:rsidR="009B3320">
        <w:rPr>
          <w:rFonts w:asciiTheme="minorHAnsi" w:hAnsiTheme="minorHAnsi" w:cstheme="minorHAnsi"/>
          <w:bCs/>
          <w:sz w:val="22"/>
          <w:szCs w:val="22"/>
        </w:rPr>
        <w:t xml:space="preserve">além de 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 xml:space="preserve">garantir a continuidade dos negócios </w:t>
      </w:r>
      <w:bookmarkStart w:id="0" w:name="_GoBack"/>
      <w:bookmarkEnd w:id="0"/>
      <w:r w:rsidR="009B3320" w:rsidRPr="009B3320">
        <w:rPr>
          <w:rFonts w:asciiTheme="minorHAnsi" w:hAnsiTheme="minorHAnsi" w:cstheme="minorHAnsi"/>
          <w:bCs/>
          <w:sz w:val="22"/>
          <w:szCs w:val="22"/>
        </w:rPr>
        <w:t xml:space="preserve">e apoiar as comunidades. Graças ao excelente espírito de equipe e comprometimento de nossos </w:t>
      </w:r>
      <w:r w:rsidR="009B3320">
        <w:rPr>
          <w:rFonts w:asciiTheme="minorHAnsi" w:hAnsiTheme="minorHAnsi" w:cstheme="minorHAnsi"/>
          <w:bCs/>
          <w:sz w:val="22"/>
          <w:szCs w:val="22"/>
        </w:rPr>
        <w:t>colaboradores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 xml:space="preserve"> em todo o mundo, conseguimos isso no primeiro semestre </w:t>
      </w:r>
      <w:r w:rsidR="009B3320">
        <w:rPr>
          <w:rFonts w:asciiTheme="minorHAnsi" w:hAnsiTheme="minorHAnsi" w:cstheme="minorHAnsi"/>
          <w:bCs/>
          <w:sz w:val="22"/>
          <w:szCs w:val="22"/>
        </w:rPr>
        <w:t>do ano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>. A amplitude d</w:t>
      </w:r>
      <w:r w:rsidR="004C527E">
        <w:rPr>
          <w:rFonts w:asciiTheme="minorHAnsi" w:hAnsiTheme="minorHAnsi" w:cstheme="minorHAnsi"/>
          <w:bCs/>
          <w:sz w:val="22"/>
          <w:szCs w:val="22"/>
        </w:rPr>
        <w:t>o</w:t>
      </w:r>
      <w:r w:rsidR="009B3320" w:rsidRPr="009B3320">
        <w:rPr>
          <w:rFonts w:asciiTheme="minorHAnsi" w:hAnsiTheme="minorHAnsi" w:cstheme="minorHAnsi"/>
          <w:bCs/>
          <w:sz w:val="22"/>
          <w:szCs w:val="22"/>
        </w:rPr>
        <w:t xml:space="preserve"> nosso portfólio nos negócios industrial e de consumo nos ajudou a equilibrar o impacto da crise no desempenho geral de vendas e ganhos: </w:t>
      </w:r>
      <w:r w:rsidR="00F43BA2" w:rsidRPr="00F43BA2">
        <w:rPr>
          <w:rFonts w:asciiTheme="minorHAnsi" w:hAnsiTheme="minorHAnsi" w:cstheme="minorHAnsi"/>
          <w:bCs/>
          <w:sz w:val="22"/>
          <w:szCs w:val="22"/>
        </w:rPr>
        <w:t xml:space="preserve">Nos primeiros seis meses de 2020, alcançamos </w:t>
      </w:r>
      <w:r w:rsidR="00F43BA2">
        <w:rPr>
          <w:rFonts w:asciiTheme="minorHAnsi" w:hAnsiTheme="minorHAnsi" w:cstheme="minorHAnsi"/>
          <w:bCs/>
          <w:sz w:val="22"/>
          <w:szCs w:val="22"/>
        </w:rPr>
        <w:t>cerca de 9,5 m</w:t>
      </w:r>
      <w:r w:rsidR="00F43BA2" w:rsidRPr="00F43BA2">
        <w:rPr>
          <w:rFonts w:asciiTheme="minorHAnsi" w:hAnsiTheme="minorHAnsi" w:cstheme="minorHAnsi"/>
          <w:bCs/>
          <w:sz w:val="22"/>
          <w:szCs w:val="22"/>
        </w:rPr>
        <w:t>ilhões de euros</w:t>
      </w:r>
      <w:r w:rsidR="00F43BA2">
        <w:rPr>
          <w:rFonts w:asciiTheme="minorHAnsi" w:hAnsiTheme="minorHAnsi" w:cstheme="minorHAnsi"/>
          <w:bCs/>
          <w:sz w:val="22"/>
          <w:szCs w:val="22"/>
        </w:rPr>
        <w:t xml:space="preserve"> em vendas</w:t>
      </w:r>
      <w:r w:rsidR="00F43BA2" w:rsidRPr="00F43BA2">
        <w:rPr>
          <w:rFonts w:asciiTheme="minorHAnsi" w:hAnsiTheme="minorHAnsi" w:cstheme="minorHAnsi"/>
          <w:bCs/>
          <w:sz w:val="22"/>
          <w:szCs w:val="22"/>
        </w:rPr>
        <w:t xml:space="preserve">, lucro operacional de 1,2 bilhão de euros e margem EBIT de 12,6%. Pagamos o dividendo total de 2019 aos acionistas e fomos </w:t>
      </w:r>
      <w:r w:rsidR="00F43BA2" w:rsidRPr="00F43BA2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capazes de gerar um fluxo de caixa livre muito forte e melhorar ainda mais nossa posição financeira líquida. Durante a crise, não introduzimos </w:t>
      </w:r>
      <w:r w:rsidR="00F43BA2">
        <w:rPr>
          <w:rFonts w:asciiTheme="minorHAnsi" w:hAnsiTheme="minorHAnsi" w:cstheme="minorHAnsi"/>
          <w:bCs/>
          <w:sz w:val="22"/>
          <w:szCs w:val="22"/>
        </w:rPr>
        <w:t>a redução da jornada de trabalho</w:t>
      </w:r>
      <w:r w:rsidR="00F43BA2" w:rsidRPr="00F43BA2">
        <w:rPr>
          <w:rFonts w:asciiTheme="minorHAnsi" w:hAnsiTheme="minorHAnsi" w:cstheme="minorHAnsi"/>
          <w:bCs/>
          <w:sz w:val="22"/>
          <w:szCs w:val="22"/>
        </w:rPr>
        <w:t>, solicitamos ajuda do governo ou reduzimos nossa força de trabalho devido à pandemia. Em resumo,</w:t>
      </w:r>
      <w:r w:rsidR="00F43BA2">
        <w:rPr>
          <w:rFonts w:asciiTheme="minorHAnsi" w:hAnsiTheme="minorHAnsi" w:cstheme="minorHAnsi"/>
          <w:bCs/>
          <w:sz w:val="22"/>
          <w:szCs w:val="22"/>
        </w:rPr>
        <w:t xml:space="preserve"> tivemos um desempenho </w:t>
      </w:r>
      <w:r w:rsidR="00F43BA2" w:rsidRPr="00F43BA2">
        <w:rPr>
          <w:rFonts w:asciiTheme="minorHAnsi" w:hAnsiTheme="minorHAnsi" w:cstheme="minorHAnsi"/>
          <w:bCs/>
          <w:sz w:val="22"/>
          <w:szCs w:val="22"/>
        </w:rPr>
        <w:t xml:space="preserve">robusto em um ambiente excepcionalmente desafiador ”, disse </w:t>
      </w:r>
      <w:r w:rsidR="00F43BA2">
        <w:rPr>
          <w:rFonts w:asciiTheme="minorHAnsi" w:hAnsiTheme="minorHAnsi" w:cstheme="minorHAnsi"/>
          <w:bCs/>
          <w:sz w:val="22"/>
          <w:szCs w:val="22"/>
        </w:rPr>
        <w:t xml:space="preserve">o CEO da Henkel, </w:t>
      </w:r>
      <w:proofErr w:type="spellStart"/>
      <w:r w:rsidR="00F43BA2">
        <w:rPr>
          <w:rFonts w:asciiTheme="minorHAnsi" w:hAnsiTheme="minorHAnsi" w:cstheme="minorHAnsi"/>
          <w:bCs/>
          <w:sz w:val="22"/>
          <w:szCs w:val="22"/>
        </w:rPr>
        <w:t>Carsten</w:t>
      </w:r>
      <w:proofErr w:type="spellEnd"/>
      <w:r w:rsidR="00F43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F43BA2">
        <w:rPr>
          <w:rFonts w:asciiTheme="minorHAnsi" w:hAnsiTheme="minorHAnsi" w:cstheme="minorHAnsi"/>
          <w:bCs/>
          <w:sz w:val="22"/>
          <w:szCs w:val="22"/>
        </w:rPr>
        <w:t>Knobel</w:t>
      </w:r>
      <w:proofErr w:type="spellEnd"/>
      <w:r w:rsidR="00E02E29" w:rsidRPr="001E1794">
        <w:rPr>
          <w:rFonts w:asciiTheme="minorHAnsi" w:hAnsiTheme="minorHAnsi" w:cstheme="minorHAnsi"/>
          <w:bCs/>
          <w:sz w:val="22"/>
          <w:szCs w:val="22"/>
        </w:rPr>
        <w:t>.</w:t>
      </w:r>
    </w:p>
    <w:p w:rsidR="00EF5909" w:rsidRPr="001E1794" w:rsidRDefault="00EF5909" w:rsidP="00A8474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B3320" w:rsidRDefault="00F43BA2" w:rsidP="00F43BA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 Henkel registrou 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9.485 milhões de euros </w:t>
      </w:r>
      <w:r>
        <w:rPr>
          <w:rFonts w:asciiTheme="minorHAnsi" w:hAnsiTheme="minorHAnsi" w:cstheme="minorHAnsi"/>
          <w:bCs/>
          <w:sz w:val="22"/>
          <w:szCs w:val="22"/>
        </w:rPr>
        <w:t xml:space="preserve">em vendas 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no primeiro semestre de 2020. Esse é um declínio de -6,0% em termos nominais e -5,2% em termos orgânicos em comparação com </w:t>
      </w:r>
      <w:r>
        <w:rPr>
          <w:rFonts w:asciiTheme="minorHAnsi" w:hAnsiTheme="minorHAnsi" w:cstheme="minorHAnsi"/>
          <w:bCs/>
          <w:sz w:val="22"/>
          <w:szCs w:val="22"/>
        </w:rPr>
        <w:t>o mesmo período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 do ano anterior. A </w:t>
      </w:r>
      <w:r>
        <w:rPr>
          <w:rFonts w:asciiTheme="minorHAnsi" w:hAnsiTheme="minorHAnsi" w:cstheme="minorHAnsi"/>
          <w:bCs/>
          <w:sz w:val="22"/>
          <w:szCs w:val="22"/>
        </w:rPr>
        <w:t>companhia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 também alcançou um lucro opera</w:t>
      </w:r>
      <w:r>
        <w:rPr>
          <w:rFonts w:asciiTheme="minorHAnsi" w:hAnsiTheme="minorHAnsi" w:cstheme="minorHAnsi"/>
          <w:bCs/>
          <w:sz w:val="22"/>
          <w:szCs w:val="22"/>
        </w:rPr>
        <w:t>cional ajustado de 1.191 milhão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 de euros nos primeiros seis meses </w:t>
      </w:r>
      <w:r>
        <w:rPr>
          <w:rFonts w:asciiTheme="minorHAnsi" w:hAnsiTheme="minorHAnsi" w:cstheme="minorHAnsi"/>
          <w:bCs/>
          <w:sz w:val="22"/>
          <w:szCs w:val="22"/>
        </w:rPr>
        <w:t>do ano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, -27,5% abaixo </w:t>
      </w:r>
      <w:r>
        <w:rPr>
          <w:rFonts w:asciiTheme="minorHAnsi" w:hAnsiTheme="minorHAnsi" w:cstheme="minorHAnsi"/>
          <w:bCs/>
          <w:sz w:val="22"/>
          <w:szCs w:val="22"/>
        </w:rPr>
        <w:t>de 2019</w:t>
      </w:r>
      <w:r w:rsidRPr="00F43BA2">
        <w:rPr>
          <w:rFonts w:asciiTheme="minorHAnsi" w:hAnsiTheme="minorHAnsi" w:cstheme="minorHAnsi"/>
          <w:bCs/>
          <w:sz w:val="22"/>
          <w:szCs w:val="22"/>
        </w:rPr>
        <w:t>. A margem EBIT ajust</w:t>
      </w:r>
      <w:r>
        <w:rPr>
          <w:rFonts w:asciiTheme="minorHAnsi" w:hAnsiTheme="minorHAnsi" w:cstheme="minorHAnsi"/>
          <w:bCs/>
          <w:sz w:val="22"/>
          <w:szCs w:val="22"/>
        </w:rPr>
        <w:t xml:space="preserve">ada ficou em 12,6%, -370 pontos </w:t>
      </w:r>
      <w:r w:rsidRPr="00F43BA2">
        <w:rPr>
          <w:rFonts w:asciiTheme="minorHAnsi" w:hAnsiTheme="minorHAnsi" w:cstheme="minorHAnsi"/>
          <w:bCs/>
          <w:sz w:val="22"/>
          <w:szCs w:val="22"/>
        </w:rPr>
        <w:t>base ab</w:t>
      </w:r>
      <w:r w:rsidR="00CF6D96">
        <w:rPr>
          <w:rFonts w:asciiTheme="minorHAnsi" w:hAnsiTheme="minorHAnsi" w:cstheme="minorHAnsi"/>
          <w:bCs/>
          <w:sz w:val="22"/>
          <w:szCs w:val="22"/>
        </w:rPr>
        <w:t>aixo do período do ano anterior.</w:t>
      </w:r>
    </w:p>
    <w:p w:rsidR="00F43BA2" w:rsidRDefault="00F43BA2" w:rsidP="00F43BA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F43BA2" w:rsidRDefault="00F43BA2" w:rsidP="00F43BA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43BA2">
        <w:rPr>
          <w:rFonts w:asciiTheme="minorHAnsi" w:hAnsiTheme="minorHAnsi" w:cstheme="minorHAnsi"/>
          <w:bCs/>
          <w:sz w:val="22"/>
          <w:szCs w:val="22"/>
        </w:rPr>
        <w:t>Nos primeiros seis meses</w:t>
      </w:r>
      <w:r>
        <w:rPr>
          <w:rFonts w:asciiTheme="minorHAnsi" w:hAnsiTheme="minorHAnsi" w:cstheme="minorHAnsi"/>
          <w:bCs/>
          <w:sz w:val="22"/>
          <w:szCs w:val="22"/>
        </w:rPr>
        <w:t xml:space="preserve"> do ano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, a </w:t>
      </w:r>
      <w:r>
        <w:rPr>
          <w:rFonts w:asciiTheme="minorHAnsi" w:hAnsiTheme="minorHAnsi" w:cstheme="minorHAnsi"/>
          <w:bCs/>
          <w:sz w:val="22"/>
          <w:szCs w:val="22"/>
        </w:rPr>
        <w:t xml:space="preserve">unidade de </w:t>
      </w:r>
      <w:r w:rsidRPr="004C527E">
        <w:rPr>
          <w:rFonts w:asciiTheme="minorHAnsi" w:hAnsiTheme="minorHAnsi" w:cstheme="minorHAnsi"/>
          <w:bCs/>
          <w:sz w:val="22"/>
          <w:szCs w:val="22"/>
        </w:rPr>
        <w:t>negócios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F43BA2">
        <w:rPr>
          <w:rFonts w:asciiTheme="minorHAnsi" w:hAnsiTheme="minorHAnsi" w:cstheme="minorHAnsi"/>
          <w:b/>
          <w:bCs/>
          <w:sz w:val="22"/>
          <w:szCs w:val="22"/>
        </w:rPr>
        <w:t>Adhesive</w:t>
      </w:r>
      <w:proofErr w:type="spellEnd"/>
      <w:r w:rsidRPr="00F43BA2">
        <w:rPr>
          <w:rFonts w:asciiTheme="minorHAnsi" w:hAnsiTheme="minorHAnsi" w:cstheme="minorHAnsi"/>
          <w:b/>
          <w:bCs/>
          <w:sz w:val="22"/>
          <w:szCs w:val="22"/>
        </w:rPr>
        <w:t xml:space="preserve"> Technologies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 foi impactada principalmente pelo declínio significativo da demanda </w:t>
      </w:r>
      <w:r w:rsidR="00912286">
        <w:rPr>
          <w:rFonts w:asciiTheme="minorHAnsi" w:hAnsiTheme="minorHAnsi" w:cstheme="minorHAnsi"/>
          <w:bCs/>
          <w:sz w:val="22"/>
          <w:szCs w:val="22"/>
        </w:rPr>
        <w:t>dos principais clientes da indústria</w:t>
      </w:r>
      <w:r w:rsidRPr="00F43BA2">
        <w:rPr>
          <w:rFonts w:asciiTheme="minorHAnsi" w:hAnsiTheme="minorHAnsi" w:cstheme="minorHAnsi"/>
          <w:bCs/>
          <w:sz w:val="22"/>
          <w:szCs w:val="22"/>
        </w:rPr>
        <w:t>. O desempenho d</w:t>
      </w:r>
      <w:r w:rsidR="00912286">
        <w:rPr>
          <w:rFonts w:asciiTheme="minorHAnsi" w:hAnsiTheme="minorHAnsi" w:cstheme="minorHAnsi"/>
          <w:bCs/>
          <w:sz w:val="22"/>
          <w:szCs w:val="22"/>
        </w:rPr>
        <w:t xml:space="preserve">a unidade de </w:t>
      </w:r>
      <w:r w:rsidR="00912286" w:rsidRPr="004C527E">
        <w:rPr>
          <w:rFonts w:asciiTheme="minorHAnsi" w:hAnsiTheme="minorHAnsi" w:cstheme="minorHAnsi"/>
          <w:bCs/>
          <w:sz w:val="22"/>
          <w:szCs w:val="22"/>
        </w:rPr>
        <w:t>negócios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912286">
        <w:rPr>
          <w:rFonts w:asciiTheme="minorHAnsi" w:hAnsiTheme="minorHAnsi" w:cstheme="minorHAnsi"/>
          <w:b/>
          <w:bCs/>
          <w:sz w:val="22"/>
          <w:szCs w:val="22"/>
        </w:rPr>
        <w:t>Beauty</w:t>
      </w:r>
      <w:proofErr w:type="spellEnd"/>
      <w:r w:rsidRPr="0091228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912286">
        <w:rPr>
          <w:rFonts w:asciiTheme="minorHAnsi" w:hAnsiTheme="minorHAnsi" w:cstheme="minorHAnsi"/>
          <w:b/>
          <w:bCs/>
          <w:sz w:val="22"/>
          <w:szCs w:val="22"/>
        </w:rPr>
        <w:t>Care</w:t>
      </w:r>
      <w:proofErr w:type="spellEnd"/>
      <w:r w:rsidRPr="00F43BA2">
        <w:rPr>
          <w:rFonts w:asciiTheme="minorHAnsi" w:hAnsiTheme="minorHAnsi" w:cstheme="minorHAnsi"/>
          <w:bCs/>
          <w:sz w:val="22"/>
          <w:szCs w:val="22"/>
        </w:rPr>
        <w:t xml:space="preserve"> foi afetado principalmente pelo </w:t>
      </w:r>
      <w:r w:rsidR="00912286">
        <w:rPr>
          <w:rFonts w:asciiTheme="minorHAnsi" w:hAnsiTheme="minorHAnsi" w:cstheme="minorHAnsi"/>
          <w:bCs/>
          <w:sz w:val="22"/>
          <w:szCs w:val="22"/>
        </w:rPr>
        <w:t xml:space="preserve">andamento 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significativamente negativo </w:t>
      </w:r>
      <w:r w:rsidR="00637CCE">
        <w:rPr>
          <w:rFonts w:asciiTheme="minorHAnsi" w:hAnsiTheme="minorHAnsi" w:cstheme="minorHAnsi"/>
          <w:bCs/>
          <w:sz w:val="22"/>
          <w:szCs w:val="22"/>
        </w:rPr>
        <w:t>no segmento de cabeleireiros,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 impulsionado pelo fechamento</w:t>
      </w:r>
      <w:r w:rsidR="00637CCE">
        <w:rPr>
          <w:rFonts w:asciiTheme="minorHAnsi" w:hAnsiTheme="minorHAnsi" w:cstheme="minorHAnsi"/>
          <w:bCs/>
          <w:sz w:val="22"/>
          <w:szCs w:val="22"/>
        </w:rPr>
        <w:t xml:space="preserve"> de salões 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em vários países. </w:t>
      </w:r>
      <w:r w:rsidR="00637CCE">
        <w:rPr>
          <w:rFonts w:asciiTheme="minorHAnsi" w:hAnsiTheme="minorHAnsi" w:cstheme="minorHAnsi"/>
          <w:bCs/>
          <w:sz w:val="22"/>
          <w:szCs w:val="22"/>
        </w:rPr>
        <w:t xml:space="preserve">Já a unidade de </w:t>
      </w:r>
      <w:r w:rsidR="00637CCE" w:rsidRPr="004C527E">
        <w:rPr>
          <w:rFonts w:asciiTheme="minorHAnsi" w:hAnsiTheme="minorHAnsi" w:cstheme="minorHAnsi"/>
          <w:bCs/>
          <w:sz w:val="22"/>
          <w:szCs w:val="22"/>
        </w:rPr>
        <w:t>negócios</w:t>
      </w:r>
      <w:r w:rsidR="00637CCE">
        <w:rPr>
          <w:rFonts w:asciiTheme="minorHAnsi" w:hAnsiTheme="minorHAnsi" w:cstheme="minorHAnsi"/>
          <w:bCs/>
          <w:sz w:val="22"/>
          <w:szCs w:val="22"/>
        </w:rPr>
        <w:t xml:space="preserve"> de </w:t>
      </w:r>
      <w:proofErr w:type="spellStart"/>
      <w:r w:rsidR="00637CCE" w:rsidRPr="00637CCE">
        <w:rPr>
          <w:rFonts w:asciiTheme="minorHAnsi" w:hAnsiTheme="minorHAnsi" w:cstheme="minorHAnsi"/>
          <w:b/>
          <w:bCs/>
          <w:sz w:val="22"/>
          <w:szCs w:val="22"/>
        </w:rPr>
        <w:t>Laundry</w:t>
      </w:r>
      <w:proofErr w:type="spellEnd"/>
      <w:r w:rsidR="00637CCE" w:rsidRPr="00637CCE">
        <w:rPr>
          <w:rFonts w:asciiTheme="minorHAnsi" w:hAnsiTheme="minorHAnsi" w:cstheme="minorHAnsi"/>
          <w:b/>
          <w:bCs/>
          <w:sz w:val="22"/>
          <w:szCs w:val="22"/>
        </w:rPr>
        <w:t xml:space="preserve"> &amp; Home </w:t>
      </w:r>
      <w:proofErr w:type="spellStart"/>
      <w:r w:rsidR="00637CCE" w:rsidRPr="00637CCE">
        <w:rPr>
          <w:rFonts w:asciiTheme="minorHAnsi" w:hAnsiTheme="minorHAnsi" w:cstheme="minorHAnsi"/>
          <w:b/>
          <w:bCs/>
          <w:sz w:val="22"/>
          <w:szCs w:val="22"/>
        </w:rPr>
        <w:t>Care</w:t>
      </w:r>
      <w:proofErr w:type="spellEnd"/>
      <w:r w:rsidR="00637CCE">
        <w:rPr>
          <w:rFonts w:asciiTheme="minorHAnsi" w:hAnsiTheme="minorHAnsi" w:cstheme="minorHAnsi"/>
          <w:bCs/>
          <w:sz w:val="22"/>
          <w:szCs w:val="22"/>
        </w:rPr>
        <w:t xml:space="preserve"> apresentou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 um </w:t>
      </w:r>
      <w:r w:rsidR="00637CCE">
        <w:rPr>
          <w:rFonts w:asciiTheme="minorHAnsi" w:hAnsiTheme="minorHAnsi" w:cstheme="minorHAnsi"/>
          <w:bCs/>
          <w:sz w:val="22"/>
          <w:szCs w:val="22"/>
        </w:rPr>
        <w:t>desempenho</w:t>
      </w:r>
      <w:r w:rsidRPr="00F43BA2">
        <w:rPr>
          <w:rFonts w:asciiTheme="minorHAnsi" w:hAnsiTheme="minorHAnsi" w:cstheme="minorHAnsi"/>
          <w:bCs/>
          <w:sz w:val="22"/>
          <w:szCs w:val="22"/>
        </w:rPr>
        <w:t xml:space="preserve"> m</w:t>
      </w:r>
      <w:r w:rsidR="00637CCE">
        <w:rPr>
          <w:rFonts w:asciiTheme="minorHAnsi" w:hAnsiTheme="minorHAnsi" w:cstheme="minorHAnsi"/>
          <w:bCs/>
          <w:sz w:val="22"/>
          <w:szCs w:val="22"/>
        </w:rPr>
        <w:t xml:space="preserve">uito forte, </w:t>
      </w:r>
      <w:r w:rsidRPr="00F43BA2">
        <w:rPr>
          <w:rFonts w:asciiTheme="minorHAnsi" w:hAnsiTheme="minorHAnsi" w:cstheme="minorHAnsi"/>
          <w:bCs/>
          <w:sz w:val="22"/>
          <w:szCs w:val="22"/>
        </w:rPr>
        <w:t>apoiado por um aumento na demanda por produtos de limpeza.</w:t>
      </w:r>
    </w:p>
    <w:p w:rsidR="00232EFC" w:rsidRPr="00232EFC" w:rsidRDefault="00232EFC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232EFC" w:rsidRDefault="00232EFC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32EFC">
        <w:rPr>
          <w:rFonts w:asciiTheme="minorHAnsi" w:hAnsiTheme="minorHAnsi" w:cstheme="minorHAnsi"/>
          <w:bCs/>
          <w:sz w:val="22"/>
          <w:szCs w:val="22"/>
        </w:rPr>
        <w:t>"</w:t>
      </w:r>
      <w:r>
        <w:rPr>
          <w:rFonts w:asciiTheme="minorHAnsi" w:hAnsiTheme="minorHAnsi" w:cstheme="minorHAnsi"/>
          <w:bCs/>
          <w:sz w:val="22"/>
          <w:szCs w:val="22"/>
        </w:rPr>
        <w:t>Com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 as in</w:t>
      </w:r>
      <w:r>
        <w:rPr>
          <w:rFonts w:asciiTheme="minorHAnsi" w:hAnsiTheme="minorHAnsi" w:cstheme="minorHAnsi"/>
          <w:bCs/>
          <w:sz w:val="22"/>
          <w:szCs w:val="22"/>
        </w:rPr>
        <w:t xml:space="preserve">certezas contínuas, 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não podemos fornecer uma perspectiva nova e confiável para o ano inteiro neste momento", </w:t>
      </w:r>
      <w:r>
        <w:rPr>
          <w:rFonts w:asciiTheme="minorHAnsi" w:hAnsiTheme="minorHAnsi" w:cstheme="minorHAnsi"/>
          <w:bCs/>
          <w:sz w:val="22"/>
          <w:szCs w:val="22"/>
        </w:rPr>
        <w:t>explica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32EFC">
        <w:rPr>
          <w:rFonts w:asciiTheme="minorHAnsi" w:hAnsiTheme="minorHAnsi" w:cstheme="minorHAnsi"/>
          <w:bCs/>
          <w:sz w:val="22"/>
          <w:szCs w:val="22"/>
        </w:rPr>
        <w:t>Carsten</w:t>
      </w:r>
      <w:proofErr w:type="spellEnd"/>
      <w:r w:rsidRPr="00232EFC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32EFC">
        <w:rPr>
          <w:rFonts w:asciiTheme="minorHAnsi" w:hAnsiTheme="minorHAnsi" w:cstheme="minorHAnsi"/>
          <w:bCs/>
          <w:sz w:val="22"/>
          <w:szCs w:val="22"/>
        </w:rPr>
        <w:t>Knobel</w:t>
      </w:r>
      <w:proofErr w:type="spellEnd"/>
      <w:r w:rsidRPr="00232EFC">
        <w:rPr>
          <w:rFonts w:asciiTheme="minorHAnsi" w:hAnsiTheme="minorHAnsi" w:cstheme="minorHAnsi"/>
          <w:bCs/>
          <w:sz w:val="22"/>
          <w:szCs w:val="22"/>
        </w:rPr>
        <w:t>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232EFC">
        <w:rPr>
          <w:rFonts w:asciiTheme="minorHAnsi" w:hAnsiTheme="minorHAnsi" w:cstheme="minorHAnsi"/>
          <w:bCs/>
          <w:sz w:val="22"/>
          <w:szCs w:val="22"/>
        </w:rPr>
        <w:t>“Enquanto gerenciamos a crise atual, continuamos totalmente dedicados à nossa ambiciosa agenda de crescimento para os próximos anos. Iniciamos as prim</w:t>
      </w:r>
      <w:r w:rsidR="004C527E">
        <w:rPr>
          <w:rFonts w:asciiTheme="minorHAnsi" w:hAnsiTheme="minorHAnsi" w:cstheme="minorHAnsi"/>
          <w:bCs/>
          <w:sz w:val="22"/>
          <w:szCs w:val="22"/>
        </w:rPr>
        <w:t xml:space="preserve">eiras iniciativas alinhadas a </w:t>
      </w:r>
      <w:r w:rsidRPr="00232EFC">
        <w:rPr>
          <w:rFonts w:asciiTheme="minorHAnsi" w:hAnsiTheme="minorHAnsi" w:cstheme="minorHAnsi"/>
          <w:bCs/>
          <w:sz w:val="22"/>
          <w:szCs w:val="22"/>
        </w:rPr>
        <w:t>nossa nova estrutura estratégica e continuaremos a impulsionar ativamente a implementação de nossa agenda pa</w:t>
      </w:r>
      <w:r>
        <w:rPr>
          <w:rFonts w:asciiTheme="minorHAnsi" w:hAnsiTheme="minorHAnsi" w:cstheme="minorHAnsi"/>
          <w:bCs/>
          <w:sz w:val="22"/>
          <w:szCs w:val="22"/>
        </w:rPr>
        <w:t xml:space="preserve">ra crescimento </w:t>
      </w:r>
      <w:r w:rsidR="002B7778">
        <w:rPr>
          <w:rFonts w:asciiTheme="minorHAnsi" w:hAnsiTheme="minorHAnsi" w:cstheme="minorHAnsi"/>
          <w:bCs/>
          <w:sz w:val="22"/>
          <w:szCs w:val="22"/>
        </w:rPr>
        <w:t>com propósito</w:t>
      </w:r>
      <w:r>
        <w:rPr>
          <w:rFonts w:asciiTheme="minorHAnsi" w:hAnsiTheme="minorHAnsi" w:cstheme="minorHAnsi"/>
          <w:bCs/>
          <w:sz w:val="22"/>
          <w:szCs w:val="22"/>
        </w:rPr>
        <w:t>”, afirma.</w:t>
      </w:r>
    </w:p>
    <w:p w:rsidR="00232EFC" w:rsidRDefault="00232EFC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232EFC" w:rsidRPr="00232EFC" w:rsidRDefault="00232EFC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32EFC">
        <w:rPr>
          <w:rFonts w:asciiTheme="minorHAnsi" w:hAnsiTheme="minorHAnsi" w:cstheme="minorHAnsi"/>
          <w:b/>
          <w:bCs/>
          <w:sz w:val="22"/>
          <w:szCs w:val="22"/>
        </w:rPr>
        <w:t xml:space="preserve">Desempenho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em vendas e ganhos </w:t>
      </w:r>
      <w:r w:rsidRPr="00232EFC">
        <w:rPr>
          <w:rFonts w:asciiTheme="minorHAnsi" w:hAnsiTheme="minorHAnsi" w:cstheme="minorHAnsi"/>
          <w:b/>
          <w:bCs/>
          <w:sz w:val="22"/>
          <w:szCs w:val="22"/>
        </w:rPr>
        <w:t>no primeiro semestre de 2020</w:t>
      </w:r>
    </w:p>
    <w:p w:rsidR="00232EFC" w:rsidRDefault="00232EFC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Com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 9.485 milhões de euros, as vendas </w:t>
      </w:r>
      <w:r>
        <w:rPr>
          <w:rFonts w:asciiTheme="minorHAnsi" w:hAnsiTheme="minorHAnsi" w:cstheme="minorHAnsi"/>
          <w:bCs/>
          <w:sz w:val="22"/>
          <w:szCs w:val="22"/>
        </w:rPr>
        <w:t xml:space="preserve">da 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Henkel no primeiro semestre de 2020 foram -6,0% abaixo do </w:t>
      </w:r>
      <w:r>
        <w:rPr>
          <w:rFonts w:asciiTheme="minorHAnsi" w:hAnsiTheme="minorHAnsi" w:cstheme="minorHAnsi"/>
          <w:bCs/>
          <w:sz w:val="22"/>
          <w:szCs w:val="22"/>
        </w:rPr>
        <w:t xml:space="preserve">mesmo </w:t>
      </w:r>
      <w:r w:rsidRPr="00232EFC">
        <w:rPr>
          <w:rFonts w:asciiTheme="minorHAnsi" w:hAnsiTheme="minorHAnsi" w:cstheme="minorHAnsi"/>
          <w:bCs/>
          <w:sz w:val="22"/>
          <w:szCs w:val="22"/>
        </w:rPr>
        <w:t>período do ano anterior (</w:t>
      </w:r>
      <w:r>
        <w:rPr>
          <w:rFonts w:asciiTheme="minorHAnsi" w:hAnsiTheme="minorHAnsi" w:cstheme="minorHAnsi"/>
          <w:bCs/>
          <w:sz w:val="22"/>
          <w:szCs w:val="22"/>
        </w:rPr>
        <w:t>no segundo trimestre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: 4.558 milhões de euros; -11,0%). As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vendas orgânicas</w:t>
      </w:r>
      <w:r w:rsidRPr="00232EFC">
        <w:rPr>
          <w:rFonts w:asciiTheme="minorHAnsi" w:hAnsiTheme="minorHAnsi" w:cstheme="minorHAnsi"/>
          <w:bCs/>
          <w:sz w:val="22"/>
          <w:szCs w:val="22"/>
        </w:rPr>
        <w:t>, que excluem o impacto dos efeitos cambiais e aquisições / desinvestimentos, apresentaram um des</w:t>
      </w:r>
      <w:r w:rsidR="004C527E">
        <w:rPr>
          <w:rFonts w:asciiTheme="minorHAnsi" w:hAnsiTheme="minorHAnsi" w:cstheme="minorHAnsi"/>
          <w:bCs/>
          <w:sz w:val="22"/>
          <w:szCs w:val="22"/>
        </w:rPr>
        <w:t xml:space="preserve">empenho </w:t>
      </w:r>
      <w:r w:rsidRPr="00232EFC">
        <w:rPr>
          <w:rFonts w:asciiTheme="minorHAnsi" w:hAnsiTheme="minorHAnsi" w:cstheme="minorHAnsi"/>
          <w:bCs/>
          <w:sz w:val="22"/>
          <w:szCs w:val="22"/>
        </w:rPr>
        <w:t>negativo de</w:t>
      </w:r>
      <w:r>
        <w:rPr>
          <w:rFonts w:asciiTheme="minorHAnsi" w:hAnsiTheme="minorHAnsi" w:cstheme="minorHAnsi"/>
          <w:bCs/>
          <w:sz w:val="22"/>
          <w:szCs w:val="22"/>
        </w:rPr>
        <w:t xml:space="preserve"> -5,2%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 (</w:t>
      </w:r>
      <w:r>
        <w:rPr>
          <w:rFonts w:asciiTheme="minorHAnsi" w:hAnsiTheme="minorHAnsi" w:cstheme="minorHAnsi"/>
          <w:bCs/>
          <w:sz w:val="22"/>
          <w:szCs w:val="22"/>
        </w:rPr>
        <w:t>no segundo trimestre: -9,4%</w:t>
      </w:r>
      <w:r w:rsidRPr="00232EFC">
        <w:rPr>
          <w:rFonts w:asciiTheme="minorHAnsi" w:hAnsiTheme="minorHAnsi" w:cstheme="minorHAnsi"/>
          <w:bCs/>
          <w:sz w:val="22"/>
          <w:szCs w:val="22"/>
        </w:rPr>
        <w:t>). A contribuição de aquisições e desinvestimentos totalizou 0,3% (</w:t>
      </w:r>
      <w:r>
        <w:rPr>
          <w:rFonts w:asciiTheme="minorHAnsi" w:hAnsiTheme="minorHAnsi" w:cstheme="minorHAnsi"/>
          <w:bCs/>
          <w:sz w:val="22"/>
          <w:szCs w:val="22"/>
        </w:rPr>
        <w:t>no segundo trimestre</w:t>
      </w:r>
      <w:r w:rsidRPr="00232EFC">
        <w:rPr>
          <w:rFonts w:asciiTheme="minorHAnsi" w:hAnsiTheme="minorHAnsi" w:cstheme="minorHAnsi"/>
          <w:bCs/>
          <w:sz w:val="22"/>
          <w:szCs w:val="22"/>
        </w:rPr>
        <w:t>: 0,2%). Os efeitos cambiais tiveram um impacto negativo de -1,1% nas vendas (</w:t>
      </w:r>
      <w:r w:rsidR="004C527E">
        <w:rPr>
          <w:rFonts w:asciiTheme="minorHAnsi" w:hAnsiTheme="minorHAnsi" w:cstheme="minorHAnsi"/>
          <w:bCs/>
          <w:sz w:val="22"/>
          <w:szCs w:val="22"/>
        </w:rPr>
        <w:t>no segundo trimestre</w:t>
      </w:r>
      <w:r w:rsidRPr="00232EFC">
        <w:rPr>
          <w:rFonts w:asciiTheme="minorHAnsi" w:hAnsiTheme="minorHAnsi" w:cstheme="minorHAnsi"/>
          <w:bCs/>
          <w:sz w:val="22"/>
          <w:szCs w:val="22"/>
        </w:rPr>
        <w:t>: -1,9%).</w:t>
      </w:r>
    </w:p>
    <w:p w:rsidR="00232EFC" w:rsidRPr="00F43BA2" w:rsidRDefault="00232EFC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B3320" w:rsidRDefault="00232EFC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32EFC">
        <w:rPr>
          <w:rFonts w:asciiTheme="minorHAnsi" w:hAnsiTheme="minorHAnsi" w:cstheme="minorHAnsi"/>
          <w:bCs/>
          <w:sz w:val="22"/>
          <w:szCs w:val="22"/>
        </w:rPr>
        <w:t xml:space="preserve">Os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mercados emergentes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 apresentaram </w:t>
      </w:r>
      <w:r w:rsidR="0056281E">
        <w:rPr>
          <w:rFonts w:asciiTheme="minorHAnsi" w:hAnsiTheme="minorHAnsi" w:cstheme="minorHAnsi"/>
          <w:bCs/>
          <w:sz w:val="22"/>
          <w:szCs w:val="22"/>
        </w:rPr>
        <w:t xml:space="preserve">desempenho nas 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vendas </w:t>
      </w:r>
      <w:r w:rsidR="0056281E">
        <w:rPr>
          <w:rFonts w:asciiTheme="minorHAnsi" w:hAnsiTheme="minorHAnsi" w:cstheme="minorHAnsi"/>
          <w:bCs/>
          <w:sz w:val="22"/>
          <w:szCs w:val="22"/>
        </w:rPr>
        <w:t xml:space="preserve">orgânicas </w:t>
      </w:r>
      <w:r w:rsidRPr="00232EFC">
        <w:rPr>
          <w:rFonts w:asciiTheme="minorHAnsi" w:hAnsiTheme="minorHAnsi" w:cstheme="minorHAnsi"/>
          <w:bCs/>
          <w:sz w:val="22"/>
          <w:szCs w:val="22"/>
        </w:rPr>
        <w:t>de -2,6% (</w:t>
      </w:r>
      <w:r w:rsidR="004C527E">
        <w:rPr>
          <w:rFonts w:asciiTheme="minorHAnsi" w:hAnsiTheme="minorHAnsi" w:cstheme="minorHAnsi"/>
          <w:bCs/>
          <w:sz w:val="22"/>
          <w:szCs w:val="22"/>
        </w:rPr>
        <w:t>no segundo trimestre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: -7,1%). Os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mercados maduros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 apresentaram </w:t>
      </w:r>
      <w:r w:rsidR="0056281E">
        <w:rPr>
          <w:rFonts w:asciiTheme="minorHAnsi" w:hAnsiTheme="minorHAnsi" w:cstheme="minorHAnsi"/>
          <w:bCs/>
          <w:sz w:val="22"/>
          <w:szCs w:val="22"/>
        </w:rPr>
        <w:t xml:space="preserve">desempenho 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negativo </w:t>
      </w:r>
      <w:r w:rsidR="0056281E">
        <w:rPr>
          <w:rFonts w:asciiTheme="minorHAnsi" w:hAnsiTheme="minorHAnsi" w:cstheme="minorHAnsi"/>
          <w:bCs/>
          <w:sz w:val="22"/>
          <w:szCs w:val="22"/>
        </w:rPr>
        <w:t>nas</w:t>
      </w:r>
      <w:r w:rsidRPr="00232EFC">
        <w:rPr>
          <w:rFonts w:asciiTheme="minorHAnsi" w:hAnsiTheme="minorHAnsi" w:cstheme="minorHAnsi"/>
          <w:bCs/>
          <w:sz w:val="22"/>
          <w:szCs w:val="22"/>
        </w:rPr>
        <w:t xml:space="preserve"> vendas </w:t>
      </w:r>
      <w:r w:rsidR="0056281E">
        <w:rPr>
          <w:rFonts w:asciiTheme="minorHAnsi" w:hAnsiTheme="minorHAnsi" w:cstheme="minorHAnsi"/>
          <w:bCs/>
          <w:sz w:val="22"/>
          <w:szCs w:val="22"/>
        </w:rPr>
        <w:t xml:space="preserve">orgânicas </w:t>
      </w:r>
      <w:r w:rsidRPr="00232EFC">
        <w:rPr>
          <w:rFonts w:asciiTheme="minorHAnsi" w:hAnsiTheme="minorHAnsi" w:cstheme="minorHAnsi"/>
          <w:bCs/>
          <w:sz w:val="22"/>
          <w:szCs w:val="22"/>
        </w:rPr>
        <w:t>de -6,9%</w:t>
      </w:r>
      <w:r w:rsidR="0056281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232EFC">
        <w:rPr>
          <w:rFonts w:asciiTheme="minorHAnsi" w:hAnsiTheme="minorHAnsi" w:cstheme="minorHAnsi"/>
          <w:bCs/>
          <w:sz w:val="22"/>
          <w:szCs w:val="22"/>
        </w:rPr>
        <w:t>(</w:t>
      </w:r>
      <w:r w:rsidR="004C527E">
        <w:rPr>
          <w:rFonts w:asciiTheme="minorHAnsi" w:hAnsiTheme="minorHAnsi" w:cstheme="minorHAnsi"/>
          <w:bCs/>
          <w:sz w:val="22"/>
          <w:szCs w:val="22"/>
        </w:rPr>
        <w:t>no segundo trimestre</w:t>
      </w:r>
      <w:r w:rsidR="0056281E">
        <w:rPr>
          <w:rFonts w:asciiTheme="minorHAnsi" w:hAnsiTheme="minorHAnsi" w:cstheme="minorHAnsi"/>
          <w:bCs/>
          <w:sz w:val="22"/>
          <w:szCs w:val="22"/>
        </w:rPr>
        <w:t>: -10,9%</w:t>
      </w:r>
      <w:r w:rsidRPr="00232EFC">
        <w:rPr>
          <w:rFonts w:asciiTheme="minorHAnsi" w:hAnsiTheme="minorHAnsi" w:cstheme="minorHAnsi"/>
          <w:bCs/>
          <w:sz w:val="22"/>
          <w:szCs w:val="22"/>
        </w:rPr>
        <w:t>).</w:t>
      </w:r>
    </w:p>
    <w:p w:rsidR="0056281E" w:rsidRDefault="0056281E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281E" w:rsidRDefault="0056281E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Em meio ano, a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Europa Ocidental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>registrou desempenho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negativo </w:t>
      </w:r>
      <w:r>
        <w:rPr>
          <w:rFonts w:asciiTheme="minorHAnsi" w:hAnsiTheme="minorHAnsi" w:cstheme="minorHAnsi"/>
          <w:bCs/>
          <w:sz w:val="22"/>
          <w:szCs w:val="22"/>
        </w:rPr>
        <w:t xml:space="preserve">nas vendas orgânicas de </w:t>
      </w:r>
      <w:r w:rsidR="004C527E">
        <w:rPr>
          <w:rFonts w:asciiTheme="minorHAnsi" w:hAnsiTheme="minorHAnsi" w:cstheme="minorHAnsi"/>
          <w:bCs/>
          <w:sz w:val="22"/>
          <w:szCs w:val="22"/>
        </w:rPr>
        <w:t>-8,0% (no primeiro trimestre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: -11,6%). </w:t>
      </w:r>
      <w:r>
        <w:rPr>
          <w:rFonts w:asciiTheme="minorHAnsi" w:hAnsiTheme="minorHAnsi" w:cstheme="minorHAnsi"/>
          <w:bCs/>
          <w:sz w:val="22"/>
          <w:szCs w:val="22"/>
        </w:rPr>
        <w:t>Já a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Europa Oriental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alcançou um crescimento orgânico de 3,1% (</w:t>
      </w:r>
      <w:r w:rsidR="004C527E">
        <w:rPr>
          <w:rFonts w:asciiTheme="minorHAnsi" w:hAnsiTheme="minorHAnsi" w:cstheme="minorHAnsi"/>
          <w:bCs/>
          <w:sz w:val="22"/>
          <w:szCs w:val="22"/>
        </w:rPr>
        <w:t>no primeiro trimestre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: -3,8%). Na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África/Oriente Médio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, as vendas </w:t>
      </w:r>
      <w:r>
        <w:rPr>
          <w:rFonts w:asciiTheme="minorHAnsi" w:hAnsiTheme="minorHAnsi" w:cstheme="minorHAnsi"/>
          <w:bCs/>
          <w:sz w:val="22"/>
          <w:szCs w:val="22"/>
        </w:rPr>
        <w:t xml:space="preserve">orgânicas cresceram </w:t>
      </w:r>
      <w:r w:rsidRPr="0056281E">
        <w:rPr>
          <w:rFonts w:asciiTheme="minorHAnsi" w:hAnsiTheme="minorHAnsi" w:cstheme="minorHAnsi"/>
          <w:bCs/>
          <w:sz w:val="22"/>
          <w:szCs w:val="22"/>
        </w:rPr>
        <w:t>4,2% (</w:t>
      </w:r>
      <w:r>
        <w:rPr>
          <w:rFonts w:asciiTheme="minorHAnsi" w:hAnsiTheme="minorHAnsi" w:cstheme="minorHAnsi"/>
          <w:bCs/>
          <w:sz w:val="22"/>
          <w:szCs w:val="22"/>
        </w:rPr>
        <w:t xml:space="preserve">no 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segundo trimestre: 1,4%). A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América do Norte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registrou </w:t>
      </w:r>
      <w:r>
        <w:rPr>
          <w:rFonts w:asciiTheme="minorHAnsi" w:hAnsiTheme="minorHAnsi" w:cstheme="minorHAnsi"/>
          <w:bCs/>
          <w:sz w:val="22"/>
          <w:szCs w:val="22"/>
        </w:rPr>
        <w:t>desempenho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>nas vendas orgânicas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de -6,4% (</w:t>
      </w:r>
      <w:r>
        <w:rPr>
          <w:rFonts w:asciiTheme="minorHAnsi" w:hAnsiTheme="minorHAnsi" w:cstheme="minorHAnsi"/>
          <w:bCs/>
          <w:sz w:val="22"/>
          <w:szCs w:val="22"/>
        </w:rPr>
        <w:t xml:space="preserve">no </w:t>
      </w:r>
      <w:r w:rsidR="004C527E">
        <w:rPr>
          <w:rFonts w:asciiTheme="minorHAnsi" w:hAnsiTheme="minorHAnsi" w:cstheme="minorHAnsi"/>
          <w:bCs/>
          <w:sz w:val="22"/>
          <w:szCs w:val="22"/>
        </w:rPr>
        <w:t>segundo trimestre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: -10,9%). A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América Latina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registrou </w:t>
      </w:r>
      <w:r>
        <w:rPr>
          <w:rFonts w:asciiTheme="minorHAnsi" w:hAnsiTheme="minorHAnsi" w:cstheme="minorHAnsi"/>
          <w:bCs/>
          <w:sz w:val="22"/>
          <w:szCs w:val="22"/>
        </w:rPr>
        <w:t xml:space="preserve">desempenho nas 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vendas </w:t>
      </w:r>
      <w:r>
        <w:rPr>
          <w:rFonts w:asciiTheme="minorHAnsi" w:hAnsiTheme="minorHAnsi" w:cstheme="minorHAnsi"/>
          <w:bCs/>
          <w:sz w:val="22"/>
          <w:szCs w:val="22"/>
        </w:rPr>
        <w:t xml:space="preserve">orgânicas </w:t>
      </w:r>
      <w:r w:rsidRPr="0056281E">
        <w:rPr>
          <w:rFonts w:asciiTheme="minorHAnsi" w:hAnsiTheme="minorHAnsi" w:cstheme="minorHAnsi"/>
          <w:bCs/>
          <w:sz w:val="22"/>
          <w:szCs w:val="22"/>
        </w:rPr>
        <w:t>de -11,4% (</w:t>
      </w:r>
      <w:r w:rsidR="004C527E">
        <w:rPr>
          <w:rFonts w:asciiTheme="minorHAnsi" w:hAnsiTheme="minorHAnsi" w:cstheme="minorHAnsi"/>
          <w:bCs/>
          <w:sz w:val="22"/>
          <w:szCs w:val="22"/>
        </w:rPr>
        <w:t>no segundo trimestre</w:t>
      </w:r>
      <w:r>
        <w:rPr>
          <w:rFonts w:asciiTheme="minorHAnsi" w:hAnsiTheme="minorHAnsi" w:cstheme="minorHAnsi"/>
          <w:bCs/>
          <w:sz w:val="22"/>
          <w:szCs w:val="22"/>
        </w:rPr>
        <w:t>: -20,1%). Por fim, n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a região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Ásia-Pacífico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, as vendas </w:t>
      </w:r>
      <w:r>
        <w:rPr>
          <w:rFonts w:asciiTheme="minorHAnsi" w:hAnsiTheme="minorHAnsi" w:cstheme="minorHAnsi"/>
          <w:bCs/>
          <w:sz w:val="22"/>
          <w:szCs w:val="22"/>
        </w:rPr>
        <w:t xml:space="preserve">orgânicas diminuíram </w:t>
      </w:r>
      <w:r w:rsidRPr="0056281E">
        <w:rPr>
          <w:rFonts w:asciiTheme="minorHAnsi" w:hAnsiTheme="minorHAnsi" w:cstheme="minorHAnsi"/>
          <w:bCs/>
          <w:sz w:val="22"/>
          <w:szCs w:val="22"/>
        </w:rPr>
        <w:t>em -6,4% (</w:t>
      </w:r>
      <w:r w:rsidR="004C527E">
        <w:rPr>
          <w:rFonts w:asciiTheme="minorHAnsi" w:hAnsiTheme="minorHAnsi" w:cstheme="minorHAnsi"/>
          <w:bCs/>
          <w:sz w:val="22"/>
          <w:szCs w:val="22"/>
        </w:rPr>
        <w:t>no primeiro trimestre</w:t>
      </w:r>
      <w:r w:rsidRPr="0056281E">
        <w:rPr>
          <w:rFonts w:asciiTheme="minorHAnsi" w:hAnsiTheme="minorHAnsi" w:cstheme="minorHAnsi"/>
          <w:bCs/>
          <w:sz w:val="22"/>
          <w:szCs w:val="22"/>
        </w:rPr>
        <w:t>: -7,2%).</w:t>
      </w:r>
    </w:p>
    <w:p w:rsidR="0056281E" w:rsidRDefault="0056281E" w:rsidP="00232EFC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281E" w:rsidRPr="0056281E" w:rsidRDefault="0056281E" w:rsidP="0056281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6281E">
        <w:rPr>
          <w:rFonts w:asciiTheme="minorHAnsi" w:hAnsiTheme="minorHAnsi" w:cstheme="minorHAnsi"/>
          <w:bCs/>
          <w:sz w:val="22"/>
          <w:szCs w:val="22"/>
        </w:rPr>
        <w:t xml:space="preserve">O </w:t>
      </w:r>
      <w:r w:rsidRPr="0056281E">
        <w:rPr>
          <w:rFonts w:asciiTheme="minorHAnsi" w:hAnsiTheme="minorHAnsi" w:cstheme="minorHAnsi"/>
          <w:b/>
          <w:bCs/>
          <w:sz w:val="22"/>
          <w:szCs w:val="22"/>
        </w:rPr>
        <w:t>lucro operacional ajustado (EBIT ajustado)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diminuiu -</w:t>
      </w:r>
      <w:r w:rsidR="00350123">
        <w:rPr>
          <w:rFonts w:asciiTheme="minorHAnsi" w:hAnsiTheme="minorHAnsi" w:cstheme="minorHAnsi"/>
          <w:bCs/>
          <w:sz w:val="22"/>
          <w:szCs w:val="22"/>
        </w:rPr>
        <w:t>27,5%, passando de 1.641 milhão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de euros no primeiro semestre do</w:t>
      </w:r>
      <w:r w:rsidR="00350123">
        <w:rPr>
          <w:rFonts w:asciiTheme="minorHAnsi" w:hAnsiTheme="minorHAnsi" w:cstheme="minorHAnsi"/>
          <w:bCs/>
          <w:sz w:val="22"/>
          <w:szCs w:val="22"/>
        </w:rPr>
        <w:t xml:space="preserve"> ano anterior para 1.191 milhão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de euros em 2020.</w:t>
      </w:r>
    </w:p>
    <w:p w:rsidR="00350123" w:rsidRDefault="00350123" w:rsidP="0056281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6281E" w:rsidRDefault="0056281E" w:rsidP="0056281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6281E">
        <w:rPr>
          <w:rFonts w:asciiTheme="minorHAnsi" w:hAnsiTheme="minorHAnsi" w:cstheme="minorHAnsi"/>
          <w:bCs/>
          <w:sz w:val="22"/>
          <w:szCs w:val="22"/>
        </w:rPr>
        <w:t xml:space="preserve">O </w:t>
      </w:r>
      <w:r w:rsidRPr="00350123">
        <w:rPr>
          <w:rFonts w:asciiTheme="minorHAnsi" w:hAnsiTheme="minorHAnsi" w:cstheme="minorHAnsi"/>
          <w:b/>
          <w:bCs/>
          <w:sz w:val="22"/>
          <w:szCs w:val="22"/>
        </w:rPr>
        <w:t>retorno ajustado das vendas (margem EBIT ajustada)</w:t>
      </w:r>
      <w:r w:rsidRPr="0056281E">
        <w:rPr>
          <w:rFonts w:asciiTheme="minorHAnsi" w:hAnsiTheme="minorHAnsi" w:cstheme="minorHAnsi"/>
          <w:bCs/>
          <w:sz w:val="22"/>
          <w:szCs w:val="22"/>
        </w:rPr>
        <w:t xml:space="preserve"> nos primeiros seis meses atingiu 12,6%, -3,7 pontos percentuais abaixo do ano anterior.</w:t>
      </w:r>
    </w:p>
    <w:p w:rsidR="00350123" w:rsidRDefault="00350123" w:rsidP="0056281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50123" w:rsidRP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50123">
        <w:rPr>
          <w:rFonts w:asciiTheme="minorHAnsi" w:hAnsiTheme="minorHAnsi" w:cstheme="minorHAnsi"/>
          <w:bCs/>
          <w:sz w:val="22"/>
          <w:szCs w:val="22"/>
        </w:rPr>
        <w:t xml:space="preserve">O </w:t>
      </w:r>
      <w:r w:rsidRPr="00350123">
        <w:rPr>
          <w:rFonts w:asciiTheme="minorHAnsi" w:hAnsiTheme="minorHAnsi" w:cstheme="minorHAnsi"/>
          <w:b/>
          <w:bCs/>
          <w:sz w:val="22"/>
          <w:szCs w:val="22"/>
        </w:rPr>
        <w:t>lucro ajustado por ação preferencial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diminuiu -29,2%, de 2,77 euros no primeiro semestre de 2019 para 1,96 euro. A taxas de câmbio constantes, o lucro ajustado por ação preferencial diminuiu -28,2%.</w:t>
      </w:r>
    </w:p>
    <w:p w:rsidR="00350123" w:rsidRP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50123">
        <w:rPr>
          <w:rFonts w:asciiTheme="minorHAnsi" w:hAnsiTheme="minorHAnsi" w:cstheme="minorHAnsi"/>
          <w:bCs/>
          <w:sz w:val="22"/>
          <w:szCs w:val="22"/>
        </w:rPr>
        <w:t xml:space="preserve">O </w:t>
      </w:r>
      <w:r w:rsidRPr="00350123">
        <w:rPr>
          <w:rFonts w:asciiTheme="minorHAnsi" w:hAnsiTheme="minorHAnsi" w:cstheme="minorHAnsi"/>
          <w:b/>
          <w:bCs/>
          <w:sz w:val="22"/>
          <w:szCs w:val="22"/>
        </w:rPr>
        <w:t>capital de giro líquido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melhorou ainda mais para 4,4% das vendas, significativamente abaixo do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50123">
        <w:rPr>
          <w:rFonts w:asciiTheme="minorHAnsi" w:hAnsiTheme="minorHAnsi" w:cstheme="minorHAnsi"/>
          <w:bCs/>
          <w:sz w:val="22"/>
          <w:szCs w:val="22"/>
        </w:rPr>
        <w:t>períod</w:t>
      </w:r>
      <w:r>
        <w:rPr>
          <w:rFonts w:asciiTheme="minorHAnsi" w:hAnsiTheme="minorHAnsi" w:cstheme="minorHAnsi"/>
          <w:bCs/>
          <w:sz w:val="22"/>
          <w:szCs w:val="22"/>
        </w:rPr>
        <w:t>o do ano anterior (6,7%</w:t>
      </w:r>
      <w:r w:rsidRPr="00350123">
        <w:rPr>
          <w:rFonts w:asciiTheme="minorHAnsi" w:hAnsiTheme="minorHAnsi" w:cstheme="minorHAnsi"/>
          <w:bCs/>
          <w:sz w:val="22"/>
          <w:szCs w:val="22"/>
        </w:rPr>
        <w:t>).</w:t>
      </w:r>
    </w:p>
    <w:p w:rsid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50123" w:rsidRP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50123">
        <w:rPr>
          <w:rFonts w:asciiTheme="minorHAnsi" w:hAnsiTheme="minorHAnsi" w:cstheme="minorHAnsi"/>
          <w:bCs/>
          <w:sz w:val="22"/>
          <w:szCs w:val="22"/>
        </w:rPr>
        <w:t xml:space="preserve">O </w:t>
      </w:r>
      <w:r w:rsidRPr="00350123">
        <w:rPr>
          <w:rFonts w:asciiTheme="minorHAnsi" w:hAnsiTheme="minorHAnsi" w:cstheme="minorHAnsi"/>
          <w:b/>
          <w:bCs/>
          <w:sz w:val="22"/>
          <w:szCs w:val="22"/>
        </w:rPr>
        <w:t>fluxo de caixa livre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permaneceu muito forte, atingindo 938 milhões de euros no primeiro semestre de 2020 (primeiro semestre de 2019: 990 milhões de euros).</w:t>
      </w:r>
    </w:p>
    <w:p w:rsid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Desde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30 de junho de 2020, a </w:t>
      </w:r>
      <w:r w:rsidRPr="00350123">
        <w:rPr>
          <w:rFonts w:asciiTheme="minorHAnsi" w:hAnsiTheme="minorHAnsi" w:cstheme="minorHAnsi"/>
          <w:b/>
          <w:bCs/>
          <w:sz w:val="22"/>
          <w:szCs w:val="22"/>
        </w:rPr>
        <w:t>posição financeira líquida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da Henkel melhorou para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50123">
        <w:rPr>
          <w:rFonts w:asciiTheme="minorHAnsi" w:hAnsiTheme="minorHAnsi" w:cstheme="minorHAnsi"/>
          <w:bCs/>
          <w:sz w:val="22"/>
          <w:szCs w:val="22"/>
        </w:rPr>
        <w:t>-1.951 milhão de euros (31 de dezembro de 2019: -2.047 milhões de euros) - apesar do pagamento de um dividendo de cerca de 800 milhões de euros no segundo trimestre</w:t>
      </w:r>
      <w:r w:rsidR="00E9433A">
        <w:rPr>
          <w:rFonts w:asciiTheme="minorHAnsi" w:hAnsiTheme="minorHAnsi" w:cstheme="minorHAnsi"/>
          <w:bCs/>
          <w:sz w:val="22"/>
          <w:szCs w:val="22"/>
        </w:rPr>
        <w:t xml:space="preserve"> de 2020</w:t>
      </w:r>
      <w:r w:rsidRPr="00350123">
        <w:rPr>
          <w:rFonts w:asciiTheme="minorHAnsi" w:hAnsiTheme="minorHAnsi" w:cstheme="minorHAnsi"/>
          <w:bCs/>
          <w:sz w:val="22"/>
          <w:szCs w:val="22"/>
        </w:rPr>
        <w:t>.</w:t>
      </w:r>
    </w:p>
    <w:p w:rsidR="00350123" w:rsidRP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50123" w:rsidRP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50123">
        <w:rPr>
          <w:rFonts w:asciiTheme="minorHAnsi" w:hAnsiTheme="minorHAnsi" w:cstheme="minorHAnsi"/>
          <w:b/>
          <w:bCs/>
          <w:sz w:val="22"/>
          <w:szCs w:val="22"/>
        </w:rPr>
        <w:lastRenderedPageBreak/>
        <w:t>Desempenho da</w:t>
      </w:r>
      <w:r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350123">
        <w:rPr>
          <w:rFonts w:asciiTheme="minorHAnsi" w:hAnsiTheme="minorHAnsi" w:cstheme="minorHAnsi"/>
          <w:b/>
          <w:bCs/>
          <w:sz w:val="22"/>
          <w:szCs w:val="22"/>
        </w:rPr>
        <w:t xml:space="preserve"> unidade</w:t>
      </w:r>
      <w:r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350123">
        <w:rPr>
          <w:rFonts w:asciiTheme="minorHAnsi" w:hAnsiTheme="minorHAnsi" w:cstheme="minorHAnsi"/>
          <w:b/>
          <w:bCs/>
          <w:sz w:val="22"/>
          <w:szCs w:val="22"/>
        </w:rPr>
        <w:t xml:space="preserve"> de negócios no primeiro semestre de 2020</w:t>
      </w:r>
    </w:p>
    <w:p w:rsid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50123">
        <w:rPr>
          <w:rFonts w:asciiTheme="minorHAnsi" w:hAnsiTheme="minorHAnsi" w:cstheme="minorHAnsi"/>
          <w:bCs/>
          <w:sz w:val="22"/>
          <w:szCs w:val="22"/>
        </w:rPr>
        <w:t xml:space="preserve">No primeiro semestre de 2020, as vendas </w:t>
      </w:r>
      <w:r>
        <w:rPr>
          <w:rFonts w:asciiTheme="minorHAnsi" w:hAnsiTheme="minorHAnsi" w:cstheme="minorHAnsi"/>
          <w:bCs/>
          <w:sz w:val="22"/>
          <w:szCs w:val="22"/>
        </w:rPr>
        <w:t xml:space="preserve">da unidade de 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negócios </w:t>
      </w:r>
      <w:proofErr w:type="spellStart"/>
      <w:r w:rsidRPr="00350123">
        <w:rPr>
          <w:rFonts w:asciiTheme="minorHAnsi" w:hAnsiTheme="minorHAnsi" w:cstheme="minorHAnsi"/>
          <w:b/>
          <w:bCs/>
          <w:sz w:val="22"/>
          <w:szCs w:val="22"/>
        </w:rPr>
        <w:t>Adhesive</w:t>
      </w:r>
      <w:proofErr w:type="spellEnd"/>
      <w:r w:rsidRPr="00350123">
        <w:rPr>
          <w:rFonts w:asciiTheme="minorHAnsi" w:hAnsiTheme="minorHAnsi" w:cstheme="minorHAnsi"/>
          <w:b/>
          <w:bCs/>
          <w:sz w:val="22"/>
          <w:szCs w:val="22"/>
        </w:rPr>
        <w:t xml:space="preserve"> Technologies</w:t>
      </w:r>
      <w:r>
        <w:rPr>
          <w:rFonts w:asciiTheme="minorHAnsi" w:hAnsiTheme="minorHAnsi" w:cstheme="minorHAnsi"/>
          <w:bCs/>
          <w:sz w:val="22"/>
          <w:szCs w:val="22"/>
        </w:rPr>
        <w:t xml:space="preserve"> foram nominalmente </w:t>
      </w:r>
      <w:r w:rsidRPr="00350123">
        <w:rPr>
          <w:rFonts w:asciiTheme="minorHAnsi" w:hAnsiTheme="minorHAnsi" w:cstheme="minorHAnsi"/>
          <w:bCs/>
          <w:sz w:val="22"/>
          <w:szCs w:val="22"/>
        </w:rPr>
        <w:t>-12,2% abaixo do nível do ano anterior, atingindo 4.153 milhões de euros (</w:t>
      </w:r>
      <w:r>
        <w:rPr>
          <w:rFonts w:asciiTheme="minorHAnsi" w:hAnsiTheme="minorHAnsi" w:cstheme="minorHAnsi"/>
          <w:bCs/>
          <w:sz w:val="22"/>
          <w:szCs w:val="22"/>
        </w:rPr>
        <w:t>no segundo trimestre: 1.944 milhão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de euros,</w:t>
      </w:r>
      <w:r>
        <w:rPr>
          <w:rFonts w:asciiTheme="minorHAnsi" w:hAnsiTheme="minorHAnsi" w:cstheme="minorHAnsi"/>
          <w:bCs/>
          <w:sz w:val="22"/>
          <w:szCs w:val="22"/>
        </w:rPr>
        <w:t xml:space="preserve"> -19,7%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). </w:t>
      </w:r>
      <w:r>
        <w:rPr>
          <w:rFonts w:asciiTheme="minorHAnsi" w:hAnsiTheme="minorHAnsi" w:cstheme="minorHAnsi"/>
          <w:bCs/>
          <w:sz w:val="22"/>
          <w:szCs w:val="22"/>
        </w:rPr>
        <w:t>O desempenho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das vendas </w:t>
      </w:r>
      <w:r>
        <w:rPr>
          <w:rFonts w:asciiTheme="minorHAnsi" w:hAnsiTheme="minorHAnsi" w:cstheme="minorHAnsi"/>
          <w:bCs/>
          <w:sz w:val="22"/>
          <w:szCs w:val="22"/>
        </w:rPr>
        <w:t xml:space="preserve">orgânicas </w:t>
      </w:r>
      <w:r w:rsidRPr="00350123">
        <w:rPr>
          <w:rFonts w:asciiTheme="minorHAnsi" w:hAnsiTheme="minorHAnsi" w:cstheme="minorHAnsi"/>
          <w:bCs/>
          <w:sz w:val="22"/>
          <w:szCs w:val="22"/>
        </w:rPr>
        <w:t>foi de -10,9% (</w:t>
      </w:r>
      <w:r>
        <w:rPr>
          <w:rFonts w:asciiTheme="minorHAnsi" w:hAnsiTheme="minorHAnsi" w:cstheme="minorHAnsi"/>
          <w:bCs/>
          <w:sz w:val="22"/>
          <w:szCs w:val="22"/>
        </w:rPr>
        <w:t>primeiro trimestre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: -17,4%). O </w:t>
      </w:r>
      <w:r>
        <w:rPr>
          <w:rFonts w:asciiTheme="minorHAnsi" w:hAnsiTheme="minorHAnsi" w:cstheme="minorHAnsi"/>
          <w:bCs/>
          <w:sz w:val="22"/>
          <w:szCs w:val="22"/>
        </w:rPr>
        <w:t xml:space="preserve">desempenho 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no primeiro semestre e principalmente no segundo trimestre foi impactado por um declínio significativo na produção industrial e automotiva </w:t>
      </w:r>
      <w:r>
        <w:rPr>
          <w:rFonts w:asciiTheme="minorHAnsi" w:hAnsiTheme="minorHAnsi" w:cstheme="minorHAnsi"/>
          <w:bCs/>
          <w:sz w:val="22"/>
          <w:szCs w:val="22"/>
        </w:rPr>
        <w:t>devido à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pandemia d</w:t>
      </w:r>
      <w:r w:rsidR="00D24929">
        <w:rPr>
          <w:rFonts w:asciiTheme="minorHAnsi" w:hAnsiTheme="minorHAnsi" w:cstheme="minorHAnsi"/>
          <w:bCs/>
          <w:sz w:val="22"/>
          <w:szCs w:val="22"/>
        </w:rPr>
        <w:t>a</w:t>
      </w:r>
      <w:r>
        <w:rPr>
          <w:rFonts w:asciiTheme="minorHAnsi" w:hAnsiTheme="minorHAnsi" w:cstheme="minorHAnsi"/>
          <w:bCs/>
          <w:sz w:val="22"/>
          <w:szCs w:val="22"/>
        </w:rPr>
        <w:t xml:space="preserve"> Covid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-19. O </w:t>
      </w:r>
      <w:r w:rsidRPr="00350123">
        <w:rPr>
          <w:rFonts w:asciiTheme="minorHAnsi" w:hAnsiTheme="minorHAnsi" w:cstheme="minorHAnsi"/>
          <w:b/>
          <w:bCs/>
          <w:sz w:val="22"/>
          <w:szCs w:val="22"/>
        </w:rPr>
        <w:t>lucro operacional ajustado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diminuiu 36,6% e atingiu 543 milhões de euros. Em 13,1%, o </w:t>
      </w:r>
      <w:r w:rsidRPr="00350123">
        <w:rPr>
          <w:rFonts w:asciiTheme="minorHAnsi" w:hAnsiTheme="minorHAnsi" w:cstheme="minorHAnsi"/>
          <w:b/>
          <w:bCs/>
          <w:sz w:val="22"/>
          <w:szCs w:val="22"/>
        </w:rPr>
        <w:t>retorno ajustado das vendas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ficou abaixo do nível do primeiro semestre de 2019. O declínio da margem deveu-se, em especial, ao volume de vendas significativamente menor como resultado da pandemia.</w:t>
      </w:r>
    </w:p>
    <w:p w:rsidR="00350123" w:rsidRDefault="00350123" w:rsidP="0035012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232EFC" w:rsidRDefault="00350123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50123">
        <w:rPr>
          <w:rFonts w:asciiTheme="minorHAnsi" w:hAnsiTheme="minorHAnsi" w:cstheme="minorHAnsi"/>
          <w:bCs/>
          <w:sz w:val="22"/>
          <w:szCs w:val="22"/>
        </w:rPr>
        <w:t xml:space="preserve">Na unidade de negócios </w:t>
      </w:r>
      <w:proofErr w:type="spellStart"/>
      <w:r w:rsidRPr="00350123">
        <w:rPr>
          <w:rFonts w:asciiTheme="minorHAnsi" w:hAnsiTheme="minorHAnsi" w:cstheme="minorHAnsi"/>
          <w:b/>
          <w:bCs/>
          <w:sz w:val="22"/>
          <w:szCs w:val="22"/>
        </w:rPr>
        <w:t>Beauty</w:t>
      </w:r>
      <w:proofErr w:type="spellEnd"/>
      <w:r w:rsidRPr="003501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Pr="00350123">
        <w:rPr>
          <w:rFonts w:asciiTheme="minorHAnsi" w:hAnsiTheme="minorHAnsi" w:cstheme="minorHAnsi"/>
          <w:b/>
          <w:bCs/>
          <w:sz w:val="22"/>
          <w:szCs w:val="22"/>
        </w:rPr>
        <w:t>Care</w:t>
      </w:r>
      <w:proofErr w:type="spellEnd"/>
      <w:r w:rsidRPr="00350123">
        <w:rPr>
          <w:rFonts w:asciiTheme="minorHAnsi" w:hAnsiTheme="minorHAnsi" w:cstheme="minorHAnsi"/>
          <w:bCs/>
          <w:sz w:val="22"/>
          <w:szCs w:val="22"/>
        </w:rPr>
        <w:t xml:space="preserve">, no primeiro semestre de 2020 </w:t>
      </w:r>
      <w:r w:rsidR="004D136E">
        <w:rPr>
          <w:rFonts w:asciiTheme="minorHAnsi" w:hAnsiTheme="minorHAnsi" w:cstheme="minorHAnsi"/>
          <w:bCs/>
          <w:sz w:val="22"/>
          <w:szCs w:val="22"/>
        </w:rPr>
        <w:t xml:space="preserve">as vendas orgânicas 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apresentaram </w:t>
      </w:r>
      <w:r w:rsidR="004D136E">
        <w:rPr>
          <w:rFonts w:asciiTheme="minorHAnsi" w:hAnsiTheme="minorHAnsi" w:cstheme="minorHAnsi"/>
          <w:bCs/>
          <w:sz w:val="22"/>
          <w:szCs w:val="22"/>
        </w:rPr>
        <w:t xml:space="preserve">desempenho </w:t>
      </w:r>
      <w:r w:rsidRPr="00350123">
        <w:rPr>
          <w:rFonts w:asciiTheme="minorHAnsi" w:hAnsiTheme="minorHAnsi" w:cstheme="minorHAnsi"/>
          <w:bCs/>
          <w:sz w:val="22"/>
          <w:szCs w:val="22"/>
        </w:rPr>
        <w:t>de -8,5% (</w:t>
      </w:r>
      <w:r w:rsidR="004D136E">
        <w:rPr>
          <w:rFonts w:asciiTheme="minorHAnsi" w:hAnsiTheme="minorHAnsi" w:cstheme="minorHAnsi"/>
          <w:bCs/>
          <w:sz w:val="22"/>
          <w:szCs w:val="22"/>
        </w:rPr>
        <w:t>no segundo trimestre</w:t>
      </w:r>
      <w:r w:rsidRPr="00350123">
        <w:rPr>
          <w:rFonts w:asciiTheme="minorHAnsi" w:hAnsiTheme="minorHAnsi" w:cstheme="minorHAnsi"/>
          <w:bCs/>
          <w:sz w:val="22"/>
          <w:szCs w:val="22"/>
        </w:rPr>
        <w:t>: -12,8%). Nominalmente, as vendas ficaram -7,4% abaixo do nível do ano a</w:t>
      </w:r>
      <w:r w:rsidR="004D136E">
        <w:rPr>
          <w:rFonts w:asciiTheme="minorHAnsi" w:hAnsiTheme="minorHAnsi" w:cstheme="minorHAnsi"/>
          <w:bCs/>
          <w:sz w:val="22"/>
          <w:szCs w:val="22"/>
        </w:rPr>
        <w:t xml:space="preserve">nterior, </w:t>
      </w:r>
      <w:r w:rsidR="004D136E" w:rsidRPr="003B33E1">
        <w:rPr>
          <w:rFonts w:asciiTheme="minorHAnsi" w:hAnsiTheme="minorHAnsi" w:cstheme="minorHAnsi"/>
          <w:bCs/>
          <w:sz w:val="22"/>
          <w:szCs w:val="22"/>
        </w:rPr>
        <w:t>atingindo 1.818 milhão</w:t>
      </w:r>
      <w:r w:rsidRPr="003B33E1">
        <w:rPr>
          <w:rFonts w:asciiTheme="minorHAnsi" w:hAnsiTheme="minorHAnsi" w:cstheme="minorHAnsi"/>
          <w:bCs/>
          <w:sz w:val="22"/>
          <w:szCs w:val="22"/>
        </w:rPr>
        <w:t xml:space="preserve"> de euros (</w:t>
      </w:r>
      <w:r w:rsidR="004D136E" w:rsidRPr="003B33E1">
        <w:rPr>
          <w:rFonts w:asciiTheme="minorHAnsi" w:hAnsiTheme="minorHAnsi" w:cstheme="minorHAnsi"/>
          <w:bCs/>
          <w:sz w:val="22"/>
          <w:szCs w:val="22"/>
        </w:rPr>
        <w:t>no segundo</w:t>
      </w:r>
      <w:r w:rsidRPr="003B33E1">
        <w:rPr>
          <w:rFonts w:asciiTheme="minorHAnsi" w:hAnsiTheme="minorHAnsi" w:cstheme="minorHAnsi"/>
          <w:bCs/>
          <w:sz w:val="22"/>
          <w:szCs w:val="22"/>
        </w:rPr>
        <w:t xml:space="preserve"> trimestre: 883 milhões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de euros, -11,9%). </w:t>
      </w:r>
      <w:r w:rsidR="004D136E">
        <w:rPr>
          <w:rFonts w:asciiTheme="minorHAnsi" w:hAnsiTheme="minorHAnsi" w:cstheme="minorHAnsi"/>
          <w:bCs/>
          <w:sz w:val="22"/>
          <w:szCs w:val="22"/>
        </w:rPr>
        <w:t>Esse resultado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é particularmente devido aos impacto</w:t>
      </w:r>
      <w:r w:rsidR="00D24929">
        <w:rPr>
          <w:rFonts w:asciiTheme="minorHAnsi" w:hAnsiTheme="minorHAnsi" w:cstheme="minorHAnsi"/>
          <w:bCs/>
          <w:sz w:val="22"/>
          <w:szCs w:val="22"/>
        </w:rPr>
        <w:t>s negativos da pandemia da</w:t>
      </w:r>
      <w:r w:rsidR="004D136E">
        <w:rPr>
          <w:rFonts w:asciiTheme="minorHAnsi" w:hAnsiTheme="minorHAnsi" w:cstheme="minorHAnsi"/>
          <w:bCs/>
          <w:sz w:val="22"/>
          <w:szCs w:val="22"/>
        </w:rPr>
        <w:t xml:space="preserve"> Covid-19 no negócio de salões de beleza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. O </w:t>
      </w:r>
      <w:r w:rsidRPr="004D136E">
        <w:rPr>
          <w:rFonts w:asciiTheme="minorHAnsi" w:hAnsiTheme="minorHAnsi" w:cstheme="minorHAnsi"/>
          <w:b/>
          <w:bCs/>
          <w:sz w:val="22"/>
          <w:szCs w:val="22"/>
        </w:rPr>
        <w:t>lucro operacional ajustado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alcançou 172 milhões de euros e ficou -35,4% abaixo do nível do primeiro semestre de 2019. O </w:t>
      </w:r>
      <w:r w:rsidR="004D136E">
        <w:rPr>
          <w:rFonts w:asciiTheme="minorHAnsi" w:hAnsiTheme="minorHAnsi" w:cstheme="minorHAnsi"/>
          <w:b/>
          <w:bCs/>
          <w:sz w:val="22"/>
          <w:szCs w:val="22"/>
        </w:rPr>
        <w:t>retorno ajustado de</w:t>
      </w:r>
      <w:r w:rsidRPr="004D136E">
        <w:rPr>
          <w:rFonts w:asciiTheme="minorHAnsi" w:hAnsiTheme="minorHAnsi" w:cstheme="minorHAnsi"/>
          <w:b/>
          <w:bCs/>
          <w:sz w:val="22"/>
          <w:szCs w:val="22"/>
        </w:rPr>
        <w:t xml:space="preserve"> vendas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apresentou um d</w:t>
      </w:r>
      <w:r w:rsidR="004D136E">
        <w:rPr>
          <w:rFonts w:asciiTheme="minorHAnsi" w:hAnsiTheme="minorHAnsi" w:cstheme="minorHAnsi"/>
          <w:bCs/>
          <w:sz w:val="22"/>
          <w:szCs w:val="22"/>
        </w:rPr>
        <w:t>esempenho</w:t>
      </w:r>
      <w:r w:rsidRPr="00350123">
        <w:rPr>
          <w:rFonts w:asciiTheme="minorHAnsi" w:hAnsiTheme="minorHAnsi" w:cstheme="minorHAnsi"/>
          <w:bCs/>
          <w:sz w:val="22"/>
          <w:szCs w:val="22"/>
        </w:rPr>
        <w:t xml:space="preserve"> negativo e atingiu 9,4%, impactado principalmente pelo declínio do volume de vendas no </w:t>
      </w:r>
      <w:r w:rsidR="004D136E">
        <w:rPr>
          <w:rFonts w:asciiTheme="minorHAnsi" w:hAnsiTheme="minorHAnsi" w:cstheme="minorHAnsi"/>
          <w:bCs/>
          <w:sz w:val="22"/>
          <w:szCs w:val="22"/>
        </w:rPr>
        <w:t xml:space="preserve">segmento de cabeleireiros. </w:t>
      </w:r>
    </w:p>
    <w:p w:rsidR="004D136E" w:rsidRPr="00347D60" w:rsidRDefault="004D136E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D136E" w:rsidRDefault="00347D60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47D60">
        <w:rPr>
          <w:rFonts w:asciiTheme="minorHAnsi" w:hAnsiTheme="minorHAnsi" w:cstheme="minorHAnsi"/>
          <w:bCs/>
          <w:sz w:val="22"/>
          <w:szCs w:val="22"/>
        </w:rPr>
        <w:t xml:space="preserve">A unidade de negócios </w:t>
      </w:r>
      <w:proofErr w:type="spellStart"/>
      <w:r w:rsidRPr="00347D60">
        <w:rPr>
          <w:rFonts w:asciiTheme="minorHAnsi" w:hAnsiTheme="minorHAnsi" w:cstheme="minorHAnsi"/>
          <w:b/>
          <w:bCs/>
          <w:sz w:val="22"/>
          <w:szCs w:val="22"/>
        </w:rPr>
        <w:t>Laundry</w:t>
      </w:r>
      <w:proofErr w:type="spellEnd"/>
      <w:r w:rsidRPr="00347D60">
        <w:rPr>
          <w:rFonts w:asciiTheme="minorHAnsi" w:hAnsiTheme="minorHAnsi" w:cstheme="minorHAnsi"/>
          <w:b/>
          <w:bCs/>
          <w:sz w:val="22"/>
          <w:szCs w:val="22"/>
        </w:rPr>
        <w:t xml:space="preserve"> &amp; Home </w:t>
      </w:r>
      <w:proofErr w:type="spellStart"/>
      <w:r w:rsidRPr="00347D60">
        <w:rPr>
          <w:rFonts w:asciiTheme="minorHAnsi" w:hAnsiTheme="minorHAnsi" w:cstheme="minorHAnsi"/>
          <w:b/>
          <w:bCs/>
          <w:sz w:val="22"/>
          <w:szCs w:val="22"/>
        </w:rPr>
        <w:t>Care</w:t>
      </w:r>
      <w:proofErr w:type="spellEnd"/>
      <w:r w:rsidRPr="00347D60">
        <w:rPr>
          <w:rFonts w:asciiTheme="minorHAnsi" w:hAnsiTheme="minorHAnsi" w:cstheme="minorHAnsi"/>
          <w:bCs/>
          <w:sz w:val="22"/>
          <w:szCs w:val="22"/>
        </w:rPr>
        <w:t xml:space="preserve"> gerou um crescimento </w:t>
      </w:r>
      <w:r>
        <w:rPr>
          <w:rFonts w:asciiTheme="minorHAnsi" w:hAnsiTheme="minorHAnsi" w:cstheme="minorHAnsi"/>
          <w:bCs/>
          <w:sz w:val="22"/>
          <w:szCs w:val="22"/>
        </w:rPr>
        <w:t>nas vendas orgânicas</w:t>
      </w:r>
      <w:r w:rsidRPr="00347D60">
        <w:rPr>
          <w:rFonts w:asciiTheme="minorHAnsi" w:hAnsiTheme="minorHAnsi" w:cstheme="minorHAnsi"/>
          <w:bCs/>
          <w:sz w:val="22"/>
          <w:szCs w:val="22"/>
        </w:rPr>
        <w:t xml:space="preserve"> de 4,9% no primeiro semestre de 2020 (segundo trimestre: 4,4%). Nominalmente, as vendas aumentaram 3,8%, para 3.460 milhões de euros (</w:t>
      </w:r>
      <w:r>
        <w:rPr>
          <w:rFonts w:asciiTheme="minorHAnsi" w:hAnsiTheme="minorHAnsi" w:cstheme="minorHAnsi"/>
          <w:bCs/>
          <w:sz w:val="22"/>
          <w:szCs w:val="22"/>
        </w:rPr>
        <w:t>segundo trimestre: 1.705 milhão</w:t>
      </w:r>
      <w:r w:rsidRPr="00347D60">
        <w:rPr>
          <w:rFonts w:asciiTheme="minorHAnsi" w:hAnsiTheme="minorHAnsi" w:cstheme="minorHAnsi"/>
          <w:bCs/>
          <w:sz w:val="22"/>
          <w:szCs w:val="22"/>
        </w:rPr>
        <w:t xml:space="preserve"> de euros, 2,3%). </w:t>
      </w:r>
      <w:r>
        <w:rPr>
          <w:rFonts w:asciiTheme="minorHAnsi" w:hAnsiTheme="minorHAnsi" w:cstheme="minorHAnsi"/>
          <w:bCs/>
          <w:sz w:val="22"/>
          <w:szCs w:val="22"/>
        </w:rPr>
        <w:t>Com</w:t>
      </w:r>
      <w:r w:rsidRPr="00347D60">
        <w:rPr>
          <w:rFonts w:asciiTheme="minorHAnsi" w:hAnsiTheme="minorHAnsi" w:cstheme="minorHAnsi"/>
          <w:bCs/>
          <w:sz w:val="22"/>
          <w:szCs w:val="22"/>
        </w:rPr>
        <w:t xml:space="preserve"> 531 milhões de euros, o </w:t>
      </w:r>
      <w:r w:rsidRPr="00347D60">
        <w:rPr>
          <w:rFonts w:asciiTheme="minorHAnsi" w:hAnsiTheme="minorHAnsi" w:cstheme="minorHAnsi"/>
          <w:b/>
          <w:bCs/>
          <w:sz w:val="22"/>
          <w:szCs w:val="22"/>
        </w:rPr>
        <w:t>lucro operacional ajustado</w:t>
      </w:r>
      <w:r w:rsidRPr="00347D60">
        <w:rPr>
          <w:rFonts w:asciiTheme="minorHAnsi" w:hAnsiTheme="minorHAnsi" w:cstheme="minorHAnsi"/>
          <w:bCs/>
          <w:sz w:val="22"/>
          <w:szCs w:val="22"/>
        </w:rPr>
        <w:t xml:space="preserve"> foi de -6,0% abaixo do período do ano anterior. </w:t>
      </w:r>
      <w:r>
        <w:rPr>
          <w:rFonts w:asciiTheme="minorHAnsi" w:hAnsiTheme="minorHAnsi" w:cstheme="minorHAnsi"/>
          <w:bCs/>
          <w:sz w:val="22"/>
          <w:szCs w:val="22"/>
        </w:rPr>
        <w:t>Com</w:t>
      </w:r>
      <w:r w:rsidRPr="00347D60">
        <w:rPr>
          <w:rFonts w:asciiTheme="minorHAnsi" w:hAnsiTheme="minorHAnsi" w:cstheme="minorHAnsi"/>
          <w:bCs/>
          <w:sz w:val="22"/>
          <w:szCs w:val="22"/>
        </w:rPr>
        <w:t xml:space="preserve"> 15,3%, o </w:t>
      </w:r>
      <w:r>
        <w:rPr>
          <w:rFonts w:asciiTheme="minorHAnsi" w:hAnsiTheme="minorHAnsi" w:cstheme="minorHAnsi"/>
          <w:b/>
          <w:bCs/>
          <w:sz w:val="22"/>
          <w:szCs w:val="22"/>
        </w:rPr>
        <w:t>retorno ajustado de</w:t>
      </w:r>
      <w:r w:rsidRPr="00347D60">
        <w:rPr>
          <w:rFonts w:asciiTheme="minorHAnsi" w:hAnsiTheme="minorHAnsi" w:cstheme="minorHAnsi"/>
          <w:b/>
          <w:bCs/>
          <w:sz w:val="22"/>
          <w:szCs w:val="22"/>
        </w:rPr>
        <w:t xml:space="preserve"> vendas</w:t>
      </w:r>
      <w:r w:rsidRPr="00347D60">
        <w:rPr>
          <w:rFonts w:asciiTheme="minorHAnsi" w:hAnsiTheme="minorHAnsi" w:cstheme="minorHAnsi"/>
          <w:bCs/>
          <w:sz w:val="22"/>
          <w:szCs w:val="22"/>
        </w:rPr>
        <w:t xml:space="preserve"> ficou abaixo do nível do primeiro semestre de 2019, principalmente devid</w:t>
      </w:r>
      <w:r>
        <w:rPr>
          <w:rFonts w:asciiTheme="minorHAnsi" w:hAnsiTheme="minorHAnsi" w:cstheme="minorHAnsi"/>
          <w:bCs/>
          <w:sz w:val="22"/>
          <w:szCs w:val="22"/>
        </w:rPr>
        <w:t>o aos maiores investimentos em Marketing e Publicidade, bem como D</w:t>
      </w:r>
      <w:r w:rsidRPr="00347D60">
        <w:rPr>
          <w:rFonts w:asciiTheme="minorHAnsi" w:hAnsiTheme="minorHAnsi" w:cstheme="minorHAnsi"/>
          <w:bCs/>
          <w:sz w:val="22"/>
          <w:szCs w:val="22"/>
        </w:rPr>
        <w:t>igital e TI.</w:t>
      </w:r>
    </w:p>
    <w:p w:rsidR="00347D60" w:rsidRDefault="00347D60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55B55" w:rsidRDefault="00755B55" w:rsidP="00755B5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755B55" w:rsidRPr="00755B55" w:rsidRDefault="00755B55" w:rsidP="00755B5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Agenda de crescimento</w:t>
      </w:r>
      <w:r w:rsidRPr="00755B55">
        <w:rPr>
          <w:rFonts w:asciiTheme="minorHAnsi" w:hAnsiTheme="minorHAnsi" w:cstheme="minorHAnsi"/>
          <w:b/>
          <w:bCs/>
          <w:sz w:val="22"/>
          <w:szCs w:val="22"/>
        </w:rPr>
        <w:t xml:space="preserve">: implementação de novo </w:t>
      </w:r>
      <w:r w:rsidR="002B7778">
        <w:rPr>
          <w:rFonts w:asciiTheme="minorHAnsi" w:hAnsiTheme="minorHAnsi" w:cstheme="minorHAnsi"/>
          <w:b/>
          <w:bCs/>
          <w:sz w:val="22"/>
          <w:szCs w:val="22"/>
        </w:rPr>
        <w:t>plano</w:t>
      </w:r>
      <w:r w:rsidR="002B7778" w:rsidRPr="00755B5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55B55">
        <w:rPr>
          <w:rFonts w:asciiTheme="minorHAnsi" w:hAnsiTheme="minorHAnsi" w:cstheme="minorHAnsi"/>
          <w:b/>
          <w:bCs/>
          <w:sz w:val="22"/>
          <w:szCs w:val="22"/>
        </w:rPr>
        <w:t>estratégico</w:t>
      </w:r>
    </w:p>
    <w:p w:rsidR="00232EFC" w:rsidRDefault="00755B55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55B55">
        <w:rPr>
          <w:rFonts w:asciiTheme="minorHAnsi" w:hAnsiTheme="minorHAnsi" w:cstheme="minorHAnsi"/>
          <w:bCs/>
          <w:sz w:val="22"/>
          <w:szCs w:val="22"/>
        </w:rPr>
        <w:t xml:space="preserve">No início de março de 2020, a Henkel apresentou </w:t>
      </w:r>
      <w:r>
        <w:rPr>
          <w:rFonts w:asciiTheme="minorHAnsi" w:hAnsiTheme="minorHAnsi" w:cstheme="minorHAnsi"/>
          <w:bCs/>
          <w:sz w:val="22"/>
          <w:szCs w:val="22"/>
        </w:rPr>
        <w:t>sua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 agenda de crescimento para os próximos anos. A </w:t>
      </w:r>
      <w:r>
        <w:rPr>
          <w:rFonts w:asciiTheme="minorHAnsi" w:hAnsiTheme="minorHAnsi" w:cstheme="minorHAnsi"/>
          <w:bCs/>
          <w:sz w:val="22"/>
          <w:szCs w:val="22"/>
        </w:rPr>
        <w:t>companhia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 desenvolveu u</w:t>
      </w:r>
      <w:r>
        <w:rPr>
          <w:rFonts w:asciiTheme="minorHAnsi" w:hAnsiTheme="minorHAnsi" w:cstheme="minorHAnsi"/>
          <w:bCs/>
          <w:sz w:val="22"/>
          <w:szCs w:val="22"/>
        </w:rPr>
        <w:t>ma estrutura estratégica clara, que i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nclui: um portfólio </w:t>
      </w:r>
      <w:r>
        <w:rPr>
          <w:rFonts w:asciiTheme="minorHAnsi" w:hAnsiTheme="minorHAnsi" w:cstheme="minorHAnsi"/>
          <w:bCs/>
          <w:sz w:val="22"/>
          <w:szCs w:val="22"/>
        </w:rPr>
        <w:t xml:space="preserve">robusto, vantagem competitiva - </w:t>
      </w:r>
      <w:r w:rsidRPr="00755B55">
        <w:rPr>
          <w:rFonts w:asciiTheme="minorHAnsi" w:hAnsiTheme="minorHAnsi" w:cstheme="minorHAnsi"/>
          <w:bCs/>
          <w:sz w:val="22"/>
          <w:szCs w:val="22"/>
        </w:rPr>
        <w:t>particularmente nas áreas de inovação, sustentabilidade, digitalização</w:t>
      </w:r>
      <w:r>
        <w:rPr>
          <w:rFonts w:asciiTheme="minorHAnsi" w:hAnsiTheme="minorHAnsi" w:cstheme="minorHAnsi"/>
          <w:bCs/>
          <w:sz w:val="22"/>
          <w:szCs w:val="22"/>
        </w:rPr>
        <w:t xml:space="preserve"> -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, modelo </w:t>
      </w:r>
      <w:r w:rsidRPr="00755B55">
        <w:rPr>
          <w:rFonts w:asciiTheme="minorHAnsi" w:hAnsiTheme="minorHAnsi" w:cstheme="minorHAnsi"/>
          <w:bCs/>
          <w:sz w:val="22"/>
          <w:szCs w:val="22"/>
        </w:rPr>
        <w:lastRenderedPageBreak/>
        <w:t>operacional pronto para o futuro e uma forte cultura corporativa. “Essa estrutura estratégica nos ajudará a venc</w:t>
      </w:r>
      <w:r>
        <w:rPr>
          <w:rFonts w:asciiTheme="minorHAnsi" w:hAnsiTheme="minorHAnsi" w:cstheme="minorHAnsi"/>
          <w:bCs/>
          <w:sz w:val="22"/>
          <w:szCs w:val="22"/>
        </w:rPr>
        <w:t xml:space="preserve">er a década de 20, </w:t>
      </w:r>
      <w:r w:rsidRPr="00755B55">
        <w:rPr>
          <w:rFonts w:asciiTheme="minorHAnsi" w:hAnsiTheme="minorHAnsi" w:cstheme="minorHAnsi"/>
          <w:bCs/>
          <w:sz w:val="22"/>
          <w:szCs w:val="22"/>
        </w:rPr>
        <w:t>com um foco claro no cresciment</w:t>
      </w:r>
      <w:r>
        <w:rPr>
          <w:rFonts w:asciiTheme="minorHAnsi" w:hAnsiTheme="minorHAnsi" w:cstheme="minorHAnsi"/>
          <w:bCs/>
          <w:sz w:val="22"/>
          <w:szCs w:val="22"/>
        </w:rPr>
        <w:t>o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”, </w:t>
      </w:r>
      <w:r>
        <w:rPr>
          <w:rFonts w:asciiTheme="minorHAnsi" w:hAnsiTheme="minorHAnsi" w:cstheme="minorHAnsi"/>
          <w:bCs/>
          <w:sz w:val="22"/>
          <w:szCs w:val="22"/>
        </w:rPr>
        <w:t>ressalta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755B55">
        <w:rPr>
          <w:rFonts w:asciiTheme="minorHAnsi" w:hAnsiTheme="minorHAnsi" w:cstheme="minorHAnsi"/>
          <w:bCs/>
          <w:sz w:val="22"/>
          <w:szCs w:val="22"/>
        </w:rPr>
        <w:t>Carsten</w:t>
      </w:r>
      <w:proofErr w:type="spellEnd"/>
      <w:r w:rsidRPr="00755B5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755B55">
        <w:rPr>
          <w:rFonts w:asciiTheme="minorHAnsi" w:hAnsiTheme="minorHAnsi" w:cstheme="minorHAnsi"/>
          <w:bCs/>
          <w:sz w:val="22"/>
          <w:szCs w:val="22"/>
        </w:rPr>
        <w:t>Knobel</w:t>
      </w:r>
      <w:proofErr w:type="spellEnd"/>
      <w:r w:rsidRPr="00755B55">
        <w:rPr>
          <w:rFonts w:asciiTheme="minorHAnsi" w:hAnsiTheme="minorHAnsi" w:cstheme="minorHAnsi"/>
          <w:bCs/>
          <w:sz w:val="22"/>
          <w:szCs w:val="22"/>
        </w:rPr>
        <w:t>. "Desde o anúncio em março, já fizemos bons progressos no início das primeiras ações</w:t>
      </w:r>
      <w:r>
        <w:rPr>
          <w:rFonts w:asciiTheme="minorHAnsi" w:hAnsiTheme="minorHAnsi" w:cstheme="minorHAnsi"/>
          <w:bCs/>
          <w:sz w:val="22"/>
          <w:szCs w:val="22"/>
        </w:rPr>
        <w:t xml:space="preserve"> e na implementação de medidas", conclui.</w:t>
      </w:r>
    </w:p>
    <w:p w:rsidR="00755B55" w:rsidRPr="00755B55" w:rsidRDefault="00755B55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55B55" w:rsidRDefault="00755B55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55B55">
        <w:rPr>
          <w:rFonts w:asciiTheme="minorHAnsi" w:hAnsiTheme="minorHAnsi" w:cstheme="minorHAnsi"/>
          <w:bCs/>
          <w:sz w:val="22"/>
          <w:szCs w:val="22"/>
        </w:rPr>
        <w:t>Um elemento-chave d</w:t>
      </w:r>
      <w:r>
        <w:rPr>
          <w:rFonts w:asciiTheme="minorHAnsi" w:hAnsiTheme="minorHAnsi" w:cstheme="minorHAnsi"/>
          <w:bCs/>
          <w:sz w:val="22"/>
          <w:szCs w:val="22"/>
        </w:rPr>
        <w:t xml:space="preserve">a direção futura da Henkel é o </w:t>
      </w:r>
      <w:r w:rsidRPr="00755B55">
        <w:rPr>
          <w:rFonts w:asciiTheme="minorHAnsi" w:hAnsiTheme="minorHAnsi" w:cstheme="minorHAnsi"/>
          <w:b/>
          <w:bCs/>
          <w:sz w:val="22"/>
          <w:szCs w:val="22"/>
        </w:rPr>
        <w:t>gerenciamento ativo de portfólio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. A </w:t>
      </w:r>
      <w:r>
        <w:rPr>
          <w:rFonts w:asciiTheme="minorHAnsi" w:hAnsiTheme="minorHAnsi" w:cstheme="minorHAnsi"/>
          <w:bCs/>
          <w:sz w:val="22"/>
          <w:szCs w:val="22"/>
        </w:rPr>
        <w:t xml:space="preserve">companhia 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identificou marcas e categorias com um volume total de vendas de mais de </w:t>
      </w:r>
      <w:r>
        <w:rPr>
          <w:rFonts w:asciiTheme="minorHAnsi" w:hAnsiTheme="minorHAnsi" w:cstheme="minorHAnsi"/>
          <w:bCs/>
          <w:sz w:val="22"/>
          <w:szCs w:val="22"/>
        </w:rPr>
        <w:t>1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 bilhão de euros, predominantemente em seus negócios de consumo, dos quais cerca de 50% devem ser desinvestidos ou descontinuados até o final de 2021. Apesar das atuais incertezas do mercado, a Henkel reconfirmou as medidas do portfólio a serem executadas no prazo anunciado. No decorrer deste ano, a </w:t>
      </w:r>
      <w:r>
        <w:rPr>
          <w:rFonts w:asciiTheme="minorHAnsi" w:hAnsiTheme="minorHAnsi" w:cstheme="minorHAnsi"/>
          <w:bCs/>
          <w:sz w:val="22"/>
          <w:szCs w:val="22"/>
        </w:rPr>
        <w:t>companhia</w:t>
      </w:r>
      <w:r w:rsidRPr="00755B55">
        <w:rPr>
          <w:rFonts w:asciiTheme="minorHAnsi" w:hAnsiTheme="minorHAnsi" w:cstheme="minorHAnsi"/>
          <w:bCs/>
          <w:sz w:val="22"/>
          <w:szCs w:val="22"/>
        </w:rPr>
        <w:t xml:space="preserve"> já interrompeu os negócios e assinou desinvestimentos com um volume total de vendas de cerca de 80 milhões de euros, principalmente na unidade de negócios </w:t>
      </w:r>
      <w:proofErr w:type="spellStart"/>
      <w:r w:rsidRPr="00755B55">
        <w:rPr>
          <w:rFonts w:asciiTheme="minorHAnsi" w:hAnsiTheme="minorHAnsi" w:cstheme="minorHAnsi"/>
          <w:bCs/>
          <w:sz w:val="22"/>
          <w:szCs w:val="22"/>
        </w:rPr>
        <w:t>Adhesive</w:t>
      </w:r>
      <w:proofErr w:type="spellEnd"/>
      <w:r w:rsidRPr="00755B55">
        <w:rPr>
          <w:rFonts w:asciiTheme="minorHAnsi" w:hAnsiTheme="minorHAnsi" w:cstheme="minorHAnsi"/>
          <w:bCs/>
          <w:sz w:val="22"/>
          <w:szCs w:val="22"/>
        </w:rPr>
        <w:t xml:space="preserve"> Technologies.</w:t>
      </w:r>
    </w:p>
    <w:p w:rsidR="002A7641" w:rsidRPr="00761CE6" w:rsidRDefault="002A7641" w:rsidP="002A764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55B55" w:rsidRDefault="002A7641" w:rsidP="002A764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A7641">
        <w:rPr>
          <w:rFonts w:asciiTheme="minorHAnsi" w:hAnsiTheme="minorHAnsi" w:cstheme="minorHAnsi"/>
          <w:bCs/>
          <w:sz w:val="22"/>
          <w:szCs w:val="22"/>
        </w:rPr>
        <w:t xml:space="preserve">Juntamente com o gerenciamento ativo de portfólio, as aquisições continuam sendo parte integrante da estratégia da Henkel. Recentemente, a </w:t>
      </w:r>
      <w:r>
        <w:rPr>
          <w:rFonts w:asciiTheme="minorHAnsi" w:hAnsiTheme="minorHAnsi" w:cstheme="minorHAnsi"/>
          <w:bCs/>
          <w:sz w:val="22"/>
          <w:szCs w:val="22"/>
        </w:rPr>
        <w:t>companhia</w:t>
      </w:r>
      <w:r w:rsidRPr="002A7641">
        <w:rPr>
          <w:rFonts w:asciiTheme="minorHAnsi" w:hAnsiTheme="minorHAnsi" w:cstheme="minorHAnsi"/>
          <w:bCs/>
          <w:sz w:val="22"/>
          <w:szCs w:val="22"/>
        </w:rPr>
        <w:t xml:space="preserve"> assinou duas transações com um preço de compra </w:t>
      </w:r>
      <w:r>
        <w:rPr>
          <w:rFonts w:asciiTheme="minorHAnsi" w:hAnsiTheme="minorHAnsi" w:cstheme="minorHAnsi"/>
          <w:bCs/>
          <w:sz w:val="22"/>
          <w:szCs w:val="22"/>
        </w:rPr>
        <w:t>negociado</w:t>
      </w:r>
      <w:r w:rsidRPr="002A7641">
        <w:rPr>
          <w:rFonts w:asciiTheme="minorHAnsi" w:hAnsiTheme="minorHAnsi" w:cstheme="minorHAnsi"/>
          <w:bCs/>
          <w:sz w:val="22"/>
          <w:szCs w:val="22"/>
        </w:rPr>
        <w:t xml:space="preserve"> de cerca de 500 milhões de euros. Na unidade de negócios </w:t>
      </w:r>
      <w:proofErr w:type="spellStart"/>
      <w:r w:rsidRPr="002A7641">
        <w:rPr>
          <w:rFonts w:asciiTheme="minorHAnsi" w:hAnsiTheme="minorHAnsi" w:cstheme="minorHAnsi"/>
          <w:bCs/>
          <w:sz w:val="22"/>
          <w:szCs w:val="22"/>
        </w:rPr>
        <w:t>Beauty</w:t>
      </w:r>
      <w:proofErr w:type="spellEnd"/>
      <w:r w:rsidRPr="002A7641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A7641">
        <w:rPr>
          <w:rFonts w:asciiTheme="minorHAnsi" w:hAnsiTheme="minorHAnsi" w:cstheme="minorHAnsi"/>
          <w:bCs/>
          <w:sz w:val="22"/>
          <w:szCs w:val="22"/>
        </w:rPr>
        <w:t>Care</w:t>
      </w:r>
      <w:proofErr w:type="spellEnd"/>
      <w:r w:rsidRPr="002A7641">
        <w:rPr>
          <w:rFonts w:asciiTheme="minorHAnsi" w:hAnsiTheme="minorHAnsi" w:cstheme="minorHAnsi"/>
          <w:bCs/>
          <w:sz w:val="22"/>
          <w:szCs w:val="22"/>
        </w:rPr>
        <w:t xml:space="preserve">, a Henkel expande suas atividades digitais diretas ao consumidor (D2C) </w:t>
      </w:r>
      <w:r>
        <w:rPr>
          <w:rFonts w:asciiTheme="minorHAnsi" w:hAnsiTheme="minorHAnsi" w:cstheme="minorHAnsi"/>
          <w:bCs/>
          <w:sz w:val="22"/>
          <w:szCs w:val="22"/>
        </w:rPr>
        <w:t>por meio</w:t>
      </w:r>
      <w:r w:rsidRPr="002A7641">
        <w:rPr>
          <w:rFonts w:asciiTheme="minorHAnsi" w:hAnsiTheme="minorHAnsi" w:cstheme="minorHAnsi"/>
          <w:bCs/>
          <w:sz w:val="22"/>
          <w:szCs w:val="22"/>
        </w:rPr>
        <w:t xml:space="preserve"> da aquisição de uma participação majoritária em um negócio que </w:t>
      </w:r>
      <w:r w:rsidR="0033518D">
        <w:rPr>
          <w:rFonts w:asciiTheme="minorHAnsi" w:hAnsiTheme="minorHAnsi" w:cstheme="minorHAnsi"/>
          <w:bCs/>
          <w:sz w:val="22"/>
          <w:szCs w:val="22"/>
        </w:rPr>
        <w:t>conta com</w:t>
      </w:r>
      <w:r w:rsidRPr="002A7641">
        <w:rPr>
          <w:rFonts w:asciiTheme="minorHAnsi" w:hAnsiTheme="minorHAnsi" w:cstheme="minorHAnsi"/>
          <w:bCs/>
          <w:sz w:val="22"/>
          <w:szCs w:val="22"/>
        </w:rPr>
        <w:t xml:space="preserve"> três marcas de beleza premium de rápido crescimento. </w:t>
      </w:r>
      <w:r>
        <w:rPr>
          <w:rFonts w:asciiTheme="minorHAnsi" w:hAnsiTheme="minorHAnsi" w:cstheme="minorHAnsi"/>
          <w:bCs/>
          <w:sz w:val="22"/>
          <w:szCs w:val="22"/>
        </w:rPr>
        <w:t xml:space="preserve">Na unidade de negócios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Adhesive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Technologies</w:t>
      </w:r>
      <w:r w:rsidRPr="002A7641">
        <w:rPr>
          <w:rFonts w:asciiTheme="minorHAnsi" w:hAnsiTheme="minorHAnsi" w:cstheme="minorHAnsi"/>
          <w:bCs/>
          <w:sz w:val="22"/>
          <w:szCs w:val="22"/>
        </w:rPr>
        <w:t>, a Henkel expandirá sua posição em adesivos e selantes para consumidores e artesãos na América do Norte com a aquisição de um atraente portfólio de selantes para consumidores</w:t>
      </w:r>
      <w:r>
        <w:rPr>
          <w:rFonts w:asciiTheme="minorHAnsi" w:hAnsiTheme="minorHAnsi" w:cstheme="minorHAnsi"/>
          <w:bCs/>
          <w:sz w:val="22"/>
          <w:szCs w:val="22"/>
        </w:rPr>
        <w:t xml:space="preserve"> comercializado sob a marca GE (</w:t>
      </w:r>
      <w:r w:rsidRPr="002A7641">
        <w:rPr>
          <w:rFonts w:asciiTheme="minorHAnsi" w:hAnsiTheme="minorHAnsi" w:cstheme="minorHAnsi"/>
          <w:bCs/>
          <w:sz w:val="22"/>
          <w:szCs w:val="22"/>
        </w:rPr>
        <w:t xml:space="preserve">marca comercial da General Electric </w:t>
      </w:r>
      <w:proofErr w:type="spellStart"/>
      <w:r w:rsidRPr="002A7641">
        <w:rPr>
          <w:rFonts w:asciiTheme="minorHAnsi" w:hAnsiTheme="minorHAnsi" w:cstheme="minorHAnsi"/>
          <w:bCs/>
          <w:sz w:val="22"/>
          <w:szCs w:val="22"/>
        </w:rPr>
        <w:t>Company</w:t>
      </w:r>
      <w:proofErr w:type="spellEnd"/>
      <w:r w:rsidRPr="002A7641">
        <w:rPr>
          <w:rFonts w:asciiTheme="minorHAnsi" w:hAnsiTheme="minorHAnsi" w:cstheme="minorHAnsi"/>
          <w:bCs/>
          <w:sz w:val="22"/>
          <w:szCs w:val="22"/>
        </w:rPr>
        <w:t>, usada sob licença</w:t>
      </w:r>
      <w:r>
        <w:rPr>
          <w:rFonts w:asciiTheme="minorHAnsi" w:hAnsiTheme="minorHAnsi" w:cstheme="minorHAnsi"/>
          <w:bCs/>
          <w:sz w:val="22"/>
          <w:szCs w:val="22"/>
        </w:rPr>
        <w:t>)</w:t>
      </w:r>
      <w:r w:rsidRPr="002A7641">
        <w:rPr>
          <w:rFonts w:asciiTheme="minorHAnsi" w:hAnsiTheme="minorHAnsi" w:cstheme="minorHAnsi"/>
          <w:bCs/>
          <w:sz w:val="22"/>
          <w:szCs w:val="22"/>
        </w:rPr>
        <w:t>. O negócio adquirido compreende uma variedade de selantes de silicone para várias aplicações</w:t>
      </w:r>
      <w:r w:rsidR="005F7DED">
        <w:rPr>
          <w:rFonts w:asciiTheme="minorHAnsi" w:hAnsiTheme="minorHAnsi" w:cstheme="minorHAnsi"/>
          <w:bCs/>
          <w:sz w:val="22"/>
          <w:szCs w:val="22"/>
        </w:rPr>
        <w:t>.</w:t>
      </w:r>
    </w:p>
    <w:p w:rsidR="005F7DED" w:rsidRPr="005F7DED" w:rsidRDefault="005F7DED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F7DED" w:rsidRDefault="005F7DED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F7DED">
        <w:rPr>
          <w:rFonts w:asciiTheme="minorHAnsi" w:hAnsiTheme="minorHAnsi" w:cstheme="minorHAnsi"/>
          <w:bCs/>
          <w:sz w:val="22"/>
          <w:szCs w:val="22"/>
        </w:rPr>
        <w:t xml:space="preserve">Para fortalecer ainda mais sua vantagem competitiva, a Henkel se concentrará em acelerar inovações impactantes, aumentando a sustentabilidade como um fator diferenciador e transformando o digital em um criador de valor para o cliente e </w:t>
      </w:r>
      <w:r>
        <w:rPr>
          <w:rFonts w:asciiTheme="minorHAnsi" w:hAnsiTheme="minorHAnsi" w:cstheme="minorHAnsi"/>
          <w:bCs/>
          <w:sz w:val="22"/>
          <w:szCs w:val="22"/>
        </w:rPr>
        <w:t xml:space="preserve">o </w:t>
      </w:r>
      <w:r w:rsidRPr="005F7DED">
        <w:rPr>
          <w:rFonts w:asciiTheme="minorHAnsi" w:hAnsiTheme="minorHAnsi" w:cstheme="minorHAnsi"/>
          <w:bCs/>
          <w:sz w:val="22"/>
          <w:szCs w:val="22"/>
        </w:rPr>
        <w:t>consumidor.</w:t>
      </w:r>
    </w:p>
    <w:p w:rsidR="0033518D" w:rsidRDefault="0033518D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F7DED" w:rsidRDefault="005F7DED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F7DED">
        <w:rPr>
          <w:rFonts w:asciiTheme="minorHAnsi" w:hAnsiTheme="minorHAnsi" w:cstheme="minorHAnsi"/>
          <w:bCs/>
          <w:sz w:val="22"/>
          <w:szCs w:val="22"/>
        </w:rPr>
        <w:t xml:space="preserve">A Henkel tem como objetivo acelerar inovações impactantes, apoiadas por maiores investimentos. Isso inclui uma abordagem aprimorada de inovação. Inovações e marcas serão apoiadas com investimentos consistentes nas principais categorias e regiões. Portanto, a Henkel está comprometida em aumentar </w:t>
      </w:r>
      <w:r>
        <w:rPr>
          <w:rFonts w:asciiTheme="minorHAnsi" w:hAnsiTheme="minorHAnsi" w:cstheme="minorHAnsi"/>
          <w:bCs/>
          <w:sz w:val="22"/>
          <w:szCs w:val="22"/>
        </w:rPr>
        <w:t>ainda mais os investimentos em Publicidade, D</w:t>
      </w:r>
      <w:r w:rsidRPr="005F7DED">
        <w:rPr>
          <w:rFonts w:asciiTheme="minorHAnsi" w:hAnsiTheme="minorHAnsi" w:cstheme="minorHAnsi"/>
          <w:bCs/>
          <w:sz w:val="22"/>
          <w:szCs w:val="22"/>
        </w:rPr>
        <w:t xml:space="preserve">igital e TI. Nos primeiros seis meses deste ano, e apesar </w:t>
      </w:r>
      <w:r w:rsidRPr="005F7DED">
        <w:rPr>
          <w:rFonts w:asciiTheme="minorHAnsi" w:hAnsiTheme="minorHAnsi" w:cstheme="minorHAnsi"/>
          <w:bCs/>
          <w:sz w:val="22"/>
          <w:szCs w:val="22"/>
        </w:rPr>
        <w:lastRenderedPageBreak/>
        <w:t>dos desafios macroeconômicos, a Henkel aumentou esses investimentos em uma quantia alta de dois dígitos, em milhões de euros.</w:t>
      </w:r>
    </w:p>
    <w:p w:rsidR="005F7DED" w:rsidRDefault="005F7DED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F7DED" w:rsidRDefault="005F7DED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Na unidade de negócios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Adhesive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Technologies</w:t>
      </w:r>
      <w:r w:rsidRPr="005F7DED">
        <w:rPr>
          <w:rFonts w:asciiTheme="minorHAnsi" w:hAnsiTheme="minorHAnsi" w:cstheme="minorHAnsi"/>
          <w:bCs/>
          <w:sz w:val="22"/>
          <w:szCs w:val="22"/>
        </w:rPr>
        <w:t>, a Henkel continuou seus investimentos em seu centro de inovação de ponta em Düsseldorf</w:t>
      </w:r>
      <w:r>
        <w:rPr>
          <w:rFonts w:asciiTheme="minorHAnsi" w:hAnsiTheme="minorHAnsi" w:cstheme="minorHAnsi"/>
          <w:bCs/>
          <w:sz w:val="22"/>
          <w:szCs w:val="22"/>
        </w:rPr>
        <w:t>, na Alemanha</w:t>
      </w:r>
      <w:r w:rsidRPr="005F7DED">
        <w:rPr>
          <w:rFonts w:asciiTheme="minorHAnsi" w:hAnsiTheme="minorHAnsi" w:cstheme="minorHAnsi"/>
          <w:bCs/>
          <w:sz w:val="22"/>
          <w:szCs w:val="22"/>
        </w:rPr>
        <w:t>. Em seus negócios de consumo, a Henkel rapidamente aumentou um portfólio adicional de higiene e capacidade de produção de novos desinfetantes para as mãos e produtos de limpeza em diferentes regiões.</w:t>
      </w:r>
    </w:p>
    <w:p w:rsidR="005F7DED" w:rsidRDefault="005F7DED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F7DED" w:rsidRDefault="005F7DED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F7DED">
        <w:rPr>
          <w:rFonts w:asciiTheme="minorHAnsi" w:hAnsiTheme="minorHAnsi" w:cstheme="minorHAnsi"/>
          <w:bCs/>
          <w:sz w:val="22"/>
          <w:szCs w:val="22"/>
        </w:rPr>
        <w:t xml:space="preserve">Um pilar fundamental da estratégia de vantagem competitiva da Henkel é a clara diferenciação no mercado por meio de inovações impactantes. </w:t>
      </w:r>
      <w:r>
        <w:rPr>
          <w:rFonts w:asciiTheme="minorHAnsi" w:hAnsiTheme="minorHAnsi" w:cstheme="minorHAnsi"/>
          <w:bCs/>
          <w:sz w:val="22"/>
          <w:szCs w:val="22"/>
        </w:rPr>
        <w:t xml:space="preserve">Na unidade de negócios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Adhesive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Technologies</w:t>
      </w:r>
      <w:r w:rsidRPr="005F7DED">
        <w:rPr>
          <w:rFonts w:asciiTheme="minorHAnsi" w:hAnsiTheme="minorHAnsi" w:cstheme="minorHAnsi"/>
          <w:bCs/>
          <w:sz w:val="22"/>
          <w:szCs w:val="22"/>
        </w:rPr>
        <w:t>, a Henkel usou seu amplo portfólio da indústria em sol</w:t>
      </w:r>
      <w:r w:rsidR="00890A2F">
        <w:rPr>
          <w:rFonts w:asciiTheme="minorHAnsi" w:hAnsiTheme="minorHAnsi" w:cstheme="minorHAnsi"/>
          <w:bCs/>
          <w:sz w:val="22"/>
          <w:szCs w:val="22"/>
        </w:rPr>
        <w:t xml:space="preserve">uções </w:t>
      </w:r>
      <w:r w:rsidRPr="005F7DED">
        <w:rPr>
          <w:rFonts w:asciiTheme="minorHAnsi" w:hAnsiTheme="minorHAnsi" w:cstheme="minorHAnsi"/>
          <w:bCs/>
          <w:sz w:val="22"/>
          <w:szCs w:val="22"/>
        </w:rPr>
        <w:t xml:space="preserve">de vedação e </w:t>
      </w:r>
      <w:r w:rsidRPr="001D7086">
        <w:rPr>
          <w:rFonts w:asciiTheme="minorHAnsi" w:hAnsiTheme="minorHAnsi" w:cstheme="minorHAnsi"/>
          <w:bCs/>
          <w:sz w:val="22"/>
          <w:szCs w:val="22"/>
        </w:rPr>
        <w:t>impregnação</w:t>
      </w:r>
      <w:r w:rsidRPr="005F7DED">
        <w:rPr>
          <w:rFonts w:asciiTheme="minorHAnsi" w:hAnsiTheme="minorHAnsi" w:cstheme="minorHAnsi"/>
          <w:bCs/>
          <w:sz w:val="22"/>
          <w:szCs w:val="22"/>
        </w:rPr>
        <w:t xml:space="preserve"> para lançar uma nova linha de produtos para aumentar a resistência à água de smartphones de última geração. Esta foi uma colaboração com uma das principais marcas de smartphones do mundo. A </w:t>
      </w:r>
      <w:r w:rsidR="00890A2F">
        <w:rPr>
          <w:rFonts w:asciiTheme="minorHAnsi" w:hAnsiTheme="minorHAnsi" w:cstheme="minorHAnsi"/>
          <w:bCs/>
          <w:sz w:val="22"/>
          <w:szCs w:val="22"/>
        </w:rPr>
        <w:t xml:space="preserve">unidade de negócios </w:t>
      </w:r>
      <w:proofErr w:type="spellStart"/>
      <w:r w:rsidRPr="005F7DED">
        <w:rPr>
          <w:rFonts w:asciiTheme="minorHAnsi" w:hAnsiTheme="minorHAnsi" w:cstheme="minorHAnsi"/>
          <w:bCs/>
          <w:sz w:val="22"/>
          <w:szCs w:val="22"/>
        </w:rPr>
        <w:t>Beauty</w:t>
      </w:r>
      <w:proofErr w:type="spellEnd"/>
      <w:r w:rsidRPr="005F7DED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F7DED">
        <w:rPr>
          <w:rFonts w:asciiTheme="minorHAnsi" w:hAnsiTheme="minorHAnsi" w:cstheme="minorHAnsi"/>
          <w:bCs/>
          <w:sz w:val="22"/>
          <w:szCs w:val="22"/>
        </w:rPr>
        <w:t>Care</w:t>
      </w:r>
      <w:proofErr w:type="spellEnd"/>
      <w:r w:rsidRPr="005F7DED">
        <w:rPr>
          <w:rFonts w:asciiTheme="minorHAnsi" w:hAnsiTheme="minorHAnsi" w:cstheme="minorHAnsi"/>
          <w:bCs/>
          <w:sz w:val="22"/>
          <w:szCs w:val="22"/>
        </w:rPr>
        <w:t xml:space="preserve"> lançou a nova marca </w:t>
      </w:r>
      <w:proofErr w:type="spellStart"/>
      <w:r w:rsidRPr="005F7DED">
        <w:rPr>
          <w:rFonts w:asciiTheme="minorHAnsi" w:hAnsiTheme="minorHAnsi" w:cstheme="minorHAnsi"/>
          <w:bCs/>
          <w:sz w:val="22"/>
          <w:szCs w:val="22"/>
        </w:rPr>
        <w:t>Schwarzkopf</w:t>
      </w:r>
      <w:proofErr w:type="spellEnd"/>
      <w:r w:rsidRPr="005F7DED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F7DED">
        <w:rPr>
          <w:rFonts w:asciiTheme="minorHAnsi" w:hAnsiTheme="minorHAnsi" w:cstheme="minorHAnsi"/>
          <w:bCs/>
          <w:sz w:val="22"/>
          <w:szCs w:val="22"/>
        </w:rPr>
        <w:t>Simply</w:t>
      </w:r>
      <w:proofErr w:type="spellEnd"/>
      <w:r w:rsidRPr="005F7DED">
        <w:rPr>
          <w:rFonts w:asciiTheme="minorHAnsi" w:hAnsiTheme="minorHAnsi" w:cstheme="minorHAnsi"/>
          <w:bCs/>
          <w:sz w:val="22"/>
          <w:szCs w:val="22"/>
        </w:rPr>
        <w:t xml:space="preserve"> Color, baseada nas tendências naturais da categoria mais "tecnológica" de coloração de cabelos. A unidade de negócios </w:t>
      </w:r>
      <w:proofErr w:type="spellStart"/>
      <w:r w:rsidRPr="005F7DED">
        <w:rPr>
          <w:rFonts w:asciiTheme="minorHAnsi" w:hAnsiTheme="minorHAnsi" w:cstheme="minorHAnsi"/>
          <w:bCs/>
          <w:sz w:val="22"/>
          <w:szCs w:val="22"/>
        </w:rPr>
        <w:t>Laundry</w:t>
      </w:r>
      <w:proofErr w:type="spellEnd"/>
      <w:r w:rsidRPr="005F7DED">
        <w:rPr>
          <w:rFonts w:asciiTheme="minorHAnsi" w:hAnsiTheme="minorHAnsi" w:cstheme="minorHAnsi"/>
          <w:bCs/>
          <w:sz w:val="22"/>
          <w:szCs w:val="22"/>
        </w:rPr>
        <w:t xml:space="preserve"> &amp; Home </w:t>
      </w:r>
      <w:proofErr w:type="spellStart"/>
      <w:r w:rsidRPr="005F7DED">
        <w:rPr>
          <w:rFonts w:asciiTheme="minorHAnsi" w:hAnsiTheme="minorHAnsi" w:cstheme="minorHAnsi"/>
          <w:bCs/>
          <w:sz w:val="22"/>
          <w:szCs w:val="22"/>
        </w:rPr>
        <w:t>Care</w:t>
      </w:r>
      <w:proofErr w:type="spellEnd"/>
      <w:r w:rsidRPr="005F7DED">
        <w:rPr>
          <w:rFonts w:asciiTheme="minorHAnsi" w:hAnsiTheme="minorHAnsi" w:cstheme="minorHAnsi"/>
          <w:bCs/>
          <w:sz w:val="22"/>
          <w:szCs w:val="22"/>
        </w:rPr>
        <w:t xml:space="preserve"> lançou ainda os</w:t>
      </w:r>
      <w:r w:rsidR="00890A2F">
        <w:rPr>
          <w:rFonts w:asciiTheme="minorHAnsi" w:hAnsiTheme="minorHAnsi" w:cstheme="minorHAnsi"/>
          <w:bCs/>
          <w:sz w:val="22"/>
          <w:szCs w:val="22"/>
        </w:rPr>
        <w:t xml:space="preserve"> produtos em</w:t>
      </w:r>
      <w:r w:rsidRPr="005F7DED">
        <w:rPr>
          <w:rFonts w:asciiTheme="minorHAnsi" w:hAnsiTheme="minorHAnsi" w:cstheme="minorHAnsi"/>
          <w:bCs/>
          <w:sz w:val="22"/>
          <w:szCs w:val="22"/>
        </w:rPr>
        <w:t xml:space="preserve"> discos Persil 4in1. </w:t>
      </w:r>
      <w:r w:rsidR="00890A2F">
        <w:rPr>
          <w:rFonts w:asciiTheme="minorHAnsi" w:hAnsiTheme="minorHAnsi" w:cstheme="minorHAnsi"/>
          <w:bCs/>
          <w:sz w:val="22"/>
          <w:szCs w:val="22"/>
        </w:rPr>
        <w:t>As novidades</w:t>
      </w:r>
      <w:r w:rsidRPr="005F7DED">
        <w:rPr>
          <w:rFonts w:asciiTheme="minorHAnsi" w:hAnsiTheme="minorHAnsi" w:cstheme="minorHAnsi"/>
          <w:bCs/>
          <w:sz w:val="22"/>
          <w:szCs w:val="22"/>
        </w:rPr>
        <w:t xml:space="preserve"> Persil já representam quase 10% das vendas totais da marca Persil.</w:t>
      </w:r>
    </w:p>
    <w:p w:rsidR="00531B61" w:rsidRDefault="00531B6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31B61" w:rsidRDefault="00531B6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31B61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Pr="00531B61">
        <w:rPr>
          <w:rFonts w:asciiTheme="minorHAnsi" w:hAnsiTheme="minorHAnsi" w:cstheme="minorHAnsi"/>
          <w:b/>
          <w:bCs/>
          <w:sz w:val="22"/>
          <w:szCs w:val="22"/>
        </w:rPr>
        <w:t>sustentabilidade</w:t>
      </w:r>
      <w:r>
        <w:rPr>
          <w:rFonts w:asciiTheme="minorHAnsi" w:hAnsiTheme="minorHAnsi" w:cstheme="minorHAnsi"/>
          <w:bCs/>
          <w:sz w:val="22"/>
          <w:szCs w:val="22"/>
        </w:rPr>
        <w:t xml:space="preserve"> é um dos 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pontos fortes da Henkel. A </w:t>
      </w:r>
      <w:r>
        <w:rPr>
          <w:rFonts w:asciiTheme="minorHAnsi" w:hAnsiTheme="minorHAnsi" w:cstheme="minorHAnsi"/>
          <w:bCs/>
          <w:sz w:val="22"/>
          <w:szCs w:val="22"/>
        </w:rPr>
        <w:t>companhia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 tem um papel de liderança que é regularmente confirmado em </w:t>
      </w:r>
      <w:r>
        <w:rPr>
          <w:rFonts w:asciiTheme="minorHAnsi" w:hAnsiTheme="minorHAnsi" w:cstheme="minorHAnsi"/>
          <w:bCs/>
          <w:sz w:val="22"/>
          <w:szCs w:val="22"/>
        </w:rPr>
        <w:t>avaliações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 e </w:t>
      </w:r>
      <w:r>
        <w:rPr>
          <w:rFonts w:asciiTheme="minorHAnsi" w:hAnsiTheme="minorHAnsi" w:cstheme="minorHAnsi"/>
          <w:bCs/>
          <w:sz w:val="22"/>
          <w:szCs w:val="22"/>
        </w:rPr>
        <w:t>rankings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. Portanto, a Henkel pretende fortalecer ainda mais sua posição de liderança em sustentabilidade como uma clara vantagem competitiva. Para acelerar ainda mais seus esforços, a </w:t>
      </w:r>
      <w:r>
        <w:rPr>
          <w:rFonts w:asciiTheme="minorHAnsi" w:hAnsiTheme="minorHAnsi" w:cstheme="minorHAnsi"/>
          <w:bCs/>
          <w:sz w:val="22"/>
          <w:szCs w:val="22"/>
        </w:rPr>
        <w:t>companhia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 definiu os próximos marcos e metas específicas. Um elemento é tornar-se uma empresa climática positiva até 2040.</w:t>
      </w:r>
    </w:p>
    <w:p w:rsidR="00531B61" w:rsidRDefault="00531B6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31B61" w:rsidRDefault="00531B6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Como a primeira empresa global</w:t>
      </w:r>
      <w:r w:rsidRPr="00531B61">
        <w:rPr>
          <w:rFonts w:asciiTheme="minorHAnsi" w:hAnsiTheme="minorHAnsi" w:cstheme="minorHAnsi"/>
          <w:bCs/>
          <w:sz w:val="22"/>
          <w:szCs w:val="22"/>
        </w:rPr>
        <w:t>, a Henkel estabeleceu um ví</w:t>
      </w:r>
      <w:r>
        <w:rPr>
          <w:rFonts w:asciiTheme="minorHAnsi" w:hAnsiTheme="minorHAnsi" w:cstheme="minorHAnsi"/>
          <w:bCs/>
          <w:sz w:val="22"/>
          <w:szCs w:val="22"/>
        </w:rPr>
        <w:t xml:space="preserve">nculo de redução de resíduos 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plástico em junho de 2020. Com isso, a </w:t>
      </w:r>
      <w:r>
        <w:rPr>
          <w:rFonts w:asciiTheme="minorHAnsi" w:hAnsiTheme="minorHAnsi" w:cstheme="minorHAnsi"/>
          <w:bCs/>
          <w:sz w:val="22"/>
          <w:szCs w:val="22"/>
        </w:rPr>
        <w:t>companhia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 deu outro passo na combinação de atraentes instrumentos financeiros corporativos com o progresso em sustentabilidade. Os recursos provenientes desse vínculo, com um volume total de cerca de 100 milhões de euros, serão especificamente alocados a projetos e gastos relacionados às atividades da Henkel para reduzir o desperdício de plástico. O </w:t>
      </w:r>
      <w:r>
        <w:rPr>
          <w:rFonts w:asciiTheme="minorHAnsi" w:hAnsiTheme="minorHAnsi" w:cstheme="minorHAnsi"/>
          <w:bCs/>
          <w:sz w:val="22"/>
          <w:szCs w:val="22"/>
        </w:rPr>
        <w:t>acordo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 destaca o compromisso da Henkel de promover uma economia circular e reduzir o desperdício de plástico, bem como o financiamento sustentável.</w:t>
      </w:r>
    </w:p>
    <w:p w:rsidR="00531B61" w:rsidRDefault="00531B6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31B61" w:rsidRDefault="00531B6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31B61">
        <w:rPr>
          <w:rFonts w:asciiTheme="minorHAnsi" w:hAnsiTheme="minorHAnsi" w:cstheme="minorHAnsi"/>
          <w:bCs/>
          <w:sz w:val="22"/>
          <w:szCs w:val="22"/>
        </w:rPr>
        <w:lastRenderedPageBreak/>
        <w:t>A Henkel também expandiu sua ferramenta de Design para Reciclagem “EasyD4R”, que permite avaliar de forma rápida e confiável a capacidade de reciclagem de embalagens em um estágio inicial do processo de desenvolvimento. O software, disponibilizado para outras empresas e organizações, agora abrange não apenas diferentes tipos de embalagens plásticas, mas também materiais como papel, vidro ou alumínio.</w:t>
      </w:r>
    </w:p>
    <w:p w:rsidR="00531B61" w:rsidRDefault="00531B6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31B61" w:rsidRDefault="00531B6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31B61">
        <w:rPr>
          <w:rFonts w:asciiTheme="minorHAnsi" w:hAnsiTheme="minorHAnsi" w:cstheme="minorHAnsi"/>
          <w:bCs/>
          <w:sz w:val="22"/>
          <w:szCs w:val="22"/>
        </w:rPr>
        <w:t xml:space="preserve">O progresso da Henkel na área de sustentabilidade também se reflete em produtos para consumidores e clientes industriais. Por exemplo, </w:t>
      </w:r>
      <w:r w:rsidR="005F6991">
        <w:rPr>
          <w:rFonts w:asciiTheme="minorHAnsi" w:hAnsiTheme="minorHAnsi" w:cstheme="minorHAnsi"/>
          <w:bCs/>
          <w:sz w:val="22"/>
          <w:szCs w:val="22"/>
        </w:rPr>
        <w:t xml:space="preserve">na unidade de negócios de </w:t>
      </w:r>
      <w:proofErr w:type="spellStart"/>
      <w:r w:rsidR="005F6991">
        <w:rPr>
          <w:rFonts w:asciiTheme="minorHAnsi" w:hAnsiTheme="minorHAnsi" w:cstheme="minorHAnsi"/>
          <w:bCs/>
          <w:sz w:val="22"/>
          <w:szCs w:val="22"/>
        </w:rPr>
        <w:t>Laundry</w:t>
      </w:r>
      <w:proofErr w:type="spellEnd"/>
      <w:r w:rsidR="005F6991">
        <w:rPr>
          <w:rFonts w:asciiTheme="minorHAnsi" w:hAnsiTheme="minorHAnsi" w:cstheme="minorHAnsi"/>
          <w:bCs/>
          <w:sz w:val="22"/>
          <w:szCs w:val="22"/>
        </w:rPr>
        <w:t xml:space="preserve"> &amp; Home </w:t>
      </w:r>
      <w:proofErr w:type="spellStart"/>
      <w:r w:rsidR="005F6991">
        <w:rPr>
          <w:rFonts w:asciiTheme="minorHAnsi" w:hAnsiTheme="minorHAnsi" w:cstheme="minorHAnsi"/>
          <w:bCs/>
          <w:sz w:val="22"/>
          <w:szCs w:val="22"/>
        </w:rPr>
        <w:t>Care</w:t>
      </w:r>
      <w:proofErr w:type="spellEnd"/>
      <w:r w:rsidRPr="00531B61">
        <w:rPr>
          <w:rFonts w:asciiTheme="minorHAnsi" w:hAnsiTheme="minorHAnsi" w:cstheme="minorHAnsi"/>
          <w:bCs/>
          <w:sz w:val="22"/>
          <w:szCs w:val="22"/>
        </w:rPr>
        <w:t xml:space="preserve">, a linha Pro </w:t>
      </w:r>
      <w:proofErr w:type="spellStart"/>
      <w:r w:rsidRPr="00531B61">
        <w:rPr>
          <w:rFonts w:asciiTheme="minorHAnsi" w:hAnsiTheme="minorHAnsi" w:cstheme="minorHAnsi"/>
          <w:bCs/>
          <w:sz w:val="22"/>
          <w:szCs w:val="22"/>
        </w:rPr>
        <w:t>Nature</w:t>
      </w:r>
      <w:proofErr w:type="spellEnd"/>
      <w:r w:rsidRPr="00531B61">
        <w:rPr>
          <w:rFonts w:asciiTheme="minorHAnsi" w:hAnsiTheme="minorHAnsi" w:cstheme="minorHAnsi"/>
          <w:bCs/>
          <w:sz w:val="22"/>
          <w:szCs w:val="22"/>
        </w:rPr>
        <w:t xml:space="preserve"> foi ampliada com o lançamento do </w:t>
      </w:r>
      <w:proofErr w:type="spellStart"/>
      <w:r w:rsidRPr="00531B61">
        <w:rPr>
          <w:rFonts w:asciiTheme="minorHAnsi" w:hAnsiTheme="minorHAnsi" w:cstheme="minorHAnsi"/>
          <w:bCs/>
          <w:sz w:val="22"/>
          <w:szCs w:val="22"/>
        </w:rPr>
        <w:t>Somat</w:t>
      </w:r>
      <w:proofErr w:type="spellEnd"/>
      <w:r w:rsidRPr="00531B61">
        <w:rPr>
          <w:rFonts w:asciiTheme="minorHAnsi" w:hAnsiTheme="minorHAnsi" w:cstheme="minorHAnsi"/>
          <w:bCs/>
          <w:sz w:val="22"/>
          <w:szCs w:val="22"/>
        </w:rPr>
        <w:t xml:space="preserve"> e</w:t>
      </w:r>
      <w:r w:rsidR="005F6991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5F6991">
        <w:rPr>
          <w:rFonts w:asciiTheme="minorHAnsi" w:hAnsiTheme="minorHAnsi" w:cstheme="minorHAnsi"/>
          <w:bCs/>
          <w:sz w:val="22"/>
          <w:szCs w:val="22"/>
        </w:rPr>
        <w:t>Bref</w:t>
      </w:r>
      <w:proofErr w:type="spellEnd"/>
      <w:r w:rsidR="005F6991">
        <w:rPr>
          <w:rFonts w:asciiTheme="minorHAnsi" w:hAnsiTheme="minorHAnsi" w:cstheme="minorHAnsi"/>
          <w:bCs/>
          <w:sz w:val="22"/>
          <w:szCs w:val="22"/>
        </w:rPr>
        <w:t xml:space="preserve"> Pro </w:t>
      </w:r>
      <w:proofErr w:type="spellStart"/>
      <w:r w:rsidR="005F6991">
        <w:rPr>
          <w:rFonts w:asciiTheme="minorHAnsi" w:hAnsiTheme="minorHAnsi" w:cstheme="minorHAnsi"/>
          <w:bCs/>
          <w:sz w:val="22"/>
          <w:szCs w:val="22"/>
        </w:rPr>
        <w:t>Nature</w:t>
      </w:r>
      <w:proofErr w:type="spellEnd"/>
      <w:r w:rsidR="005F6991">
        <w:rPr>
          <w:rFonts w:asciiTheme="minorHAnsi" w:hAnsiTheme="minorHAnsi" w:cstheme="minorHAnsi"/>
          <w:bCs/>
          <w:sz w:val="22"/>
          <w:szCs w:val="22"/>
        </w:rPr>
        <w:t>. O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s produtos Pro </w:t>
      </w:r>
      <w:proofErr w:type="spellStart"/>
      <w:r w:rsidRPr="00531B61">
        <w:rPr>
          <w:rFonts w:asciiTheme="minorHAnsi" w:hAnsiTheme="minorHAnsi" w:cstheme="minorHAnsi"/>
          <w:bCs/>
          <w:sz w:val="22"/>
          <w:szCs w:val="22"/>
        </w:rPr>
        <w:t>Nature</w:t>
      </w:r>
      <w:proofErr w:type="spellEnd"/>
      <w:r w:rsidRPr="00531B61">
        <w:rPr>
          <w:rFonts w:asciiTheme="minorHAnsi" w:hAnsiTheme="minorHAnsi" w:cstheme="minorHAnsi"/>
          <w:bCs/>
          <w:sz w:val="22"/>
          <w:szCs w:val="22"/>
        </w:rPr>
        <w:t xml:space="preserve"> e</w:t>
      </w:r>
      <w:r w:rsidR="005F6991">
        <w:rPr>
          <w:rFonts w:asciiTheme="minorHAnsi" w:hAnsiTheme="minorHAnsi" w:cstheme="minorHAnsi"/>
          <w:bCs/>
          <w:sz w:val="22"/>
          <w:szCs w:val="22"/>
        </w:rPr>
        <w:t xml:space="preserve">stão disponíveis em 30 países, 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incluem até 99,9% de ingredientes naturais e usam embalagens com até 100% de plástico reciclado. A </w:t>
      </w:r>
      <w:r w:rsidR="005F6991">
        <w:rPr>
          <w:rFonts w:asciiTheme="minorHAnsi" w:hAnsiTheme="minorHAnsi" w:cstheme="minorHAnsi"/>
          <w:bCs/>
          <w:sz w:val="22"/>
          <w:szCs w:val="22"/>
        </w:rPr>
        <w:t xml:space="preserve">unidade de negócios </w:t>
      </w:r>
      <w:proofErr w:type="spellStart"/>
      <w:r w:rsidRPr="00531B61">
        <w:rPr>
          <w:rFonts w:asciiTheme="minorHAnsi" w:hAnsiTheme="minorHAnsi" w:cstheme="minorHAnsi"/>
          <w:bCs/>
          <w:sz w:val="22"/>
          <w:szCs w:val="22"/>
        </w:rPr>
        <w:t>Beauty</w:t>
      </w:r>
      <w:proofErr w:type="spellEnd"/>
      <w:r w:rsidRPr="00531B61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1B61">
        <w:rPr>
          <w:rFonts w:asciiTheme="minorHAnsi" w:hAnsiTheme="minorHAnsi" w:cstheme="minorHAnsi"/>
          <w:bCs/>
          <w:sz w:val="22"/>
          <w:szCs w:val="22"/>
        </w:rPr>
        <w:t>Ca</w:t>
      </w:r>
      <w:r w:rsidR="005F6991">
        <w:rPr>
          <w:rFonts w:asciiTheme="minorHAnsi" w:hAnsiTheme="minorHAnsi" w:cstheme="minorHAnsi"/>
          <w:bCs/>
          <w:sz w:val="22"/>
          <w:szCs w:val="22"/>
        </w:rPr>
        <w:t>re</w:t>
      </w:r>
      <w:proofErr w:type="spellEnd"/>
      <w:r w:rsidR="005F6991">
        <w:rPr>
          <w:rFonts w:asciiTheme="minorHAnsi" w:hAnsiTheme="minorHAnsi" w:cstheme="minorHAnsi"/>
          <w:bCs/>
          <w:sz w:val="22"/>
          <w:szCs w:val="22"/>
        </w:rPr>
        <w:t xml:space="preserve"> lançou shampoo sólido 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e barras faciais </w:t>
      </w:r>
      <w:r w:rsidR="005F6991">
        <w:rPr>
          <w:rFonts w:asciiTheme="minorHAnsi" w:hAnsiTheme="minorHAnsi" w:cstheme="minorHAnsi"/>
          <w:bCs/>
          <w:sz w:val="22"/>
          <w:szCs w:val="22"/>
        </w:rPr>
        <w:t xml:space="preserve">e para o corpo </w:t>
      </w:r>
      <w:r w:rsidRPr="00531B61">
        <w:rPr>
          <w:rFonts w:asciiTheme="minorHAnsi" w:hAnsiTheme="minorHAnsi" w:cstheme="minorHAnsi"/>
          <w:bCs/>
          <w:sz w:val="22"/>
          <w:szCs w:val="22"/>
        </w:rPr>
        <w:t xml:space="preserve">sob as marcas </w:t>
      </w:r>
      <w:proofErr w:type="spellStart"/>
      <w:r w:rsidRPr="00531B61">
        <w:rPr>
          <w:rFonts w:asciiTheme="minorHAnsi" w:hAnsiTheme="minorHAnsi" w:cstheme="minorHAnsi"/>
          <w:bCs/>
          <w:sz w:val="22"/>
          <w:szCs w:val="22"/>
        </w:rPr>
        <w:t>Nature</w:t>
      </w:r>
      <w:proofErr w:type="spellEnd"/>
      <w:r w:rsidRPr="00531B61">
        <w:rPr>
          <w:rFonts w:asciiTheme="minorHAnsi" w:hAnsiTheme="minorHAnsi" w:cstheme="minorHAnsi"/>
          <w:bCs/>
          <w:sz w:val="22"/>
          <w:szCs w:val="22"/>
        </w:rPr>
        <w:t xml:space="preserve"> Box e N.A.E. - sem embalagem plástica. Com a </w:t>
      </w:r>
      <w:r w:rsidR="005F6991">
        <w:rPr>
          <w:rFonts w:asciiTheme="minorHAnsi" w:hAnsiTheme="minorHAnsi" w:cstheme="minorHAnsi"/>
          <w:bCs/>
          <w:sz w:val="22"/>
          <w:szCs w:val="22"/>
        </w:rPr>
        <w:t xml:space="preserve">solução </w:t>
      </w:r>
      <w:proofErr w:type="spellStart"/>
      <w:r w:rsidRPr="00531B61">
        <w:rPr>
          <w:rFonts w:asciiTheme="minorHAnsi" w:hAnsiTheme="minorHAnsi" w:cstheme="minorHAnsi"/>
          <w:bCs/>
          <w:sz w:val="22"/>
          <w:szCs w:val="22"/>
        </w:rPr>
        <w:t>Loctite</w:t>
      </w:r>
      <w:proofErr w:type="spellEnd"/>
      <w:r w:rsidRPr="00531B61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1B61">
        <w:rPr>
          <w:rFonts w:asciiTheme="minorHAnsi" w:hAnsiTheme="minorHAnsi" w:cstheme="minorHAnsi"/>
          <w:bCs/>
          <w:sz w:val="22"/>
          <w:szCs w:val="22"/>
        </w:rPr>
        <w:t>Liofol</w:t>
      </w:r>
      <w:proofErr w:type="spellEnd"/>
      <w:r w:rsidRPr="00531B61">
        <w:rPr>
          <w:rFonts w:asciiTheme="minorHAnsi" w:hAnsiTheme="minorHAnsi" w:cstheme="minorHAnsi"/>
          <w:bCs/>
          <w:sz w:val="22"/>
          <w:szCs w:val="22"/>
        </w:rPr>
        <w:t xml:space="preserve">, a </w:t>
      </w:r>
      <w:r w:rsidR="005F6991">
        <w:rPr>
          <w:rFonts w:asciiTheme="minorHAnsi" w:hAnsiTheme="minorHAnsi" w:cstheme="minorHAnsi"/>
          <w:bCs/>
          <w:sz w:val="22"/>
          <w:szCs w:val="22"/>
        </w:rPr>
        <w:t xml:space="preserve">unidade de negócios </w:t>
      </w:r>
      <w:proofErr w:type="spellStart"/>
      <w:r w:rsidRPr="00531B61">
        <w:rPr>
          <w:rFonts w:asciiTheme="minorHAnsi" w:hAnsiTheme="minorHAnsi" w:cstheme="minorHAnsi"/>
          <w:bCs/>
          <w:sz w:val="22"/>
          <w:szCs w:val="22"/>
        </w:rPr>
        <w:t>Adhesive</w:t>
      </w:r>
      <w:proofErr w:type="spellEnd"/>
      <w:r w:rsidRPr="00531B61">
        <w:rPr>
          <w:rFonts w:asciiTheme="minorHAnsi" w:hAnsiTheme="minorHAnsi" w:cstheme="minorHAnsi"/>
          <w:bCs/>
          <w:sz w:val="22"/>
          <w:szCs w:val="22"/>
        </w:rPr>
        <w:t xml:space="preserve"> Technologies introduziu no mercado um revestimento reciclável certificado a quente e a frio, que permite a substituição de polietileno por papel, adequado para uma ampla variedade de embalagens de alimentos e não-alimentos.</w:t>
      </w:r>
    </w:p>
    <w:p w:rsidR="005F6991" w:rsidRDefault="005F699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F6991" w:rsidRDefault="005F699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F6991">
        <w:rPr>
          <w:rFonts w:asciiTheme="minorHAnsi" w:hAnsiTheme="minorHAnsi" w:cstheme="minorHAnsi"/>
          <w:bCs/>
          <w:sz w:val="22"/>
          <w:szCs w:val="22"/>
        </w:rPr>
        <w:t xml:space="preserve">Além da inovação e da sustentabilidade, a Henkel definiu a </w:t>
      </w:r>
      <w:r w:rsidRPr="00726884">
        <w:rPr>
          <w:rFonts w:asciiTheme="minorHAnsi" w:hAnsiTheme="minorHAnsi" w:cstheme="minorHAnsi"/>
          <w:b/>
          <w:sz w:val="22"/>
          <w:szCs w:val="22"/>
        </w:rPr>
        <w:t>digitalização</w:t>
      </w:r>
      <w:r w:rsidRPr="005F6991">
        <w:rPr>
          <w:rFonts w:asciiTheme="minorHAnsi" w:hAnsiTheme="minorHAnsi" w:cstheme="minorHAnsi"/>
          <w:bCs/>
          <w:sz w:val="22"/>
          <w:szCs w:val="22"/>
        </w:rPr>
        <w:t xml:space="preserve"> como uma alavanca chave para fortalecer sua competitividade. No primeiro semestre, a Henkel registrou um forte aumento nas ve</w:t>
      </w:r>
      <w:r w:rsidR="003B33E1">
        <w:rPr>
          <w:rFonts w:asciiTheme="minorHAnsi" w:hAnsiTheme="minorHAnsi" w:cstheme="minorHAnsi"/>
          <w:bCs/>
          <w:sz w:val="22"/>
          <w:szCs w:val="22"/>
        </w:rPr>
        <w:t xml:space="preserve">ndas digitais de mais de 60% </w:t>
      </w:r>
      <w:r>
        <w:rPr>
          <w:rFonts w:asciiTheme="minorHAnsi" w:hAnsiTheme="minorHAnsi" w:cstheme="minorHAnsi"/>
          <w:bCs/>
          <w:sz w:val="22"/>
          <w:szCs w:val="22"/>
        </w:rPr>
        <w:t xml:space="preserve">nas unidades de negócios </w:t>
      </w:r>
      <w:proofErr w:type="spellStart"/>
      <w:r w:rsidRPr="005F6991">
        <w:rPr>
          <w:rFonts w:asciiTheme="minorHAnsi" w:hAnsiTheme="minorHAnsi" w:cstheme="minorHAnsi"/>
          <w:bCs/>
          <w:sz w:val="22"/>
          <w:szCs w:val="22"/>
        </w:rPr>
        <w:t>Beauty</w:t>
      </w:r>
      <w:proofErr w:type="spellEnd"/>
      <w:r w:rsidRPr="005F6991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F6991">
        <w:rPr>
          <w:rFonts w:asciiTheme="minorHAnsi" w:hAnsiTheme="minorHAnsi" w:cstheme="minorHAnsi"/>
          <w:bCs/>
          <w:sz w:val="22"/>
          <w:szCs w:val="22"/>
        </w:rPr>
        <w:t>Care</w:t>
      </w:r>
      <w:proofErr w:type="spellEnd"/>
      <w:r w:rsidRPr="005F6991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e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Laundry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&amp; Home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Care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>. Para a Henkel</w:t>
      </w:r>
      <w:r w:rsidRPr="005F6991">
        <w:rPr>
          <w:rFonts w:asciiTheme="minorHAnsi" w:hAnsiTheme="minorHAnsi" w:cstheme="minorHAnsi"/>
          <w:bCs/>
          <w:sz w:val="22"/>
          <w:szCs w:val="22"/>
        </w:rPr>
        <w:t xml:space="preserve">, a participação digital nas vendas globais está se aproximando da </w:t>
      </w:r>
      <w:r>
        <w:rPr>
          <w:rFonts w:asciiTheme="minorHAnsi" w:hAnsiTheme="minorHAnsi" w:cstheme="minorHAnsi"/>
          <w:bCs/>
          <w:sz w:val="22"/>
          <w:szCs w:val="22"/>
        </w:rPr>
        <w:t xml:space="preserve">faixa </w:t>
      </w:r>
      <w:r w:rsidR="002B7778">
        <w:rPr>
          <w:rFonts w:asciiTheme="minorHAnsi" w:hAnsiTheme="minorHAnsi" w:cstheme="minorHAnsi"/>
          <w:bCs/>
          <w:sz w:val="22"/>
          <w:szCs w:val="22"/>
        </w:rPr>
        <w:t>de 15%</w:t>
      </w:r>
      <w:r w:rsidRPr="005F6991">
        <w:rPr>
          <w:rFonts w:asciiTheme="minorHAnsi" w:hAnsiTheme="minorHAnsi" w:cstheme="minorHAnsi"/>
          <w:bCs/>
          <w:sz w:val="22"/>
          <w:szCs w:val="22"/>
        </w:rPr>
        <w:t xml:space="preserve">. Com sua nova unidade "Negócios Digitais", a Henkel quer se tornar a líder de negócios digitais em seus setores e gerar valor tangível para seus clientes. Portanto, no final de junho, a Henkel introduziu um novo modelo operacional para suas atividades digitais e de TI e reuniu equipes de TI, especialistas em negócios digitais, proprietários de processos de negócios e </w:t>
      </w:r>
      <w:proofErr w:type="spellStart"/>
      <w:r w:rsidRPr="005F6991">
        <w:rPr>
          <w:rFonts w:asciiTheme="minorHAnsi" w:hAnsiTheme="minorHAnsi" w:cstheme="minorHAnsi"/>
          <w:bCs/>
          <w:sz w:val="22"/>
          <w:szCs w:val="22"/>
        </w:rPr>
        <w:t>HenkelX</w:t>
      </w:r>
      <w:proofErr w:type="spellEnd"/>
      <w:r w:rsidRPr="005F6991">
        <w:rPr>
          <w:rFonts w:asciiTheme="minorHAnsi" w:hAnsiTheme="minorHAnsi" w:cstheme="minorHAnsi"/>
          <w:bCs/>
          <w:sz w:val="22"/>
          <w:szCs w:val="22"/>
        </w:rPr>
        <w:t xml:space="preserve"> Ventures, liderados pelo CDIO (</w:t>
      </w:r>
      <w:r>
        <w:rPr>
          <w:rFonts w:asciiTheme="minorHAnsi" w:hAnsiTheme="minorHAnsi" w:cstheme="minorHAnsi"/>
          <w:bCs/>
          <w:sz w:val="22"/>
          <w:szCs w:val="22"/>
        </w:rPr>
        <w:t>Diretor de Informações Digitais</w:t>
      </w:r>
      <w:r w:rsidRPr="005F6991">
        <w:rPr>
          <w:rFonts w:asciiTheme="minorHAnsi" w:hAnsiTheme="minorHAnsi" w:cstheme="minorHAnsi"/>
          <w:bCs/>
          <w:sz w:val="22"/>
          <w:szCs w:val="22"/>
        </w:rPr>
        <w:t>) da Henkel.</w:t>
      </w:r>
    </w:p>
    <w:p w:rsidR="005F6991" w:rsidRPr="005F6991" w:rsidRDefault="005F6991" w:rsidP="005F699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F6991" w:rsidRDefault="00C46F83" w:rsidP="005F699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Os </w:t>
      </w:r>
      <w:r w:rsidRPr="00C46F83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="005F6991" w:rsidRPr="00C46F83">
        <w:rPr>
          <w:rFonts w:asciiTheme="minorHAnsi" w:hAnsiTheme="minorHAnsi" w:cstheme="minorHAnsi"/>
          <w:b/>
          <w:bCs/>
          <w:sz w:val="22"/>
          <w:szCs w:val="22"/>
        </w:rPr>
        <w:t>rocessos de negócios</w:t>
      </w:r>
      <w:r w:rsidR="005F6991" w:rsidRPr="005F6991">
        <w:rPr>
          <w:rFonts w:asciiTheme="minorHAnsi" w:hAnsiTheme="minorHAnsi" w:cstheme="minorHAnsi"/>
          <w:bCs/>
          <w:sz w:val="22"/>
          <w:szCs w:val="22"/>
        </w:rPr>
        <w:t xml:space="preserve"> enxutos, rápidos e prontos para o futuro são outro elemento importante da estrutura estratégica da Henkel. A </w:t>
      </w:r>
      <w:r w:rsidR="005F6991">
        <w:rPr>
          <w:rFonts w:asciiTheme="minorHAnsi" w:hAnsiTheme="minorHAnsi" w:cstheme="minorHAnsi"/>
          <w:bCs/>
          <w:sz w:val="22"/>
          <w:szCs w:val="22"/>
        </w:rPr>
        <w:t>companhia</w:t>
      </w:r>
      <w:r w:rsidR="005F6991" w:rsidRPr="005F6991">
        <w:rPr>
          <w:rFonts w:asciiTheme="minorHAnsi" w:hAnsiTheme="minorHAnsi" w:cstheme="minorHAnsi"/>
          <w:bCs/>
          <w:sz w:val="22"/>
          <w:szCs w:val="22"/>
        </w:rPr>
        <w:t xml:space="preserve"> revisa regularmente seus processos e estruturas de negócios, avaliando se eles são enxutos, rápidos e simples, e os adapta às mudanças nos desenvolvimentos e tendências d</w:t>
      </w:r>
      <w:r w:rsidR="005F6991">
        <w:rPr>
          <w:rFonts w:asciiTheme="minorHAnsi" w:hAnsiTheme="minorHAnsi" w:cstheme="minorHAnsi"/>
          <w:bCs/>
          <w:sz w:val="22"/>
          <w:szCs w:val="22"/>
        </w:rPr>
        <w:t>e</w:t>
      </w:r>
      <w:r w:rsidR="005F6991" w:rsidRPr="005F6991">
        <w:rPr>
          <w:rFonts w:asciiTheme="minorHAnsi" w:hAnsiTheme="minorHAnsi" w:cstheme="minorHAnsi"/>
          <w:bCs/>
          <w:sz w:val="22"/>
          <w:szCs w:val="22"/>
        </w:rPr>
        <w:t xml:space="preserve"> mercado. Além disso, novos modelos de negócios serão desenvolvidos com o objetivo de garantir a proximidade com clientes e consumidores. A Henkel implementou com sucesso novos modelos operacionais na </w:t>
      </w:r>
      <w:r w:rsidR="005F6991">
        <w:rPr>
          <w:rFonts w:asciiTheme="minorHAnsi" w:hAnsiTheme="minorHAnsi" w:cstheme="minorHAnsi"/>
          <w:bCs/>
          <w:sz w:val="22"/>
          <w:szCs w:val="22"/>
        </w:rPr>
        <w:t xml:space="preserve">unidade de negócios </w:t>
      </w:r>
      <w:proofErr w:type="spellStart"/>
      <w:r w:rsidR="005F6991" w:rsidRPr="005F6991">
        <w:rPr>
          <w:rFonts w:asciiTheme="minorHAnsi" w:hAnsiTheme="minorHAnsi" w:cstheme="minorHAnsi"/>
          <w:bCs/>
          <w:sz w:val="22"/>
          <w:szCs w:val="22"/>
        </w:rPr>
        <w:t>Adhesive</w:t>
      </w:r>
      <w:proofErr w:type="spellEnd"/>
      <w:r w:rsidR="005F6991" w:rsidRPr="005F699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F6991" w:rsidRPr="005F6991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Technologies e em sua </w:t>
      </w:r>
      <w:r w:rsidR="003B33E1">
        <w:rPr>
          <w:rFonts w:asciiTheme="minorHAnsi" w:hAnsiTheme="minorHAnsi" w:cstheme="minorHAnsi"/>
          <w:bCs/>
          <w:sz w:val="22"/>
          <w:szCs w:val="22"/>
        </w:rPr>
        <w:t xml:space="preserve">área </w:t>
      </w:r>
      <w:r w:rsidR="005F6991" w:rsidRPr="005F6991">
        <w:rPr>
          <w:rFonts w:asciiTheme="minorHAnsi" w:hAnsiTheme="minorHAnsi" w:cstheme="minorHAnsi"/>
          <w:bCs/>
          <w:sz w:val="22"/>
          <w:szCs w:val="22"/>
        </w:rPr>
        <w:t xml:space="preserve">de compras. </w:t>
      </w:r>
      <w:r w:rsidR="005F6991">
        <w:rPr>
          <w:rFonts w:asciiTheme="minorHAnsi" w:hAnsiTheme="minorHAnsi" w:cstheme="minorHAnsi"/>
          <w:bCs/>
          <w:sz w:val="22"/>
          <w:szCs w:val="22"/>
        </w:rPr>
        <w:t xml:space="preserve">Nas unidades de negócios </w:t>
      </w:r>
      <w:proofErr w:type="spellStart"/>
      <w:r w:rsidR="005F6991">
        <w:rPr>
          <w:rFonts w:asciiTheme="minorHAnsi" w:hAnsiTheme="minorHAnsi" w:cstheme="minorHAnsi"/>
          <w:bCs/>
          <w:sz w:val="22"/>
          <w:szCs w:val="22"/>
        </w:rPr>
        <w:t>Laundry</w:t>
      </w:r>
      <w:proofErr w:type="spellEnd"/>
      <w:r w:rsidR="005F6991">
        <w:rPr>
          <w:rFonts w:asciiTheme="minorHAnsi" w:hAnsiTheme="minorHAnsi" w:cstheme="minorHAnsi"/>
          <w:bCs/>
          <w:sz w:val="22"/>
          <w:szCs w:val="22"/>
        </w:rPr>
        <w:t xml:space="preserve"> &amp; Home </w:t>
      </w:r>
      <w:proofErr w:type="spellStart"/>
      <w:r w:rsidR="005F6991">
        <w:rPr>
          <w:rFonts w:asciiTheme="minorHAnsi" w:hAnsiTheme="minorHAnsi" w:cstheme="minorHAnsi"/>
          <w:bCs/>
          <w:sz w:val="22"/>
          <w:szCs w:val="22"/>
        </w:rPr>
        <w:t>Care</w:t>
      </w:r>
      <w:proofErr w:type="spellEnd"/>
      <w:r w:rsidR="005F6991">
        <w:rPr>
          <w:rFonts w:asciiTheme="minorHAnsi" w:hAnsiTheme="minorHAnsi" w:cstheme="minorHAnsi"/>
          <w:bCs/>
          <w:sz w:val="22"/>
          <w:szCs w:val="22"/>
        </w:rPr>
        <w:t xml:space="preserve"> e </w:t>
      </w:r>
      <w:proofErr w:type="spellStart"/>
      <w:r w:rsidR="005F6991">
        <w:rPr>
          <w:rFonts w:asciiTheme="minorHAnsi" w:hAnsiTheme="minorHAnsi" w:cstheme="minorHAnsi"/>
          <w:bCs/>
          <w:sz w:val="22"/>
          <w:szCs w:val="22"/>
        </w:rPr>
        <w:t>Beauty</w:t>
      </w:r>
      <w:proofErr w:type="spellEnd"/>
      <w:r w:rsidR="005F6991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5F6991">
        <w:rPr>
          <w:rFonts w:asciiTheme="minorHAnsi" w:hAnsiTheme="minorHAnsi" w:cstheme="minorHAnsi"/>
          <w:bCs/>
          <w:sz w:val="22"/>
          <w:szCs w:val="22"/>
        </w:rPr>
        <w:t>Care</w:t>
      </w:r>
      <w:proofErr w:type="spellEnd"/>
      <w:r w:rsidR="005F6991" w:rsidRPr="005F6991">
        <w:rPr>
          <w:rFonts w:asciiTheme="minorHAnsi" w:hAnsiTheme="minorHAnsi" w:cstheme="minorHAnsi"/>
          <w:bCs/>
          <w:sz w:val="22"/>
          <w:szCs w:val="22"/>
        </w:rPr>
        <w:t>, as mudanças organizacionais para aprimorar o foco regional e aumentar a proximidade de clientes e consumidores estão bem encaminhadas.</w:t>
      </w:r>
    </w:p>
    <w:p w:rsidR="00C46F83" w:rsidRDefault="00C46F83" w:rsidP="005F6991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C46F83" w:rsidRDefault="00C46F83" w:rsidP="00C46F8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46F83">
        <w:rPr>
          <w:rFonts w:asciiTheme="minorHAnsi" w:hAnsiTheme="minorHAnsi" w:cstheme="minorHAnsi"/>
          <w:bCs/>
          <w:sz w:val="22"/>
          <w:szCs w:val="22"/>
        </w:rPr>
        <w:t>O desenvolvimento da cultura corporativa da Henkel e a aceleração da transformação cultural são outros eleme</w:t>
      </w:r>
      <w:r>
        <w:rPr>
          <w:rFonts w:asciiTheme="minorHAnsi" w:hAnsiTheme="minorHAnsi" w:cstheme="minorHAnsi"/>
          <w:bCs/>
          <w:sz w:val="22"/>
          <w:szCs w:val="22"/>
        </w:rPr>
        <w:t>ntos-chave do caminho da companhia</w:t>
      </w:r>
      <w:r w:rsidRPr="00C46F83">
        <w:rPr>
          <w:rFonts w:asciiTheme="minorHAnsi" w:hAnsiTheme="minorHAnsi" w:cstheme="minorHAnsi"/>
          <w:bCs/>
          <w:sz w:val="22"/>
          <w:szCs w:val="22"/>
        </w:rPr>
        <w:t>. A aspiração é promover uma cultura colaborativa com pessoas capacitadas e com os compromissos de liderança da empresa no centro.</w:t>
      </w:r>
    </w:p>
    <w:p w:rsidR="00C46F83" w:rsidRDefault="00C46F83" w:rsidP="00C46F8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C46F83" w:rsidRDefault="00C46F83" w:rsidP="00C46F8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46F83">
        <w:rPr>
          <w:rFonts w:asciiTheme="minorHAnsi" w:hAnsiTheme="minorHAnsi" w:cstheme="minorHAnsi"/>
          <w:bCs/>
          <w:sz w:val="22"/>
          <w:szCs w:val="22"/>
        </w:rPr>
        <w:t xml:space="preserve">Para a Henkel, é essencial que os </w:t>
      </w:r>
      <w:r>
        <w:rPr>
          <w:rFonts w:asciiTheme="minorHAnsi" w:hAnsiTheme="minorHAnsi" w:cstheme="minorHAnsi"/>
          <w:bCs/>
          <w:sz w:val="22"/>
          <w:szCs w:val="22"/>
        </w:rPr>
        <w:t xml:space="preserve">colaboradores </w:t>
      </w:r>
      <w:r w:rsidRPr="00C46F83">
        <w:rPr>
          <w:rFonts w:asciiTheme="minorHAnsi" w:hAnsiTheme="minorHAnsi" w:cstheme="minorHAnsi"/>
          <w:bCs/>
          <w:sz w:val="22"/>
          <w:szCs w:val="22"/>
        </w:rPr>
        <w:t>desenvolvam continuamente suas habilidades profissionais e pessoais. Portanto, na primeira metade de 2020, a empresa lançou projetos de treinamento e aprimoramento especificamente projetados, por exemplo, nos campos de liderança, digitalização e i</w:t>
      </w:r>
      <w:r>
        <w:rPr>
          <w:rFonts w:asciiTheme="minorHAnsi" w:hAnsiTheme="minorHAnsi" w:cstheme="minorHAnsi"/>
          <w:bCs/>
          <w:sz w:val="22"/>
          <w:szCs w:val="22"/>
        </w:rPr>
        <w:t xml:space="preserve">novação. A atual crise do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coronavírus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C46F83">
        <w:rPr>
          <w:rFonts w:asciiTheme="minorHAnsi" w:hAnsiTheme="minorHAnsi" w:cstheme="minorHAnsi"/>
          <w:bCs/>
          <w:sz w:val="22"/>
          <w:szCs w:val="22"/>
        </w:rPr>
        <w:t xml:space="preserve">também comprovou a forte cultura corporativa da Henkel e a resiliência e dedicação de seus </w:t>
      </w:r>
      <w:r>
        <w:rPr>
          <w:rFonts w:asciiTheme="minorHAnsi" w:hAnsiTheme="minorHAnsi" w:cstheme="minorHAnsi"/>
          <w:bCs/>
          <w:sz w:val="22"/>
          <w:szCs w:val="22"/>
        </w:rPr>
        <w:t>colaboradores</w:t>
      </w:r>
      <w:r w:rsidRPr="00C46F83">
        <w:rPr>
          <w:rFonts w:asciiTheme="minorHAnsi" w:hAnsiTheme="minorHAnsi" w:cstheme="minorHAnsi"/>
          <w:bCs/>
          <w:sz w:val="22"/>
          <w:szCs w:val="22"/>
        </w:rPr>
        <w:t xml:space="preserve"> em todo o mundo.</w:t>
      </w:r>
    </w:p>
    <w:p w:rsidR="004F457F" w:rsidRDefault="004F457F" w:rsidP="00C46F8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F457F" w:rsidRPr="004F457F" w:rsidRDefault="004F457F" w:rsidP="004F457F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F457F">
        <w:rPr>
          <w:rFonts w:asciiTheme="minorHAnsi" w:hAnsiTheme="minorHAnsi" w:cstheme="minorHAnsi"/>
          <w:b/>
          <w:bCs/>
          <w:sz w:val="22"/>
          <w:szCs w:val="22"/>
        </w:rPr>
        <w:t>Me</w:t>
      </w:r>
      <w:r>
        <w:rPr>
          <w:rFonts w:asciiTheme="minorHAnsi" w:hAnsiTheme="minorHAnsi" w:cstheme="minorHAnsi"/>
          <w:b/>
          <w:bCs/>
          <w:sz w:val="22"/>
          <w:szCs w:val="22"/>
        </w:rPr>
        <w:t>didas contra a pandemia da Covid</w:t>
      </w:r>
      <w:r w:rsidRPr="004F457F">
        <w:rPr>
          <w:rFonts w:asciiTheme="minorHAnsi" w:hAnsiTheme="minorHAnsi" w:cstheme="minorHAnsi"/>
          <w:b/>
          <w:bCs/>
          <w:sz w:val="22"/>
          <w:szCs w:val="22"/>
        </w:rPr>
        <w:t>-19</w:t>
      </w:r>
    </w:p>
    <w:p w:rsidR="004F457F" w:rsidRDefault="004F457F" w:rsidP="004F457F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 pandemia da Covid</w:t>
      </w:r>
      <w:r w:rsidRPr="004F457F">
        <w:rPr>
          <w:rFonts w:asciiTheme="minorHAnsi" w:hAnsiTheme="minorHAnsi" w:cstheme="minorHAnsi"/>
          <w:bCs/>
          <w:sz w:val="22"/>
          <w:szCs w:val="22"/>
        </w:rPr>
        <w:t>-19 afetou todas as áreas da vida e impactou severamente a economia global. Nesta crise, a saú</w:t>
      </w:r>
      <w:r>
        <w:rPr>
          <w:rFonts w:asciiTheme="minorHAnsi" w:hAnsiTheme="minorHAnsi" w:cstheme="minorHAnsi"/>
          <w:bCs/>
          <w:sz w:val="22"/>
          <w:szCs w:val="22"/>
        </w:rPr>
        <w:t>de e a segurança dos colaboradore</w:t>
      </w:r>
      <w:r w:rsidRPr="004F457F">
        <w:rPr>
          <w:rFonts w:asciiTheme="minorHAnsi" w:hAnsiTheme="minorHAnsi" w:cstheme="minorHAnsi"/>
          <w:bCs/>
          <w:sz w:val="22"/>
          <w:szCs w:val="22"/>
        </w:rPr>
        <w:t>s, clientes e parceiros de negócios são da mais alta pri</w:t>
      </w:r>
      <w:r>
        <w:rPr>
          <w:rFonts w:asciiTheme="minorHAnsi" w:hAnsiTheme="minorHAnsi" w:cstheme="minorHAnsi"/>
          <w:bCs/>
          <w:sz w:val="22"/>
          <w:szCs w:val="22"/>
        </w:rPr>
        <w:t>oridade para a Henkel. A companhia</w:t>
      </w:r>
      <w:r w:rsidRPr="004F457F">
        <w:rPr>
          <w:rFonts w:asciiTheme="minorHAnsi" w:hAnsiTheme="minorHAnsi" w:cstheme="minorHAnsi"/>
          <w:bCs/>
          <w:sz w:val="22"/>
          <w:szCs w:val="22"/>
        </w:rPr>
        <w:t xml:space="preserve"> introduziu uma ampla gama de medidas de proteção em um estágio inicial. Ao mesmo tempo, a Henkel fez grandes esforços para continuar suas atividades comerciais e servir clientes e consumidores em todo o mundo. </w:t>
      </w:r>
      <w:r>
        <w:rPr>
          <w:rFonts w:asciiTheme="minorHAnsi" w:hAnsiTheme="minorHAnsi" w:cstheme="minorHAnsi"/>
          <w:bCs/>
          <w:sz w:val="22"/>
          <w:szCs w:val="22"/>
        </w:rPr>
        <w:t>Além disso, a Henkel lançou o Programa Global de S</w:t>
      </w:r>
      <w:r w:rsidRPr="004F457F">
        <w:rPr>
          <w:rFonts w:asciiTheme="minorHAnsi" w:hAnsiTheme="minorHAnsi" w:cstheme="minorHAnsi"/>
          <w:bCs/>
          <w:sz w:val="22"/>
          <w:szCs w:val="22"/>
        </w:rPr>
        <w:t>olidariedade, incluindo do</w:t>
      </w:r>
      <w:r w:rsidR="003B33E1">
        <w:rPr>
          <w:rFonts w:asciiTheme="minorHAnsi" w:hAnsiTheme="minorHAnsi" w:cstheme="minorHAnsi"/>
          <w:bCs/>
          <w:sz w:val="22"/>
          <w:szCs w:val="22"/>
        </w:rPr>
        <w:t xml:space="preserve">ações financeiras, como </w:t>
      </w:r>
      <w:r w:rsidRPr="004F457F">
        <w:rPr>
          <w:rFonts w:asciiTheme="minorHAnsi" w:hAnsiTheme="minorHAnsi" w:cstheme="minorHAnsi"/>
          <w:bCs/>
          <w:sz w:val="22"/>
          <w:szCs w:val="22"/>
        </w:rPr>
        <w:t>para</w:t>
      </w:r>
      <w:r>
        <w:rPr>
          <w:rFonts w:asciiTheme="minorHAnsi" w:hAnsiTheme="minorHAnsi" w:cstheme="minorHAnsi"/>
          <w:bCs/>
          <w:sz w:val="22"/>
          <w:szCs w:val="22"/>
        </w:rPr>
        <w:t xml:space="preserve"> o </w:t>
      </w:r>
      <w:r w:rsidRPr="004F457F">
        <w:rPr>
          <w:rFonts w:asciiTheme="minorHAnsi" w:hAnsiTheme="minorHAnsi" w:cstheme="minorHAnsi"/>
          <w:bCs/>
          <w:sz w:val="22"/>
          <w:szCs w:val="22"/>
        </w:rPr>
        <w:t>Fundo de</w:t>
      </w:r>
      <w:r>
        <w:rPr>
          <w:rFonts w:asciiTheme="minorHAnsi" w:hAnsiTheme="minorHAnsi" w:cstheme="minorHAnsi"/>
          <w:bCs/>
          <w:sz w:val="22"/>
          <w:szCs w:val="22"/>
        </w:rPr>
        <w:t xml:space="preserve"> Resposta Solidária Covid</w:t>
      </w:r>
      <w:r w:rsidRPr="004F457F">
        <w:rPr>
          <w:rFonts w:asciiTheme="minorHAnsi" w:hAnsiTheme="minorHAnsi" w:cstheme="minorHAnsi"/>
          <w:bCs/>
          <w:sz w:val="22"/>
          <w:szCs w:val="22"/>
        </w:rPr>
        <w:t xml:space="preserve">-19 da Organização Mundial da Saúde (OMS) e da </w:t>
      </w:r>
      <w:r w:rsidR="003B33E1">
        <w:rPr>
          <w:rFonts w:asciiTheme="minorHAnsi" w:hAnsiTheme="minorHAnsi" w:cstheme="minorHAnsi"/>
          <w:bCs/>
          <w:sz w:val="22"/>
          <w:szCs w:val="22"/>
        </w:rPr>
        <w:t>Organização</w:t>
      </w:r>
      <w:r w:rsidRPr="004F457F">
        <w:rPr>
          <w:rFonts w:asciiTheme="minorHAnsi" w:hAnsiTheme="minorHAnsi" w:cstheme="minorHAnsi"/>
          <w:bCs/>
          <w:sz w:val="22"/>
          <w:szCs w:val="22"/>
        </w:rPr>
        <w:t xml:space="preserve"> das Nações Unidas (ONU) e outras </w:t>
      </w:r>
      <w:r w:rsidR="003B33E1">
        <w:rPr>
          <w:rFonts w:asciiTheme="minorHAnsi" w:hAnsiTheme="minorHAnsi" w:cstheme="minorHAnsi"/>
          <w:bCs/>
          <w:sz w:val="22"/>
          <w:szCs w:val="22"/>
        </w:rPr>
        <w:t xml:space="preserve">instituições </w:t>
      </w:r>
      <w:r w:rsidRPr="004F457F">
        <w:rPr>
          <w:rFonts w:asciiTheme="minorHAnsi" w:hAnsiTheme="minorHAnsi" w:cstheme="minorHAnsi"/>
          <w:bCs/>
          <w:sz w:val="22"/>
          <w:szCs w:val="22"/>
        </w:rPr>
        <w:t>selecionadas em todo o mundo. Além disso, a Henkel doou mais de 5 milhões de produtos para higiene pessoal e doméstica e produziu desinfetantes em suas instalações. Globalmente, a Henkel produziu e doou mais de 111.000 litros de desinfetante para apoiar autoridades de saúde e hospitais. Até agora, a Henkel apoiou quase 500</w:t>
      </w:r>
      <w:r>
        <w:rPr>
          <w:rFonts w:asciiTheme="minorHAnsi" w:hAnsiTheme="minorHAnsi" w:cstheme="minorHAnsi"/>
          <w:bCs/>
          <w:sz w:val="22"/>
          <w:szCs w:val="22"/>
        </w:rPr>
        <w:t xml:space="preserve"> projetos relacionados à Covid</w:t>
      </w:r>
      <w:r w:rsidRPr="004F457F">
        <w:rPr>
          <w:rFonts w:asciiTheme="minorHAnsi" w:hAnsiTheme="minorHAnsi" w:cstheme="minorHAnsi"/>
          <w:bCs/>
          <w:sz w:val="22"/>
          <w:szCs w:val="22"/>
        </w:rPr>
        <w:t xml:space="preserve">-19 em mais de 40 países em todo o mundo, ajudando quase 5 milhões de pessoas necessitadas </w:t>
      </w:r>
      <w:r>
        <w:rPr>
          <w:rFonts w:asciiTheme="minorHAnsi" w:hAnsiTheme="minorHAnsi" w:cstheme="minorHAnsi"/>
          <w:bCs/>
          <w:sz w:val="22"/>
          <w:szCs w:val="22"/>
        </w:rPr>
        <w:t>pela pandemia</w:t>
      </w:r>
      <w:r w:rsidRPr="004F457F">
        <w:rPr>
          <w:rFonts w:asciiTheme="minorHAnsi" w:hAnsiTheme="minorHAnsi" w:cstheme="minorHAnsi"/>
          <w:bCs/>
          <w:sz w:val="22"/>
          <w:szCs w:val="22"/>
        </w:rPr>
        <w:t>.</w:t>
      </w:r>
    </w:p>
    <w:p w:rsidR="004F457F" w:rsidRDefault="004F457F" w:rsidP="004F457F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F457F" w:rsidRPr="004F457F" w:rsidRDefault="004F457F" w:rsidP="004F457F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F457F">
        <w:rPr>
          <w:rFonts w:asciiTheme="minorHAnsi" w:hAnsiTheme="minorHAnsi" w:cstheme="minorHAnsi"/>
          <w:bCs/>
          <w:sz w:val="22"/>
          <w:szCs w:val="22"/>
        </w:rPr>
        <w:t xml:space="preserve">“Precisamos nos adaptar constantemente à medida que a crise evolui. Vamos reagir com flexibilidade e rapidez às interrupções em nossos mercados. Moldar ativamente as mudanças e abrir novos caminhos ”, resumiu </w:t>
      </w:r>
      <w:proofErr w:type="spellStart"/>
      <w:r w:rsidRPr="004F457F">
        <w:rPr>
          <w:rFonts w:asciiTheme="minorHAnsi" w:hAnsiTheme="minorHAnsi" w:cstheme="minorHAnsi"/>
          <w:bCs/>
          <w:sz w:val="22"/>
          <w:szCs w:val="22"/>
        </w:rPr>
        <w:t>Carsten</w:t>
      </w:r>
      <w:proofErr w:type="spellEnd"/>
      <w:r w:rsidRPr="004F45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4F457F">
        <w:rPr>
          <w:rFonts w:asciiTheme="minorHAnsi" w:hAnsiTheme="minorHAnsi" w:cstheme="minorHAnsi"/>
          <w:bCs/>
          <w:sz w:val="22"/>
          <w:szCs w:val="22"/>
        </w:rPr>
        <w:t>Knobel</w:t>
      </w:r>
      <w:proofErr w:type="spellEnd"/>
      <w:r w:rsidRPr="004F457F">
        <w:rPr>
          <w:rFonts w:asciiTheme="minorHAnsi" w:hAnsiTheme="minorHAnsi" w:cstheme="minorHAnsi"/>
          <w:bCs/>
          <w:sz w:val="22"/>
          <w:szCs w:val="22"/>
        </w:rPr>
        <w:t>. “Estou convencido de que, com nossa equipe global dedicada, nossa nova estrutura estratégica f</w:t>
      </w:r>
      <w:r>
        <w:rPr>
          <w:rFonts w:asciiTheme="minorHAnsi" w:hAnsiTheme="minorHAnsi" w:cstheme="minorHAnsi"/>
          <w:bCs/>
          <w:sz w:val="22"/>
          <w:szCs w:val="22"/>
        </w:rPr>
        <w:t>ocada no crescimento</w:t>
      </w:r>
      <w:r w:rsidRPr="004F457F">
        <w:rPr>
          <w:rFonts w:asciiTheme="minorHAnsi" w:hAnsiTheme="minorHAnsi" w:cstheme="minorHAnsi"/>
          <w:bCs/>
          <w:sz w:val="22"/>
          <w:szCs w:val="22"/>
        </w:rPr>
        <w:t xml:space="preserve">, nosso forte balanço patrimonial e </w:t>
      </w:r>
      <w:r w:rsidRPr="004F457F">
        <w:rPr>
          <w:rFonts w:asciiTheme="minorHAnsi" w:hAnsiTheme="minorHAnsi" w:cstheme="minorHAnsi"/>
          <w:bCs/>
          <w:sz w:val="22"/>
          <w:szCs w:val="22"/>
        </w:rPr>
        <w:lastRenderedPageBreak/>
        <w:t>flexibilidade financeira, bem como nossa capacidade de gerar um fluxo de caixa forte, estamos bem posicionados para lidar com essa situação difícil e que nós emergiremos mais fortes da crise</w:t>
      </w:r>
      <w:r>
        <w:rPr>
          <w:rFonts w:asciiTheme="minorHAnsi" w:hAnsiTheme="minorHAnsi" w:cstheme="minorHAnsi"/>
          <w:bCs/>
          <w:sz w:val="22"/>
          <w:szCs w:val="22"/>
        </w:rPr>
        <w:t>”, finaliza.</w:t>
      </w:r>
    </w:p>
    <w:p w:rsidR="00531B61" w:rsidRPr="004F457F" w:rsidRDefault="00531B61" w:rsidP="005F7DE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55B55" w:rsidRPr="004F457F" w:rsidRDefault="00755B55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55B55" w:rsidRPr="004F457F" w:rsidRDefault="00755B55" w:rsidP="0089479B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4"/>
        </w:rPr>
      </w:pPr>
    </w:p>
    <w:p w:rsidR="00A84743" w:rsidRPr="00EF5909" w:rsidRDefault="00A84743" w:rsidP="00A8474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 w:rsidRPr="00EF5909">
        <w:rPr>
          <w:rFonts w:asciiTheme="minorHAnsi" w:hAnsiTheme="minorHAnsi" w:cstheme="minorHAnsi"/>
          <w:b/>
          <w:bCs/>
          <w:sz w:val="22"/>
          <w:szCs w:val="22"/>
          <w:lang w:val="pt-BR"/>
        </w:rPr>
        <w:t>Sobre a Henkel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A Henkel opera globalmente com um portfólio diversificado e bem balanceado. A companhia mantém posições de liderança com suas três unidades de negócio, tanto em mercados industriais como de consumo, graças a marcas fortes, inovações e tecnologias. Henkel Adhesive Technologies é líder global no mercado de adesivos – em todos os segmentos industriais no mundo todo. Em seus negócios de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Laundry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 &amp; Home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Care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Beauty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0710F">
        <w:rPr>
          <w:rFonts w:asciiTheme="minorHAnsi" w:hAnsiTheme="minorHAnsi" w:cstheme="minorHAnsi"/>
          <w:sz w:val="22"/>
          <w:szCs w:val="22"/>
        </w:rPr>
        <w:t>Care</w:t>
      </w:r>
      <w:proofErr w:type="spellEnd"/>
      <w:r w:rsidRPr="0030710F">
        <w:rPr>
          <w:rFonts w:asciiTheme="minorHAnsi" w:hAnsiTheme="minorHAnsi" w:cstheme="minorHAnsi"/>
          <w:sz w:val="22"/>
          <w:szCs w:val="22"/>
        </w:rPr>
        <w:t xml:space="preserve">, a Henkel mantém posições de liderança em muitos mercados e categorias ao redor do mundo. Fundada em 1876, a Henkel conta com mais de 140 anos de sucesso. A Henkel emprega mais de 53.000 pessoas globalmente – uma equipe apaixonada e altamente diversificada, unida por uma forte cultura organizacional, um propósito comum de criar valor sustentável e valores compartilhados. Como líder reconhecido em sustentabilidade, a Henkel mantém posições de liderança em muitos índices e rankings internacionais. As ações preferenciais da Henkel estão listadas no índice DAX da bolsa de valores alemã. Para mais informação, por favor visite </w:t>
      </w:r>
      <w:hyperlink r:id="rId10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www.henkel.com</w:t>
        </w:r>
      </w:hyperlink>
      <w:r w:rsidRPr="0030710F">
        <w:rPr>
          <w:rFonts w:asciiTheme="minorHAnsi" w:hAnsiTheme="minorHAnsi" w:cstheme="minorHAnsi"/>
          <w:sz w:val="22"/>
          <w:szCs w:val="22"/>
        </w:rPr>
        <w:t>.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84743" w:rsidRPr="00EF5909" w:rsidRDefault="00A84743" w:rsidP="00A847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pt-BR"/>
        </w:rPr>
      </w:pPr>
      <w:r w:rsidRPr="00EF5909">
        <w:rPr>
          <w:rFonts w:asciiTheme="minorHAnsi" w:hAnsiTheme="minorHAnsi" w:cstheme="minorHAnsi"/>
          <w:b/>
          <w:bCs/>
          <w:color w:val="000000"/>
          <w:sz w:val="22"/>
          <w:szCs w:val="22"/>
          <w:lang w:val="pt-BR"/>
        </w:rPr>
        <w:t>Sobre a Henkel Brasil</w:t>
      </w:r>
    </w:p>
    <w:p w:rsidR="00A84743" w:rsidRPr="00EF5909" w:rsidRDefault="00A84743" w:rsidP="00A847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pt-BR"/>
        </w:rPr>
      </w:pPr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A Henkel está no Brasil há 64 anos e atua nas áreas de Adesivos, Selantes e Tratamento de Superfícies e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Beauty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Care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, com principais marcas como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Cascola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,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Loctite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,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Pritt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e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Schwarzkopf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Professional.  A Henkel Brasil conta com mais de 950 profissionais distribuídos nas plantas de Itapevi e Jundiaí, além de um Centro de Distribuição em Jundiaí, um escritório central na Lapa e uma ASK </w:t>
      </w:r>
      <w:proofErr w:type="spellStart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>Academy</w:t>
      </w:r>
      <w:proofErr w:type="spellEnd"/>
      <w:r w:rsidRPr="00EF5909">
        <w:rPr>
          <w:rFonts w:asciiTheme="minorHAnsi" w:hAnsiTheme="minorHAnsi" w:cstheme="minorHAnsi"/>
          <w:color w:val="000000"/>
          <w:sz w:val="22"/>
          <w:szCs w:val="22"/>
          <w:lang w:val="pt-BR"/>
        </w:rPr>
        <w:t xml:space="preserve"> localizada na Avenida Paulista, em São Paulo. </w:t>
      </w:r>
    </w:p>
    <w:p w:rsidR="00A84743" w:rsidRPr="00EF5909" w:rsidRDefault="00A84743" w:rsidP="00A8474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  <w:lang w:val="pt-BR"/>
        </w:rPr>
      </w:pP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0710F">
        <w:rPr>
          <w:rFonts w:asciiTheme="minorHAnsi" w:hAnsiTheme="minorHAnsi" w:cstheme="minorHAnsi"/>
          <w:b/>
          <w:bCs/>
          <w:sz w:val="22"/>
          <w:szCs w:val="22"/>
        </w:rPr>
        <w:t>Contatos</w:t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0710F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            Contatos com a Imprensa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0710F">
        <w:rPr>
          <w:rFonts w:asciiTheme="minorHAnsi" w:hAnsiTheme="minorHAnsi" w:cstheme="minorHAnsi"/>
          <w:b/>
          <w:bCs/>
          <w:sz w:val="22"/>
          <w:szCs w:val="22"/>
        </w:rPr>
        <w:t>Comunicação Corporativa                                                CDN Comunicação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Fabio </w:t>
      </w:r>
      <w:r w:rsidRPr="0030710F">
        <w:rPr>
          <w:rFonts w:asciiTheme="minorHAnsi" w:hAnsiTheme="minorHAnsi" w:cstheme="minorHAnsi"/>
          <w:color w:val="000000"/>
          <w:sz w:val="22"/>
          <w:szCs w:val="22"/>
        </w:rPr>
        <w:t>Mincarelli Monfrin</w:t>
      </w:r>
      <w:r w:rsidRPr="0030710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Vanessa Cunha 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Telefone: 11 3905 2226                                                     11 3643-2906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E-mail:     </w:t>
      </w:r>
      <w:hyperlink r:id="rId11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fabio.mincarelli@henkel.com</w:t>
        </w:r>
      </w:hyperlink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</w:t>
      </w:r>
      <w:hyperlink r:id="rId12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vanessa.cunha@cdn.com</w:t>
        </w:r>
      </w:hyperlink>
      <w:r w:rsidRPr="0030710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</w:t>
      </w:r>
      <w:r w:rsidR="00303C2A" w:rsidRPr="0030710F">
        <w:rPr>
          <w:rFonts w:asciiTheme="minorHAnsi" w:hAnsiTheme="minorHAnsi" w:cstheme="minorHAnsi"/>
          <w:sz w:val="22"/>
          <w:szCs w:val="22"/>
        </w:rPr>
        <w:t>Débora Folego</w:t>
      </w:r>
    </w:p>
    <w:p w:rsidR="00A84743" w:rsidRPr="0030710F" w:rsidRDefault="00A84743" w:rsidP="00A84743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lastRenderedPageBreak/>
        <w:t>                                                                               11 3643-2</w:t>
      </w:r>
      <w:r w:rsidR="00303C2A" w:rsidRPr="0030710F">
        <w:rPr>
          <w:rFonts w:asciiTheme="minorHAnsi" w:hAnsiTheme="minorHAnsi" w:cstheme="minorHAnsi"/>
          <w:sz w:val="22"/>
          <w:szCs w:val="22"/>
        </w:rPr>
        <w:t>7</w:t>
      </w:r>
      <w:r w:rsidRPr="0030710F">
        <w:rPr>
          <w:rFonts w:asciiTheme="minorHAnsi" w:hAnsiTheme="minorHAnsi" w:cstheme="minorHAnsi"/>
          <w:sz w:val="22"/>
          <w:szCs w:val="22"/>
        </w:rPr>
        <w:t>4</w:t>
      </w:r>
      <w:r w:rsidR="00303C2A" w:rsidRPr="0030710F">
        <w:rPr>
          <w:rFonts w:asciiTheme="minorHAnsi" w:hAnsiTheme="minorHAnsi" w:cstheme="minorHAnsi"/>
          <w:sz w:val="22"/>
          <w:szCs w:val="22"/>
        </w:rPr>
        <w:t>8</w:t>
      </w:r>
    </w:p>
    <w:p w:rsidR="00A84743" w:rsidRPr="0030710F" w:rsidRDefault="00A84743" w:rsidP="00A84743">
      <w:pPr>
        <w:spacing w:line="360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 </w:t>
      </w:r>
      <w:hyperlink r:id="rId13" w:history="1">
        <w:r w:rsidR="004F7237"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debora.folego@cdn.com.br</w:t>
        </w:r>
      </w:hyperlink>
      <w:r w:rsidRPr="0030710F">
        <w:rPr>
          <w:rFonts w:asciiTheme="minorHAnsi" w:hAnsiTheme="minorHAnsi" w:cstheme="minorHAnsi"/>
          <w:sz w:val="22"/>
          <w:szCs w:val="22"/>
        </w:rPr>
        <w:t>       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                  Rubem Dario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                                                                       11 3643-2824</w:t>
      </w:r>
    </w:p>
    <w:p w:rsidR="00A84743" w:rsidRPr="0030710F" w:rsidRDefault="00A84743" w:rsidP="00A8474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10F">
        <w:rPr>
          <w:rFonts w:asciiTheme="minorHAnsi" w:hAnsiTheme="minorHAnsi" w:cstheme="minorHAnsi"/>
          <w:sz w:val="22"/>
          <w:szCs w:val="22"/>
        </w:rPr>
        <w:t xml:space="preserve">                                                                                                </w:t>
      </w:r>
      <w:hyperlink r:id="rId14" w:history="1">
        <w:r w:rsidRPr="0030710F">
          <w:rPr>
            <w:rStyle w:val="Hyperlink"/>
            <w:rFonts w:asciiTheme="minorHAnsi" w:hAnsiTheme="minorHAnsi" w:cstheme="minorHAnsi"/>
            <w:sz w:val="22"/>
            <w:szCs w:val="22"/>
          </w:rPr>
          <w:t>rubem.dario@cdn.com.br</w:t>
        </w:r>
      </w:hyperlink>
      <w:r w:rsidRPr="0030710F">
        <w:rPr>
          <w:rFonts w:asciiTheme="minorHAnsi" w:hAnsiTheme="minorHAnsi" w:cstheme="minorHAnsi"/>
          <w:sz w:val="22"/>
          <w:szCs w:val="22"/>
        </w:rPr>
        <w:t>                         </w:t>
      </w:r>
    </w:p>
    <w:p w:rsidR="00A84743" w:rsidRPr="0030710F" w:rsidRDefault="00A84743" w:rsidP="00A84743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sectPr w:rsidR="00A84743" w:rsidRPr="0030710F" w:rsidSect="00614D7D"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134" w:right="1418" w:bottom="2269" w:left="1418" w:header="1304" w:footer="1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2AB" w:rsidRDefault="00CD72AB">
      <w:r>
        <w:separator/>
      </w:r>
    </w:p>
  </w:endnote>
  <w:endnote w:type="continuationSeparator" w:id="0">
    <w:p w:rsidR="00CD72AB" w:rsidRDefault="00CD7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32E" w:rsidRPr="00C24C17" w:rsidRDefault="00A9632E" w:rsidP="00D260A2">
    <w:pPr>
      <w:pStyle w:val="Rodap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b w:val="0"/>
        <w:color w:val="auto"/>
      </w:rPr>
      <w:t xml:space="preserve">Henkel AG &amp; Co. </w:t>
    </w:r>
    <w:proofErr w:type="spellStart"/>
    <w:r>
      <w:rPr>
        <w:b w:val="0"/>
        <w:color w:val="auto"/>
      </w:rPr>
      <w:t>KGaA</w:t>
    </w:r>
    <w:proofErr w:type="spellEnd"/>
    <w:r>
      <w:rPr>
        <w:color w:val="auto"/>
      </w:rPr>
      <w:tab/>
    </w:r>
    <w:r>
      <w:rPr>
        <w:b w:val="0"/>
        <w:color w:val="auto"/>
      </w:rPr>
      <w:t xml:space="preserve">Página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726884">
      <w:rPr>
        <w:b w:val="0"/>
        <w:noProof/>
        <w:color w:val="auto"/>
      </w:rPr>
      <w:t>2</w:t>
    </w:r>
    <w:r w:rsidRPr="004F3A2A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</w:rPr>
      <w:instrText xml:space="preserve"> </w:instrText>
    </w:r>
    <w:r>
      <w:rPr>
        <w:b w:val="0"/>
        <w:color w:val="auto"/>
      </w:rPr>
      <w:instrText>NUMPAGES</w:instrText>
    </w:r>
    <w:r w:rsidRPr="00C24C17">
      <w:rPr>
        <w:b w:val="0"/>
        <w:color w:val="auto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726884">
      <w:rPr>
        <w:b w:val="0"/>
        <w:noProof/>
        <w:color w:val="auto"/>
      </w:rPr>
      <w:t>10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67F" w:rsidRDefault="009F7FC5" w:rsidP="00726884">
    <w:pPr>
      <w:pStyle w:val="Rodap"/>
      <w:rPr>
        <w:noProof/>
      </w:rPr>
    </w:pPr>
    <w:bookmarkStart w:id="1" w:name="_Hlk505758583"/>
    <w:r>
      <w:rPr>
        <w:noProof/>
        <w:lang w:eastAsia="pt-BR"/>
      </w:rPr>
      <w:drawing>
        <wp:inline distT="0" distB="0" distL="0" distR="0">
          <wp:extent cx="581025" cy="95250"/>
          <wp:effectExtent l="0" t="0" r="9525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rPr>
        <w:b w:val="0"/>
      </w:rPr>
      <w:t xml:space="preserve"> </w:t>
    </w:r>
    <w:r w:rsidR="00726884">
      <w:rPr>
        <w:b w:val="0"/>
      </w:rPr>
      <w:t xml:space="preserve"> </w:t>
    </w:r>
    <w:r>
      <w:rPr>
        <w:b w:val="0"/>
      </w:rPr>
      <w:t xml:space="preserve"> </w:t>
    </w:r>
    <w:r w:rsidR="00726884">
      <w:rPr>
        <w:noProof/>
        <w:lang w:eastAsia="pt-BR"/>
      </w:rPr>
      <w:drawing>
        <wp:inline distT="0" distB="0" distL="0" distR="0" wp14:anchorId="69531863" wp14:editId="33DB754B">
          <wp:extent cx="990600" cy="9525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6884">
      <w:rPr>
        <w:b w:val="0"/>
      </w:rPr>
      <w:t xml:space="preserve">   </w:t>
    </w:r>
    <w:r w:rsidR="00726884">
      <w:rPr>
        <w:noProof/>
        <w:lang w:eastAsia="pt-BR"/>
      </w:rPr>
      <w:drawing>
        <wp:inline distT="0" distB="0" distL="0" distR="0" wp14:anchorId="4B01971F" wp14:editId="170F5E4D">
          <wp:extent cx="838200" cy="104775"/>
          <wp:effectExtent l="0" t="0" r="0" b="9525"/>
          <wp:docPr id="3" name="Imagem 3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6884">
      <w:rPr>
        <w:b w:val="0"/>
      </w:rPr>
      <w:t xml:space="preserve">    </w:t>
    </w:r>
    <w:r w:rsidR="00726884">
      <w:rPr>
        <w:noProof/>
        <w:lang w:eastAsia="pt-BR"/>
      </w:rPr>
      <w:drawing>
        <wp:inline distT="0" distB="0" distL="0" distR="0" wp14:anchorId="7BFDD976" wp14:editId="548C7096">
          <wp:extent cx="619125" cy="285750"/>
          <wp:effectExtent l="0" t="0" r="9525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6884">
      <w:rPr>
        <w:b w:val="0"/>
      </w:rPr>
      <w:t xml:space="preserve">    </w:t>
    </w:r>
    <w:r w:rsidR="00726884">
      <w:rPr>
        <w:noProof/>
        <w:lang w:eastAsia="pt-BR"/>
      </w:rPr>
      <w:drawing>
        <wp:inline distT="0" distB="0" distL="0" distR="0" wp14:anchorId="0BB4D520" wp14:editId="3360F3A8">
          <wp:extent cx="361950" cy="28575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6884">
      <w:rPr>
        <w:b w:val="0"/>
      </w:rPr>
      <w:t xml:space="preserve">    </w:t>
    </w:r>
    <w:r w:rsidR="00726884">
      <w:rPr>
        <w:noProof/>
        <w:lang w:eastAsia="pt-BR"/>
      </w:rPr>
      <w:drawing>
        <wp:inline distT="0" distB="0" distL="0" distR="0" wp14:anchorId="5061B108" wp14:editId="4ED14D3B">
          <wp:extent cx="495300" cy="123825"/>
          <wp:effectExtent l="0" t="0" r="0" b="9525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6884">
      <w:rPr>
        <w:b w:val="0"/>
      </w:rPr>
      <w:t xml:space="preserve">    </w:t>
    </w:r>
    <w:r w:rsidR="00726884">
      <w:rPr>
        <w:noProof/>
        <w:lang w:eastAsia="pt-BR"/>
      </w:rPr>
      <w:drawing>
        <wp:inline distT="0" distB="0" distL="0" distR="0" wp14:anchorId="3405E278" wp14:editId="60CDEE02">
          <wp:extent cx="419100" cy="15240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6884">
      <w:rPr>
        <w:b w:val="0"/>
      </w:rPr>
      <w:t xml:space="preserve">    </w:t>
    </w:r>
    <w:r w:rsidR="00726884">
      <w:rPr>
        <w:noProof/>
        <w:lang w:eastAsia="pt-BR"/>
      </w:rPr>
      <w:drawing>
        <wp:inline distT="0" distB="0" distL="0" distR="0" wp14:anchorId="6B14ACEA" wp14:editId="133A7550">
          <wp:extent cx="257175" cy="257175"/>
          <wp:effectExtent l="0" t="0" r="9525" b="9525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6884">
      <w:rPr>
        <w:b w:val="0"/>
      </w:rPr>
      <w:t xml:space="preserve">    </w:t>
    </w:r>
    <w:r w:rsidR="00726884" w:rsidRPr="00C95C7B">
      <w:rPr>
        <w:rFonts w:ascii="Calibri" w:hAnsi="Calibri"/>
        <w:b w:val="0"/>
        <w:bCs/>
        <w:noProof/>
        <w:sz w:val="40"/>
        <w:szCs w:val="40"/>
        <w:lang w:eastAsia="pt-BR"/>
      </w:rPr>
      <w:drawing>
        <wp:inline distT="0" distB="0" distL="0" distR="0" wp14:anchorId="1A69F023" wp14:editId="6D2E324C">
          <wp:extent cx="333375" cy="152400"/>
          <wp:effectExtent l="0" t="0" r="9525" b="0"/>
          <wp:docPr id="9" name="Imagem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</w:rPr>
      <w:t xml:space="preserve"> </w:t>
    </w:r>
  </w:p>
  <w:p w:rsidR="00726884" w:rsidRDefault="00EF367F" w:rsidP="00EF367F">
    <w:pPr>
      <w:pStyle w:val="Rodap"/>
      <w:tabs>
        <w:tab w:val="clear" w:pos="8640"/>
        <w:tab w:val="right" w:pos="9071"/>
      </w:tabs>
      <w:spacing w:line="240" w:lineRule="auto"/>
      <w:jc w:val="distribute"/>
    </w:pPr>
    <w:r>
      <w:tab/>
    </w:r>
    <w:r>
      <w:tab/>
    </w:r>
  </w:p>
  <w:p w:rsidR="00EF367F" w:rsidRPr="00613A5A" w:rsidRDefault="00EF367F" w:rsidP="00726884">
    <w:pPr>
      <w:pStyle w:val="Rodap"/>
      <w:tabs>
        <w:tab w:val="clear" w:pos="8640"/>
        <w:tab w:val="right" w:pos="9071"/>
      </w:tabs>
      <w:spacing w:line="240" w:lineRule="auto"/>
      <w:jc w:val="right"/>
      <w:rPr>
        <w:b w:val="0"/>
      </w:rPr>
    </w:pPr>
    <w:r>
      <w:rPr>
        <w:b w:val="0"/>
        <w:color w:val="auto"/>
      </w:rPr>
      <w:t xml:space="preserve">Página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726884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 w:rsidR="00726884">
      <w:rPr>
        <w:b w:val="0"/>
        <w:noProof/>
        <w:color w:val="auto"/>
      </w:rPr>
      <w:t>10</w:t>
    </w:r>
    <w:r w:rsidRPr="00BF6E82">
      <w:rPr>
        <w:b w:val="0"/>
        <w:color w:val="auto"/>
      </w:rPr>
      <w:fldChar w:fldCharType="end"/>
    </w:r>
  </w:p>
  <w:p w:rsidR="00A9632E" w:rsidRPr="00EF367F" w:rsidRDefault="00A9632E" w:rsidP="00726884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2AB" w:rsidRDefault="00CD72AB">
      <w:r>
        <w:separator/>
      </w:r>
    </w:p>
  </w:footnote>
  <w:footnote w:type="continuationSeparator" w:id="0">
    <w:p w:rsidR="00CD72AB" w:rsidRDefault="00CD72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32E" w:rsidRDefault="009F7FC5" w:rsidP="00D260A2">
    <w:pPr>
      <w:pStyle w:val="Cabealho"/>
      <w:jc w:val="right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390250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Nw3&#10;L/S6AgAAsgoAAA4AAAAAAAAAAAAAAAAALgIAAGRycy9lMm9Eb2MueG1sUEsBAi0AFAAGAAgAAAAh&#10;AE0y47PhAAAACgEAAA8AAAAAAAAAAAAAAAAAFAUAAGRycy9kb3ducmV2LnhtbFBLBQYAAAAABAAE&#10;APMAAAAiBgAAAAA=&#10;">
              <v:line id="Line 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v:line id="Line 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ojs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9h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qI7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32E" w:rsidRDefault="00A9632E" w:rsidP="001C4BE1">
    <w:pPr>
      <w:pStyle w:val="Cabealh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A9632E" w:rsidRPr="001C4BE1" w:rsidRDefault="009F7FC5" w:rsidP="001C4BE1">
    <w:pPr>
      <w:pStyle w:val="Cabealho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4" name="Imagem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632E" w:rsidRPr="00BA03CC" w:rsidRDefault="00A9632E" w:rsidP="009A16EC">
    <w:pPr>
      <w:pStyle w:val="Cabealho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  <w:lang w:val="en-US"/>
      </w:rPr>
    </w:pPr>
  </w:p>
  <w:p w:rsidR="00A9632E" w:rsidRPr="00102445" w:rsidRDefault="00102445" w:rsidP="00102445">
    <w:pPr>
      <w:pStyle w:val="Cabealho"/>
      <w:tabs>
        <w:tab w:val="clear" w:pos="8640"/>
        <w:tab w:val="left" w:pos="2607"/>
        <w:tab w:val="left" w:pos="6555"/>
        <w:tab w:val="right" w:pos="9071"/>
      </w:tabs>
      <w:spacing w:line="100" w:lineRule="atLeast"/>
      <w:rPr>
        <w:rFonts w:cs="Arial"/>
        <w:b/>
        <w:bCs/>
        <w:color w:val="3E3C3C"/>
        <w:sz w:val="36"/>
        <w:szCs w:val="36"/>
      </w:rPr>
    </w:pPr>
    <w:r w:rsidRPr="00102445">
      <w:rPr>
        <w:rFonts w:ascii="Calibri" w:hAnsi="Calibri" w:cs="Calibri"/>
        <w:b/>
        <w:sz w:val="36"/>
        <w:szCs w:val="36"/>
      </w:rPr>
      <w:tab/>
    </w:r>
    <w:r w:rsidRPr="00102445">
      <w:rPr>
        <w:rFonts w:ascii="Calibri" w:hAnsi="Calibri" w:cs="Calibri"/>
        <w:b/>
        <w:sz w:val="36"/>
        <w:szCs w:val="36"/>
      </w:rPr>
      <w:tab/>
    </w:r>
    <w:r w:rsidRPr="00102445">
      <w:rPr>
        <w:rFonts w:ascii="Calibri" w:hAnsi="Calibri" w:cs="Calibri"/>
        <w:b/>
        <w:sz w:val="36"/>
        <w:szCs w:val="36"/>
      </w:rPr>
      <w:tab/>
    </w:r>
    <w:r w:rsidRPr="00102445">
      <w:rPr>
        <w:rFonts w:ascii="Calibri" w:hAnsi="Calibri" w:cs="Calibri"/>
        <w:b/>
        <w:sz w:val="36"/>
        <w:szCs w:val="36"/>
      </w:rPr>
      <w:tab/>
    </w:r>
    <w:r w:rsidR="009F7FC5" w:rsidRPr="00102445">
      <w:rPr>
        <w:rFonts w:ascii="Calibri" w:hAnsi="Calibri" w:cs="Calibri"/>
        <w:b/>
        <w:bCs/>
        <w:noProof/>
        <w:color w:val="3E3C3C"/>
        <w:sz w:val="36"/>
        <w:szCs w:val="36"/>
        <w:lang w:eastAsia="pt-BR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2C1DF08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">
              <v:line id="Line 2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3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4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A05A6F" w:rsidRPr="00102445">
      <w:rPr>
        <w:rFonts w:ascii="Calibri" w:hAnsi="Calibri" w:cs="Calibri"/>
        <w:b/>
        <w:sz w:val="36"/>
        <w:szCs w:val="36"/>
      </w:rPr>
      <w:t>Press release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614AC"/>
    <w:multiLevelType w:val="hybridMultilevel"/>
    <w:tmpl w:val="DBCE1744"/>
    <w:lvl w:ilvl="0" w:tplc="35FC6D76">
      <w:start w:val="1"/>
      <w:numFmt w:val="bullet"/>
      <w:pStyle w:val="He01FlietextAufzhlung1Ebene"/>
      <w:lvlText w:val=""/>
      <w:lvlJc w:val="left"/>
      <w:pPr>
        <w:ind w:left="360" w:hanging="360"/>
      </w:pPr>
      <w:rPr>
        <w:rFonts w:ascii="Wingdings" w:hAnsi="Wingdings" w:hint="default"/>
        <w:color w:val="D7000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5700E"/>
    <w:multiLevelType w:val="hybridMultilevel"/>
    <w:tmpl w:val="26DC0C76"/>
    <w:lvl w:ilvl="0" w:tplc="04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70FC8"/>
    <w:multiLevelType w:val="hybridMultilevel"/>
    <w:tmpl w:val="18667FDA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7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171BE2"/>
    <w:multiLevelType w:val="hybridMultilevel"/>
    <w:tmpl w:val="D0304C58"/>
    <w:lvl w:ilvl="0" w:tplc="04070005">
      <w:start w:val="1"/>
      <w:numFmt w:val="bullet"/>
      <w:lvlText w:val=""/>
      <w:lvlJc w:val="left"/>
      <w:pPr>
        <w:tabs>
          <w:tab w:val="num" w:pos="1572"/>
        </w:tabs>
        <w:ind w:left="157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5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0646A"/>
    <w:multiLevelType w:val="multilevel"/>
    <w:tmpl w:val="8B968898"/>
    <w:lvl w:ilvl="0">
      <w:start w:val="1"/>
      <w:numFmt w:val="none"/>
      <w:pStyle w:val="THe01berschrift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He02liFunotenummeriert"/>
      <w:lvlText w:val="%2"/>
      <w:lvlJc w:val="left"/>
      <w:pPr>
        <w:ind w:left="85" w:hanging="85"/>
      </w:pPr>
      <w:rPr>
        <w:rFonts w:hint="default"/>
        <w:vertAlign w:val="superscrip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4"/>
  </w:num>
  <w:num w:numId="4">
    <w:abstractNumId w:val="17"/>
  </w:num>
  <w:num w:numId="5">
    <w:abstractNumId w:val="9"/>
  </w:num>
  <w:num w:numId="6">
    <w:abstractNumId w:val="15"/>
  </w:num>
  <w:num w:numId="7">
    <w:abstractNumId w:val="20"/>
  </w:num>
  <w:num w:numId="8">
    <w:abstractNumId w:val="18"/>
  </w:num>
  <w:num w:numId="9">
    <w:abstractNumId w:val="12"/>
  </w:num>
  <w:num w:numId="10">
    <w:abstractNumId w:val="22"/>
  </w:num>
  <w:num w:numId="11">
    <w:abstractNumId w:val="6"/>
  </w:num>
  <w:num w:numId="12">
    <w:abstractNumId w:val="19"/>
  </w:num>
  <w:num w:numId="13">
    <w:abstractNumId w:val="2"/>
  </w:num>
  <w:num w:numId="14">
    <w:abstractNumId w:val="3"/>
  </w:num>
  <w:num w:numId="15">
    <w:abstractNumId w:val="10"/>
  </w:num>
  <w:num w:numId="16">
    <w:abstractNumId w:val="13"/>
  </w:num>
  <w:num w:numId="17">
    <w:abstractNumId w:val="21"/>
  </w:num>
  <w:num w:numId="18">
    <w:abstractNumId w:val="8"/>
  </w:num>
  <w:num w:numId="19">
    <w:abstractNumId w:val="7"/>
  </w:num>
  <w:num w:numId="20">
    <w:abstractNumId w:val="16"/>
  </w:num>
  <w:num w:numId="21">
    <w:abstractNumId w:val="11"/>
  </w:num>
  <w:num w:numId="22">
    <w:abstractNumId w:val="4"/>
  </w:num>
  <w:num w:numId="23">
    <w:abstractNumId w:val="14"/>
  </w:num>
  <w:num w:numId="24">
    <w:abstractNumId w:val="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D260A2"/>
    <w:rsid w:val="00001FCE"/>
    <w:rsid w:val="00005267"/>
    <w:rsid w:val="000055E9"/>
    <w:rsid w:val="00005DF7"/>
    <w:rsid w:val="0000655F"/>
    <w:rsid w:val="0001001B"/>
    <w:rsid w:val="0001006D"/>
    <w:rsid w:val="000116FC"/>
    <w:rsid w:val="0001304C"/>
    <w:rsid w:val="00013128"/>
    <w:rsid w:val="00013468"/>
    <w:rsid w:val="0001367B"/>
    <w:rsid w:val="00013BD9"/>
    <w:rsid w:val="00013BE6"/>
    <w:rsid w:val="000177F7"/>
    <w:rsid w:val="00017879"/>
    <w:rsid w:val="00022BA3"/>
    <w:rsid w:val="00022F62"/>
    <w:rsid w:val="000240CF"/>
    <w:rsid w:val="00024AF7"/>
    <w:rsid w:val="00024E67"/>
    <w:rsid w:val="00025334"/>
    <w:rsid w:val="0002561B"/>
    <w:rsid w:val="00025C09"/>
    <w:rsid w:val="00026362"/>
    <w:rsid w:val="0002667D"/>
    <w:rsid w:val="000306EF"/>
    <w:rsid w:val="00031DBB"/>
    <w:rsid w:val="0003253E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46B0"/>
    <w:rsid w:val="000455F2"/>
    <w:rsid w:val="00045D4B"/>
    <w:rsid w:val="00046942"/>
    <w:rsid w:val="000476DA"/>
    <w:rsid w:val="000518F2"/>
    <w:rsid w:val="00051A95"/>
    <w:rsid w:val="00053172"/>
    <w:rsid w:val="00055D83"/>
    <w:rsid w:val="000560C4"/>
    <w:rsid w:val="000565EA"/>
    <w:rsid w:val="00056CD8"/>
    <w:rsid w:val="000576CE"/>
    <w:rsid w:val="000618FC"/>
    <w:rsid w:val="00061A6B"/>
    <w:rsid w:val="000635E6"/>
    <w:rsid w:val="00064035"/>
    <w:rsid w:val="00064F62"/>
    <w:rsid w:val="00065EAB"/>
    <w:rsid w:val="0006646F"/>
    <w:rsid w:val="000665E8"/>
    <w:rsid w:val="00066B0B"/>
    <w:rsid w:val="00071AE8"/>
    <w:rsid w:val="00072CAB"/>
    <w:rsid w:val="00072EEA"/>
    <w:rsid w:val="00072FF4"/>
    <w:rsid w:val="00073030"/>
    <w:rsid w:val="00075106"/>
    <w:rsid w:val="0007574C"/>
    <w:rsid w:val="00075CCC"/>
    <w:rsid w:val="00076898"/>
    <w:rsid w:val="00077CA3"/>
    <w:rsid w:val="00077EA9"/>
    <w:rsid w:val="000805C1"/>
    <w:rsid w:val="00080D10"/>
    <w:rsid w:val="000823D7"/>
    <w:rsid w:val="00082612"/>
    <w:rsid w:val="00082E55"/>
    <w:rsid w:val="00083AA9"/>
    <w:rsid w:val="00084DD7"/>
    <w:rsid w:val="00086616"/>
    <w:rsid w:val="000875E1"/>
    <w:rsid w:val="000900E1"/>
    <w:rsid w:val="000912CC"/>
    <w:rsid w:val="000918CE"/>
    <w:rsid w:val="000928A8"/>
    <w:rsid w:val="000929E4"/>
    <w:rsid w:val="000946C8"/>
    <w:rsid w:val="0009485B"/>
    <w:rsid w:val="00095EE2"/>
    <w:rsid w:val="000A0BF9"/>
    <w:rsid w:val="000A113D"/>
    <w:rsid w:val="000A19B4"/>
    <w:rsid w:val="000A5BC6"/>
    <w:rsid w:val="000B048A"/>
    <w:rsid w:val="000B1496"/>
    <w:rsid w:val="000B28BD"/>
    <w:rsid w:val="000B6C11"/>
    <w:rsid w:val="000B7110"/>
    <w:rsid w:val="000B7630"/>
    <w:rsid w:val="000C1965"/>
    <w:rsid w:val="000C2ED4"/>
    <w:rsid w:val="000C3BA6"/>
    <w:rsid w:val="000C561A"/>
    <w:rsid w:val="000C56DD"/>
    <w:rsid w:val="000C5C58"/>
    <w:rsid w:val="000D01B5"/>
    <w:rsid w:val="000D15CC"/>
    <w:rsid w:val="000D2935"/>
    <w:rsid w:val="000D29D5"/>
    <w:rsid w:val="000D2EC9"/>
    <w:rsid w:val="000D2FED"/>
    <w:rsid w:val="000D3CD8"/>
    <w:rsid w:val="000D68FE"/>
    <w:rsid w:val="000D740C"/>
    <w:rsid w:val="000D752F"/>
    <w:rsid w:val="000E17F4"/>
    <w:rsid w:val="000E29E0"/>
    <w:rsid w:val="000E3144"/>
    <w:rsid w:val="000E359D"/>
    <w:rsid w:val="000E4638"/>
    <w:rsid w:val="000F03BE"/>
    <w:rsid w:val="000F225B"/>
    <w:rsid w:val="000F2959"/>
    <w:rsid w:val="000F5C97"/>
    <w:rsid w:val="000F67B6"/>
    <w:rsid w:val="000F7044"/>
    <w:rsid w:val="000F7848"/>
    <w:rsid w:val="00100C85"/>
    <w:rsid w:val="00100FCA"/>
    <w:rsid w:val="001011B9"/>
    <w:rsid w:val="00102445"/>
    <w:rsid w:val="00102BD4"/>
    <w:rsid w:val="00103780"/>
    <w:rsid w:val="00104EF7"/>
    <w:rsid w:val="00104F5D"/>
    <w:rsid w:val="00105FCD"/>
    <w:rsid w:val="001060C4"/>
    <w:rsid w:val="00106247"/>
    <w:rsid w:val="00106C81"/>
    <w:rsid w:val="00107992"/>
    <w:rsid w:val="0011090E"/>
    <w:rsid w:val="00111651"/>
    <w:rsid w:val="00111F4D"/>
    <w:rsid w:val="00111F7D"/>
    <w:rsid w:val="001126A7"/>
    <w:rsid w:val="00112B48"/>
    <w:rsid w:val="00112CD1"/>
    <w:rsid w:val="001131C4"/>
    <w:rsid w:val="00114467"/>
    <w:rsid w:val="001162B4"/>
    <w:rsid w:val="001169DD"/>
    <w:rsid w:val="0012009B"/>
    <w:rsid w:val="00122CBC"/>
    <w:rsid w:val="0012765B"/>
    <w:rsid w:val="001311B4"/>
    <w:rsid w:val="00131DDD"/>
    <w:rsid w:val="00131E68"/>
    <w:rsid w:val="00131F7C"/>
    <w:rsid w:val="00132DA9"/>
    <w:rsid w:val="0013305B"/>
    <w:rsid w:val="0013567B"/>
    <w:rsid w:val="00135817"/>
    <w:rsid w:val="00135A56"/>
    <w:rsid w:val="001405FD"/>
    <w:rsid w:val="00140B1F"/>
    <w:rsid w:val="00140BDD"/>
    <w:rsid w:val="0014156A"/>
    <w:rsid w:val="00143639"/>
    <w:rsid w:val="00143A79"/>
    <w:rsid w:val="001443BD"/>
    <w:rsid w:val="00144803"/>
    <w:rsid w:val="00144B12"/>
    <w:rsid w:val="00145A31"/>
    <w:rsid w:val="00145DD0"/>
    <w:rsid w:val="00146465"/>
    <w:rsid w:val="00146479"/>
    <w:rsid w:val="00146870"/>
    <w:rsid w:val="001470BF"/>
    <w:rsid w:val="0015031C"/>
    <w:rsid w:val="00152FB2"/>
    <w:rsid w:val="00153B55"/>
    <w:rsid w:val="001559F1"/>
    <w:rsid w:val="00155A5F"/>
    <w:rsid w:val="00156233"/>
    <w:rsid w:val="00156B44"/>
    <w:rsid w:val="00160034"/>
    <w:rsid w:val="0016003F"/>
    <w:rsid w:val="0016108F"/>
    <w:rsid w:val="0016199A"/>
    <w:rsid w:val="00161C50"/>
    <w:rsid w:val="00162753"/>
    <w:rsid w:val="0016310E"/>
    <w:rsid w:val="00163484"/>
    <w:rsid w:val="001637B0"/>
    <w:rsid w:val="00163FEA"/>
    <w:rsid w:val="00165E13"/>
    <w:rsid w:val="00166BB3"/>
    <w:rsid w:val="00167193"/>
    <w:rsid w:val="00167C2C"/>
    <w:rsid w:val="0017032C"/>
    <w:rsid w:val="00170DE8"/>
    <w:rsid w:val="001711EB"/>
    <w:rsid w:val="00171321"/>
    <w:rsid w:val="00171461"/>
    <w:rsid w:val="001715B5"/>
    <w:rsid w:val="00171776"/>
    <w:rsid w:val="00173888"/>
    <w:rsid w:val="00173CB4"/>
    <w:rsid w:val="00175FDF"/>
    <w:rsid w:val="00176DA3"/>
    <w:rsid w:val="00177F28"/>
    <w:rsid w:val="001805C0"/>
    <w:rsid w:val="00180CE5"/>
    <w:rsid w:val="001816EC"/>
    <w:rsid w:val="0018334B"/>
    <w:rsid w:val="00183CA5"/>
    <w:rsid w:val="001840DB"/>
    <w:rsid w:val="00184BE1"/>
    <w:rsid w:val="001852BC"/>
    <w:rsid w:val="001855AD"/>
    <w:rsid w:val="001856B3"/>
    <w:rsid w:val="001869EC"/>
    <w:rsid w:val="00187228"/>
    <w:rsid w:val="00193116"/>
    <w:rsid w:val="001942EE"/>
    <w:rsid w:val="00196224"/>
    <w:rsid w:val="00196261"/>
    <w:rsid w:val="00197DA8"/>
    <w:rsid w:val="001A3180"/>
    <w:rsid w:val="001A4466"/>
    <w:rsid w:val="001A53CF"/>
    <w:rsid w:val="001A5A73"/>
    <w:rsid w:val="001A7DF3"/>
    <w:rsid w:val="001A7F55"/>
    <w:rsid w:val="001B0F8B"/>
    <w:rsid w:val="001B1080"/>
    <w:rsid w:val="001B1C29"/>
    <w:rsid w:val="001B1DE6"/>
    <w:rsid w:val="001B1F88"/>
    <w:rsid w:val="001B3396"/>
    <w:rsid w:val="001B33A3"/>
    <w:rsid w:val="001B3857"/>
    <w:rsid w:val="001B39BB"/>
    <w:rsid w:val="001B5F00"/>
    <w:rsid w:val="001B66F9"/>
    <w:rsid w:val="001C031C"/>
    <w:rsid w:val="001C1A50"/>
    <w:rsid w:val="001C381E"/>
    <w:rsid w:val="001C4BE1"/>
    <w:rsid w:val="001C6D8A"/>
    <w:rsid w:val="001D0B69"/>
    <w:rsid w:val="001D0D60"/>
    <w:rsid w:val="001D0E52"/>
    <w:rsid w:val="001D10FE"/>
    <w:rsid w:val="001D2ACF"/>
    <w:rsid w:val="001D4626"/>
    <w:rsid w:val="001D6D8B"/>
    <w:rsid w:val="001D6FDB"/>
    <w:rsid w:val="001D7086"/>
    <w:rsid w:val="001E07B8"/>
    <w:rsid w:val="001E0D22"/>
    <w:rsid w:val="001E1794"/>
    <w:rsid w:val="001E28E6"/>
    <w:rsid w:val="001E2957"/>
    <w:rsid w:val="001E3A05"/>
    <w:rsid w:val="001E3FB7"/>
    <w:rsid w:val="001E4333"/>
    <w:rsid w:val="001E67E2"/>
    <w:rsid w:val="001E6D05"/>
    <w:rsid w:val="001E7C28"/>
    <w:rsid w:val="001F1D09"/>
    <w:rsid w:val="001F2A7E"/>
    <w:rsid w:val="001F30BA"/>
    <w:rsid w:val="001F3BC1"/>
    <w:rsid w:val="001F3CCF"/>
    <w:rsid w:val="001F44BE"/>
    <w:rsid w:val="001F504A"/>
    <w:rsid w:val="001F5DA8"/>
    <w:rsid w:val="001F669B"/>
    <w:rsid w:val="001F680F"/>
    <w:rsid w:val="001F7110"/>
    <w:rsid w:val="001F7E96"/>
    <w:rsid w:val="00200364"/>
    <w:rsid w:val="00200D43"/>
    <w:rsid w:val="002018AB"/>
    <w:rsid w:val="00201EFC"/>
    <w:rsid w:val="00202388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10D69"/>
    <w:rsid w:val="00211110"/>
    <w:rsid w:val="00211402"/>
    <w:rsid w:val="00211A54"/>
    <w:rsid w:val="0021377F"/>
    <w:rsid w:val="002146B8"/>
    <w:rsid w:val="002149ED"/>
    <w:rsid w:val="00214CAC"/>
    <w:rsid w:val="00215CCC"/>
    <w:rsid w:val="00220628"/>
    <w:rsid w:val="002209F8"/>
    <w:rsid w:val="00221627"/>
    <w:rsid w:val="002230EC"/>
    <w:rsid w:val="00226B43"/>
    <w:rsid w:val="0022760C"/>
    <w:rsid w:val="00232EFC"/>
    <w:rsid w:val="00233461"/>
    <w:rsid w:val="00233D83"/>
    <w:rsid w:val="00235128"/>
    <w:rsid w:val="00237F62"/>
    <w:rsid w:val="00241B36"/>
    <w:rsid w:val="00241FCE"/>
    <w:rsid w:val="002439F0"/>
    <w:rsid w:val="002440DA"/>
    <w:rsid w:val="0024586A"/>
    <w:rsid w:val="00245A6F"/>
    <w:rsid w:val="002463C0"/>
    <w:rsid w:val="002465C0"/>
    <w:rsid w:val="002465D8"/>
    <w:rsid w:val="0025023A"/>
    <w:rsid w:val="00250B04"/>
    <w:rsid w:val="00250D8F"/>
    <w:rsid w:val="002510C6"/>
    <w:rsid w:val="00251AE6"/>
    <w:rsid w:val="00252BBD"/>
    <w:rsid w:val="002535E5"/>
    <w:rsid w:val="00253B8E"/>
    <w:rsid w:val="00254416"/>
    <w:rsid w:val="00255298"/>
    <w:rsid w:val="00261075"/>
    <w:rsid w:val="00262598"/>
    <w:rsid w:val="00262ECD"/>
    <w:rsid w:val="00267591"/>
    <w:rsid w:val="00270335"/>
    <w:rsid w:val="0027268B"/>
    <w:rsid w:val="00274F3C"/>
    <w:rsid w:val="002754EE"/>
    <w:rsid w:val="00277687"/>
    <w:rsid w:val="00277E6D"/>
    <w:rsid w:val="00280C51"/>
    <w:rsid w:val="00280F10"/>
    <w:rsid w:val="002826A0"/>
    <w:rsid w:val="00285242"/>
    <w:rsid w:val="00285B02"/>
    <w:rsid w:val="00286EC4"/>
    <w:rsid w:val="0029051D"/>
    <w:rsid w:val="0029084E"/>
    <w:rsid w:val="0029173E"/>
    <w:rsid w:val="0029239C"/>
    <w:rsid w:val="00292E42"/>
    <w:rsid w:val="00294390"/>
    <w:rsid w:val="00294C40"/>
    <w:rsid w:val="00295130"/>
    <w:rsid w:val="00295E1D"/>
    <w:rsid w:val="00297CA9"/>
    <w:rsid w:val="002A080C"/>
    <w:rsid w:val="002A0882"/>
    <w:rsid w:val="002A0DEC"/>
    <w:rsid w:val="002A0DF7"/>
    <w:rsid w:val="002A1FDE"/>
    <w:rsid w:val="002A2ED1"/>
    <w:rsid w:val="002A3492"/>
    <w:rsid w:val="002A4194"/>
    <w:rsid w:val="002A5185"/>
    <w:rsid w:val="002A5256"/>
    <w:rsid w:val="002A5CB1"/>
    <w:rsid w:val="002A60E0"/>
    <w:rsid w:val="002A67E3"/>
    <w:rsid w:val="002A7641"/>
    <w:rsid w:val="002A7EC5"/>
    <w:rsid w:val="002B0308"/>
    <w:rsid w:val="002B1380"/>
    <w:rsid w:val="002B407E"/>
    <w:rsid w:val="002B472B"/>
    <w:rsid w:val="002B4E1E"/>
    <w:rsid w:val="002B5A6F"/>
    <w:rsid w:val="002B7778"/>
    <w:rsid w:val="002B786C"/>
    <w:rsid w:val="002C0802"/>
    <w:rsid w:val="002C10A0"/>
    <w:rsid w:val="002C1DDF"/>
    <w:rsid w:val="002C29C4"/>
    <w:rsid w:val="002C3375"/>
    <w:rsid w:val="002C4F96"/>
    <w:rsid w:val="002C58A3"/>
    <w:rsid w:val="002C6567"/>
    <w:rsid w:val="002C74BC"/>
    <w:rsid w:val="002C7794"/>
    <w:rsid w:val="002D0F08"/>
    <w:rsid w:val="002D172B"/>
    <w:rsid w:val="002D2195"/>
    <w:rsid w:val="002D38F6"/>
    <w:rsid w:val="002D3C8C"/>
    <w:rsid w:val="002D5805"/>
    <w:rsid w:val="002D669F"/>
    <w:rsid w:val="002D6721"/>
    <w:rsid w:val="002D6CC4"/>
    <w:rsid w:val="002E0B17"/>
    <w:rsid w:val="002E0CE5"/>
    <w:rsid w:val="002E1104"/>
    <w:rsid w:val="002E2293"/>
    <w:rsid w:val="002E2418"/>
    <w:rsid w:val="002E329E"/>
    <w:rsid w:val="002E38D6"/>
    <w:rsid w:val="002E3BA7"/>
    <w:rsid w:val="002E48A8"/>
    <w:rsid w:val="002E5C73"/>
    <w:rsid w:val="002E7DED"/>
    <w:rsid w:val="002F08F0"/>
    <w:rsid w:val="002F32B0"/>
    <w:rsid w:val="002F662C"/>
    <w:rsid w:val="002F6B65"/>
    <w:rsid w:val="002F6BE2"/>
    <w:rsid w:val="002F7262"/>
    <w:rsid w:val="002F739D"/>
    <w:rsid w:val="002F7B73"/>
    <w:rsid w:val="002F7E11"/>
    <w:rsid w:val="00300C4D"/>
    <w:rsid w:val="00301730"/>
    <w:rsid w:val="003023F6"/>
    <w:rsid w:val="00303BA6"/>
    <w:rsid w:val="00303C2A"/>
    <w:rsid w:val="00303D99"/>
    <w:rsid w:val="00304FF9"/>
    <w:rsid w:val="00306389"/>
    <w:rsid w:val="0030710F"/>
    <w:rsid w:val="00307A05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4AB5"/>
    <w:rsid w:val="00324C14"/>
    <w:rsid w:val="00326F95"/>
    <w:rsid w:val="00330505"/>
    <w:rsid w:val="003311D5"/>
    <w:rsid w:val="003318C7"/>
    <w:rsid w:val="0033224D"/>
    <w:rsid w:val="00333461"/>
    <w:rsid w:val="003343DF"/>
    <w:rsid w:val="0033482C"/>
    <w:rsid w:val="0033518D"/>
    <w:rsid w:val="00335835"/>
    <w:rsid w:val="00336B56"/>
    <w:rsid w:val="00340AE6"/>
    <w:rsid w:val="00340DDF"/>
    <w:rsid w:val="00342B3D"/>
    <w:rsid w:val="003443DE"/>
    <w:rsid w:val="00344ED2"/>
    <w:rsid w:val="00345B86"/>
    <w:rsid w:val="00346B53"/>
    <w:rsid w:val="00346B5A"/>
    <w:rsid w:val="00347D04"/>
    <w:rsid w:val="00347D60"/>
    <w:rsid w:val="00350123"/>
    <w:rsid w:val="00350EA1"/>
    <w:rsid w:val="00353123"/>
    <w:rsid w:val="0035316E"/>
    <w:rsid w:val="003533EF"/>
    <w:rsid w:val="00353E02"/>
    <w:rsid w:val="0035545C"/>
    <w:rsid w:val="00355787"/>
    <w:rsid w:val="0035594D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F14"/>
    <w:rsid w:val="00370616"/>
    <w:rsid w:val="00370AC7"/>
    <w:rsid w:val="003715D9"/>
    <w:rsid w:val="00371AEA"/>
    <w:rsid w:val="00372E36"/>
    <w:rsid w:val="003731C5"/>
    <w:rsid w:val="00373E95"/>
    <w:rsid w:val="003769AC"/>
    <w:rsid w:val="00377EE1"/>
    <w:rsid w:val="00381D35"/>
    <w:rsid w:val="003826F5"/>
    <w:rsid w:val="00382AD7"/>
    <w:rsid w:val="00383657"/>
    <w:rsid w:val="0038385F"/>
    <w:rsid w:val="00383E7D"/>
    <w:rsid w:val="00383EEF"/>
    <w:rsid w:val="00384483"/>
    <w:rsid w:val="00385756"/>
    <w:rsid w:val="0038656C"/>
    <w:rsid w:val="00386AD5"/>
    <w:rsid w:val="003877C1"/>
    <w:rsid w:val="0039299F"/>
    <w:rsid w:val="00392EBC"/>
    <w:rsid w:val="003931E7"/>
    <w:rsid w:val="003A0A53"/>
    <w:rsid w:val="003A0DF6"/>
    <w:rsid w:val="003A27C7"/>
    <w:rsid w:val="003A4F3E"/>
    <w:rsid w:val="003A53AA"/>
    <w:rsid w:val="003A66D7"/>
    <w:rsid w:val="003A6B2E"/>
    <w:rsid w:val="003B1792"/>
    <w:rsid w:val="003B259D"/>
    <w:rsid w:val="003B33E1"/>
    <w:rsid w:val="003B390A"/>
    <w:rsid w:val="003B3DB3"/>
    <w:rsid w:val="003B4E29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E44"/>
    <w:rsid w:val="003D1333"/>
    <w:rsid w:val="003D1730"/>
    <w:rsid w:val="003D1BCE"/>
    <w:rsid w:val="003D1EC7"/>
    <w:rsid w:val="003D1F3F"/>
    <w:rsid w:val="003D230E"/>
    <w:rsid w:val="003D249B"/>
    <w:rsid w:val="003D3FAB"/>
    <w:rsid w:val="003D497B"/>
    <w:rsid w:val="003D4F89"/>
    <w:rsid w:val="003D64ED"/>
    <w:rsid w:val="003D6BC1"/>
    <w:rsid w:val="003D710A"/>
    <w:rsid w:val="003E0984"/>
    <w:rsid w:val="003E140E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0C9B"/>
    <w:rsid w:val="003F1A7F"/>
    <w:rsid w:val="003F1AF3"/>
    <w:rsid w:val="003F2961"/>
    <w:rsid w:val="003F3241"/>
    <w:rsid w:val="003F3F7C"/>
    <w:rsid w:val="003F415A"/>
    <w:rsid w:val="003F4233"/>
    <w:rsid w:val="003F4433"/>
    <w:rsid w:val="003F4C64"/>
    <w:rsid w:val="003F7A97"/>
    <w:rsid w:val="00401921"/>
    <w:rsid w:val="0040345F"/>
    <w:rsid w:val="0040519A"/>
    <w:rsid w:val="00405748"/>
    <w:rsid w:val="0040664B"/>
    <w:rsid w:val="00411AF9"/>
    <w:rsid w:val="00412444"/>
    <w:rsid w:val="00412D83"/>
    <w:rsid w:val="00415CDF"/>
    <w:rsid w:val="00416C2F"/>
    <w:rsid w:val="00420AB4"/>
    <w:rsid w:val="00420E8D"/>
    <w:rsid w:val="00422C0E"/>
    <w:rsid w:val="004239BB"/>
    <w:rsid w:val="00425E60"/>
    <w:rsid w:val="00427ED3"/>
    <w:rsid w:val="00430654"/>
    <w:rsid w:val="00430D25"/>
    <w:rsid w:val="004313E7"/>
    <w:rsid w:val="00432BB2"/>
    <w:rsid w:val="00432D6D"/>
    <w:rsid w:val="00433649"/>
    <w:rsid w:val="0043608C"/>
    <w:rsid w:val="004421F0"/>
    <w:rsid w:val="004424F4"/>
    <w:rsid w:val="004451F4"/>
    <w:rsid w:val="00445C5B"/>
    <w:rsid w:val="004464A6"/>
    <w:rsid w:val="004469B1"/>
    <w:rsid w:val="00446C45"/>
    <w:rsid w:val="00447140"/>
    <w:rsid w:val="00447385"/>
    <w:rsid w:val="00447907"/>
    <w:rsid w:val="00451740"/>
    <w:rsid w:val="00451AAE"/>
    <w:rsid w:val="0045668A"/>
    <w:rsid w:val="00456A96"/>
    <w:rsid w:val="004621B4"/>
    <w:rsid w:val="00463C86"/>
    <w:rsid w:val="004641A3"/>
    <w:rsid w:val="0046515E"/>
    <w:rsid w:val="00465C2F"/>
    <w:rsid w:val="0046690F"/>
    <w:rsid w:val="00470316"/>
    <w:rsid w:val="00473630"/>
    <w:rsid w:val="00473A6E"/>
    <w:rsid w:val="00475B6F"/>
    <w:rsid w:val="004764E9"/>
    <w:rsid w:val="004766B5"/>
    <w:rsid w:val="00477388"/>
    <w:rsid w:val="0048048D"/>
    <w:rsid w:val="00480914"/>
    <w:rsid w:val="0048339A"/>
    <w:rsid w:val="00483F72"/>
    <w:rsid w:val="00485A8A"/>
    <w:rsid w:val="00490144"/>
    <w:rsid w:val="00490A03"/>
    <w:rsid w:val="00490AD5"/>
    <w:rsid w:val="00492818"/>
    <w:rsid w:val="004940C0"/>
    <w:rsid w:val="0049424A"/>
    <w:rsid w:val="00495CE6"/>
    <w:rsid w:val="00496011"/>
    <w:rsid w:val="004A003D"/>
    <w:rsid w:val="004A00AF"/>
    <w:rsid w:val="004A09D6"/>
    <w:rsid w:val="004A09EC"/>
    <w:rsid w:val="004A2E37"/>
    <w:rsid w:val="004A38EE"/>
    <w:rsid w:val="004A4A4A"/>
    <w:rsid w:val="004A4EB1"/>
    <w:rsid w:val="004A5421"/>
    <w:rsid w:val="004A6370"/>
    <w:rsid w:val="004A6566"/>
    <w:rsid w:val="004A7DB6"/>
    <w:rsid w:val="004B0209"/>
    <w:rsid w:val="004B0DFF"/>
    <w:rsid w:val="004B1123"/>
    <w:rsid w:val="004B16B5"/>
    <w:rsid w:val="004B208B"/>
    <w:rsid w:val="004B2266"/>
    <w:rsid w:val="004B2B81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42D3"/>
    <w:rsid w:val="004C4E28"/>
    <w:rsid w:val="004C527E"/>
    <w:rsid w:val="004C6E15"/>
    <w:rsid w:val="004C7B40"/>
    <w:rsid w:val="004D026C"/>
    <w:rsid w:val="004D0557"/>
    <w:rsid w:val="004D059B"/>
    <w:rsid w:val="004D09A7"/>
    <w:rsid w:val="004D136E"/>
    <w:rsid w:val="004D1B4B"/>
    <w:rsid w:val="004D3590"/>
    <w:rsid w:val="004D420B"/>
    <w:rsid w:val="004D4569"/>
    <w:rsid w:val="004D49D7"/>
    <w:rsid w:val="004D64B0"/>
    <w:rsid w:val="004D6900"/>
    <w:rsid w:val="004D7802"/>
    <w:rsid w:val="004D7B0F"/>
    <w:rsid w:val="004E4082"/>
    <w:rsid w:val="004E46E1"/>
    <w:rsid w:val="004F0146"/>
    <w:rsid w:val="004F0695"/>
    <w:rsid w:val="004F0D65"/>
    <w:rsid w:val="004F0E2D"/>
    <w:rsid w:val="004F0FC5"/>
    <w:rsid w:val="004F1094"/>
    <w:rsid w:val="004F3782"/>
    <w:rsid w:val="004F3A08"/>
    <w:rsid w:val="004F44DA"/>
    <w:rsid w:val="004F457F"/>
    <w:rsid w:val="004F46F1"/>
    <w:rsid w:val="004F5914"/>
    <w:rsid w:val="004F5E05"/>
    <w:rsid w:val="004F7122"/>
    <w:rsid w:val="004F7237"/>
    <w:rsid w:val="004F73BE"/>
    <w:rsid w:val="004F7F8D"/>
    <w:rsid w:val="005016E0"/>
    <w:rsid w:val="005021A6"/>
    <w:rsid w:val="00502BDB"/>
    <w:rsid w:val="00502E62"/>
    <w:rsid w:val="00503766"/>
    <w:rsid w:val="00512531"/>
    <w:rsid w:val="00512691"/>
    <w:rsid w:val="00512F48"/>
    <w:rsid w:val="0051353A"/>
    <w:rsid w:val="00516C19"/>
    <w:rsid w:val="005171F1"/>
    <w:rsid w:val="005173DD"/>
    <w:rsid w:val="0052309E"/>
    <w:rsid w:val="00525526"/>
    <w:rsid w:val="00530868"/>
    <w:rsid w:val="00530A6B"/>
    <w:rsid w:val="00531B61"/>
    <w:rsid w:val="0053236C"/>
    <w:rsid w:val="00532A16"/>
    <w:rsid w:val="00532F2C"/>
    <w:rsid w:val="00533FEB"/>
    <w:rsid w:val="00534B46"/>
    <w:rsid w:val="00534EA9"/>
    <w:rsid w:val="00535B67"/>
    <w:rsid w:val="005363B7"/>
    <w:rsid w:val="00537D7C"/>
    <w:rsid w:val="005401D7"/>
    <w:rsid w:val="005407ED"/>
    <w:rsid w:val="00540F3F"/>
    <w:rsid w:val="00541796"/>
    <w:rsid w:val="00541863"/>
    <w:rsid w:val="00543366"/>
    <w:rsid w:val="0054453B"/>
    <w:rsid w:val="00545528"/>
    <w:rsid w:val="00546062"/>
    <w:rsid w:val="00546564"/>
    <w:rsid w:val="0054715C"/>
    <w:rsid w:val="00550946"/>
    <w:rsid w:val="005517BB"/>
    <w:rsid w:val="00551E35"/>
    <w:rsid w:val="00552F07"/>
    <w:rsid w:val="00553FDC"/>
    <w:rsid w:val="005558AF"/>
    <w:rsid w:val="005559E0"/>
    <w:rsid w:val="00556415"/>
    <w:rsid w:val="00556A69"/>
    <w:rsid w:val="005607C1"/>
    <w:rsid w:val="005618C2"/>
    <w:rsid w:val="0056194B"/>
    <w:rsid w:val="00562431"/>
    <w:rsid w:val="0056281E"/>
    <w:rsid w:val="00562909"/>
    <w:rsid w:val="00563986"/>
    <w:rsid w:val="005661FD"/>
    <w:rsid w:val="00566F1D"/>
    <w:rsid w:val="00570ED5"/>
    <w:rsid w:val="005716F6"/>
    <w:rsid w:val="0057303B"/>
    <w:rsid w:val="00573A09"/>
    <w:rsid w:val="0057456A"/>
    <w:rsid w:val="0057536E"/>
    <w:rsid w:val="00575C54"/>
    <w:rsid w:val="00577837"/>
    <w:rsid w:val="005800DA"/>
    <w:rsid w:val="005820E5"/>
    <w:rsid w:val="00586CAF"/>
    <w:rsid w:val="00587469"/>
    <w:rsid w:val="005903FF"/>
    <w:rsid w:val="0059076C"/>
    <w:rsid w:val="00590FA7"/>
    <w:rsid w:val="00591180"/>
    <w:rsid w:val="005923F0"/>
    <w:rsid w:val="00593DE9"/>
    <w:rsid w:val="00594D8B"/>
    <w:rsid w:val="00596396"/>
    <w:rsid w:val="00596DB9"/>
    <w:rsid w:val="005A033D"/>
    <w:rsid w:val="005A174D"/>
    <w:rsid w:val="005A2AA4"/>
    <w:rsid w:val="005A3150"/>
    <w:rsid w:val="005A35F0"/>
    <w:rsid w:val="005A3AC4"/>
    <w:rsid w:val="005A4AFA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7112"/>
    <w:rsid w:val="005D0561"/>
    <w:rsid w:val="005D0AD9"/>
    <w:rsid w:val="005D0B6C"/>
    <w:rsid w:val="005D24E9"/>
    <w:rsid w:val="005D39BC"/>
    <w:rsid w:val="005D5B77"/>
    <w:rsid w:val="005D614A"/>
    <w:rsid w:val="005D67A6"/>
    <w:rsid w:val="005D72C6"/>
    <w:rsid w:val="005D75BF"/>
    <w:rsid w:val="005D7C02"/>
    <w:rsid w:val="005E0136"/>
    <w:rsid w:val="005E06B9"/>
    <w:rsid w:val="005E2A52"/>
    <w:rsid w:val="005E2A99"/>
    <w:rsid w:val="005E2FD9"/>
    <w:rsid w:val="005E3CE6"/>
    <w:rsid w:val="005E4780"/>
    <w:rsid w:val="005E4898"/>
    <w:rsid w:val="005E66EC"/>
    <w:rsid w:val="005F0DC4"/>
    <w:rsid w:val="005F108E"/>
    <w:rsid w:val="005F29BE"/>
    <w:rsid w:val="005F2DF1"/>
    <w:rsid w:val="005F39B7"/>
    <w:rsid w:val="005F3A2F"/>
    <w:rsid w:val="005F4DD0"/>
    <w:rsid w:val="005F4F20"/>
    <w:rsid w:val="005F6224"/>
    <w:rsid w:val="005F6753"/>
    <w:rsid w:val="005F6991"/>
    <w:rsid w:val="005F7DED"/>
    <w:rsid w:val="00601F14"/>
    <w:rsid w:val="00602162"/>
    <w:rsid w:val="006034DC"/>
    <w:rsid w:val="00603FB8"/>
    <w:rsid w:val="00605A05"/>
    <w:rsid w:val="006065CE"/>
    <w:rsid w:val="00607256"/>
    <w:rsid w:val="00610182"/>
    <w:rsid w:val="0061074D"/>
    <w:rsid w:val="00611602"/>
    <w:rsid w:val="00612CD6"/>
    <w:rsid w:val="00613725"/>
    <w:rsid w:val="00614D7D"/>
    <w:rsid w:val="00614E44"/>
    <w:rsid w:val="00615E78"/>
    <w:rsid w:val="0061695C"/>
    <w:rsid w:val="00620013"/>
    <w:rsid w:val="00620C11"/>
    <w:rsid w:val="00621AF1"/>
    <w:rsid w:val="00622353"/>
    <w:rsid w:val="006239F2"/>
    <w:rsid w:val="00624026"/>
    <w:rsid w:val="00625018"/>
    <w:rsid w:val="00626DED"/>
    <w:rsid w:val="00632EAE"/>
    <w:rsid w:val="006335F1"/>
    <w:rsid w:val="0063540A"/>
    <w:rsid w:val="00635712"/>
    <w:rsid w:val="0063577D"/>
    <w:rsid w:val="00637CCE"/>
    <w:rsid w:val="00640374"/>
    <w:rsid w:val="00640476"/>
    <w:rsid w:val="00641AAA"/>
    <w:rsid w:val="0064268E"/>
    <w:rsid w:val="00644D5F"/>
    <w:rsid w:val="00644F6E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0F5"/>
    <w:rsid w:val="006532B9"/>
    <w:rsid w:val="006532E6"/>
    <w:rsid w:val="00653621"/>
    <w:rsid w:val="00653741"/>
    <w:rsid w:val="006578C3"/>
    <w:rsid w:val="00660C0C"/>
    <w:rsid w:val="00662423"/>
    <w:rsid w:val="006627D5"/>
    <w:rsid w:val="00662B65"/>
    <w:rsid w:val="0066529F"/>
    <w:rsid w:val="00665BB5"/>
    <w:rsid w:val="00670304"/>
    <w:rsid w:val="00670EB8"/>
    <w:rsid w:val="00671FA6"/>
    <w:rsid w:val="00672382"/>
    <w:rsid w:val="00672CE3"/>
    <w:rsid w:val="00673E2B"/>
    <w:rsid w:val="006748B2"/>
    <w:rsid w:val="00675BF5"/>
    <w:rsid w:val="006769C1"/>
    <w:rsid w:val="0068069D"/>
    <w:rsid w:val="00680BF5"/>
    <w:rsid w:val="00681FB2"/>
    <w:rsid w:val="006840A8"/>
    <w:rsid w:val="0068526A"/>
    <w:rsid w:val="00685538"/>
    <w:rsid w:val="00685BEF"/>
    <w:rsid w:val="006908D1"/>
    <w:rsid w:val="00692913"/>
    <w:rsid w:val="00694056"/>
    <w:rsid w:val="00694672"/>
    <w:rsid w:val="00694915"/>
    <w:rsid w:val="00695CAE"/>
    <w:rsid w:val="00696AED"/>
    <w:rsid w:val="006A0B37"/>
    <w:rsid w:val="006A0E6C"/>
    <w:rsid w:val="006A1DAC"/>
    <w:rsid w:val="006A2070"/>
    <w:rsid w:val="006A47B2"/>
    <w:rsid w:val="006A4806"/>
    <w:rsid w:val="006A4935"/>
    <w:rsid w:val="006A4FFE"/>
    <w:rsid w:val="006A57CE"/>
    <w:rsid w:val="006A6438"/>
    <w:rsid w:val="006B010A"/>
    <w:rsid w:val="006B0996"/>
    <w:rsid w:val="006B0E7F"/>
    <w:rsid w:val="006B1A17"/>
    <w:rsid w:val="006B321C"/>
    <w:rsid w:val="006B58ED"/>
    <w:rsid w:val="006B7551"/>
    <w:rsid w:val="006B76DE"/>
    <w:rsid w:val="006C0035"/>
    <w:rsid w:val="006C363C"/>
    <w:rsid w:val="006C39D7"/>
    <w:rsid w:val="006C46D5"/>
    <w:rsid w:val="006C496E"/>
    <w:rsid w:val="006D10AF"/>
    <w:rsid w:val="006D2175"/>
    <w:rsid w:val="006D449E"/>
    <w:rsid w:val="006D4EF8"/>
    <w:rsid w:val="006D52FB"/>
    <w:rsid w:val="006D54AB"/>
    <w:rsid w:val="006D6B25"/>
    <w:rsid w:val="006D74FA"/>
    <w:rsid w:val="006D7C6C"/>
    <w:rsid w:val="006D7FD1"/>
    <w:rsid w:val="006E1CCF"/>
    <w:rsid w:val="006E1D50"/>
    <w:rsid w:val="006E3A63"/>
    <w:rsid w:val="006E5032"/>
    <w:rsid w:val="006F2F3E"/>
    <w:rsid w:val="006F670F"/>
    <w:rsid w:val="006F7D02"/>
    <w:rsid w:val="006F7FDB"/>
    <w:rsid w:val="00701084"/>
    <w:rsid w:val="00701943"/>
    <w:rsid w:val="00704B78"/>
    <w:rsid w:val="00704B7C"/>
    <w:rsid w:val="00704F5C"/>
    <w:rsid w:val="007051C0"/>
    <w:rsid w:val="007104F4"/>
    <w:rsid w:val="00711825"/>
    <w:rsid w:val="007119ED"/>
    <w:rsid w:val="00712C15"/>
    <w:rsid w:val="00714DBA"/>
    <w:rsid w:val="0071672B"/>
    <w:rsid w:val="00717273"/>
    <w:rsid w:val="00717ECE"/>
    <w:rsid w:val="007201ED"/>
    <w:rsid w:val="0072094B"/>
    <w:rsid w:val="00720FD4"/>
    <w:rsid w:val="007210E7"/>
    <w:rsid w:val="0072164A"/>
    <w:rsid w:val="00723F1D"/>
    <w:rsid w:val="007244EF"/>
    <w:rsid w:val="00725B54"/>
    <w:rsid w:val="00726884"/>
    <w:rsid w:val="00730BA4"/>
    <w:rsid w:val="00731374"/>
    <w:rsid w:val="00733598"/>
    <w:rsid w:val="00733F4F"/>
    <w:rsid w:val="00735921"/>
    <w:rsid w:val="00736419"/>
    <w:rsid w:val="007400D9"/>
    <w:rsid w:val="0074060C"/>
    <w:rsid w:val="00740FE6"/>
    <w:rsid w:val="00741694"/>
    <w:rsid w:val="00741FEE"/>
    <w:rsid w:val="0074356E"/>
    <w:rsid w:val="00743AC3"/>
    <w:rsid w:val="00743AED"/>
    <w:rsid w:val="0074460A"/>
    <w:rsid w:val="00744D45"/>
    <w:rsid w:val="007463CD"/>
    <w:rsid w:val="00751B4B"/>
    <w:rsid w:val="007527A1"/>
    <w:rsid w:val="007528EA"/>
    <w:rsid w:val="00753C7A"/>
    <w:rsid w:val="00755B55"/>
    <w:rsid w:val="007565F5"/>
    <w:rsid w:val="00756EE0"/>
    <w:rsid w:val="007572E8"/>
    <w:rsid w:val="00757D07"/>
    <w:rsid w:val="00761BA8"/>
    <w:rsid w:val="00761CE6"/>
    <w:rsid w:val="00761F74"/>
    <w:rsid w:val="0076325D"/>
    <w:rsid w:val="0076695F"/>
    <w:rsid w:val="00766CC4"/>
    <w:rsid w:val="00767469"/>
    <w:rsid w:val="00770191"/>
    <w:rsid w:val="007705CA"/>
    <w:rsid w:val="00770D4C"/>
    <w:rsid w:val="007710D7"/>
    <w:rsid w:val="00771A03"/>
    <w:rsid w:val="00776AE7"/>
    <w:rsid w:val="00777584"/>
    <w:rsid w:val="007809F5"/>
    <w:rsid w:val="007813C1"/>
    <w:rsid w:val="007814DC"/>
    <w:rsid w:val="00781E1D"/>
    <w:rsid w:val="00783C4A"/>
    <w:rsid w:val="00786B86"/>
    <w:rsid w:val="00786E5D"/>
    <w:rsid w:val="00787411"/>
    <w:rsid w:val="0078782B"/>
    <w:rsid w:val="00790380"/>
    <w:rsid w:val="0079163A"/>
    <w:rsid w:val="00792483"/>
    <w:rsid w:val="00793042"/>
    <w:rsid w:val="00793C00"/>
    <w:rsid w:val="007949AD"/>
    <w:rsid w:val="00794AE0"/>
    <w:rsid w:val="00797254"/>
    <w:rsid w:val="007A174E"/>
    <w:rsid w:val="007A1EEB"/>
    <w:rsid w:val="007A4432"/>
    <w:rsid w:val="007A4B3D"/>
    <w:rsid w:val="007A505D"/>
    <w:rsid w:val="007A5E07"/>
    <w:rsid w:val="007A61FB"/>
    <w:rsid w:val="007A6840"/>
    <w:rsid w:val="007A69EF"/>
    <w:rsid w:val="007A7059"/>
    <w:rsid w:val="007B0331"/>
    <w:rsid w:val="007B1C92"/>
    <w:rsid w:val="007B21AE"/>
    <w:rsid w:val="007B3269"/>
    <w:rsid w:val="007B499C"/>
    <w:rsid w:val="007B61CA"/>
    <w:rsid w:val="007B6D58"/>
    <w:rsid w:val="007B7EB7"/>
    <w:rsid w:val="007C09B7"/>
    <w:rsid w:val="007C0E41"/>
    <w:rsid w:val="007C4C38"/>
    <w:rsid w:val="007C4FB1"/>
    <w:rsid w:val="007C63BB"/>
    <w:rsid w:val="007C698D"/>
    <w:rsid w:val="007D188F"/>
    <w:rsid w:val="007D18E3"/>
    <w:rsid w:val="007D31D9"/>
    <w:rsid w:val="007D48F2"/>
    <w:rsid w:val="007D6397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4462"/>
    <w:rsid w:val="007F47A1"/>
    <w:rsid w:val="007F6344"/>
    <w:rsid w:val="007F70BF"/>
    <w:rsid w:val="00801995"/>
    <w:rsid w:val="00801A94"/>
    <w:rsid w:val="008033B1"/>
    <w:rsid w:val="0080417E"/>
    <w:rsid w:val="00804C4E"/>
    <w:rsid w:val="00805E0D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5BC9"/>
    <w:rsid w:val="00815D16"/>
    <w:rsid w:val="008160A4"/>
    <w:rsid w:val="00817D15"/>
    <w:rsid w:val="00817DE8"/>
    <w:rsid w:val="008212CC"/>
    <w:rsid w:val="0082174B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C1"/>
    <w:rsid w:val="00843399"/>
    <w:rsid w:val="008440F9"/>
    <w:rsid w:val="00844104"/>
    <w:rsid w:val="00844988"/>
    <w:rsid w:val="00845928"/>
    <w:rsid w:val="00845BB6"/>
    <w:rsid w:val="008506CF"/>
    <w:rsid w:val="008509AE"/>
    <w:rsid w:val="0085168E"/>
    <w:rsid w:val="008524B5"/>
    <w:rsid w:val="00852F63"/>
    <w:rsid w:val="00854B6C"/>
    <w:rsid w:val="0085516B"/>
    <w:rsid w:val="0085659C"/>
    <w:rsid w:val="00857107"/>
    <w:rsid w:val="00857C32"/>
    <w:rsid w:val="008603A0"/>
    <w:rsid w:val="00860FE4"/>
    <w:rsid w:val="0086117B"/>
    <w:rsid w:val="008618B2"/>
    <w:rsid w:val="008621E4"/>
    <w:rsid w:val="00863C1A"/>
    <w:rsid w:val="008649AC"/>
    <w:rsid w:val="008654BB"/>
    <w:rsid w:val="00866AE9"/>
    <w:rsid w:val="00866B8C"/>
    <w:rsid w:val="00866DA6"/>
    <w:rsid w:val="00867F64"/>
    <w:rsid w:val="0087206E"/>
    <w:rsid w:val="0087242C"/>
    <w:rsid w:val="008728B1"/>
    <w:rsid w:val="00875221"/>
    <w:rsid w:val="00875B60"/>
    <w:rsid w:val="00877D57"/>
    <w:rsid w:val="0088221E"/>
    <w:rsid w:val="008825EE"/>
    <w:rsid w:val="00882B8C"/>
    <w:rsid w:val="0088343D"/>
    <w:rsid w:val="00883F62"/>
    <w:rsid w:val="00886908"/>
    <w:rsid w:val="008902DC"/>
    <w:rsid w:val="00890A2F"/>
    <w:rsid w:val="0089124F"/>
    <w:rsid w:val="0089181B"/>
    <w:rsid w:val="0089402B"/>
    <w:rsid w:val="008941BE"/>
    <w:rsid w:val="008946F9"/>
    <w:rsid w:val="0089479B"/>
    <w:rsid w:val="00895D61"/>
    <w:rsid w:val="00896661"/>
    <w:rsid w:val="008A046E"/>
    <w:rsid w:val="008A0780"/>
    <w:rsid w:val="008A1865"/>
    <w:rsid w:val="008A2600"/>
    <w:rsid w:val="008A5712"/>
    <w:rsid w:val="008B11C4"/>
    <w:rsid w:val="008B13BE"/>
    <w:rsid w:val="008B2384"/>
    <w:rsid w:val="008B3522"/>
    <w:rsid w:val="008B4BDA"/>
    <w:rsid w:val="008B5553"/>
    <w:rsid w:val="008B61AC"/>
    <w:rsid w:val="008C0191"/>
    <w:rsid w:val="008C1E06"/>
    <w:rsid w:val="008C44C3"/>
    <w:rsid w:val="008C4B9F"/>
    <w:rsid w:val="008C535B"/>
    <w:rsid w:val="008C752E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75D3"/>
    <w:rsid w:val="008F015F"/>
    <w:rsid w:val="008F13D5"/>
    <w:rsid w:val="008F288A"/>
    <w:rsid w:val="008F33EC"/>
    <w:rsid w:val="008F4D2F"/>
    <w:rsid w:val="008F4D7B"/>
    <w:rsid w:val="008F5F08"/>
    <w:rsid w:val="008F672C"/>
    <w:rsid w:val="008F6CEE"/>
    <w:rsid w:val="008F74CE"/>
    <w:rsid w:val="0090028A"/>
    <w:rsid w:val="00900313"/>
    <w:rsid w:val="00900AA2"/>
    <w:rsid w:val="009013A4"/>
    <w:rsid w:val="009024A1"/>
    <w:rsid w:val="00906CD8"/>
    <w:rsid w:val="009073B8"/>
    <w:rsid w:val="009112E8"/>
    <w:rsid w:val="00912286"/>
    <w:rsid w:val="00913CEE"/>
    <w:rsid w:val="009145B7"/>
    <w:rsid w:val="00916F7B"/>
    <w:rsid w:val="00917162"/>
    <w:rsid w:val="00917483"/>
    <w:rsid w:val="00920916"/>
    <w:rsid w:val="00920950"/>
    <w:rsid w:val="0092160A"/>
    <w:rsid w:val="0092195A"/>
    <w:rsid w:val="00922826"/>
    <w:rsid w:val="00922D6E"/>
    <w:rsid w:val="00923453"/>
    <w:rsid w:val="00923470"/>
    <w:rsid w:val="00925950"/>
    <w:rsid w:val="00926151"/>
    <w:rsid w:val="00927145"/>
    <w:rsid w:val="0092714E"/>
    <w:rsid w:val="009279C1"/>
    <w:rsid w:val="0093011B"/>
    <w:rsid w:val="00931B72"/>
    <w:rsid w:val="0093419A"/>
    <w:rsid w:val="00934DE5"/>
    <w:rsid w:val="009350CC"/>
    <w:rsid w:val="00940138"/>
    <w:rsid w:val="00940628"/>
    <w:rsid w:val="00940F6E"/>
    <w:rsid w:val="00942E13"/>
    <w:rsid w:val="00943561"/>
    <w:rsid w:val="00943ED6"/>
    <w:rsid w:val="0094551F"/>
    <w:rsid w:val="009466B1"/>
    <w:rsid w:val="00946A47"/>
    <w:rsid w:val="00947013"/>
    <w:rsid w:val="009508B5"/>
    <w:rsid w:val="00950A5A"/>
    <w:rsid w:val="00951990"/>
    <w:rsid w:val="009520E6"/>
    <w:rsid w:val="009527FE"/>
    <w:rsid w:val="0095400C"/>
    <w:rsid w:val="00954B00"/>
    <w:rsid w:val="009554CD"/>
    <w:rsid w:val="0096009A"/>
    <w:rsid w:val="009611B5"/>
    <w:rsid w:val="009615B3"/>
    <w:rsid w:val="00961DED"/>
    <w:rsid w:val="00962CC4"/>
    <w:rsid w:val="00962FFB"/>
    <w:rsid w:val="00964DA6"/>
    <w:rsid w:val="009653DD"/>
    <w:rsid w:val="009665E5"/>
    <w:rsid w:val="00966FDD"/>
    <w:rsid w:val="00971475"/>
    <w:rsid w:val="00971678"/>
    <w:rsid w:val="009719C5"/>
    <w:rsid w:val="00971AF7"/>
    <w:rsid w:val="00972317"/>
    <w:rsid w:val="0097390B"/>
    <w:rsid w:val="00974190"/>
    <w:rsid w:val="0097555A"/>
    <w:rsid w:val="009767C7"/>
    <w:rsid w:val="009768E7"/>
    <w:rsid w:val="00980778"/>
    <w:rsid w:val="00980AD4"/>
    <w:rsid w:val="00981CBF"/>
    <w:rsid w:val="00982243"/>
    <w:rsid w:val="00983786"/>
    <w:rsid w:val="00985B07"/>
    <w:rsid w:val="00985B42"/>
    <w:rsid w:val="00986C32"/>
    <w:rsid w:val="00987573"/>
    <w:rsid w:val="00987574"/>
    <w:rsid w:val="0099078F"/>
    <w:rsid w:val="00990AA7"/>
    <w:rsid w:val="009918FF"/>
    <w:rsid w:val="00994563"/>
    <w:rsid w:val="00994681"/>
    <w:rsid w:val="00995321"/>
    <w:rsid w:val="009967C3"/>
    <w:rsid w:val="00996916"/>
    <w:rsid w:val="00996C91"/>
    <w:rsid w:val="0099727E"/>
    <w:rsid w:val="009A0706"/>
    <w:rsid w:val="009A0867"/>
    <w:rsid w:val="009A08C2"/>
    <w:rsid w:val="009A0B81"/>
    <w:rsid w:val="009A0E26"/>
    <w:rsid w:val="009A16EC"/>
    <w:rsid w:val="009A1D16"/>
    <w:rsid w:val="009A218F"/>
    <w:rsid w:val="009A30E9"/>
    <w:rsid w:val="009A3871"/>
    <w:rsid w:val="009A5265"/>
    <w:rsid w:val="009A5A7E"/>
    <w:rsid w:val="009A6A60"/>
    <w:rsid w:val="009A7DDE"/>
    <w:rsid w:val="009A7E59"/>
    <w:rsid w:val="009A7F4C"/>
    <w:rsid w:val="009A7FA8"/>
    <w:rsid w:val="009B0AD2"/>
    <w:rsid w:val="009B0BE1"/>
    <w:rsid w:val="009B0E94"/>
    <w:rsid w:val="009B173A"/>
    <w:rsid w:val="009B291F"/>
    <w:rsid w:val="009B3320"/>
    <w:rsid w:val="009B3B37"/>
    <w:rsid w:val="009B646D"/>
    <w:rsid w:val="009B7340"/>
    <w:rsid w:val="009B795F"/>
    <w:rsid w:val="009C3505"/>
    <w:rsid w:val="009C3581"/>
    <w:rsid w:val="009C462F"/>
    <w:rsid w:val="009C58C8"/>
    <w:rsid w:val="009C68F8"/>
    <w:rsid w:val="009C739F"/>
    <w:rsid w:val="009D0B88"/>
    <w:rsid w:val="009D228A"/>
    <w:rsid w:val="009D24E8"/>
    <w:rsid w:val="009D35EB"/>
    <w:rsid w:val="009D3860"/>
    <w:rsid w:val="009D54A0"/>
    <w:rsid w:val="009D6547"/>
    <w:rsid w:val="009D71EA"/>
    <w:rsid w:val="009D73ED"/>
    <w:rsid w:val="009D7FF7"/>
    <w:rsid w:val="009E182A"/>
    <w:rsid w:val="009E20CB"/>
    <w:rsid w:val="009E227B"/>
    <w:rsid w:val="009E237C"/>
    <w:rsid w:val="009E3F1E"/>
    <w:rsid w:val="009E4028"/>
    <w:rsid w:val="009E4C84"/>
    <w:rsid w:val="009E5ACB"/>
    <w:rsid w:val="009E5CF5"/>
    <w:rsid w:val="009E7727"/>
    <w:rsid w:val="009E7CE8"/>
    <w:rsid w:val="009F1AE6"/>
    <w:rsid w:val="009F1B24"/>
    <w:rsid w:val="009F1BFA"/>
    <w:rsid w:val="009F35D9"/>
    <w:rsid w:val="009F4D0D"/>
    <w:rsid w:val="009F659A"/>
    <w:rsid w:val="009F6D3C"/>
    <w:rsid w:val="009F74E5"/>
    <w:rsid w:val="009F7FC5"/>
    <w:rsid w:val="00A02267"/>
    <w:rsid w:val="00A032ED"/>
    <w:rsid w:val="00A044D6"/>
    <w:rsid w:val="00A04C95"/>
    <w:rsid w:val="00A05A6F"/>
    <w:rsid w:val="00A068B8"/>
    <w:rsid w:val="00A06BC3"/>
    <w:rsid w:val="00A07C1A"/>
    <w:rsid w:val="00A10B1A"/>
    <w:rsid w:val="00A11818"/>
    <w:rsid w:val="00A11FED"/>
    <w:rsid w:val="00A12C97"/>
    <w:rsid w:val="00A12DD7"/>
    <w:rsid w:val="00A13E71"/>
    <w:rsid w:val="00A13F10"/>
    <w:rsid w:val="00A14DF5"/>
    <w:rsid w:val="00A15545"/>
    <w:rsid w:val="00A15773"/>
    <w:rsid w:val="00A16E18"/>
    <w:rsid w:val="00A1775F"/>
    <w:rsid w:val="00A17B92"/>
    <w:rsid w:val="00A17C0D"/>
    <w:rsid w:val="00A17EB9"/>
    <w:rsid w:val="00A2021F"/>
    <w:rsid w:val="00A20A22"/>
    <w:rsid w:val="00A20DBC"/>
    <w:rsid w:val="00A2371F"/>
    <w:rsid w:val="00A238F6"/>
    <w:rsid w:val="00A240FF"/>
    <w:rsid w:val="00A24792"/>
    <w:rsid w:val="00A25425"/>
    <w:rsid w:val="00A2583B"/>
    <w:rsid w:val="00A26480"/>
    <w:rsid w:val="00A27857"/>
    <w:rsid w:val="00A30239"/>
    <w:rsid w:val="00A31631"/>
    <w:rsid w:val="00A32230"/>
    <w:rsid w:val="00A32597"/>
    <w:rsid w:val="00A32F82"/>
    <w:rsid w:val="00A35C31"/>
    <w:rsid w:val="00A37E2D"/>
    <w:rsid w:val="00A37FF7"/>
    <w:rsid w:val="00A420B5"/>
    <w:rsid w:val="00A4290C"/>
    <w:rsid w:val="00A431DB"/>
    <w:rsid w:val="00A433C7"/>
    <w:rsid w:val="00A46C6B"/>
    <w:rsid w:val="00A506F2"/>
    <w:rsid w:val="00A5089F"/>
    <w:rsid w:val="00A51A7A"/>
    <w:rsid w:val="00A51E55"/>
    <w:rsid w:val="00A53260"/>
    <w:rsid w:val="00A5404E"/>
    <w:rsid w:val="00A55CDD"/>
    <w:rsid w:val="00A56194"/>
    <w:rsid w:val="00A56810"/>
    <w:rsid w:val="00A56D41"/>
    <w:rsid w:val="00A57091"/>
    <w:rsid w:val="00A61493"/>
    <w:rsid w:val="00A62839"/>
    <w:rsid w:val="00A63C80"/>
    <w:rsid w:val="00A642A6"/>
    <w:rsid w:val="00A65306"/>
    <w:rsid w:val="00A66C18"/>
    <w:rsid w:val="00A67A71"/>
    <w:rsid w:val="00A70F32"/>
    <w:rsid w:val="00A710C4"/>
    <w:rsid w:val="00A719C4"/>
    <w:rsid w:val="00A71FCC"/>
    <w:rsid w:val="00A72656"/>
    <w:rsid w:val="00A72DFF"/>
    <w:rsid w:val="00A73717"/>
    <w:rsid w:val="00A748E9"/>
    <w:rsid w:val="00A7686D"/>
    <w:rsid w:val="00A813B2"/>
    <w:rsid w:val="00A81BBC"/>
    <w:rsid w:val="00A82609"/>
    <w:rsid w:val="00A82E90"/>
    <w:rsid w:val="00A83DB5"/>
    <w:rsid w:val="00A84743"/>
    <w:rsid w:val="00A919CE"/>
    <w:rsid w:val="00A92F3F"/>
    <w:rsid w:val="00A934E7"/>
    <w:rsid w:val="00A9568C"/>
    <w:rsid w:val="00A9632E"/>
    <w:rsid w:val="00A96EFD"/>
    <w:rsid w:val="00A97062"/>
    <w:rsid w:val="00AA08D3"/>
    <w:rsid w:val="00AA14F7"/>
    <w:rsid w:val="00AA37D0"/>
    <w:rsid w:val="00AA3E05"/>
    <w:rsid w:val="00AA4436"/>
    <w:rsid w:val="00AA471B"/>
    <w:rsid w:val="00AA592D"/>
    <w:rsid w:val="00AA7E9D"/>
    <w:rsid w:val="00AB0867"/>
    <w:rsid w:val="00AB0A2C"/>
    <w:rsid w:val="00AB0C34"/>
    <w:rsid w:val="00AB1CB6"/>
    <w:rsid w:val="00AB3CDD"/>
    <w:rsid w:val="00AB3DF3"/>
    <w:rsid w:val="00AB471B"/>
    <w:rsid w:val="00AB4AEA"/>
    <w:rsid w:val="00AB4D54"/>
    <w:rsid w:val="00AB5DE5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771"/>
    <w:rsid w:val="00AD0BDA"/>
    <w:rsid w:val="00AD2A6C"/>
    <w:rsid w:val="00AD2ED5"/>
    <w:rsid w:val="00AD3D41"/>
    <w:rsid w:val="00AD3F56"/>
    <w:rsid w:val="00AD4C58"/>
    <w:rsid w:val="00AD7BC6"/>
    <w:rsid w:val="00AE00D5"/>
    <w:rsid w:val="00AE0A58"/>
    <w:rsid w:val="00AE2667"/>
    <w:rsid w:val="00AE2B7F"/>
    <w:rsid w:val="00AE46A5"/>
    <w:rsid w:val="00AE49F1"/>
    <w:rsid w:val="00AE4FFC"/>
    <w:rsid w:val="00AE5184"/>
    <w:rsid w:val="00AE536D"/>
    <w:rsid w:val="00AE5EFB"/>
    <w:rsid w:val="00AE6B9D"/>
    <w:rsid w:val="00AE7389"/>
    <w:rsid w:val="00AE7B89"/>
    <w:rsid w:val="00AF39EE"/>
    <w:rsid w:val="00AF4CC8"/>
    <w:rsid w:val="00AF5CBC"/>
    <w:rsid w:val="00AF6920"/>
    <w:rsid w:val="00B00851"/>
    <w:rsid w:val="00B027D7"/>
    <w:rsid w:val="00B027FB"/>
    <w:rsid w:val="00B031CC"/>
    <w:rsid w:val="00B054BE"/>
    <w:rsid w:val="00B07CEE"/>
    <w:rsid w:val="00B12238"/>
    <w:rsid w:val="00B14271"/>
    <w:rsid w:val="00B1486A"/>
    <w:rsid w:val="00B15470"/>
    <w:rsid w:val="00B227A9"/>
    <w:rsid w:val="00B23E62"/>
    <w:rsid w:val="00B24BC4"/>
    <w:rsid w:val="00B26456"/>
    <w:rsid w:val="00B2685D"/>
    <w:rsid w:val="00B27ECC"/>
    <w:rsid w:val="00B339BD"/>
    <w:rsid w:val="00B3658D"/>
    <w:rsid w:val="00B374AD"/>
    <w:rsid w:val="00B422EC"/>
    <w:rsid w:val="00B4298E"/>
    <w:rsid w:val="00B42C9F"/>
    <w:rsid w:val="00B439FD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32EF"/>
    <w:rsid w:val="00B545F6"/>
    <w:rsid w:val="00B55037"/>
    <w:rsid w:val="00B560C6"/>
    <w:rsid w:val="00B5654E"/>
    <w:rsid w:val="00B629A2"/>
    <w:rsid w:val="00B63BEC"/>
    <w:rsid w:val="00B64788"/>
    <w:rsid w:val="00B654B1"/>
    <w:rsid w:val="00B65F33"/>
    <w:rsid w:val="00B660E5"/>
    <w:rsid w:val="00B66E5E"/>
    <w:rsid w:val="00B66E7C"/>
    <w:rsid w:val="00B67883"/>
    <w:rsid w:val="00B67904"/>
    <w:rsid w:val="00B703EE"/>
    <w:rsid w:val="00B70BEF"/>
    <w:rsid w:val="00B72ACD"/>
    <w:rsid w:val="00B73BEA"/>
    <w:rsid w:val="00B74A38"/>
    <w:rsid w:val="00B7511D"/>
    <w:rsid w:val="00B754B0"/>
    <w:rsid w:val="00B7768F"/>
    <w:rsid w:val="00B80119"/>
    <w:rsid w:val="00B8170E"/>
    <w:rsid w:val="00B84FE5"/>
    <w:rsid w:val="00B868FF"/>
    <w:rsid w:val="00B86A4F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628"/>
    <w:rsid w:val="00BA03CC"/>
    <w:rsid w:val="00BA09B2"/>
    <w:rsid w:val="00BA0EEA"/>
    <w:rsid w:val="00BA11DC"/>
    <w:rsid w:val="00BA3158"/>
    <w:rsid w:val="00BA3839"/>
    <w:rsid w:val="00BA3C55"/>
    <w:rsid w:val="00BA3F54"/>
    <w:rsid w:val="00BA536E"/>
    <w:rsid w:val="00BA6C6C"/>
    <w:rsid w:val="00BA6F9F"/>
    <w:rsid w:val="00BA70BA"/>
    <w:rsid w:val="00BB1295"/>
    <w:rsid w:val="00BB2700"/>
    <w:rsid w:val="00BB28BB"/>
    <w:rsid w:val="00BB2DF7"/>
    <w:rsid w:val="00BB4B7D"/>
    <w:rsid w:val="00BB57B2"/>
    <w:rsid w:val="00BB7320"/>
    <w:rsid w:val="00BC48FF"/>
    <w:rsid w:val="00BC746E"/>
    <w:rsid w:val="00BC78DC"/>
    <w:rsid w:val="00BD1FE1"/>
    <w:rsid w:val="00BD22D7"/>
    <w:rsid w:val="00BD2FE3"/>
    <w:rsid w:val="00BD303F"/>
    <w:rsid w:val="00BD5FA9"/>
    <w:rsid w:val="00BD79AE"/>
    <w:rsid w:val="00BD79E5"/>
    <w:rsid w:val="00BD7A02"/>
    <w:rsid w:val="00BD7B61"/>
    <w:rsid w:val="00BE091B"/>
    <w:rsid w:val="00BE1596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50A2"/>
    <w:rsid w:val="00BF6DD8"/>
    <w:rsid w:val="00C00591"/>
    <w:rsid w:val="00C00936"/>
    <w:rsid w:val="00C01BCC"/>
    <w:rsid w:val="00C03707"/>
    <w:rsid w:val="00C03D86"/>
    <w:rsid w:val="00C048F0"/>
    <w:rsid w:val="00C049A0"/>
    <w:rsid w:val="00C06D00"/>
    <w:rsid w:val="00C07AE5"/>
    <w:rsid w:val="00C10ACC"/>
    <w:rsid w:val="00C10C17"/>
    <w:rsid w:val="00C128DF"/>
    <w:rsid w:val="00C14DED"/>
    <w:rsid w:val="00C16B96"/>
    <w:rsid w:val="00C16BF9"/>
    <w:rsid w:val="00C179E3"/>
    <w:rsid w:val="00C20E2B"/>
    <w:rsid w:val="00C239BE"/>
    <w:rsid w:val="00C24C17"/>
    <w:rsid w:val="00C24FAA"/>
    <w:rsid w:val="00C30A59"/>
    <w:rsid w:val="00C31011"/>
    <w:rsid w:val="00C31279"/>
    <w:rsid w:val="00C32450"/>
    <w:rsid w:val="00C32EC8"/>
    <w:rsid w:val="00C33532"/>
    <w:rsid w:val="00C34FD7"/>
    <w:rsid w:val="00C35679"/>
    <w:rsid w:val="00C36956"/>
    <w:rsid w:val="00C36ED5"/>
    <w:rsid w:val="00C426B0"/>
    <w:rsid w:val="00C431F1"/>
    <w:rsid w:val="00C432C6"/>
    <w:rsid w:val="00C432D5"/>
    <w:rsid w:val="00C438E2"/>
    <w:rsid w:val="00C43D87"/>
    <w:rsid w:val="00C44A36"/>
    <w:rsid w:val="00C45930"/>
    <w:rsid w:val="00C46281"/>
    <w:rsid w:val="00C4690D"/>
    <w:rsid w:val="00C46BE4"/>
    <w:rsid w:val="00C46F83"/>
    <w:rsid w:val="00C50832"/>
    <w:rsid w:val="00C5141C"/>
    <w:rsid w:val="00C5145C"/>
    <w:rsid w:val="00C518A0"/>
    <w:rsid w:val="00C51C27"/>
    <w:rsid w:val="00C56E42"/>
    <w:rsid w:val="00C60389"/>
    <w:rsid w:val="00C65F6C"/>
    <w:rsid w:val="00C661C7"/>
    <w:rsid w:val="00C6779F"/>
    <w:rsid w:val="00C70E15"/>
    <w:rsid w:val="00C729FA"/>
    <w:rsid w:val="00C73BB7"/>
    <w:rsid w:val="00C74C3C"/>
    <w:rsid w:val="00C753AA"/>
    <w:rsid w:val="00C75905"/>
    <w:rsid w:val="00C75CEB"/>
    <w:rsid w:val="00C764EA"/>
    <w:rsid w:val="00C77307"/>
    <w:rsid w:val="00C77E5D"/>
    <w:rsid w:val="00C80958"/>
    <w:rsid w:val="00C80D01"/>
    <w:rsid w:val="00C81026"/>
    <w:rsid w:val="00C82C24"/>
    <w:rsid w:val="00C852D8"/>
    <w:rsid w:val="00C85428"/>
    <w:rsid w:val="00C86C59"/>
    <w:rsid w:val="00C87132"/>
    <w:rsid w:val="00C91004"/>
    <w:rsid w:val="00C9199D"/>
    <w:rsid w:val="00C933E5"/>
    <w:rsid w:val="00C938B4"/>
    <w:rsid w:val="00C93DDC"/>
    <w:rsid w:val="00C95E37"/>
    <w:rsid w:val="00C9680F"/>
    <w:rsid w:val="00CA0AEC"/>
    <w:rsid w:val="00CA2001"/>
    <w:rsid w:val="00CA2DD7"/>
    <w:rsid w:val="00CA3FF5"/>
    <w:rsid w:val="00CA4E83"/>
    <w:rsid w:val="00CA65A2"/>
    <w:rsid w:val="00CA719E"/>
    <w:rsid w:val="00CB18AF"/>
    <w:rsid w:val="00CB1C8A"/>
    <w:rsid w:val="00CB1EF6"/>
    <w:rsid w:val="00CB5040"/>
    <w:rsid w:val="00CB54CF"/>
    <w:rsid w:val="00CB576B"/>
    <w:rsid w:val="00CB5B6C"/>
    <w:rsid w:val="00CB6EE7"/>
    <w:rsid w:val="00CB7684"/>
    <w:rsid w:val="00CC002E"/>
    <w:rsid w:val="00CC2E1D"/>
    <w:rsid w:val="00CC3CF6"/>
    <w:rsid w:val="00CC45DD"/>
    <w:rsid w:val="00CC480A"/>
    <w:rsid w:val="00CD3627"/>
    <w:rsid w:val="00CD3DB4"/>
    <w:rsid w:val="00CD47FA"/>
    <w:rsid w:val="00CD5096"/>
    <w:rsid w:val="00CD50EC"/>
    <w:rsid w:val="00CD5148"/>
    <w:rsid w:val="00CD57E6"/>
    <w:rsid w:val="00CD7209"/>
    <w:rsid w:val="00CD72AB"/>
    <w:rsid w:val="00CE036B"/>
    <w:rsid w:val="00CE0C88"/>
    <w:rsid w:val="00CE1B40"/>
    <w:rsid w:val="00CE473A"/>
    <w:rsid w:val="00CE6B61"/>
    <w:rsid w:val="00CE772B"/>
    <w:rsid w:val="00CE7DD5"/>
    <w:rsid w:val="00CE7ED3"/>
    <w:rsid w:val="00CF054C"/>
    <w:rsid w:val="00CF329D"/>
    <w:rsid w:val="00CF37AA"/>
    <w:rsid w:val="00CF38B3"/>
    <w:rsid w:val="00CF41EF"/>
    <w:rsid w:val="00CF4680"/>
    <w:rsid w:val="00CF49A4"/>
    <w:rsid w:val="00CF4C29"/>
    <w:rsid w:val="00CF5156"/>
    <w:rsid w:val="00CF5951"/>
    <w:rsid w:val="00CF5D37"/>
    <w:rsid w:val="00CF6D96"/>
    <w:rsid w:val="00CF6F33"/>
    <w:rsid w:val="00CF7AF2"/>
    <w:rsid w:val="00D03014"/>
    <w:rsid w:val="00D03AFF"/>
    <w:rsid w:val="00D04161"/>
    <w:rsid w:val="00D0564C"/>
    <w:rsid w:val="00D05AEB"/>
    <w:rsid w:val="00D05FAF"/>
    <w:rsid w:val="00D063B8"/>
    <w:rsid w:val="00D063D8"/>
    <w:rsid w:val="00D10297"/>
    <w:rsid w:val="00D103EF"/>
    <w:rsid w:val="00D1077E"/>
    <w:rsid w:val="00D12077"/>
    <w:rsid w:val="00D12AF1"/>
    <w:rsid w:val="00D12D02"/>
    <w:rsid w:val="00D12E12"/>
    <w:rsid w:val="00D146B4"/>
    <w:rsid w:val="00D16490"/>
    <w:rsid w:val="00D20839"/>
    <w:rsid w:val="00D2254D"/>
    <w:rsid w:val="00D23CED"/>
    <w:rsid w:val="00D244E2"/>
    <w:rsid w:val="00D24929"/>
    <w:rsid w:val="00D25A9C"/>
    <w:rsid w:val="00D260A2"/>
    <w:rsid w:val="00D26E26"/>
    <w:rsid w:val="00D272DE"/>
    <w:rsid w:val="00D30CC6"/>
    <w:rsid w:val="00D318FA"/>
    <w:rsid w:val="00D3526F"/>
    <w:rsid w:val="00D35319"/>
    <w:rsid w:val="00D35449"/>
    <w:rsid w:val="00D373B5"/>
    <w:rsid w:val="00D373ED"/>
    <w:rsid w:val="00D37673"/>
    <w:rsid w:val="00D4132A"/>
    <w:rsid w:val="00D426BE"/>
    <w:rsid w:val="00D4451F"/>
    <w:rsid w:val="00D45515"/>
    <w:rsid w:val="00D456FF"/>
    <w:rsid w:val="00D477BA"/>
    <w:rsid w:val="00D501E3"/>
    <w:rsid w:val="00D50D55"/>
    <w:rsid w:val="00D52EBC"/>
    <w:rsid w:val="00D531A7"/>
    <w:rsid w:val="00D5430D"/>
    <w:rsid w:val="00D55198"/>
    <w:rsid w:val="00D565A0"/>
    <w:rsid w:val="00D56C1E"/>
    <w:rsid w:val="00D601E0"/>
    <w:rsid w:val="00D60BB7"/>
    <w:rsid w:val="00D60BE9"/>
    <w:rsid w:val="00D61019"/>
    <w:rsid w:val="00D6206A"/>
    <w:rsid w:val="00D62EF1"/>
    <w:rsid w:val="00D6309D"/>
    <w:rsid w:val="00D63D1A"/>
    <w:rsid w:val="00D6497C"/>
    <w:rsid w:val="00D649E7"/>
    <w:rsid w:val="00D64C2A"/>
    <w:rsid w:val="00D65ACB"/>
    <w:rsid w:val="00D65F0A"/>
    <w:rsid w:val="00D709E5"/>
    <w:rsid w:val="00D73394"/>
    <w:rsid w:val="00D754DB"/>
    <w:rsid w:val="00D7643A"/>
    <w:rsid w:val="00D76C7E"/>
    <w:rsid w:val="00D77DC5"/>
    <w:rsid w:val="00D83783"/>
    <w:rsid w:val="00D85EDB"/>
    <w:rsid w:val="00D869CC"/>
    <w:rsid w:val="00D906B5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54D3"/>
    <w:rsid w:val="00DB551F"/>
    <w:rsid w:val="00DB7A45"/>
    <w:rsid w:val="00DC00E1"/>
    <w:rsid w:val="00DC13DD"/>
    <w:rsid w:val="00DC16DB"/>
    <w:rsid w:val="00DC204E"/>
    <w:rsid w:val="00DC37A5"/>
    <w:rsid w:val="00DC40BF"/>
    <w:rsid w:val="00DC5A5E"/>
    <w:rsid w:val="00DC7450"/>
    <w:rsid w:val="00DD00F3"/>
    <w:rsid w:val="00DD0C0C"/>
    <w:rsid w:val="00DD31C6"/>
    <w:rsid w:val="00DD32D7"/>
    <w:rsid w:val="00DD53ED"/>
    <w:rsid w:val="00DD5587"/>
    <w:rsid w:val="00DD63CB"/>
    <w:rsid w:val="00DD6599"/>
    <w:rsid w:val="00DD6A03"/>
    <w:rsid w:val="00DD7A8F"/>
    <w:rsid w:val="00DE001F"/>
    <w:rsid w:val="00DE24DD"/>
    <w:rsid w:val="00DE2D48"/>
    <w:rsid w:val="00DE2D6B"/>
    <w:rsid w:val="00DE35FC"/>
    <w:rsid w:val="00DE4F4B"/>
    <w:rsid w:val="00DE5AC6"/>
    <w:rsid w:val="00DE6A25"/>
    <w:rsid w:val="00DE6B09"/>
    <w:rsid w:val="00DE6FD8"/>
    <w:rsid w:val="00DE7F97"/>
    <w:rsid w:val="00DF0AFC"/>
    <w:rsid w:val="00DF1010"/>
    <w:rsid w:val="00DF28C9"/>
    <w:rsid w:val="00DF5E68"/>
    <w:rsid w:val="00DF63F6"/>
    <w:rsid w:val="00E015EF"/>
    <w:rsid w:val="00E02E29"/>
    <w:rsid w:val="00E03AFE"/>
    <w:rsid w:val="00E05527"/>
    <w:rsid w:val="00E058F2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1AFE"/>
    <w:rsid w:val="00E234C2"/>
    <w:rsid w:val="00E240A9"/>
    <w:rsid w:val="00E24407"/>
    <w:rsid w:val="00E25C3C"/>
    <w:rsid w:val="00E268F9"/>
    <w:rsid w:val="00E27C2C"/>
    <w:rsid w:val="00E30704"/>
    <w:rsid w:val="00E30ED2"/>
    <w:rsid w:val="00E35661"/>
    <w:rsid w:val="00E35AD8"/>
    <w:rsid w:val="00E35C1B"/>
    <w:rsid w:val="00E371E6"/>
    <w:rsid w:val="00E40AE8"/>
    <w:rsid w:val="00E43911"/>
    <w:rsid w:val="00E43D18"/>
    <w:rsid w:val="00E44982"/>
    <w:rsid w:val="00E44EC6"/>
    <w:rsid w:val="00E462D9"/>
    <w:rsid w:val="00E46323"/>
    <w:rsid w:val="00E46AA1"/>
    <w:rsid w:val="00E471AC"/>
    <w:rsid w:val="00E4764E"/>
    <w:rsid w:val="00E519B9"/>
    <w:rsid w:val="00E53C27"/>
    <w:rsid w:val="00E547E2"/>
    <w:rsid w:val="00E54B7A"/>
    <w:rsid w:val="00E558C2"/>
    <w:rsid w:val="00E55DC4"/>
    <w:rsid w:val="00E564E9"/>
    <w:rsid w:val="00E567AD"/>
    <w:rsid w:val="00E56B30"/>
    <w:rsid w:val="00E56EAC"/>
    <w:rsid w:val="00E57E2B"/>
    <w:rsid w:val="00E6188F"/>
    <w:rsid w:val="00E61EE6"/>
    <w:rsid w:val="00E634F8"/>
    <w:rsid w:val="00E63F3F"/>
    <w:rsid w:val="00E7036C"/>
    <w:rsid w:val="00E7180C"/>
    <w:rsid w:val="00E72BDC"/>
    <w:rsid w:val="00E74919"/>
    <w:rsid w:val="00E75274"/>
    <w:rsid w:val="00E758B9"/>
    <w:rsid w:val="00E765D7"/>
    <w:rsid w:val="00E776AF"/>
    <w:rsid w:val="00E81A45"/>
    <w:rsid w:val="00E83F21"/>
    <w:rsid w:val="00E84D54"/>
    <w:rsid w:val="00E8547D"/>
    <w:rsid w:val="00E85885"/>
    <w:rsid w:val="00E85C0B"/>
    <w:rsid w:val="00E87642"/>
    <w:rsid w:val="00E90C15"/>
    <w:rsid w:val="00E91895"/>
    <w:rsid w:val="00E9433A"/>
    <w:rsid w:val="00E950B8"/>
    <w:rsid w:val="00E96EAF"/>
    <w:rsid w:val="00E9700E"/>
    <w:rsid w:val="00E973E2"/>
    <w:rsid w:val="00EA05CE"/>
    <w:rsid w:val="00EA0AE1"/>
    <w:rsid w:val="00EA4108"/>
    <w:rsid w:val="00EA42BD"/>
    <w:rsid w:val="00EA4863"/>
    <w:rsid w:val="00EA5318"/>
    <w:rsid w:val="00EA6990"/>
    <w:rsid w:val="00EA7169"/>
    <w:rsid w:val="00EB0ACD"/>
    <w:rsid w:val="00EB0C64"/>
    <w:rsid w:val="00EB2F05"/>
    <w:rsid w:val="00EB34D6"/>
    <w:rsid w:val="00EB3633"/>
    <w:rsid w:val="00EB36D3"/>
    <w:rsid w:val="00EB4929"/>
    <w:rsid w:val="00EB5CE3"/>
    <w:rsid w:val="00EB6A0D"/>
    <w:rsid w:val="00EB75F9"/>
    <w:rsid w:val="00EB78C8"/>
    <w:rsid w:val="00EC1DE3"/>
    <w:rsid w:val="00EC2615"/>
    <w:rsid w:val="00EC3677"/>
    <w:rsid w:val="00EC37EA"/>
    <w:rsid w:val="00EC3F98"/>
    <w:rsid w:val="00EC655C"/>
    <w:rsid w:val="00EC7288"/>
    <w:rsid w:val="00EC7AF6"/>
    <w:rsid w:val="00ED0E7B"/>
    <w:rsid w:val="00ED109D"/>
    <w:rsid w:val="00ED1139"/>
    <w:rsid w:val="00ED14F4"/>
    <w:rsid w:val="00ED2B5C"/>
    <w:rsid w:val="00ED3C5D"/>
    <w:rsid w:val="00ED3F13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B9D"/>
    <w:rsid w:val="00EF3348"/>
    <w:rsid w:val="00EF367F"/>
    <w:rsid w:val="00EF4B7E"/>
    <w:rsid w:val="00EF5909"/>
    <w:rsid w:val="00EF5F3C"/>
    <w:rsid w:val="00EF647A"/>
    <w:rsid w:val="00EF7E0C"/>
    <w:rsid w:val="00F00692"/>
    <w:rsid w:val="00F00F70"/>
    <w:rsid w:val="00F0141B"/>
    <w:rsid w:val="00F0180F"/>
    <w:rsid w:val="00F01CFA"/>
    <w:rsid w:val="00F02E09"/>
    <w:rsid w:val="00F030E1"/>
    <w:rsid w:val="00F0448F"/>
    <w:rsid w:val="00F07188"/>
    <w:rsid w:val="00F0750F"/>
    <w:rsid w:val="00F1034D"/>
    <w:rsid w:val="00F10F70"/>
    <w:rsid w:val="00F1123F"/>
    <w:rsid w:val="00F145D5"/>
    <w:rsid w:val="00F15073"/>
    <w:rsid w:val="00F15202"/>
    <w:rsid w:val="00F164AB"/>
    <w:rsid w:val="00F166F3"/>
    <w:rsid w:val="00F16DC8"/>
    <w:rsid w:val="00F21241"/>
    <w:rsid w:val="00F225FA"/>
    <w:rsid w:val="00F22E66"/>
    <w:rsid w:val="00F23CD9"/>
    <w:rsid w:val="00F24F46"/>
    <w:rsid w:val="00F25C5D"/>
    <w:rsid w:val="00F25CF3"/>
    <w:rsid w:val="00F263D7"/>
    <w:rsid w:val="00F275C0"/>
    <w:rsid w:val="00F325B5"/>
    <w:rsid w:val="00F33150"/>
    <w:rsid w:val="00F334B2"/>
    <w:rsid w:val="00F34451"/>
    <w:rsid w:val="00F35172"/>
    <w:rsid w:val="00F353B2"/>
    <w:rsid w:val="00F35E6A"/>
    <w:rsid w:val="00F36B00"/>
    <w:rsid w:val="00F37BDD"/>
    <w:rsid w:val="00F37D87"/>
    <w:rsid w:val="00F403C5"/>
    <w:rsid w:val="00F407A1"/>
    <w:rsid w:val="00F41503"/>
    <w:rsid w:val="00F42B1E"/>
    <w:rsid w:val="00F432BD"/>
    <w:rsid w:val="00F4370F"/>
    <w:rsid w:val="00F43BA2"/>
    <w:rsid w:val="00F43D2B"/>
    <w:rsid w:val="00F46011"/>
    <w:rsid w:val="00F466C8"/>
    <w:rsid w:val="00F469D3"/>
    <w:rsid w:val="00F46A77"/>
    <w:rsid w:val="00F46C65"/>
    <w:rsid w:val="00F508A4"/>
    <w:rsid w:val="00F51A3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527B"/>
    <w:rsid w:val="00F65397"/>
    <w:rsid w:val="00F65E2F"/>
    <w:rsid w:val="00F66FC6"/>
    <w:rsid w:val="00F7033B"/>
    <w:rsid w:val="00F70568"/>
    <w:rsid w:val="00F70D98"/>
    <w:rsid w:val="00F71366"/>
    <w:rsid w:val="00F71786"/>
    <w:rsid w:val="00F717F7"/>
    <w:rsid w:val="00F72728"/>
    <w:rsid w:val="00F77D57"/>
    <w:rsid w:val="00F8002E"/>
    <w:rsid w:val="00F80DF5"/>
    <w:rsid w:val="00F81CF1"/>
    <w:rsid w:val="00F8309B"/>
    <w:rsid w:val="00F83CBD"/>
    <w:rsid w:val="00F8548F"/>
    <w:rsid w:val="00F873A9"/>
    <w:rsid w:val="00F9303A"/>
    <w:rsid w:val="00F935C2"/>
    <w:rsid w:val="00F9478C"/>
    <w:rsid w:val="00F94919"/>
    <w:rsid w:val="00F94D73"/>
    <w:rsid w:val="00FA03DB"/>
    <w:rsid w:val="00FA0832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0C3F"/>
    <w:rsid w:val="00FB52BC"/>
    <w:rsid w:val="00FB610D"/>
    <w:rsid w:val="00FB71E0"/>
    <w:rsid w:val="00FC12F1"/>
    <w:rsid w:val="00FC1EE1"/>
    <w:rsid w:val="00FC2104"/>
    <w:rsid w:val="00FC2EE4"/>
    <w:rsid w:val="00FC2FB0"/>
    <w:rsid w:val="00FC399F"/>
    <w:rsid w:val="00FC43A0"/>
    <w:rsid w:val="00FC450A"/>
    <w:rsid w:val="00FC4D31"/>
    <w:rsid w:val="00FC4F81"/>
    <w:rsid w:val="00FC5238"/>
    <w:rsid w:val="00FC7ACE"/>
    <w:rsid w:val="00FD226C"/>
    <w:rsid w:val="00FD2CCA"/>
    <w:rsid w:val="00FD39B4"/>
    <w:rsid w:val="00FD77FC"/>
    <w:rsid w:val="00FE11A9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F427B4D-2623-411E-8D09-0E1F3AA7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6F1596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comgrade">
    <w:name w:val="Table Grid"/>
    <w:basedOn w:val="Tabe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pt-BR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har">
    <w:name w:val="Título 1 Ch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pt-BR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Textodebalo">
    <w:name w:val="Balloon Text"/>
    <w:basedOn w:val="Normal"/>
    <w:link w:val="Textodebalo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odebaloChar">
    <w:name w:val="Texto de balão Char"/>
    <w:link w:val="Textodebalo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eastAsia="en-US"/>
    </w:rPr>
  </w:style>
  <w:style w:type="paragraph" w:styleId="Corpodetexto">
    <w:name w:val="Body Text"/>
    <w:basedOn w:val="Normal"/>
    <w:link w:val="CorpodetextoChar"/>
    <w:rsid w:val="00B97119"/>
    <w:pPr>
      <w:spacing w:after="120" w:line="280" w:lineRule="exact"/>
    </w:pPr>
    <w:rPr>
      <w:lang w:eastAsia="de-DE"/>
    </w:rPr>
  </w:style>
  <w:style w:type="character" w:customStyle="1" w:styleId="CorpodetextoChar">
    <w:name w:val="Corpo de texto Char"/>
    <w:link w:val="Corpodetexto"/>
    <w:rsid w:val="00B97119"/>
    <w:rPr>
      <w:rFonts w:ascii="Arial" w:hAnsi="Arial"/>
      <w:szCs w:val="24"/>
    </w:rPr>
  </w:style>
  <w:style w:type="character" w:styleId="Refdecomentrio">
    <w:name w:val="annotation reference"/>
    <w:rsid w:val="0049281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92818"/>
    <w:rPr>
      <w:szCs w:val="20"/>
    </w:rPr>
  </w:style>
  <w:style w:type="character" w:customStyle="1" w:styleId="TextodecomentrioChar">
    <w:name w:val="Texto de comentário Char"/>
    <w:link w:val="Textodecomentrio"/>
    <w:rsid w:val="00492818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2818"/>
    <w:rPr>
      <w:b/>
      <w:bCs/>
    </w:rPr>
  </w:style>
  <w:style w:type="character" w:customStyle="1" w:styleId="AssuntodocomentrioChar">
    <w:name w:val="Assunto do comentário Char"/>
    <w:link w:val="Assuntodocomentrio"/>
    <w:rsid w:val="00492818"/>
    <w:rPr>
      <w:rFonts w:ascii="Arial" w:hAnsi="Arial"/>
      <w:b/>
      <w:bCs/>
      <w:lang w:eastAsia="en-US"/>
    </w:rPr>
  </w:style>
  <w:style w:type="character" w:customStyle="1" w:styleId="RodapChar">
    <w:name w:val="Rodapé Char"/>
    <w:link w:val="Rodap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Corpodetexto3">
    <w:name w:val="Body Text 3"/>
    <w:basedOn w:val="Normal"/>
    <w:link w:val="Corpodetexto3Char"/>
    <w:rsid w:val="00F567E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F567EF"/>
    <w:rPr>
      <w:rFonts w:ascii="Arial" w:hAnsi="Arial"/>
      <w:sz w:val="16"/>
      <w:szCs w:val="16"/>
      <w:lang w:val="pt-BR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Pr-formataoHTMLChar">
    <w:name w:val="Pré-formatação HTML Char"/>
    <w:link w:val="Pr-formataoHTML"/>
    <w:uiPriority w:val="99"/>
    <w:rsid w:val="00131DDD"/>
    <w:rPr>
      <w:rFonts w:ascii="Courier New" w:hAnsi="Courier New" w:cs="Courier New"/>
    </w:rPr>
  </w:style>
  <w:style w:type="paragraph" w:styleId="Reviso">
    <w:name w:val="Revision"/>
    <w:hidden/>
    <w:uiPriority w:val="71"/>
    <w:unhideWhenUsed/>
    <w:rsid w:val="00A2583B"/>
    <w:rPr>
      <w:rFonts w:ascii="Arial" w:hAnsi="Arial"/>
      <w:szCs w:val="24"/>
      <w:lang w:eastAsia="en-US"/>
    </w:rPr>
  </w:style>
  <w:style w:type="character" w:styleId="HiperlinkVisitado">
    <w:name w:val="FollowedHyperlink"/>
    <w:rsid w:val="009E4028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A8474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s-AR" w:eastAsia="es-AR"/>
    </w:rPr>
  </w:style>
  <w:style w:type="paragraph" w:customStyle="1" w:styleId="He01Flietext">
    <w:name w:val="_He_01_Fließtext"/>
    <w:qFormat/>
    <w:rsid w:val="00233D83"/>
    <w:pPr>
      <w:spacing w:after="160" w:line="276" w:lineRule="auto"/>
    </w:pPr>
    <w:rPr>
      <w:rFonts w:ascii="Arial" w:eastAsiaTheme="minorHAnsi" w:hAnsi="Arial" w:cstheme="minorBidi"/>
      <w:sz w:val="24"/>
      <w:szCs w:val="22"/>
      <w:lang w:val="en-US" w:eastAsia="en-US"/>
    </w:rPr>
  </w:style>
  <w:style w:type="paragraph" w:customStyle="1" w:styleId="He01FlietextAufzhlung1Ebene">
    <w:name w:val="_He_01_Fließtext Aufzählung 1. Ebene"/>
    <w:next w:val="He01Flietext"/>
    <w:qFormat/>
    <w:rsid w:val="00233D83"/>
    <w:pPr>
      <w:numPr>
        <w:numId w:val="24"/>
      </w:numPr>
      <w:spacing w:after="113" w:line="276" w:lineRule="auto"/>
    </w:pPr>
    <w:rPr>
      <w:rFonts w:ascii="Arial" w:eastAsiaTheme="minorHAnsi" w:hAnsi="Arial" w:cstheme="minorBidi"/>
      <w:sz w:val="24"/>
      <w:szCs w:val="22"/>
      <w:lang w:val="en-US" w:eastAsia="en-US"/>
    </w:rPr>
  </w:style>
  <w:style w:type="paragraph" w:customStyle="1" w:styleId="He02berschriftEbene1">
    <w:name w:val="_He_02_Überschrift Ebene 1"/>
    <w:next w:val="He01Flietext"/>
    <w:qFormat/>
    <w:rsid w:val="00233D83"/>
    <w:pPr>
      <w:pageBreakBefore/>
      <w:spacing w:after="113"/>
    </w:pPr>
    <w:rPr>
      <w:rFonts w:ascii="Arial" w:eastAsiaTheme="minorHAnsi" w:hAnsi="Arial" w:cstheme="minorBidi"/>
      <w:color w:val="D7000F"/>
      <w:sz w:val="48"/>
      <w:szCs w:val="22"/>
      <w:lang w:val="en-US" w:eastAsia="en-US"/>
    </w:rPr>
  </w:style>
  <w:style w:type="paragraph" w:customStyle="1" w:styleId="He02berschriftEbene2">
    <w:name w:val="_He_02_Überschrift Ebene 2"/>
    <w:next w:val="He01Flietext"/>
    <w:qFormat/>
    <w:rsid w:val="00233D83"/>
    <w:pPr>
      <w:spacing w:after="113"/>
    </w:pPr>
    <w:rPr>
      <w:rFonts w:ascii="Arial" w:eastAsiaTheme="minorHAnsi" w:hAnsi="Arial" w:cstheme="minorBidi"/>
      <w:b/>
      <w:sz w:val="28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33D83"/>
    <w:rPr>
      <w:rFonts w:ascii="Arial" w:hAnsi="Arial"/>
      <w:szCs w:val="24"/>
      <w:lang w:eastAsia="en-US"/>
    </w:rPr>
  </w:style>
  <w:style w:type="paragraph" w:customStyle="1" w:styleId="THe02reKopfrotbold">
    <w:name w:val="T_He_02_re Kopf rot bold"/>
    <w:next w:val="Normal"/>
    <w:qFormat/>
    <w:rsid w:val="00233D83"/>
    <w:pPr>
      <w:jc w:val="right"/>
    </w:pPr>
    <w:rPr>
      <w:rFonts w:ascii="Arial" w:eastAsiaTheme="minorHAnsi" w:hAnsi="Arial" w:cstheme="minorBidi"/>
      <w:b/>
      <w:color w:val="E1000F"/>
      <w:szCs w:val="22"/>
      <w:lang w:val="en-US" w:eastAsia="en-US"/>
      <w14:numForm w14:val="lining"/>
    </w:rPr>
  </w:style>
  <w:style w:type="paragraph" w:customStyle="1" w:styleId="THe02reschwarzbold">
    <w:name w:val="T_He_02_re schwarz bold"/>
    <w:next w:val="Normal"/>
    <w:qFormat/>
    <w:rsid w:val="00233D83"/>
    <w:pPr>
      <w:jc w:val="right"/>
    </w:pPr>
    <w:rPr>
      <w:rFonts w:ascii="Arial" w:eastAsiaTheme="minorHAnsi" w:hAnsi="Arial" w:cstheme="minorBidi"/>
      <w:b/>
      <w:caps/>
      <w:color w:val="000000" w:themeColor="text1"/>
      <w:szCs w:val="22"/>
      <w:lang w:val="en-US" w:eastAsia="en-US"/>
      <w14:numForm w14:val="lining"/>
    </w:rPr>
  </w:style>
  <w:style w:type="paragraph" w:customStyle="1" w:styleId="THe02lischwarzbold">
    <w:name w:val="T_He_02_li schwarz bold"/>
    <w:next w:val="Normal"/>
    <w:qFormat/>
    <w:rsid w:val="00233D83"/>
    <w:rPr>
      <w:rFonts w:ascii="Arial" w:eastAsiaTheme="minorHAnsi" w:hAnsi="Arial" w:cstheme="minorBidi"/>
      <w:b/>
      <w:color w:val="000000" w:themeColor="text1"/>
      <w:szCs w:val="22"/>
      <w:lang w:val="en-US" w:eastAsia="en-US"/>
    </w:rPr>
  </w:style>
  <w:style w:type="paragraph" w:customStyle="1" w:styleId="THe01berschrift">
    <w:name w:val="T_He_01_Überschrift"/>
    <w:next w:val="Normal"/>
    <w:qFormat/>
    <w:rsid w:val="00233D83"/>
    <w:pPr>
      <w:numPr>
        <w:numId w:val="25"/>
      </w:numPr>
      <w:spacing w:after="160" w:line="259" w:lineRule="auto"/>
    </w:pPr>
    <w:rPr>
      <w:rFonts w:ascii="Arial" w:eastAsiaTheme="minorHAnsi" w:hAnsi="Arial" w:cstheme="minorBidi"/>
      <w:b/>
      <w:color w:val="5F6973"/>
      <w:sz w:val="24"/>
      <w:szCs w:val="22"/>
      <w:lang w:val="en-US" w:eastAsia="en-US"/>
    </w:rPr>
  </w:style>
  <w:style w:type="paragraph" w:customStyle="1" w:styleId="THe02reschwarz">
    <w:name w:val="T_He_02_re schwarz"/>
    <w:next w:val="Normal"/>
    <w:qFormat/>
    <w:rsid w:val="00233D83"/>
    <w:pPr>
      <w:jc w:val="right"/>
    </w:pPr>
    <w:rPr>
      <w:rFonts w:ascii="Arial" w:eastAsiaTheme="minorHAnsi" w:hAnsi="Arial" w:cstheme="minorBidi"/>
      <w:caps/>
      <w:color w:val="000000" w:themeColor="text1"/>
      <w:szCs w:val="22"/>
      <w:lang w:val="en-US" w:eastAsia="en-US"/>
      <w14:numForm w14:val="lining"/>
    </w:rPr>
  </w:style>
  <w:style w:type="paragraph" w:customStyle="1" w:styleId="THe02lischwarz">
    <w:name w:val="T_He_02_li schwarz"/>
    <w:next w:val="Normal"/>
    <w:qFormat/>
    <w:rsid w:val="00233D83"/>
    <w:rPr>
      <w:rFonts w:ascii="Arial" w:eastAsiaTheme="minorHAnsi" w:hAnsi="Arial" w:cstheme="minorBidi"/>
      <w:szCs w:val="22"/>
      <w:lang w:val="en-US" w:eastAsia="en-US"/>
    </w:rPr>
  </w:style>
  <w:style w:type="paragraph" w:customStyle="1" w:styleId="THe02liFunotenummeriert">
    <w:name w:val="T_He_02_li Fußnote nummeriert"/>
    <w:qFormat/>
    <w:rsid w:val="00233D83"/>
    <w:pPr>
      <w:numPr>
        <w:ilvl w:val="1"/>
        <w:numId w:val="25"/>
      </w:numPr>
      <w:spacing w:before="20" w:after="20" w:line="259" w:lineRule="auto"/>
      <w:contextualSpacing/>
    </w:pPr>
    <w:rPr>
      <w:rFonts w:ascii="Arial" w:eastAsiaTheme="minorHAnsi" w:hAnsi="Arial" w:cstheme="minorBidi"/>
      <w:color w:val="5F6973"/>
      <w:sz w:val="14"/>
      <w:szCs w:val="22"/>
      <w:lang w:val="de-DE" w:eastAsia="en-US"/>
    </w:rPr>
  </w:style>
  <w:style w:type="paragraph" w:customStyle="1" w:styleId="THe02lischwarzEinzug2Ebene">
    <w:name w:val="T_He_02_li schwarz Einzug 2. Ebene"/>
    <w:qFormat/>
    <w:rsid w:val="00233D83"/>
    <w:pPr>
      <w:ind w:left="340"/>
    </w:pPr>
    <w:rPr>
      <w:rFonts w:ascii="Arial" w:eastAsiaTheme="minorHAnsi" w:hAnsi="Arial" w:cstheme="minorBidi"/>
      <w:szCs w:val="22"/>
      <w:lang w:val="en-US" w:eastAsia="en-US"/>
    </w:rPr>
  </w:style>
  <w:style w:type="paragraph" w:customStyle="1" w:styleId="THe02liheader">
    <w:name w:val="T_He_02_li_header"/>
    <w:qFormat/>
    <w:rsid w:val="00233D83"/>
    <w:pPr>
      <w:spacing w:before="120"/>
    </w:pPr>
    <w:rPr>
      <w:rFonts w:ascii="Arial" w:eastAsiaTheme="minorHAnsi" w:hAnsi="Arial" w:cstheme="minorBidi"/>
      <w:b/>
      <w:color w:val="5F6973"/>
      <w:szCs w:val="22"/>
      <w:lang w:val="en-US" w:eastAsia="en-US"/>
    </w:rPr>
  </w:style>
  <w:style w:type="paragraph" w:customStyle="1" w:styleId="THe02reheader">
    <w:name w:val="T_He_02_re_header"/>
    <w:qFormat/>
    <w:rsid w:val="00233D83"/>
    <w:pPr>
      <w:jc w:val="right"/>
    </w:pPr>
    <w:rPr>
      <w:rFonts w:ascii="Arial" w:eastAsiaTheme="minorHAnsi" w:hAnsi="Arial" w:cstheme="minorBidi"/>
      <w:b/>
      <w:color w:val="000000" w:themeColor="text1"/>
      <w:szCs w:val="22"/>
      <w:lang w:val="en-US" w:eastAsia="en-US"/>
    </w:rPr>
  </w:style>
  <w:style w:type="paragraph" w:customStyle="1" w:styleId="THe02regrey">
    <w:name w:val="T_He_02_re_grey"/>
    <w:qFormat/>
    <w:rsid w:val="00233D83"/>
    <w:pPr>
      <w:jc w:val="right"/>
    </w:pPr>
    <w:rPr>
      <w:rFonts w:ascii="Arial" w:eastAsiaTheme="minorHAnsi" w:hAnsi="Arial" w:cstheme="minorBidi"/>
      <w:color w:val="5F6973"/>
      <w:szCs w:val="22"/>
      <w:lang w:val="en-US" w:eastAsia="en-US"/>
    </w:rPr>
  </w:style>
  <w:style w:type="paragraph" w:customStyle="1" w:styleId="THe03leereZeile">
    <w:name w:val="T_He_03_leere_Zeile"/>
    <w:qFormat/>
    <w:rsid w:val="00233D83"/>
    <w:rPr>
      <w:rFonts w:ascii="Arial" w:eastAsiaTheme="minorHAnsi" w:hAnsi="Arial" w:cstheme="minorBidi"/>
      <w:color w:val="5F6973"/>
      <w:sz w:val="5"/>
      <w:szCs w:val="22"/>
      <w:lang w:val="en-US" w:eastAsia="en-US"/>
    </w:rPr>
  </w:style>
  <w:style w:type="character" w:styleId="Forte">
    <w:name w:val="Strong"/>
    <w:uiPriority w:val="22"/>
    <w:qFormat/>
    <w:rsid w:val="00233D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ebora.folego@cdn.com.b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anessa.cunha@cd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abio.mincarelli@henkel.co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henkel.co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ubem.dario@cdn.com.br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72f792e8-4dad-42c1-ad63-44982727bf4d" ContentTypeId="0x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B5449-5CA1-43DF-8E06-13177FBF8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312601-044B-45E6-A8C8-26C3F7260B1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B19D785-1409-40F5-A472-7B29F974B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5</TotalTime>
  <Pages>10</Pages>
  <Words>3161</Words>
  <Characters>18467</Characters>
  <Application>Microsoft Office Word</Application>
  <DocSecurity>0</DocSecurity>
  <Lines>153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News Release</vt:lpstr>
      <vt:lpstr>News Release</vt:lpstr>
    </vt:vector>
  </TitlesOfParts>
  <Company>Henkel AG &amp; Co. KGaA</Company>
  <LinksUpToDate>false</LinksUpToDate>
  <CharactersWithSpaces>21585</CharactersWithSpaces>
  <SharedDoc>false</SharedDoc>
  <HLinks>
    <vt:vector size="54" baseType="variant"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1835116</vt:i4>
      </vt:variant>
      <vt:variant>
        <vt:i4>18</vt:i4>
      </vt:variant>
      <vt:variant>
        <vt:i4>0</vt:i4>
      </vt:variant>
      <vt:variant>
        <vt:i4>5</vt:i4>
      </vt:variant>
      <vt:variant>
        <vt:lpwstr>mailto:jennifer.ott@henkel.com</vt:lpwstr>
      </vt:variant>
      <vt:variant>
        <vt:lpwstr/>
      </vt:variant>
      <vt:variant>
        <vt:i4>7864330</vt:i4>
      </vt:variant>
      <vt:variant>
        <vt:i4>15</vt:i4>
      </vt:variant>
      <vt:variant>
        <vt:i4>0</vt:i4>
      </vt:variant>
      <vt:variant>
        <vt:i4>5</vt:i4>
      </vt:variant>
      <vt:variant>
        <vt:lpwstr>mailto:dorothee.brinkmann@henkel.com</vt:lpwstr>
      </vt:variant>
      <vt:variant>
        <vt:lpwstr/>
      </vt:variant>
      <vt:variant>
        <vt:i4>7929869</vt:i4>
      </vt:variant>
      <vt:variant>
        <vt:i4>12</vt:i4>
      </vt:variant>
      <vt:variant>
        <vt:i4>0</vt:i4>
      </vt:variant>
      <vt:variant>
        <vt:i4>5</vt:i4>
      </vt:variant>
      <vt:variant>
        <vt:lpwstr>mailto:mona.niermann@henkel.com</vt:lpwstr>
      </vt:variant>
      <vt:variant>
        <vt:lpwstr/>
      </vt:variant>
      <vt:variant>
        <vt:i4>119</vt:i4>
      </vt:variant>
      <vt:variant>
        <vt:i4>9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786533</vt:i4>
      </vt:variant>
      <vt:variant>
        <vt:i4>6</vt:i4>
      </vt:variant>
      <vt:variant>
        <vt:i4>0</vt:i4>
      </vt:variant>
      <vt:variant>
        <vt:i4>5</vt:i4>
      </vt:variant>
      <vt:variant>
        <vt:lpwstr>mailto:lars.korinth@henkel.com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4325452</vt:i4>
      </vt:variant>
      <vt:variant>
        <vt:i4>0</vt:i4>
      </vt:variant>
      <vt:variant>
        <vt:i4>0</vt:i4>
      </vt:variant>
      <vt:variant>
        <vt:i4>5</vt:i4>
      </vt:variant>
      <vt:variant>
        <vt:lpwstr>https://www.henkel.com/press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Vanessa Cunha</cp:lastModifiedBy>
  <cp:revision>3</cp:revision>
  <cp:lastPrinted>2020-03-04T20:52:00Z</cp:lastPrinted>
  <dcterms:created xsi:type="dcterms:W3CDTF">2020-08-06T18:54:00Z</dcterms:created>
  <dcterms:modified xsi:type="dcterms:W3CDTF">2020-08-06T19:16:00Z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0x010100CD837FB7D93AEB48A278AA445DC5D93C</vt:lpwstr>
  </property>
</Properties>
</file>