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097DB270" w:rsidR="00B422EC" w:rsidRPr="007E7A47" w:rsidRDefault="00E41377" w:rsidP="00E41377">
      <w:pPr>
        <w:pStyle w:val="MonthDayYear"/>
        <w:tabs>
          <w:tab w:val="left" w:pos="7513"/>
        </w:tabs>
        <w:jc w:val="left"/>
        <w:rPr>
          <w:lang w:val="sr-Latn-RS"/>
        </w:rPr>
      </w:pPr>
      <w:r w:rsidRPr="007E7A47">
        <w:rPr>
          <w:lang w:val="sr-Latn-RS"/>
        </w:rPr>
        <w:tab/>
      </w:r>
      <w:r w:rsidR="00635616" w:rsidRPr="007E7A47">
        <w:rPr>
          <w:lang w:val="sr-Latn-RS"/>
        </w:rPr>
        <w:t>6</w:t>
      </w:r>
      <w:r w:rsidR="007E7A47" w:rsidRPr="007E7A47">
        <w:rPr>
          <w:lang w:val="sr-Latn-RS"/>
        </w:rPr>
        <w:t>. avgust</w:t>
      </w:r>
      <w:r w:rsidR="00BF6E82" w:rsidRPr="007E7A47">
        <w:rPr>
          <w:lang w:val="sr-Latn-RS"/>
        </w:rPr>
        <w:t>, 20</w:t>
      </w:r>
      <w:r w:rsidR="00F635FC" w:rsidRPr="007E7A47">
        <w:rPr>
          <w:lang w:val="sr-Latn-RS"/>
        </w:rPr>
        <w:t>20</w:t>
      </w:r>
      <w:r w:rsidR="007E7A47" w:rsidRPr="007E7A47">
        <w:rPr>
          <w:lang w:val="sr-Latn-RS"/>
        </w:rPr>
        <w:t>.</w:t>
      </w:r>
    </w:p>
    <w:p w14:paraId="09896324" w14:textId="5B95F5A6" w:rsidR="007F0F63" w:rsidRPr="007E7A47" w:rsidRDefault="00635616" w:rsidP="007E7A47">
      <w:pPr>
        <w:pStyle w:val="Topline"/>
        <w:spacing w:after="360"/>
        <w:rPr>
          <w:rFonts w:asciiTheme="majorHAnsi" w:hAnsiTheme="majorHAnsi" w:cstheme="majorHAnsi"/>
          <w:lang w:val="sr-Latn-RS"/>
        </w:rPr>
      </w:pPr>
      <w:r w:rsidRPr="007E7A47">
        <w:rPr>
          <w:rFonts w:asciiTheme="majorHAnsi" w:hAnsiTheme="majorHAnsi" w:cstheme="majorHAnsi"/>
          <w:lang w:val="sr-Latn-RS"/>
        </w:rPr>
        <w:t xml:space="preserve">Henkel </w:t>
      </w:r>
      <w:r w:rsidR="00415041">
        <w:rPr>
          <w:rFonts w:asciiTheme="majorHAnsi" w:hAnsiTheme="majorHAnsi" w:cstheme="majorHAnsi"/>
          <w:lang w:val="sr-Latn-RS"/>
        </w:rPr>
        <w:t xml:space="preserve"> je </w:t>
      </w:r>
      <w:r w:rsidR="007E7A47">
        <w:rPr>
          <w:rFonts w:asciiTheme="majorHAnsi" w:hAnsiTheme="majorHAnsi" w:cstheme="majorHAnsi"/>
          <w:lang w:val="sr-Latn-RS"/>
        </w:rPr>
        <w:t>objavi</w:t>
      </w:r>
      <w:r w:rsidR="00415041">
        <w:rPr>
          <w:rFonts w:asciiTheme="majorHAnsi" w:hAnsiTheme="majorHAnsi" w:cstheme="majorHAnsi"/>
          <w:lang w:val="sr-Latn-RS"/>
        </w:rPr>
        <w:t>l</w:t>
      </w:r>
      <w:r w:rsidR="007E7A47">
        <w:rPr>
          <w:rFonts w:asciiTheme="majorHAnsi" w:hAnsiTheme="majorHAnsi" w:cstheme="majorHAnsi"/>
          <w:lang w:val="sr-Latn-RS"/>
        </w:rPr>
        <w:t xml:space="preserve"> rezultate za prv</w:t>
      </w:r>
      <w:r w:rsidR="00415041">
        <w:rPr>
          <w:rFonts w:asciiTheme="majorHAnsi" w:hAnsiTheme="majorHAnsi" w:cstheme="majorHAnsi"/>
          <w:lang w:val="sr-Latn-RS"/>
        </w:rPr>
        <w:t>o</w:t>
      </w:r>
      <w:r w:rsidR="007E7A47">
        <w:rPr>
          <w:rFonts w:asciiTheme="majorHAnsi" w:hAnsiTheme="majorHAnsi" w:cstheme="majorHAnsi"/>
          <w:lang w:val="sr-Latn-RS"/>
        </w:rPr>
        <w:t xml:space="preserve"> i</w:t>
      </w:r>
      <w:r w:rsidR="00415041">
        <w:rPr>
          <w:rFonts w:asciiTheme="majorHAnsi" w:hAnsiTheme="majorHAnsi" w:cstheme="majorHAnsi"/>
          <w:lang w:val="sr-Latn-RS"/>
        </w:rPr>
        <w:t>n</w:t>
      </w:r>
      <w:r w:rsidR="007E7A47">
        <w:rPr>
          <w:rFonts w:asciiTheme="majorHAnsi" w:hAnsiTheme="majorHAnsi" w:cstheme="majorHAnsi"/>
          <w:lang w:val="sr-Latn-RS"/>
        </w:rPr>
        <w:t xml:space="preserve"> drug</w:t>
      </w:r>
      <w:r w:rsidR="00415041">
        <w:rPr>
          <w:rFonts w:asciiTheme="majorHAnsi" w:hAnsiTheme="majorHAnsi" w:cstheme="majorHAnsi"/>
          <w:lang w:val="sr-Latn-RS"/>
        </w:rPr>
        <w:t xml:space="preserve">o četrtletje </w:t>
      </w:r>
      <w:r w:rsidR="007E7A47">
        <w:rPr>
          <w:rFonts w:asciiTheme="majorHAnsi" w:hAnsiTheme="majorHAnsi" w:cstheme="majorHAnsi"/>
          <w:lang w:val="sr-Latn-RS"/>
        </w:rPr>
        <w:t>2020</w:t>
      </w:r>
      <w:r w:rsidR="00415041">
        <w:rPr>
          <w:rFonts w:asciiTheme="majorHAnsi" w:hAnsiTheme="majorHAnsi" w:cstheme="majorHAnsi"/>
          <w:lang w:val="sr-Latn-RS"/>
        </w:rPr>
        <w:t xml:space="preserve"> </w:t>
      </w:r>
    </w:p>
    <w:p w14:paraId="76AD0789" w14:textId="0C4E7817" w:rsidR="007F0F63" w:rsidRPr="007E7A47" w:rsidRDefault="00C66218" w:rsidP="007E7A47">
      <w:pPr>
        <w:jc w:val="left"/>
        <w:rPr>
          <w:rStyle w:val="Headline"/>
          <w:rFonts w:asciiTheme="majorHAnsi" w:hAnsiTheme="majorHAnsi" w:cstheme="majorHAnsi"/>
          <w:lang w:val="sr-Latn-RS"/>
        </w:rPr>
      </w:pPr>
      <w:r w:rsidRPr="007E7A47">
        <w:rPr>
          <w:rStyle w:val="Headline"/>
          <w:rFonts w:asciiTheme="majorHAnsi" w:hAnsiTheme="majorHAnsi" w:cstheme="majorHAnsi"/>
          <w:lang w:val="sr-Latn-RS"/>
        </w:rPr>
        <w:t xml:space="preserve">Henkel </w:t>
      </w:r>
      <w:r w:rsidR="007E7A47">
        <w:rPr>
          <w:rStyle w:val="Headline"/>
          <w:rFonts w:asciiTheme="majorHAnsi" w:hAnsiTheme="majorHAnsi" w:cstheme="majorHAnsi"/>
          <w:lang w:val="sr-Latn-RS"/>
        </w:rPr>
        <w:t xml:space="preserve">je </w:t>
      </w:r>
      <w:r w:rsidR="00FD0129">
        <w:rPr>
          <w:rStyle w:val="Headline"/>
          <w:rFonts w:asciiTheme="majorHAnsi" w:hAnsiTheme="majorHAnsi" w:cstheme="majorHAnsi"/>
          <w:lang w:val="sr-Latn-RS"/>
        </w:rPr>
        <w:t xml:space="preserve">dosegel trden skupni poslovni izid kljub pomembnim vplivom pandemije </w:t>
      </w:r>
      <w:r w:rsidR="007E7A47">
        <w:rPr>
          <w:rStyle w:val="Headline"/>
          <w:rFonts w:asciiTheme="majorHAnsi" w:hAnsiTheme="majorHAnsi" w:cstheme="majorHAnsi"/>
          <w:lang w:val="sr-Latn-RS"/>
        </w:rPr>
        <w:t>COVID-19</w:t>
      </w:r>
    </w:p>
    <w:p w14:paraId="6706FA18" w14:textId="77777777" w:rsidR="00852511" w:rsidRPr="007E7A47" w:rsidRDefault="00852511" w:rsidP="00365E44">
      <w:pPr>
        <w:rPr>
          <w:lang w:val="sr-Latn-RS"/>
        </w:rPr>
      </w:pPr>
    </w:p>
    <w:p w14:paraId="63D72995" w14:textId="69A1FF69" w:rsidR="00635616" w:rsidRPr="007E7A47" w:rsidRDefault="00415041" w:rsidP="007E7A47">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bookmarkStart w:id="0" w:name="_Hlk43712519"/>
      <w:r>
        <w:rPr>
          <w:rFonts w:asciiTheme="majorHAnsi" w:hAnsiTheme="majorHAnsi" w:cstheme="majorHAnsi"/>
          <w:b/>
          <w:szCs w:val="22"/>
          <w:lang w:val="sr-Latn-RS"/>
        </w:rPr>
        <w:t>Osredotočenost na zagotavljanju zdravstvene varnosti, preskrbi kupcev in podpori skupnostim</w:t>
      </w:r>
    </w:p>
    <w:p w14:paraId="095A5688" w14:textId="49A709A5" w:rsidR="007E7A47" w:rsidRDefault="007E7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Pol</w:t>
      </w:r>
      <w:r w:rsidR="00415041">
        <w:rPr>
          <w:rFonts w:asciiTheme="majorHAnsi" w:hAnsiTheme="majorHAnsi" w:cstheme="majorHAnsi"/>
          <w:b/>
          <w:szCs w:val="22"/>
          <w:lang w:val="sr-Latn-RS"/>
        </w:rPr>
        <w:t>letna</w:t>
      </w:r>
      <w:r>
        <w:rPr>
          <w:rFonts w:asciiTheme="majorHAnsi" w:hAnsiTheme="majorHAnsi" w:cstheme="majorHAnsi"/>
          <w:b/>
          <w:szCs w:val="22"/>
          <w:lang w:val="sr-Latn-RS"/>
        </w:rPr>
        <w:t xml:space="preserve"> prodaja </w:t>
      </w:r>
      <w:r w:rsidR="00415041">
        <w:rPr>
          <w:rFonts w:asciiTheme="majorHAnsi" w:hAnsiTheme="majorHAnsi" w:cstheme="majorHAnsi"/>
          <w:b/>
          <w:szCs w:val="22"/>
          <w:lang w:val="sr-Latn-RS"/>
        </w:rPr>
        <w:t>skupine</w:t>
      </w:r>
      <w:r>
        <w:rPr>
          <w:rFonts w:asciiTheme="majorHAnsi" w:hAnsiTheme="majorHAnsi" w:cstheme="majorHAnsi"/>
          <w:b/>
          <w:szCs w:val="22"/>
          <w:lang w:val="sr-Latn-RS"/>
        </w:rPr>
        <w:t xml:space="preserve"> je dos</w:t>
      </w:r>
      <w:r w:rsidR="00415041">
        <w:rPr>
          <w:rFonts w:asciiTheme="majorHAnsi" w:hAnsiTheme="majorHAnsi" w:cstheme="majorHAnsi"/>
          <w:b/>
          <w:szCs w:val="22"/>
          <w:lang w:val="sr-Latn-RS"/>
        </w:rPr>
        <w:t>gla</w:t>
      </w:r>
      <w:r>
        <w:rPr>
          <w:rFonts w:asciiTheme="majorHAnsi" w:hAnsiTheme="majorHAnsi" w:cstheme="majorHAnsi"/>
          <w:b/>
          <w:szCs w:val="22"/>
          <w:lang w:val="sr-Latn-RS"/>
        </w:rPr>
        <w:t xml:space="preserve"> 9.485 m</w:t>
      </w:r>
      <w:r w:rsidR="00415041">
        <w:rPr>
          <w:rFonts w:asciiTheme="majorHAnsi" w:hAnsiTheme="majorHAnsi" w:cstheme="majorHAnsi"/>
          <w:b/>
          <w:szCs w:val="22"/>
          <w:lang w:val="sr-Latn-RS"/>
        </w:rPr>
        <w:t>ilijonov</w:t>
      </w:r>
      <w:r>
        <w:rPr>
          <w:rFonts w:asciiTheme="majorHAnsi" w:hAnsiTheme="majorHAnsi" w:cstheme="majorHAnsi"/>
          <w:b/>
          <w:szCs w:val="22"/>
          <w:lang w:val="sr-Latn-RS"/>
        </w:rPr>
        <w:t xml:space="preserve"> EUR, nominalno: -6,0%, organsk</w:t>
      </w:r>
      <w:r w:rsidR="00415041">
        <w:rPr>
          <w:rFonts w:asciiTheme="majorHAnsi" w:hAnsiTheme="majorHAnsi" w:cstheme="majorHAnsi"/>
          <w:b/>
          <w:szCs w:val="22"/>
          <w:lang w:val="sr-Latn-RS"/>
        </w:rPr>
        <w:t>o</w:t>
      </w:r>
      <w:r>
        <w:rPr>
          <w:rFonts w:asciiTheme="majorHAnsi" w:hAnsiTheme="majorHAnsi" w:cstheme="majorHAnsi"/>
          <w:b/>
          <w:szCs w:val="22"/>
          <w:lang w:val="sr-Latn-RS"/>
        </w:rPr>
        <w:t xml:space="preserve"> :-5,2%</w:t>
      </w:r>
    </w:p>
    <w:bookmarkEnd w:id="0"/>
    <w:p w14:paraId="513632D6" w14:textId="4D840564" w:rsidR="007E7A47" w:rsidRDefault="007E7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Operativn</w:t>
      </w:r>
      <w:r w:rsidR="00415041">
        <w:rPr>
          <w:rFonts w:asciiTheme="majorHAnsi" w:hAnsiTheme="majorHAnsi" w:cstheme="majorHAnsi"/>
          <w:b/>
          <w:szCs w:val="22"/>
          <w:lang w:val="sr-Latn-RS"/>
        </w:rPr>
        <w:t xml:space="preserve">i dobiček znaša </w:t>
      </w:r>
      <w:r>
        <w:rPr>
          <w:rFonts w:asciiTheme="majorHAnsi" w:hAnsiTheme="majorHAnsi" w:cstheme="majorHAnsi"/>
          <w:b/>
          <w:szCs w:val="22"/>
          <w:lang w:val="sr-Latn-RS"/>
        </w:rPr>
        <w:t>1.191 mi</w:t>
      </w:r>
      <w:r w:rsidR="00415041">
        <w:rPr>
          <w:rFonts w:asciiTheme="majorHAnsi" w:hAnsiTheme="majorHAnsi" w:cstheme="majorHAnsi"/>
          <w:b/>
          <w:szCs w:val="22"/>
          <w:lang w:val="sr-Latn-RS"/>
        </w:rPr>
        <w:t>lijonov</w:t>
      </w:r>
      <w:r>
        <w:rPr>
          <w:rFonts w:asciiTheme="majorHAnsi" w:hAnsiTheme="majorHAnsi" w:cstheme="majorHAnsi"/>
          <w:b/>
          <w:szCs w:val="22"/>
          <w:lang w:val="sr-Latn-RS"/>
        </w:rPr>
        <w:t xml:space="preserve"> EUR, -27,5%</w:t>
      </w:r>
    </w:p>
    <w:p w14:paraId="2F15CBE5" w14:textId="08E20C96" w:rsidR="00635616" w:rsidRPr="007E7A47" w:rsidRDefault="00635616"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sidRPr="007E7A47">
        <w:rPr>
          <w:rFonts w:asciiTheme="majorHAnsi" w:hAnsiTheme="majorHAnsi" w:cstheme="majorHAnsi"/>
          <w:b/>
          <w:szCs w:val="22"/>
          <w:lang w:val="sr-Latn-RS"/>
        </w:rPr>
        <w:t>EBIT mar</w:t>
      </w:r>
      <w:r w:rsidR="007E7A47">
        <w:rPr>
          <w:rFonts w:asciiTheme="majorHAnsi" w:hAnsiTheme="majorHAnsi" w:cstheme="majorHAnsi"/>
          <w:b/>
          <w:szCs w:val="22"/>
          <w:lang w:val="sr-Latn-RS"/>
        </w:rPr>
        <w:t>ža</w:t>
      </w:r>
      <w:r w:rsidRPr="007E7A47">
        <w:rPr>
          <w:rFonts w:asciiTheme="majorHAnsi" w:hAnsiTheme="majorHAnsi" w:cstheme="majorHAnsi"/>
          <w:b/>
          <w:szCs w:val="22"/>
          <w:vertAlign w:val="superscript"/>
          <w:lang w:val="sr-Latn-RS"/>
        </w:rPr>
        <w:t>*</w:t>
      </w:r>
      <w:r w:rsidR="00415041">
        <w:rPr>
          <w:rFonts w:asciiTheme="majorHAnsi" w:hAnsiTheme="majorHAnsi" w:cstheme="majorHAnsi"/>
          <w:b/>
          <w:szCs w:val="22"/>
          <w:lang w:val="sr-Latn-RS"/>
        </w:rPr>
        <w:t xml:space="preserve"> znaša</w:t>
      </w:r>
      <w:r w:rsidRPr="007E7A47">
        <w:rPr>
          <w:rFonts w:asciiTheme="majorHAnsi" w:hAnsiTheme="majorHAnsi" w:cstheme="majorHAnsi"/>
          <w:b/>
          <w:szCs w:val="22"/>
          <w:lang w:val="sr-Latn-RS"/>
        </w:rPr>
        <w:t xml:space="preserve"> </w:t>
      </w:r>
      <w:r w:rsidR="00F9586C" w:rsidRPr="007E7A47">
        <w:rPr>
          <w:rFonts w:asciiTheme="majorHAnsi" w:hAnsiTheme="majorHAnsi" w:cstheme="majorHAnsi"/>
          <w:b/>
          <w:szCs w:val="22"/>
          <w:lang w:val="sr-Latn-RS"/>
        </w:rPr>
        <w:t>12</w:t>
      </w:r>
      <w:r w:rsidR="007E7A47">
        <w:rPr>
          <w:rFonts w:asciiTheme="majorHAnsi" w:hAnsiTheme="majorHAnsi" w:cstheme="majorHAnsi"/>
          <w:b/>
          <w:szCs w:val="22"/>
          <w:lang w:val="sr-Latn-RS"/>
        </w:rPr>
        <w:t>,</w:t>
      </w:r>
      <w:r w:rsidR="00B35967" w:rsidRPr="007E7A47">
        <w:rPr>
          <w:rFonts w:asciiTheme="majorHAnsi" w:hAnsiTheme="majorHAnsi" w:cstheme="majorHAnsi"/>
          <w:b/>
          <w:szCs w:val="22"/>
          <w:lang w:val="sr-Latn-RS"/>
        </w:rPr>
        <w:t>6</w:t>
      </w:r>
      <w:r w:rsidRPr="007E7A47">
        <w:rPr>
          <w:rFonts w:asciiTheme="majorHAnsi" w:hAnsiTheme="majorHAnsi" w:cstheme="majorHAnsi"/>
          <w:b/>
          <w:szCs w:val="22"/>
          <w:lang w:val="sr-Latn-RS"/>
        </w:rPr>
        <w:t>%, -</w:t>
      </w:r>
      <w:r w:rsidR="00F9586C" w:rsidRPr="007E7A47">
        <w:rPr>
          <w:rFonts w:asciiTheme="majorHAnsi" w:hAnsiTheme="majorHAnsi" w:cstheme="majorHAnsi"/>
          <w:b/>
          <w:szCs w:val="22"/>
          <w:lang w:val="sr-Latn-RS"/>
        </w:rPr>
        <w:t>3</w:t>
      </w:r>
      <w:r w:rsidR="00B35967" w:rsidRPr="007E7A47">
        <w:rPr>
          <w:rFonts w:asciiTheme="majorHAnsi" w:hAnsiTheme="majorHAnsi" w:cstheme="majorHAnsi"/>
          <w:b/>
          <w:szCs w:val="22"/>
          <w:lang w:val="sr-Latn-RS"/>
        </w:rPr>
        <w:t>7</w:t>
      </w:r>
      <w:r w:rsidR="00F9586C" w:rsidRPr="007E7A47">
        <w:rPr>
          <w:rFonts w:asciiTheme="majorHAnsi" w:hAnsiTheme="majorHAnsi" w:cstheme="majorHAnsi"/>
          <w:b/>
          <w:szCs w:val="22"/>
          <w:lang w:val="sr-Latn-RS"/>
        </w:rPr>
        <w:t>0</w:t>
      </w:r>
      <w:r w:rsidRPr="007E7A47">
        <w:rPr>
          <w:rFonts w:asciiTheme="majorHAnsi" w:hAnsiTheme="majorHAnsi" w:cstheme="majorHAnsi"/>
          <w:b/>
          <w:szCs w:val="22"/>
          <w:lang w:val="sr-Latn-RS"/>
        </w:rPr>
        <w:t xml:space="preserve"> </w:t>
      </w:r>
      <w:r w:rsidR="008D03B5">
        <w:rPr>
          <w:rFonts w:asciiTheme="majorHAnsi" w:hAnsiTheme="majorHAnsi" w:cstheme="majorHAnsi"/>
          <w:b/>
          <w:szCs w:val="22"/>
          <w:lang w:val="sr-Latn-RS"/>
        </w:rPr>
        <w:t xml:space="preserve">bazičnih </w:t>
      </w:r>
      <w:r w:rsidR="00415041">
        <w:rPr>
          <w:rFonts w:asciiTheme="majorHAnsi" w:hAnsiTheme="majorHAnsi" w:cstheme="majorHAnsi"/>
          <w:b/>
          <w:szCs w:val="22"/>
          <w:lang w:val="sr-Latn-RS"/>
        </w:rPr>
        <w:t>točk</w:t>
      </w:r>
    </w:p>
    <w:p w14:paraId="723BE023" w14:textId="13D6A2C1" w:rsidR="00635616" w:rsidRPr="007E7A47" w:rsidRDefault="007E7A47" w:rsidP="007E7A47">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Za</w:t>
      </w:r>
      <w:r w:rsidR="00415041">
        <w:rPr>
          <w:rFonts w:asciiTheme="majorHAnsi" w:hAnsiTheme="majorHAnsi" w:cstheme="majorHAnsi"/>
          <w:b/>
          <w:szCs w:val="22"/>
          <w:lang w:val="sr-Latn-RS"/>
        </w:rPr>
        <w:t xml:space="preserve">služek </w:t>
      </w:r>
      <w:r>
        <w:rPr>
          <w:rFonts w:asciiTheme="majorHAnsi" w:hAnsiTheme="majorHAnsi" w:cstheme="majorHAnsi"/>
          <w:b/>
          <w:szCs w:val="22"/>
          <w:lang w:val="sr-Latn-RS"/>
        </w:rPr>
        <w:t>po prioritetn</w:t>
      </w:r>
      <w:r w:rsidR="00415041">
        <w:rPr>
          <w:rFonts w:asciiTheme="majorHAnsi" w:hAnsiTheme="majorHAnsi" w:cstheme="majorHAnsi"/>
          <w:b/>
          <w:szCs w:val="22"/>
          <w:lang w:val="sr-Latn-RS"/>
        </w:rPr>
        <w:t>i delnici</w:t>
      </w:r>
      <w:r>
        <w:rPr>
          <w:rFonts w:asciiTheme="majorHAnsi" w:hAnsiTheme="majorHAnsi" w:cstheme="majorHAnsi"/>
          <w:b/>
          <w:szCs w:val="22"/>
          <w:lang w:val="sr-Latn-RS"/>
        </w:rPr>
        <w:t xml:space="preserve"> (EPS)</w:t>
      </w:r>
      <w:r w:rsidRPr="007E7A47">
        <w:rPr>
          <w:rFonts w:asciiTheme="majorHAnsi" w:hAnsiTheme="majorHAnsi" w:cstheme="majorHAnsi"/>
          <w:b/>
          <w:szCs w:val="22"/>
          <w:vertAlign w:val="superscript"/>
          <w:lang w:val="sr-Latn-RS"/>
        </w:rPr>
        <w:t>*</w:t>
      </w:r>
      <w:r>
        <w:rPr>
          <w:rFonts w:asciiTheme="majorHAnsi" w:hAnsiTheme="majorHAnsi" w:cstheme="majorHAnsi"/>
          <w:b/>
          <w:szCs w:val="22"/>
          <w:lang w:val="sr-Latn-RS"/>
        </w:rPr>
        <w:t>: -29,2% na 1,96 EUR</w:t>
      </w:r>
      <w:r w:rsidR="00635616" w:rsidRPr="007E7A47">
        <w:rPr>
          <w:rFonts w:asciiTheme="majorHAnsi" w:hAnsiTheme="majorHAnsi" w:cstheme="majorHAnsi"/>
          <w:b/>
          <w:szCs w:val="22"/>
          <w:lang w:val="sr-Latn-RS"/>
        </w:rPr>
        <w:t xml:space="preserve">, </w:t>
      </w:r>
      <w:r w:rsidR="00635616" w:rsidRPr="007E7A47">
        <w:rPr>
          <w:rFonts w:asciiTheme="majorHAnsi" w:hAnsiTheme="majorHAnsi" w:cstheme="majorHAnsi"/>
          <w:b/>
          <w:szCs w:val="22"/>
          <w:lang w:val="sr-Latn-RS"/>
        </w:rPr>
        <w:br/>
        <w:t>-</w:t>
      </w:r>
      <w:r w:rsidR="00F9586C" w:rsidRPr="007E7A47">
        <w:rPr>
          <w:rFonts w:asciiTheme="majorHAnsi" w:hAnsiTheme="majorHAnsi" w:cstheme="majorHAnsi"/>
          <w:b/>
          <w:szCs w:val="22"/>
          <w:lang w:val="sr-Latn-RS"/>
        </w:rPr>
        <w:t>28</w:t>
      </w:r>
      <w:r>
        <w:rPr>
          <w:rFonts w:asciiTheme="majorHAnsi" w:hAnsiTheme="majorHAnsi" w:cstheme="majorHAnsi"/>
          <w:b/>
          <w:szCs w:val="22"/>
          <w:lang w:val="sr-Latn-RS"/>
        </w:rPr>
        <w:t>,</w:t>
      </w:r>
      <w:r w:rsidR="005E3FBB" w:rsidRPr="007E7A47">
        <w:rPr>
          <w:rFonts w:asciiTheme="majorHAnsi" w:hAnsiTheme="majorHAnsi" w:cstheme="majorHAnsi"/>
          <w:b/>
          <w:szCs w:val="22"/>
          <w:lang w:val="sr-Latn-RS"/>
        </w:rPr>
        <w:t>2</w:t>
      </w:r>
      <w:r w:rsidR="00635616" w:rsidRPr="007E7A47">
        <w:rPr>
          <w:rFonts w:asciiTheme="majorHAnsi" w:hAnsiTheme="majorHAnsi" w:cstheme="majorHAnsi"/>
          <w:b/>
          <w:szCs w:val="22"/>
          <w:lang w:val="sr-Latn-RS"/>
        </w:rPr>
        <w:t xml:space="preserve">% </w:t>
      </w:r>
      <w:r>
        <w:rPr>
          <w:rFonts w:asciiTheme="majorHAnsi" w:hAnsiTheme="majorHAnsi" w:cstheme="majorHAnsi"/>
          <w:b/>
          <w:szCs w:val="22"/>
          <w:lang w:val="sr-Latn-RS"/>
        </w:rPr>
        <w:t xml:space="preserve">pri </w:t>
      </w:r>
      <w:r w:rsidR="00415041">
        <w:rPr>
          <w:rFonts w:asciiTheme="majorHAnsi" w:hAnsiTheme="majorHAnsi" w:cstheme="majorHAnsi"/>
          <w:b/>
          <w:szCs w:val="22"/>
          <w:lang w:val="sr-Latn-RS"/>
        </w:rPr>
        <w:t>stalnih tečajih</w:t>
      </w:r>
      <w:r w:rsidR="00635616" w:rsidRPr="007E7A47">
        <w:rPr>
          <w:rFonts w:asciiTheme="majorHAnsi" w:hAnsiTheme="majorHAnsi" w:cstheme="majorHAnsi"/>
          <w:b/>
          <w:szCs w:val="22"/>
          <w:lang w:val="sr-Latn-RS"/>
        </w:rPr>
        <w:t xml:space="preserve"> </w:t>
      </w:r>
    </w:p>
    <w:p w14:paraId="7E1297A5" w14:textId="180DD435" w:rsidR="00635616" w:rsidRPr="007E7A47" w:rsidRDefault="00415041" w:rsidP="007E7A47">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 xml:space="preserve">Prosti denarni tok znaša </w:t>
      </w:r>
      <w:r w:rsidR="007E7A47">
        <w:rPr>
          <w:rFonts w:asciiTheme="majorHAnsi" w:hAnsiTheme="majorHAnsi" w:cstheme="majorHAnsi"/>
          <w:b/>
          <w:szCs w:val="22"/>
          <w:lang w:val="sr-Latn-RS"/>
        </w:rPr>
        <w:t xml:space="preserve"> 938 mil</w:t>
      </w:r>
      <w:r>
        <w:rPr>
          <w:rFonts w:asciiTheme="majorHAnsi" w:hAnsiTheme="majorHAnsi" w:cstheme="majorHAnsi"/>
          <w:b/>
          <w:szCs w:val="22"/>
          <w:lang w:val="sr-Latn-RS"/>
        </w:rPr>
        <w:t>ijonov</w:t>
      </w:r>
      <w:r w:rsidR="007E7A47">
        <w:rPr>
          <w:rFonts w:asciiTheme="majorHAnsi" w:hAnsiTheme="majorHAnsi" w:cstheme="majorHAnsi"/>
          <w:b/>
          <w:szCs w:val="22"/>
          <w:lang w:val="sr-Latn-RS"/>
        </w:rPr>
        <w:t xml:space="preserve"> EUR, </w:t>
      </w:r>
      <w:r>
        <w:rPr>
          <w:rFonts w:asciiTheme="majorHAnsi" w:hAnsiTheme="majorHAnsi" w:cstheme="majorHAnsi"/>
          <w:b/>
          <w:szCs w:val="22"/>
          <w:lang w:val="sr-Latn-RS"/>
        </w:rPr>
        <w:t>izboljšani</w:t>
      </w:r>
      <w:r w:rsidR="007E7A47">
        <w:rPr>
          <w:rFonts w:asciiTheme="majorHAnsi" w:hAnsiTheme="majorHAnsi" w:cstheme="majorHAnsi"/>
          <w:b/>
          <w:szCs w:val="22"/>
          <w:lang w:val="sr-Latn-RS"/>
        </w:rPr>
        <w:t xml:space="preserve"> neto </w:t>
      </w:r>
      <w:r>
        <w:rPr>
          <w:rFonts w:asciiTheme="majorHAnsi" w:hAnsiTheme="majorHAnsi" w:cstheme="majorHAnsi"/>
          <w:b/>
          <w:szCs w:val="22"/>
          <w:lang w:val="sr-Latn-RS"/>
        </w:rPr>
        <w:t>finančni položaj</w:t>
      </w:r>
    </w:p>
    <w:p w14:paraId="2A509BBD" w14:textId="0610B717" w:rsidR="00635616" w:rsidRPr="007E7A47" w:rsidRDefault="007E7A47" w:rsidP="002C26DA">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B</w:t>
      </w:r>
      <w:r w:rsidR="00415041">
        <w:rPr>
          <w:rFonts w:asciiTheme="majorHAnsi" w:hAnsiTheme="majorHAnsi" w:cstheme="majorHAnsi"/>
          <w:b/>
          <w:szCs w:val="22"/>
          <w:lang w:val="sr-Latn-RS"/>
        </w:rPr>
        <w:t>r</w:t>
      </w:r>
      <w:r>
        <w:rPr>
          <w:rFonts w:asciiTheme="majorHAnsi" w:hAnsiTheme="majorHAnsi" w:cstheme="majorHAnsi"/>
          <w:b/>
          <w:szCs w:val="22"/>
          <w:lang w:val="sr-Latn-RS"/>
        </w:rPr>
        <w:t xml:space="preserve">ez </w:t>
      </w:r>
      <w:r w:rsidR="002C26DA">
        <w:rPr>
          <w:rFonts w:asciiTheme="majorHAnsi" w:hAnsiTheme="majorHAnsi" w:cstheme="majorHAnsi"/>
          <w:b/>
          <w:szCs w:val="22"/>
          <w:lang w:val="sr-Latn-RS"/>
        </w:rPr>
        <w:t>nov</w:t>
      </w:r>
      <w:r w:rsidR="00415041">
        <w:rPr>
          <w:rFonts w:asciiTheme="majorHAnsi" w:hAnsiTheme="majorHAnsi" w:cstheme="majorHAnsi"/>
          <w:b/>
          <w:szCs w:val="22"/>
          <w:lang w:val="sr-Latn-RS"/>
        </w:rPr>
        <w:t>e letne napovedi</w:t>
      </w:r>
      <w:r w:rsidR="002C26DA">
        <w:rPr>
          <w:rFonts w:asciiTheme="majorHAnsi" w:hAnsiTheme="majorHAnsi" w:cstheme="majorHAnsi"/>
          <w:b/>
          <w:szCs w:val="22"/>
          <w:lang w:val="sr-Latn-RS"/>
        </w:rPr>
        <w:t xml:space="preserve"> za</w:t>
      </w:r>
      <w:r w:rsidR="00415041">
        <w:rPr>
          <w:rFonts w:asciiTheme="majorHAnsi" w:hAnsiTheme="majorHAnsi" w:cstheme="majorHAnsi"/>
          <w:b/>
          <w:szCs w:val="22"/>
          <w:lang w:val="sr-Latn-RS"/>
        </w:rPr>
        <w:t xml:space="preserve"> leto</w:t>
      </w:r>
      <w:r w:rsidR="002C26DA">
        <w:rPr>
          <w:rFonts w:asciiTheme="majorHAnsi" w:hAnsiTheme="majorHAnsi" w:cstheme="majorHAnsi"/>
          <w:b/>
          <w:szCs w:val="22"/>
          <w:lang w:val="sr-Latn-RS"/>
        </w:rPr>
        <w:t xml:space="preserve"> 2020. </w:t>
      </w:r>
      <w:r w:rsidR="00415041">
        <w:rPr>
          <w:rFonts w:asciiTheme="majorHAnsi" w:hAnsiTheme="majorHAnsi" w:cstheme="majorHAnsi"/>
          <w:b/>
          <w:szCs w:val="22"/>
          <w:lang w:val="sr-Latn-RS"/>
        </w:rPr>
        <w:t>zaradi aktualne negotovosti na trgu</w:t>
      </w:r>
    </w:p>
    <w:p w14:paraId="281BDC66" w14:textId="73A65A9B" w:rsidR="002C26DA" w:rsidRDefault="00415041"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Uresničitev</w:t>
      </w:r>
      <w:r w:rsidR="002C26DA">
        <w:rPr>
          <w:rFonts w:asciiTheme="majorHAnsi" w:hAnsiTheme="majorHAnsi" w:cstheme="majorHAnsi"/>
          <w:b/>
          <w:szCs w:val="22"/>
          <w:lang w:val="sr-Latn-RS"/>
        </w:rPr>
        <w:t xml:space="preserve"> nove agende za smislen</w:t>
      </w:r>
      <w:r>
        <w:rPr>
          <w:rFonts w:asciiTheme="majorHAnsi" w:hAnsiTheme="majorHAnsi" w:cstheme="majorHAnsi"/>
          <w:b/>
          <w:szCs w:val="22"/>
          <w:lang w:val="sr-Latn-RS"/>
        </w:rPr>
        <w:t xml:space="preserve">o </w:t>
      </w:r>
      <w:r w:rsidR="002C26DA">
        <w:rPr>
          <w:rFonts w:asciiTheme="majorHAnsi" w:hAnsiTheme="majorHAnsi" w:cstheme="majorHAnsi"/>
          <w:b/>
          <w:szCs w:val="22"/>
          <w:lang w:val="sr-Latn-RS"/>
        </w:rPr>
        <w:t xml:space="preserve">rast </w:t>
      </w:r>
      <w:r>
        <w:rPr>
          <w:rFonts w:asciiTheme="majorHAnsi" w:hAnsiTheme="majorHAnsi" w:cstheme="majorHAnsi"/>
          <w:b/>
          <w:szCs w:val="22"/>
          <w:lang w:val="sr-Latn-RS"/>
        </w:rPr>
        <w:t>v</w:t>
      </w:r>
      <w:r w:rsidR="002C26DA">
        <w:rPr>
          <w:rFonts w:asciiTheme="majorHAnsi" w:hAnsiTheme="majorHAnsi" w:cstheme="majorHAnsi"/>
          <w:b/>
          <w:szCs w:val="22"/>
          <w:lang w:val="sr-Latn-RS"/>
        </w:rPr>
        <w:t xml:space="preserve"> skladu s cilj</w:t>
      </w:r>
      <w:r>
        <w:rPr>
          <w:rFonts w:asciiTheme="majorHAnsi" w:hAnsiTheme="majorHAnsi" w:cstheme="majorHAnsi"/>
          <w:b/>
          <w:szCs w:val="22"/>
          <w:lang w:val="sr-Latn-RS"/>
        </w:rPr>
        <w:t>i</w:t>
      </w:r>
    </w:p>
    <w:p w14:paraId="2BD6A07A" w14:textId="11302DFF" w:rsidR="00635616" w:rsidRPr="007E7A47" w:rsidRDefault="00635616" w:rsidP="00643D8A">
      <w:pPr>
        <w:rPr>
          <w:rFonts w:cs="Segoe UI"/>
          <w:szCs w:val="22"/>
          <w:lang w:val="sr-Latn-RS"/>
        </w:rPr>
      </w:pPr>
    </w:p>
    <w:p w14:paraId="74DCD38C" w14:textId="01BB692C" w:rsidR="007F0F63" w:rsidRDefault="0046266D" w:rsidP="00643D8A">
      <w:pPr>
        <w:rPr>
          <w:rFonts w:cs="Segoe UI"/>
          <w:b/>
          <w:bCs/>
          <w:szCs w:val="22"/>
          <w:lang w:val="sr-Latn-RS"/>
        </w:rPr>
      </w:pPr>
      <w:r w:rsidRPr="007E7A47">
        <w:rPr>
          <w:rFonts w:asciiTheme="majorHAnsi" w:hAnsiTheme="majorHAnsi" w:cstheme="majorHAnsi"/>
          <w:b/>
          <w:bCs/>
          <w:noProof/>
          <w:sz w:val="24"/>
          <w:lang w:val="en-GB" w:eastAsia="en-GB"/>
        </w:rPr>
        <mc:AlternateContent>
          <mc:Choice Requires="wps">
            <w:drawing>
              <wp:anchor distT="45720" distB="45720" distL="114300" distR="114300" simplePos="0" relativeHeight="251659264" behindDoc="0" locked="0" layoutInCell="1" allowOverlap="1" wp14:anchorId="1E23DD7D" wp14:editId="0B125B64">
                <wp:simplePos x="0" y="0"/>
                <wp:positionH relativeFrom="margin">
                  <wp:posOffset>-19050</wp:posOffset>
                </wp:positionH>
                <wp:positionV relativeFrom="paragraph">
                  <wp:posOffset>3239579</wp:posOffset>
                </wp:positionV>
                <wp:extent cx="4683760" cy="273133"/>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0EF54" w14:textId="306CAB98"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proofErr w:type="spellStart"/>
                            <w:r w:rsidR="00816FCE">
                              <w:rPr>
                                <w:sz w:val="16"/>
                                <w:szCs w:val="16"/>
                              </w:rPr>
                              <w:t>Korigovano</w:t>
                            </w:r>
                            <w:proofErr w:type="spellEnd"/>
                            <w:r w:rsidR="00816FCE">
                              <w:rPr>
                                <w:sz w:val="16"/>
                                <w:szCs w:val="16"/>
                              </w:rPr>
                              <w:t xml:space="preserve"> za </w:t>
                            </w:r>
                            <w:proofErr w:type="spellStart"/>
                            <w:r w:rsidR="00816FCE">
                              <w:rPr>
                                <w:sz w:val="16"/>
                                <w:szCs w:val="16"/>
                              </w:rPr>
                              <w:t>jednokratne</w:t>
                            </w:r>
                            <w:proofErr w:type="spellEnd"/>
                            <w:r w:rsidR="00816FCE">
                              <w:rPr>
                                <w:sz w:val="16"/>
                                <w:szCs w:val="16"/>
                              </w:rPr>
                              <w:t xml:space="preserve"> </w:t>
                            </w:r>
                            <w:proofErr w:type="spellStart"/>
                            <w:r w:rsidR="00816FCE">
                              <w:rPr>
                                <w:sz w:val="16"/>
                                <w:szCs w:val="16"/>
                              </w:rPr>
                              <w:t>troškove</w:t>
                            </w:r>
                            <w:proofErr w:type="spellEnd"/>
                            <w:r w:rsidR="00816FCE">
                              <w:rPr>
                                <w:sz w:val="16"/>
                                <w:szCs w:val="16"/>
                              </w:rPr>
                              <w:t xml:space="preserve"> </w:t>
                            </w:r>
                            <w:proofErr w:type="spellStart"/>
                            <w:r w:rsidR="00816FCE">
                              <w:rPr>
                                <w:sz w:val="16"/>
                                <w:szCs w:val="16"/>
                              </w:rPr>
                              <w:t>i</w:t>
                            </w:r>
                            <w:proofErr w:type="spellEnd"/>
                            <w:r w:rsidR="00816FCE">
                              <w:rPr>
                                <w:sz w:val="16"/>
                                <w:szCs w:val="16"/>
                              </w:rPr>
                              <w:t xml:space="preserve"> </w:t>
                            </w:r>
                            <w:proofErr w:type="spellStart"/>
                            <w:r w:rsidR="00816FCE">
                              <w:rPr>
                                <w:sz w:val="16"/>
                                <w:szCs w:val="16"/>
                              </w:rPr>
                              <w:t>prihod</w:t>
                            </w:r>
                            <w:proofErr w:type="spellEnd"/>
                            <w:r w:rsidR="00816FCE">
                              <w:rPr>
                                <w:sz w:val="16"/>
                                <w:szCs w:val="16"/>
                              </w:rPr>
                              <w:t xml:space="preserve"> </w:t>
                            </w:r>
                            <w:proofErr w:type="spellStart"/>
                            <w:r w:rsidR="00816FCE">
                              <w:rPr>
                                <w:sz w:val="16"/>
                                <w:szCs w:val="16"/>
                              </w:rPr>
                              <w:t>i</w:t>
                            </w:r>
                            <w:proofErr w:type="spellEnd"/>
                            <w:r w:rsidR="00816FCE">
                              <w:rPr>
                                <w:sz w:val="16"/>
                                <w:szCs w:val="16"/>
                              </w:rPr>
                              <w:t xml:space="preserve"> </w:t>
                            </w:r>
                            <w:proofErr w:type="spellStart"/>
                            <w:r w:rsidR="00816FCE">
                              <w:rPr>
                                <w:sz w:val="16"/>
                                <w:szCs w:val="16"/>
                              </w:rPr>
                              <w:t>troškove</w:t>
                            </w:r>
                            <w:proofErr w:type="spellEnd"/>
                            <w:r w:rsidR="00816FCE">
                              <w:rPr>
                                <w:sz w:val="16"/>
                                <w:szCs w:val="16"/>
                              </w:rPr>
                              <w:t xml:space="preserve"> </w:t>
                            </w:r>
                            <w:proofErr w:type="spellStart"/>
                            <w:r w:rsidR="00816FCE">
                              <w:rPr>
                                <w:sz w:val="16"/>
                                <w:szCs w:val="16"/>
                              </w:rPr>
                              <w:t>restrukturiranja</w:t>
                            </w:r>
                            <w:proofErr w:type="spellEnd"/>
                            <w:r>
                              <w:rPr>
                                <w:sz w:val="16"/>
                                <w:szCs w:val="16"/>
                              </w:rPr>
                              <w:t>.</w:t>
                            </w:r>
                          </w:p>
                          <w:p w14:paraId="257A5710" w14:textId="77777777" w:rsidR="00BE47D4" w:rsidRPr="00ED5A2D" w:rsidRDefault="00BE47D4" w:rsidP="00BE47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left:0;text-align:left;margin-left:-1.5pt;margin-top:255.1pt;width:368.8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v3hAIAABEFAAAOAAAAZHJzL2Uyb0RvYy54bWysVNuO2yAQfa/Uf0C8Z32Jc7G1zqq721SV&#10;thdptx9AAMeoGCiQ2Nuq/94BJ9lsL1JV1Q8YmOFwZuYMl1dDJ9GeWye0qnF2kWLEFdVMqG2NPz2s&#10;J0uMnCeKEakVr/Ejd/hq9fLFZW8qnutWS8YtAhDlqt7UuPXeVEniaMs74i604QqMjbYd8bC024RZ&#10;0gN6J5M8TedJry0zVlPuHOzejka8ivhNw6n/0DSOeyRrDNx8HG0cN2FMVpek2lpiWkEPNMg/sOiI&#10;UHDpCeqWeIJ2VvwC1QlqtdONv6C6S3TTCMpjDBBNlv4UzX1LDI+xQHKcOaXJ/T9Y+n7/0SLBoHaQ&#10;HkU6qNEDH3zDJUOwBfnpjavA7d6Aox+u9QC+MVZn7jT97JDSNy1RW/7KWt23nDDgl4WTydnREccF&#10;kE3/TjO4h+y8jkBDY7uQPEgHAnQg8niqDXBBFDaL+XK6mIOJgi1fTLPpNF5BquNpY51/w3WHwqTG&#10;Fmof0cn+zvnAhlRHl3CZ01KwtZAyLux2cyMt2hPQyTp+B/RnblIFZ6XDsRFx3AGScEewBbqx7t/K&#10;LC/S67ycrOfLxaRYF7NJuUiXkzQrr8t5WpTF7fp7IJgVVSsY4+pOKH7UYFb8XY0P3TCqJ6oQ9TUu&#10;Z/lsLNEfg0zj97sgO+GhJaXoarw8OZEqFPa1YhA2qTwRcpwnz+nHLEMOjv+YlSiDUPlRA37YDIAS&#10;tLHR7BEEYTXUC0oL7whMWm2/YtRDT9bYfdkRyzGSbxWIqsyKAtx8XBSzRQ4Le27ZnFuIogBVY4/R&#10;OL3xY+PvjBXbFm4aZaz0KxBiI6JGnlgd5At9F4M5vBGhsc/X0evpJVv9AAAA//8DAFBLAwQUAAYA&#10;CAAAACEAFYK6MN8AAAAKAQAADwAAAGRycy9kb3ducmV2LnhtbEyPQU+DQBCF7yb+h82YeDHtUiig&#10;yNKoicZra3/AwE6ByO4Sdlvov3c86fHNe3nzvXK3mEFcaPK9swo26wgE2cbp3rYKjl/vq0cQPqDV&#10;ODhLCq7kYVfd3pRYaDfbPV0OoRVcYn2BCroQxkJK33Rk0K/dSJa9k5sMBpZTK/WEM5ebQcZRlEmD&#10;veUPHY701lHzfTgbBafP+SF9muuPcMz32+wV+7x2V6Xu75aXZxCBlvAXhl98RoeKmWp3ttqLQcEq&#10;4SlBQbqJYhAcyJNtBqLmS5rEIKtS/p9Q/QAAAP//AwBQSwECLQAUAAYACAAAACEAtoM4kv4AAADh&#10;AQAAEwAAAAAAAAAAAAAAAAAAAAAAW0NvbnRlbnRfVHlwZXNdLnhtbFBLAQItABQABgAIAAAAIQA4&#10;/SH/1gAAAJQBAAALAAAAAAAAAAAAAAAAAC8BAABfcmVscy8ucmVsc1BLAQItABQABgAIAAAAIQD1&#10;k9v3hAIAABEFAAAOAAAAAAAAAAAAAAAAAC4CAABkcnMvZTJvRG9jLnhtbFBLAQItABQABgAIAAAA&#10;IQAVgrow3wAAAAoBAAAPAAAAAAAAAAAAAAAAAN4EAABkcnMvZG93bnJldi54bWxQSwUGAAAAAAQA&#10;BADzAAAA6gUAAAAA&#10;" stroked="f">
                <v:textbox>
                  <w:txbxContent>
                    <w:p w14:paraId="77D0EF54" w14:textId="306CAB98"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proofErr w:type="spellStart"/>
                      <w:r w:rsidR="00816FCE">
                        <w:rPr>
                          <w:sz w:val="16"/>
                          <w:szCs w:val="16"/>
                        </w:rPr>
                        <w:t>Korigovano</w:t>
                      </w:r>
                      <w:proofErr w:type="spellEnd"/>
                      <w:r w:rsidR="00816FCE">
                        <w:rPr>
                          <w:sz w:val="16"/>
                          <w:szCs w:val="16"/>
                        </w:rPr>
                        <w:t xml:space="preserve"> za </w:t>
                      </w:r>
                      <w:proofErr w:type="spellStart"/>
                      <w:r w:rsidR="00816FCE">
                        <w:rPr>
                          <w:sz w:val="16"/>
                          <w:szCs w:val="16"/>
                        </w:rPr>
                        <w:t>jednokratne</w:t>
                      </w:r>
                      <w:proofErr w:type="spellEnd"/>
                      <w:r w:rsidR="00816FCE">
                        <w:rPr>
                          <w:sz w:val="16"/>
                          <w:szCs w:val="16"/>
                        </w:rPr>
                        <w:t xml:space="preserve"> </w:t>
                      </w:r>
                      <w:proofErr w:type="spellStart"/>
                      <w:r w:rsidR="00816FCE">
                        <w:rPr>
                          <w:sz w:val="16"/>
                          <w:szCs w:val="16"/>
                        </w:rPr>
                        <w:t>troškove</w:t>
                      </w:r>
                      <w:proofErr w:type="spellEnd"/>
                      <w:r w:rsidR="00816FCE">
                        <w:rPr>
                          <w:sz w:val="16"/>
                          <w:szCs w:val="16"/>
                        </w:rPr>
                        <w:t xml:space="preserve"> i </w:t>
                      </w:r>
                      <w:proofErr w:type="spellStart"/>
                      <w:r w:rsidR="00816FCE">
                        <w:rPr>
                          <w:sz w:val="16"/>
                          <w:szCs w:val="16"/>
                        </w:rPr>
                        <w:t>prihod</w:t>
                      </w:r>
                      <w:proofErr w:type="spellEnd"/>
                      <w:r w:rsidR="00816FCE">
                        <w:rPr>
                          <w:sz w:val="16"/>
                          <w:szCs w:val="16"/>
                        </w:rPr>
                        <w:t xml:space="preserve"> i </w:t>
                      </w:r>
                      <w:proofErr w:type="spellStart"/>
                      <w:r w:rsidR="00816FCE">
                        <w:rPr>
                          <w:sz w:val="16"/>
                          <w:szCs w:val="16"/>
                        </w:rPr>
                        <w:t>troškove</w:t>
                      </w:r>
                      <w:proofErr w:type="spellEnd"/>
                      <w:r w:rsidR="00816FCE">
                        <w:rPr>
                          <w:sz w:val="16"/>
                          <w:szCs w:val="16"/>
                        </w:rPr>
                        <w:t xml:space="preserve"> </w:t>
                      </w:r>
                      <w:proofErr w:type="spellStart"/>
                      <w:r w:rsidR="00816FCE">
                        <w:rPr>
                          <w:sz w:val="16"/>
                          <w:szCs w:val="16"/>
                        </w:rPr>
                        <w:t>restrukturiranja</w:t>
                      </w:r>
                      <w:proofErr w:type="spellEnd"/>
                      <w:r>
                        <w:rPr>
                          <w:sz w:val="16"/>
                          <w:szCs w:val="16"/>
                        </w:rPr>
                        <w:t>.</w:t>
                      </w:r>
                    </w:p>
                    <w:p w14:paraId="257A5710" w14:textId="77777777" w:rsidR="00BE47D4" w:rsidRPr="00ED5A2D" w:rsidRDefault="00BE47D4" w:rsidP="00BE47D4"/>
                  </w:txbxContent>
                </v:textbox>
                <w10:wrap anchorx="margin"/>
              </v:shape>
            </w:pict>
          </mc:Fallback>
        </mc:AlternateContent>
      </w:r>
      <w:r w:rsidR="00415041" w:rsidRPr="00415041">
        <w:t xml:space="preserve"> </w:t>
      </w:r>
      <w:r w:rsidR="00415041" w:rsidRPr="00415041">
        <w:rPr>
          <w:rFonts w:asciiTheme="majorHAnsi" w:hAnsiTheme="majorHAnsi" w:cstheme="majorHAnsi"/>
          <w:b/>
          <w:bCs/>
          <w:noProof/>
          <w:sz w:val="24"/>
          <w:lang w:val="en-GB" w:eastAsia="en-GB"/>
        </w:rPr>
        <w:t>Düsseldorf</w:t>
      </w:r>
      <w:r w:rsidR="007F0F63" w:rsidRPr="007E7A47">
        <w:rPr>
          <w:rFonts w:cs="Segoe UI"/>
          <w:b/>
          <w:bCs/>
          <w:szCs w:val="22"/>
          <w:lang w:val="sr-Latn-RS"/>
        </w:rPr>
        <w:t xml:space="preserve"> –</w:t>
      </w:r>
      <w:r w:rsidR="007F0F63" w:rsidRPr="007E7A47">
        <w:rPr>
          <w:rFonts w:cs="Segoe UI"/>
          <w:szCs w:val="22"/>
          <w:lang w:val="sr-Latn-RS"/>
        </w:rPr>
        <w:t xml:space="preserve"> </w:t>
      </w:r>
      <w:r w:rsidR="002C26DA">
        <w:rPr>
          <w:rFonts w:cs="Segoe UI"/>
          <w:b/>
          <w:bCs/>
          <w:szCs w:val="22"/>
          <w:lang w:val="sr-Latn-RS"/>
        </w:rPr>
        <w:t>„</w:t>
      </w:r>
      <w:r w:rsidR="00415041">
        <w:rPr>
          <w:rFonts w:cs="Segoe UI"/>
          <w:b/>
          <w:bCs/>
          <w:szCs w:val="22"/>
          <w:lang w:val="sr-Latn-RS"/>
        </w:rPr>
        <w:t xml:space="preserve">V prvi polovici leta </w:t>
      </w:r>
      <w:r w:rsidR="002C26DA">
        <w:rPr>
          <w:rFonts w:cs="Segoe UI"/>
          <w:b/>
          <w:bCs/>
          <w:szCs w:val="22"/>
          <w:lang w:val="sr-Latn-RS"/>
        </w:rPr>
        <w:t xml:space="preserve">2020. </w:t>
      </w:r>
      <w:r w:rsidR="00415041">
        <w:rPr>
          <w:rFonts w:cs="Segoe UI"/>
          <w:b/>
          <w:bCs/>
          <w:szCs w:val="22"/>
          <w:lang w:val="sr-Latn-RS"/>
        </w:rPr>
        <w:t xml:space="preserve">je </w:t>
      </w:r>
      <w:r w:rsidR="002C26DA">
        <w:rPr>
          <w:rFonts w:cs="Segoe UI"/>
          <w:b/>
          <w:bCs/>
          <w:szCs w:val="22"/>
          <w:lang w:val="sr-Latn-RS"/>
        </w:rPr>
        <w:t xml:space="preserve">Henkel </w:t>
      </w:r>
      <w:r w:rsidR="00415041">
        <w:rPr>
          <w:rFonts w:cs="Segoe UI"/>
          <w:b/>
          <w:bCs/>
          <w:szCs w:val="22"/>
          <w:lang w:val="sr-Latn-RS"/>
        </w:rPr>
        <w:t xml:space="preserve">pomembno prizadela močna globalna gospodarska stagnacija in </w:t>
      </w:r>
      <w:r w:rsidR="006B3322">
        <w:rPr>
          <w:rFonts w:cs="Segoe UI"/>
          <w:b/>
          <w:bCs/>
          <w:szCs w:val="22"/>
          <w:lang w:val="sr-Latn-RS"/>
        </w:rPr>
        <w:t xml:space="preserve">strmo upadanje povpraševanja znotraj številnih industrij. </w:t>
      </w:r>
      <w:r w:rsidR="00415041">
        <w:rPr>
          <w:rFonts w:cs="Segoe UI"/>
          <w:b/>
          <w:bCs/>
          <w:szCs w:val="22"/>
          <w:lang w:val="sr-Latn-RS"/>
        </w:rPr>
        <w:t xml:space="preserve"> </w:t>
      </w:r>
      <w:r w:rsidR="006B3322">
        <w:rPr>
          <w:rFonts w:cs="Segoe UI"/>
          <w:b/>
          <w:bCs/>
          <w:szCs w:val="22"/>
          <w:lang w:val="sr-Latn-RS"/>
        </w:rPr>
        <w:t xml:space="preserve">Med to globalno krizo, brez primerjave, smo si za glavne cilje zastavili zaščito zaposlenih, preskrbo kupcev in podporo skupnostim. Po zaslugi izjemnega ekipnega duha  in predanosti  naših ljudi po vsem svetu, mi smo te cilje dosegli v prvi polovici leta 2020. </w:t>
      </w:r>
      <w:r w:rsidR="006B3322" w:rsidRPr="006B3322">
        <w:rPr>
          <w:rFonts w:cs="Segoe UI"/>
          <w:b/>
          <w:bCs/>
          <w:szCs w:val="22"/>
          <w:lang w:val="sr-Latn-RS"/>
        </w:rPr>
        <w:t>Širina našega portfelja na področju potrošniškega in industrijskega poslovanja nam je pomagala uravnotežiti vpliv krize na skupno prodajo in prihodke:</w:t>
      </w:r>
      <w:r w:rsidR="006B3322">
        <w:rPr>
          <w:rFonts w:cs="Segoe UI"/>
          <w:b/>
          <w:bCs/>
          <w:szCs w:val="22"/>
          <w:lang w:val="sr-Latn-RS"/>
        </w:rPr>
        <w:t xml:space="preserve"> </w:t>
      </w:r>
      <w:r w:rsidR="006B3322" w:rsidRPr="006B3322">
        <w:rPr>
          <w:rFonts w:cs="Segoe UI"/>
          <w:b/>
          <w:bCs/>
          <w:szCs w:val="22"/>
          <w:lang w:val="sr-Latn-RS"/>
        </w:rPr>
        <w:t>V prvih šestih mesecih leta 2020 smo dosegli približno 9,5 milijarde EUR prodaje, dobiček iz poslovanja v višini 1,2 milijarde EUR in EBIT maržo 12,6%. Delničarjem smo izplačali polno dividendo za leto 2019 in uspeli smo generirati zelo močan prosti denarni tok in še izboljšati svoj neto finančni položaj.</w:t>
      </w:r>
      <w:r w:rsidR="002C26DA">
        <w:rPr>
          <w:rFonts w:cs="Segoe UI"/>
          <w:b/>
          <w:bCs/>
          <w:szCs w:val="22"/>
          <w:lang w:val="sr-Latn-RS"/>
        </w:rPr>
        <w:t xml:space="preserve"> </w:t>
      </w:r>
      <w:r w:rsidR="008D03B5" w:rsidRPr="008D03B5">
        <w:rPr>
          <w:rFonts w:cs="Segoe UI"/>
          <w:b/>
          <w:bCs/>
          <w:szCs w:val="22"/>
          <w:lang w:val="sr-Latn-RS"/>
        </w:rPr>
        <w:t xml:space="preserve">Med krizo nismo krajšali delovnega časa, niti zaprosili za državno </w:t>
      </w:r>
      <w:r w:rsidR="008D03B5" w:rsidRPr="008D03B5">
        <w:rPr>
          <w:rFonts w:cs="Segoe UI"/>
          <w:b/>
          <w:bCs/>
          <w:szCs w:val="22"/>
          <w:lang w:val="sr-Latn-RS"/>
        </w:rPr>
        <w:lastRenderedPageBreak/>
        <w:t>pomoč ali zmanjšali število zaposlenih v času pandemije. Skratka, dosegli smo trden skupni poslovni rezultat v izjemno težkem okolju, "je dejal izvršni direktor Henkel Carsten Knobel.</w:t>
      </w:r>
    </w:p>
    <w:p w14:paraId="0DBE7F99" w14:textId="77777777" w:rsidR="008D03B5" w:rsidRPr="007E7A47" w:rsidRDefault="008D03B5" w:rsidP="00643D8A">
      <w:pPr>
        <w:rPr>
          <w:rFonts w:cs="Segoe UI"/>
          <w:szCs w:val="22"/>
          <w:lang w:val="sr-Latn-RS"/>
        </w:rPr>
      </w:pPr>
    </w:p>
    <w:p w14:paraId="74F11F3B" w14:textId="42A58955" w:rsidR="00846017" w:rsidRDefault="008D03B5" w:rsidP="00846017">
      <w:pPr>
        <w:rPr>
          <w:rFonts w:cs="Segoe UI"/>
          <w:b/>
          <w:bCs/>
          <w:szCs w:val="22"/>
          <w:lang w:val="sr-Latn-RS"/>
        </w:rPr>
      </w:pPr>
      <w:r w:rsidRPr="008D03B5">
        <w:rPr>
          <w:rFonts w:cs="Segoe UI"/>
          <w:b/>
          <w:bCs/>
          <w:szCs w:val="22"/>
          <w:lang w:val="sr-Latn-RS"/>
        </w:rPr>
        <w:t>Henkel je v prvi polovici leta 2020 dosegel 9.485 milijonov EUR od prodaje. To predstavlja nominalno upadanje za -6.0% in organsko za -5.2%. V prvih šestih mesecih leta 2020 je Henkel ustvaril prilagojeni dobiček iz poslovanja v višini 1,191 milijona EUR, kar je -27,5% manj kot v istem obdobju lani. Prilagojena  EBIT marža je znašala 12,6%, kar je -370 bazičnih točk manj kot v istem obdobju lani.</w:t>
      </w:r>
    </w:p>
    <w:p w14:paraId="639261B6" w14:textId="77777777" w:rsidR="008D03B5" w:rsidRPr="007E7A47" w:rsidRDefault="008D03B5" w:rsidP="00846017">
      <w:pPr>
        <w:rPr>
          <w:rFonts w:cs="Segoe UI"/>
          <w:b/>
          <w:bCs/>
          <w:szCs w:val="22"/>
          <w:lang w:val="sr-Latn-RS"/>
        </w:rPr>
      </w:pPr>
    </w:p>
    <w:p w14:paraId="06CC81EC" w14:textId="77777777" w:rsidR="008D03B5" w:rsidRPr="008D03B5" w:rsidRDefault="008D03B5" w:rsidP="008D03B5">
      <w:pPr>
        <w:rPr>
          <w:rFonts w:cs="Segoe UI"/>
          <w:b/>
          <w:bCs/>
          <w:szCs w:val="22"/>
          <w:lang w:val="sr-Latn-RS"/>
        </w:rPr>
      </w:pPr>
      <w:r w:rsidRPr="008D03B5">
        <w:rPr>
          <w:rFonts w:cs="Segoe UI"/>
          <w:b/>
          <w:bCs/>
          <w:szCs w:val="22"/>
          <w:lang w:val="sr-Latn-RS"/>
        </w:rPr>
        <w:t>V prvih šestih mesecih so se Adhezivi Tehnologije v glavnem soočale s pomembnim upadom povpraševanja odjemalskih panog. Na rezultate sektorja Beauty Care najbolj vplivajo negativni rezultati izdelkov za frizerske salone, kar je posledica zaprtja salonov v večini držav.  Laundry &amp; Home Care je pokazala močan razvoj, k čemur je pripomogel skok povpraševanja po čistilnih izdelkih.</w:t>
      </w:r>
    </w:p>
    <w:p w14:paraId="6EA0F314" w14:textId="77777777" w:rsidR="008D03B5" w:rsidRPr="008D03B5" w:rsidRDefault="008D03B5" w:rsidP="008D03B5">
      <w:pPr>
        <w:rPr>
          <w:rFonts w:cs="Segoe UI"/>
          <w:b/>
          <w:bCs/>
          <w:szCs w:val="22"/>
          <w:lang w:val="sr-Latn-RS"/>
        </w:rPr>
      </w:pPr>
    </w:p>
    <w:p w14:paraId="2F9A36E2" w14:textId="77777777" w:rsidR="008D03B5" w:rsidRPr="008D03B5" w:rsidRDefault="008D03B5" w:rsidP="008D03B5">
      <w:pPr>
        <w:rPr>
          <w:rFonts w:cs="Segoe UI"/>
          <w:b/>
          <w:bCs/>
          <w:szCs w:val="22"/>
          <w:lang w:val="sr-Latn-RS"/>
        </w:rPr>
      </w:pPr>
      <w:r w:rsidRPr="008D03B5">
        <w:rPr>
          <w:rFonts w:cs="Segoe UI"/>
          <w:b/>
          <w:bCs/>
          <w:szCs w:val="22"/>
          <w:lang w:val="sr-Latn-RS"/>
        </w:rPr>
        <w:t>"Zaradi trenutnih negotovosti še vedno ne moremo zagotoviti nove in zanesljive napovedi za celo leto," je dejal Carsten Knobel.</w:t>
      </w:r>
    </w:p>
    <w:p w14:paraId="4A38563D" w14:textId="77777777" w:rsidR="008D03B5" w:rsidRPr="008D03B5" w:rsidRDefault="008D03B5" w:rsidP="008D03B5">
      <w:pPr>
        <w:rPr>
          <w:rFonts w:cs="Segoe UI"/>
          <w:b/>
          <w:bCs/>
          <w:szCs w:val="22"/>
          <w:lang w:val="sr-Latn-RS"/>
        </w:rPr>
      </w:pPr>
    </w:p>
    <w:p w14:paraId="57460F2B" w14:textId="406B9BA9" w:rsidR="00846017" w:rsidRDefault="008D03B5" w:rsidP="008D03B5">
      <w:pPr>
        <w:rPr>
          <w:rFonts w:cs="Segoe UI"/>
          <w:b/>
          <w:bCs/>
          <w:szCs w:val="22"/>
          <w:lang w:val="sr-Latn-RS"/>
        </w:rPr>
      </w:pPr>
      <w:r w:rsidRPr="008D03B5">
        <w:rPr>
          <w:rFonts w:cs="Segoe UI"/>
          <w:b/>
          <w:bCs/>
          <w:szCs w:val="22"/>
          <w:lang w:val="sr-Latn-RS"/>
        </w:rPr>
        <w:t>"Med obvladovanjem te krize, smo še naprej v celoti zavezani našim ambicioznim načrtom rasti za prihodnja leta. Prve pobude smo sprožili v skladu z našim novim strateškim okvirom in si bomo še naprej dejavno prizadevali za izvajanje naših načrtov za smiselno rast."</w:t>
      </w:r>
    </w:p>
    <w:p w14:paraId="7B3F7231" w14:textId="77777777" w:rsidR="008D03B5" w:rsidRPr="007E7A47" w:rsidRDefault="008D03B5" w:rsidP="008D03B5">
      <w:pPr>
        <w:rPr>
          <w:rFonts w:asciiTheme="majorHAnsi" w:hAnsiTheme="majorHAnsi" w:cstheme="majorHAnsi"/>
          <w:b/>
          <w:bCs/>
          <w:szCs w:val="22"/>
          <w:lang w:val="sr-Latn-RS"/>
        </w:rPr>
      </w:pPr>
    </w:p>
    <w:p w14:paraId="5BD057F8" w14:textId="7761387B" w:rsidR="006227C7" w:rsidRDefault="006227C7" w:rsidP="00846017">
      <w:pPr>
        <w:spacing w:after="120"/>
        <w:rPr>
          <w:rFonts w:cs="Segoe UI"/>
          <w:b/>
          <w:bCs/>
          <w:szCs w:val="22"/>
          <w:lang w:val="sr-Latn-RS"/>
        </w:rPr>
      </w:pPr>
      <w:r>
        <w:rPr>
          <w:rFonts w:cs="Segoe UI"/>
          <w:b/>
          <w:bCs/>
          <w:szCs w:val="22"/>
          <w:lang w:val="sr-Latn-RS"/>
        </w:rPr>
        <w:t>Prodajni rezultati i prihod</w:t>
      </w:r>
      <w:r w:rsidR="008D03B5">
        <w:rPr>
          <w:rFonts w:cs="Segoe UI"/>
          <w:b/>
          <w:bCs/>
          <w:szCs w:val="22"/>
          <w:lang w:val="sr-Latn-RS"/>
        </w:rPr>
        <w:t>ki skupine v prvi polovici leta</w:t>
      </w:r>
      <w:r>
        <w:rPr>
          <w:rFonts w:cs="Segoe UI"/>
          <w:b/>
          <w:bCs/>
          <w:szCs w:val="22"/>
          <w:lang w:val="sr-Latn-RS"/>
        </w:rPr>
        <w:t xml:space="preserve"> 2020</w:t>
      </w:r>
    </w:p>
    <w:p w14:paraId="31C8114E" w14:textId="5FFAA912" w:rsidR="00846017" w:rsidRPr="007E7A47" w:rsidRDefault="00220612" w:rsidP="00846017">
      <w:pPr>
        <w:rPr>
          <w:rFonts w:cs="Segoe UI"/>
          <w:szCs w:val="22"/>
          <w:lang w:val="sr-Latn-RS"/>
        </w:rPr>
      </w:pPr>
      <w:r w:rsidRPr="00220612">
        <w:rPr>
          <w:rFonts w:cs="Segoe UI"/>
          <w:szCs w:val="22"/>
          <w:lang w:val="sr-Latn-RS"/>
        </w:rPr>
        <w:t xml:space="preserve">Z 9.485 milijonov EUR je bil </w:t>
      </w:r>
      <w:r w:rsidRPr="00220612">
        <w:rPr>
          <w:rFonts w:cs="Segoe UI"/>
          <w:b/>
          <w:bCs/>
          <w:szCs w:val="22"/>
          <w:lang w:val="sr-Latn-RS"/>
        </w:rPr>
        <w:t>prodajni rezultat</w:t>
      </w:r>
      <w:r w:rsidRPr="00220612">
        <w:rPr>
          <w:rFonts w:cs="Segoe UI"/>
          <w:szCs w:val="22"/>
          <w:lang w:val="sr-Latn-RS"/>
        </w:rPr>
        <w:t xml:space="preserve"> skupine Henkel v prvi polovici leta 2020 za -6,0% nižji od lanskega (v drugem četrtlegju: 4,558 milijona EUR; -11,0%). </w:t>
      </w:r>
      <w:r w:rsidRPr="00220612">
        <w:rPr>
          <w:rFonts w:cs="Segoe UI"/>
          <w:b/>
          <w:bCs/>
          <w:szCs w:val="22"/>
          <w:lang w:val="sr-Latn-RS"/>
        </w:rPr>
        <w:t>Organska</w:t>
      </w:r>
      <w:r w:rsidRPr="00220612">
        <w:rPr>
          <w:rFonts w:cs="Segoe UI"/>
          <w:szCs w:val="22"/>
          <w:lang w:val="sr-Latn-RS"/>
        </w:rPr>
        <w:t xml:space="preserve"> prodaja, ki ne upošteva deviznih vplivov in prevzemov /prodaje, kaže negativno rast v višini -5,2% (2. četrtletje: -9,4%). Prispevek od nakupov in prodaj je znašal 0,3% (2. četrtletje: 0,2%). Tečajni učinki so na prodajo negativno vplivali -1,1% (Q2: -1,9%). </w:t>
      </w:r>
      <w:r w:rsidRPr="00220612">
        <w:rPr>
          <w:rFonts w:cs="Segoe UI"/>
          <w:b/>
          <w:bCs/>
          <w:szCs w:val="22"/>
          <w:lang w:val="sr-Latn-RS"/>
        </w:rPr>
        <w:t>Prilagojeni dobiček iz poslovanja (prilagojeni EBIT</w:t>
      </w:r>
      <w:r w:rsidRPr="00220612">
        <w:rPr>
          <w:rFonts w:cs="Segoe UI"/>
          <w:szCs w:val="22"/>
          <w:lang w:val="sr-Latn-RS"/>
        </w:rPr>
        <w:t xml:space="preserve">) se je zmanjšal za -27,5%, z 1,641 milijona EUR v prvi polovici lanskega leta na 1,191 milijona EUR v  letu 2020. </w:t>
      </w:r>
      <w:r w:rsidRPr="00220612">
        <w:rPr>
          <w:rFonts w:cs="Segoe UI"/>
          <w:b/>
          <w:bCs/>
          <w:szCs w:val="22"/>
          <w:lang w:val="sr-Latn-RS"/>
        </w:rPr>
        <w:t>Prilagojeni donos od prodaje (prilagojena EBIT</w:t>
      </w:r>
      <w:r>
        <w:rPr>
          <w:rFonts w:cs="Segoe UI"/>
          <w:b/>
          <w:bCs/>
          <w:szCs w:val="22"/>
          <w:lang w:val="sr-Latn-RS"/>
        </w:rPr>
        <w:t xml:space="preserve"> marža</w:t>
      </w:r>
      <w:r w:rsidRPr="00220612">
        <w:rPr>
          <w:rFonts w:cs="Segoe UI"/>
          <w:szCs w:val="22"/>
          <w:lang w:val="sr-Latn-RS"/>
        </w:rPr>
        <w:t xml:space="preserve">) je v prvih šestih mesecih dosegel 12,6 %, -3,7% manj kot lani. </w:t>
      </w:r>
      <w:r w:rsidRPr="00220612">
        <w:rPr>
          <w:rFonts w:cs="Segoe UI"/>
          <w:b/>
          <w:bCs/>
          <w:szCs w:val="22"/>
          <w:lang w:val="sr-Latn-RS"/>
        </w:rPr>
        <w:t>Prilagojeni dobiček na prednostno delnico</w:t>
      </w:r>
      <w:r w:rsidRPr="00220612">
        <w:rPr>
          <w:rFonts w:cs="Segoe UI"/>
          <w:szCs w:val="22"/>
          <w:lang w:val="sr-Latn-RS"/>
        </w:rPr>
        <w:t xml:space="preserve"> se je zmanjšal za -29,2%, z 2,77 EUR v prvi polovici leta 2019 na 1,96 EUR. Pri stalnih tečajih se je prilagojeni dobiček na prednostno delnico zmanjšal za -28,2%. </w:t>
      </w:r>
      <w:r w:rsidRPr="00220612">
        <w:rPr>
          <w:rFonts w:cs="Segoe UI"/>
          <w:b/>
          <w:bCs/>
          <w:szCs w:val="22"/>
          <w:lang w:val="sr-Latn-RS"/>
        </w:rPr>
        <w:t>Neto obratni kapital</w:t>
      </w:r>
      <w:r w:rsidRPr="00220612">
        <w:rPr>
          <w:rFonts w:cs="Segoe UI"/>
          <w:szCs w:val="22"/>
          <w:lang w:val="sr-Latn-RS"/>
        </w:rPr>
        <w:t xml:space="preserve"> se je še izboljšal in je dosegel 4,4% prodaje, kar je </w:t>
      </w:r>
      <w:r w:rsidR="00FD0129">
        <w:rPr>
          <w:rFonts w:cs="Segoe UI"/>
          <w:szCs w:val="22"/>
          <w:lang w:val="sr-Latn-RS"/>
        </w:rPr>
        <w:t>občutno</w:t>
      </w:r>
      <w:r w:rsidRPr="00220612">
        <w:rPr>
          <w:rFonts w:cs="Segoe UI"/>
          <w:szCs w:val="22"/>
          <w:lang w:val="sr-Latn-RS"/>
        </w:rPr>
        <w:t xml:space="preserve"> manj kot v lanskem obdobju (6,7%).</w:t>
      </w:r>
    </w:p>
    <w:p w14:paraId="5E874BDB" w14:textId="182E156A" w:rsidR="007D3AC4" w:rsidRPr="007D3AC4" w:rsidRDefault="00220612" w:rsidP="00C04220">
      <w:pPr>
        <w:autoSpaceDE w:val="0"/>
        <w:autoSpaceDN w:val="0"/>
        <w:adjustRightInd w:val="0"/>
        <w:rPr>
          <w:rFonts w:cs="Segoe UI"/>
          <w:bCs/>
          <w:szCs w:val="22"/>
          <w:lang w:val="sr-Latn-RS"/>
        </w:rPr>
      </w:pPr>
      <w:r>
        <w:rPr>
          <w:rFonts w:cs="Segoe UI"/>
          <w:b/>
          <w:szCs w:val="22"/>
          <w:lang w:val="sr-Latn-RS"/>
        </w:rPr>
        <w:lastRenderedPageBreak/>
        <w:t>Prosti denarni tok</w:t>
      </w:r>
      <w:r w:rsidR="007D3AC4">
        <w:rPr>
          <w:rFonts w:cs="Segoe UI"/>
          <w:bCs/>
          <w:szCs w:val="22"/>
          <w:lang w:val="sr-Latn-RS"/>
        </w:rPr>
        <w:t xml:space="preserve"> </w:t>
      </w:r>
      <w:r w:rsidR="00FD0129">
        <w:rPr>
          <w:rFonts w:cs="Segoe UI"/>
          <w:bCs/>
          <w:szCs w:val="22"/>
          <w:lang w:val="sr-Latn-RS"/>
        </w:rPr>
        <w:t xml:space="preserve">je </w:t>
      </w:r>
      <w:r w:rsidRPr="00220612">
        <w:rPr>
          <w:rFonts w:cs="Segoe UI"/>
          <w:bCs/>
          <w:szCs w:val="22"/>
          <w:lang w:val="sr-Latn-RS"/>
        </w:rPr>
        <w:t xml:space="preserve">ostal zelo močen in je v prvi polovici leta 2020 dosegel 938 milijonov EUR (prva polovica leta 2019: 990 milijonov EUR). </w:t>
      </w:r>
      <w:r w:rsidRPr="00220612">
        <w:rPr>
          <w:rFonts w:cs="Segoe UI"/>
          <w:b/>
          <w:szCs w:val="22"/>
          <w:lang w:val="sr-Latn-RS"/>
        </w:rPr>
        <w:t>Čisti finančni položaj</w:t>
      </w:r>
      <w:r w:rsidRPr="00220612">
        <w:rPr>
          <w:rFonts w:cs="Segoe UI"/>
          <w:bCs/>
          <w:szCs w:val="22"/>
          <w:lang w:val="sr-Latn-RS"/>
        </w:rPr>
        <w:t xml:space="preserve"> skupine Henkel je 30. junija 2020 dosegel -1,951 milijona EUR (31. decembra 2019: -2,047 milijona EUR) - kljub izplačilu dividend v višini približno 800 milijonov EUR v drugem četrtletju.</w:t>
      </w:r>
    </w:p>
    <w:p w14:paraId="4C7F2F63" w14:textId="77777777" w:rsidR="00846017" w:rsidRPr="007E7A47" w:rsidRDefault="00846017" w:rsidP="00846017">
      <w:pPr>
        <w:rPr>
          <w:rFonts w:cs="Segoe UI"/>
          <w:szCs w:val="22"/>
          <w:lang w:val="sr-Latn-RS"/>
        </w:rPr>
      </w:pPr>
    </w:p>
    <w:p w14:paraId="34140740" w14:textId="77777777" w:rsidR="00846017" w:rsidRPr="007E7A47" w:rsidRDefault="00846017" w:rsidP="00846017">
      <w:pPr>
        <w:rPr>
          <w:rFonts w:cs="Segoe UI"/>
          <w:b/>
          <w:szCs w:val="22"/>
          <w:lang w:val="sr-Latn-RS"/>
        </w:rPr>
      </w:pPr>
    </w:p>
    <w:p w14:paraId="63C4EEF1" w14:textId="77777777" w:rsidR="00220612" w:rsidRDefault="00220612" w:rsidP="00846017">
      <w:pPr>
        <w:autoSpaceDE w:val="0"/>
        <w:autoSpaceDN w:val="0"/>
        <w:adjustRightInd w:val="0"/>
        <w:rPr>
          <w:rFonts w:cs="Segoe UI"/>
          <w:b/>
          <w:szCs w:val="22"/>
          <w:lang w:val="sr-Latn-RS"/>
        </w:rPr>
      </w:pPr>
      <w:r w:rsidRPr="00220612">
        <w:rPr>
          <w:rFonts w:cs="Segoe UI"/>
          <w:b/>
          <w:szCs w:val="22"/>
          <w:lang w:val="sr-Latn-RS"/>
        </w:rPr>
        <w:t>Načrt smotrne rasti: Izvajanje novega strateškega okvira</w:t>
      </w:r>
    </w:p>
    <w:p w14:paraId="7F68F406" w14:textId="77777777" w:rsidR="00220612" w:rsidRDefault="00220612" w:rsidP="00846017">
      <w:pPr>
        <w:autoSpaceDE w:val="0"/>
        <w:autoSpaceDN w:val="0"/>
        <w:adjustRightInd w:val="0"/>
        <w:rPr>
          <w:rFonts w:cs="Segoe UI"/>
          <w:b/>
          <w:szCs w:val="22"/>
          <w:lang w:val="sr-Latn-RS"/>
        </w:rPr>
      </w:pPr>
    </w:p>
    <w:p w14:paraId="40940FB5" w14:textId="77777777" w:rsidR="001A5DC8" w:rsidRPr="001A5DC8" w:rsidRDefault="001A5DC8" w:rsidP="001A5DC8">
      <w:pPr>
        <w:autoSpaceDE w:val="0"/>
        <w:autoSpaceDN w:val="0"/>
        <w:adjustRightInd w:val="0"/>
        <w:rPr>
          <w:rFonts w:cs="Segoe UI"/>
          <w:szCs w:val="22"/>
          <w:lang w:val="sr-Latn-RS"/>
        </w:rPr>
      </w:pPr>
      <w:r w:rsidRPr="001A5DC8">
        <w:rPr>
          <w:rFonts w:cs="Segoe UI"/>
          <w:szCs w:val="22"/>
          <w:lang w:val="sr-Latn-RS"/>
        </w:rPr>
        <w:t>V začetku marca 2020 je Henkel predstavil načrt rasti podjetja za prihodnja leta. Henkel je razvil jasen strateški okvir. Ta vsebuje: zmagovalni portfelj, konkurenčnost, zlasti na področju inovacij, trajnosti, digitalizacije, operativni model pripravljenosti za prihodnost in močna korporativna kultura. "Ta strateški okvir nam bo pomagal zmagati v tretjem desetletju tega stoletja, za Henkel z jasnim poudarkom na smotrni rasti," pojasnjuje Carsten Knobel. "Od napovedi v marcu smo že dosegli napredek pri zagonu prvih postopkov in izvajanju ukrepov."</w:t>
      </w:r>
    </w:p>
    <w:p w14:paraId="36129CF3" w14:textId="77777777" w:rsidR="001A5DC8" w:rsidRDefault="001A5DC8" w:rsidP="001A5DC8">
      <w:pPr>
        <w:autoSpaceDE w:val="0"/>
        <w:autoSpaceDN w:val="0"/>
        <w:adjustRightInd w:val="0"/>
        <w:rPr>
          <w:rFonts w:cs="Segoe UI"/>
          <w:szCs w:val="22"/>
          <w:lang w:val="sr-Latn-RS"/>
        </w:rPr>
      </w:pPr>
    </w:p>
    <w:p w14:paraId="0B2B5BBD" w14:textId="3B9DF6D2" w:rsidR="001A5DC8" w:rsidRPr="001A5DC8" w:rsidRDefault="001A5DC8" w:rsidP="001A5DC8">
      <w:pPr>
        <w:autoSpaceDE w:val="0"/>
        <w:autoSpaceDN w:val="0"/>
        <w:adjustRightInd w:val="0"/>
        <w:rPr>
          <w:rFonts w:cs="Segoe UI"/>
          <w:szCs w:val="22"/>
          <w:lang w:val="sr-Latn-RS"/>
        </w:rPr>
      </w:pPr>
      <w:r w:rsidRPr="001A5DC8">
        <w:rPr>
          <w:rFonts w:cs="Segoe UI"/>
          <w:szCs w:val="22"/>
          <w:lang w:val="sr-Latn-RS"/>
        </w:rPr>
        <w:t xml:space="preserve">Ključni element prihodnje usmeritve skupine Henkel je </w:t>
      </w:r>
      <w:r w:rsidRPr="001A5DC8">
        <w:rPr>
          <w:rFonts w:cs="Segoe UI"/>
          <w:b/>
          <w:bCs/>
          <w:szCs w:val="22"/>
          <w:lang w:val="sr-Latn-RS"/>
        </w:rPr>
        <w:t>aktivno upravljanje portfelja</w:t>
      </w:r>
      <w:r w:rsidRPr="001A5DC8">
        <w:rPr>
          <w:rFonts w:cs="Segoe UI"/>
          <w:szCs w:val="22"/>
          <w:lang w:val="sr-Latn-RS"/>
        </w:rPr>
        <w:t xml:space="preserve">. Henkel je opredelil blagovne znamke in kategorije s skupnim obsegom prodaje v višini več kot milijardo evrov, predvsem v potrošniškem pslovanju, od katerih je približno 50% določeno za prodajo ali ustavitev do konca leta 2021. </w:t>
      </w:r>
    </w:p>
    <w:p w14:paraId="5DBE4FC6" w14:textId="77777777" w:rsidR="001A5DC8" w:rsidRDefault="001A5DC8" w:rsidP="001A5DC8">
      <w:pPr>
        <w:autoSpaceDE w:val="0"/>
        <w:autoSpaceDN w:val="0"/>
        <w:adjustRightInd w:val="0"/>
        <w:rPr>
          <w:rFonts w:cs="Segoe UI"/>
          <w:szCs w:val="22"/>
          <w:lang w:val="sr-Latn-RS"/>
        </w:rPr>
      </w:pPr>
    </w:p>
    <w:p w14:paraId="563C192E" w14:textId="77777777" w:rsidR="001A5DC8" w:rsidRDefault="001A5DC8" w:rsidP="001A5DC8">
      <w:pPr>
        <w:autoSpaceDE w:val="0"/>
        <w:autoSpaceDN w:val="0"/>
        <w:adjustRightInd w:val="0"/>
        <w:rPr>
          <w:rFonts w:cs="Segoe UI"/>
          <w:szCs w:val="22"/>
          <w:lang w:val="sr-Latn-RS"/>
        </w:rPr>
      </w:pPr>
      <w:r w:rsidRPr="001A5DC8">
        <w:rPr>
          <w:rFonts w:cs="Segoe UI"/>
          <w:szCs w:val="22"/>
          <w:lang w:val="sr-Latn-RS"/>
        </w:rPr>
        <w:t xml:space="preserve">Henkel si prizadeva za pospešitev pomembnih </w:t>
      </w:r>
      <w:r w:rsidRPr="001A5DC8">
        <w:rPr>
          <w:rFonts w:cs="Segoe UI"/>
          <w:b/>
          <w:bCs/>
          <w:szCs w:val="22"/>
          <w:lang w:val="sr-Latn-RS"/>
        </w:rPr>
        <w:t>inovacij</w:t>
      </w:r>
      <w:r w:rsidRPr="001A5DC8">
        <w:rPr>
          <w:rFonts w:cs="Segoe UI"/>
          <w:szCs w:val="22"/>
          <w:lang w:val="sr-Latn-RS"/>
        </w:rPr>
        <w:t xml:space="preserve">, podprtih s povečanimi naložbami. To vključuje </w:t>
      </w:r>
      <w:r w:rsidRPr="001A5DC8">
        <w:rPr>
          <w:rFonts w:cs="Segoe UI"/>
          <w:b/>
          <w:bCs/>
          <w:szCs w:val="22"/>
          <w:lang w:val="sr-Latn-RS"/>
        </w:rPr>
        <w:t>napredni pristop</w:t>
      </w:r>
      <w:r w:rsidRPr="001A5DC8">
        <w:rPr>
          <w:rFonts w:cs="Segoe UI"/>
          <w:szCs w:val="22"/>
          <w:lang w:val="sr-Latn-RS"/>
        </w:rPr>
        <w:t xml:space="preserve"> k inovacijam. Inovacije in blagovne znamke podpirajo nenehne naložbe v ključne kategorije in regije. Zato se Henkel zavezuje k </w:t>
      </w:r>
      <w:r w:rsidRPr="001A5DC8">
        <w:rPr>
          <w:rFonts w:cs="Segoe UI"/>
          <w:b/>
          <w:bCs/>
          <w:szCs w:val="22"/>
          <w:lang w:val="sr-Latn-RS"/>
        </w:rPr>
        <w:t>nadaljnjemu povečanju naložb</w:t>
      </w:r>
      <w:r w:rsidRPr="001A5DC8">
        <w:rPr>
          <w:rFonts w:cs="Segoe UI"/>
          <w:szCs w:val="22"/>
          <w:lang w:val="sr-Latn-RS"/>
        </w:rPr>
        <w:t xml:space="preserve"> v oglaševanje, digitalizacijo in IT. V prvih šestih mesecih letošnjega leta je Henkel kljub makroekonomskim izzivom povečal te naložbe za višji dvomestni milijonski znesek.</w:t>
      </w:r>
    </w:p>
    <w:p w14:paraId="1996E05D" w14:textId="77777777" w:rsidR="001A5DC8" w:rsidRDefault="001A5DC8" w:rsidP="001A5DC8">
      <w:pPr>
        <w:autoSpaceDE w:val="0"/>
        <w:autoSpaceDN w:val="0"/>
        <w:adjustRightInd w:val="0"/>
        <w:rPr>
          <w:rFonts w:cs="Segoe UI"/>
          <w:szCs w:val="22"/>
          <w:lang w:val="sr-Latn-RS"/>
        </w:rPr>
      </w:pPr>
    </w:p>
    <w:p w14:paraId="536FDE44" w14:textId="43B2FB73" w:rsidR="001A5DC8" w:rsidRDefault="001A5DC8" w:rsidP="001A5DC8">
      <w:pPr>
        <w:autoSpaceDE w:val="0"/>
        <w:autoSpaceDN w:val="0"/>
        <w:adjustRightInd w:val="0"/>
        <w:rPr>
          <w:rFonts w:cs="Segoe UI"/>
          <w:bCs/>
          <w:szCs w:val="22"/>
          <w:lang w:val="sr-Latn-RS"/>
        </w:rPr>
      </w:pPr>
      <w:r w:rsidRPr="001A5DC8">
        <w:rPr>
          <w:rFonts w:cs="Segoe UI"/>
          <w:b/>
          <w:szCs w:val="22"/>
          <w:lang w:val="sr-Latn-RS"/>
        </w:rPr>
        <w:t>Trajnost</w:t>
      </w:r>
      <w:r w:rsidRPr="001A5DC8">
        <w:rPr>
          <w:rFonts w:cs="Segoe UI"/>
          <w:bCs/>
          <w:szCs w:val="22"/>
          <w:lang w:val="sr-Latn-RS"/>
        </w:rPr>
        <w:t xml:space="preserve"> je ena izmed prednosti podjetja Henkel. Ta družba je vodilna, kar nenehno potrjujejo z ocenami in uvrstitvami. Zato si Henkel prizadeva, da bi še naprej okrepil svoj vodilni položaj na področju trajnosti kot očitno konkurenčno prednost. Za nadaljnje pospeševanje svojih prizadevanj je Henkel določil naslednje mejnike in jasne cilje. Med elementi je tudi ta, da </w:t>
      </w:r>
      <w:r w:rsidR="00FD0129">
        <w:rPr>
          <w:rFonts w:cs="Segoe UI"/>
          <w:bCs/>
          <w:szCs w:val="22"/>
          <w:lang w:val="sr-Latn-RS"/>
        </w:rPr>
        <w:t xml:space="preserve">se </w:t>
      </w:r>
      <w:r w:rsidRPr="001A5DC8">
        <w:rPr>
          <w:rFonts w:cs="Segoe UI"/>
          <w:bCs/>
          <w:szCs w:val="22"/>
          <w:lang w:val="sr-Latn-RS"/>
        </w:rPr>
        <w:t xml:space="preserve">do leta 2040 </w:t>
      </w:r>
      <w:r w:rsidR="00FD0129">
        <w:rPr>
          <w:rFonts w:cs="Segoe UI"/>
          <w:bCs/>
          <w:szCs w:val="22"/>
          <w:lang w:val="sr-Latn-RS"/>
        </w:rPr>
        <w:t>vzpostavimo kot</w:t>
      </w:r>
      <w:r w:rsidRPr="001A5DC8">
        <w:rPr>
          <w:rFonts w:cs="Segoe UI"/>
          <w:bCs/>
          <w:szCs w:val="22"/>
          <w:lang w:val="sr-Latn-RS"/>
        </w:rPr>
        <w:t xml:space="preserve"> podnebno pozitivno podjetje. </w:t>
      </w:r>
    </w:p>
    <w:p w14:paraId="72331C4B" w14:textId="77777777" w:rsidR="001A5DC8" w:rsidRPr="001A5DC8" w:rsidRDefault="001A5DC8" w:rsidP="001A5DC8">
      <w:pPr>
        <w:autoSpaceDE w:val="0"/>
        <w:autoSpaceDN w:val="0"/>
        <w:adjustRightInd w:val="0"/>
        <w:rPr>
          <w:rFonts w:cs="Segoe UI"/>
          <w:bCs/>
          <w:szCs w:val="22"/>
          <w:lang w:val="sr-Latn-RS"/>
        </w:rPr>
      </w:pPr>
    </w:p>
    <w:p w14:paraId="08C65E7D" w14:textId="40E8FF37" w:rsidR="00ED3A18" w:rsidRDefault="001A5DC8" w:rsidP="001A5DC8">
      <w:pPr>
        <w:autoSpaceDE w:val="0"/>
        <w:autoSpaceDN w:val="0"/>
        <w:adjustRightInd w:val="0"/>
        <w:rPr>
          <w:rFonts w:cs="Segoe UI"/>
          <w:bCs/>
          <w:szCs w:val="22"/>
          <w:lang w:val="sr-Latn-RS"/>
        </w:rPr>
      </w:pPr>
      <w:r w:rsidRPr="001A5DC8">
        <w:rPr>
          <w:rFonts w:cs="Segoe UI"/>
          <w:bCs/>
          <w:szCs w:val="22"/>
          <w:lang w:val="sr-Latn-RS"/>
        </w:rPr>
        <w:t xml:space="preserve">Henkel je kot prva družba na svetu prvi izdal obveznico za zmanjšanje plastičnih odpadkov junija 2020. S tem je Henkel storil še en korak v združevanju privlačnih finančnih instrumentov podjetij z napredkom na področju trajnosti. Izkupiček te obveznice v skupni vrednosti približno 100 milijonov EUR bo posebej namenjen projektom in stroškom, povezanim z Henkelovimi dejavnostmi za zmanjšanje plastičnih odpadkov. Henklova zaveza </w:t>
      </w:r>
      <w:r w:rsidR="00FD0129">
        <w:rPr>
          <w:rFonts w:cs="Segoe UI"/>
          <w:bCs/>
          <w:szCs w:val="22"/>
          <w:lang w:val="sr-Latn-RS"/>
        </w:rPr>
        <w:t xml:space="preserve">izpostavlja naravnanost </w:t>
      </w:r>
      <w:r w:rsidR="00FD0129">
        <w:rPr>
          <w:rFonts w:cs="Segoe UI"/>
          <w:bCs/>
          <w:szCs w:val="22"/>
          <w:lang w:val="sr-Latn-RS"/>
        </w:rPr>
        <w:lastRenderedPageBreak/>
        <w:t xml:space="preserve">družbe </w:t>
      </w:r>
      <w:r w:rsidRPr="001A5DC8">
        <w:rPr>
          <w:rFonts w:cs="Segoe UI"/>
          <w:bCs/>
          <w:szCs w:val="22"/>
          <w:lang w:val="sr-Latn-RS"/>
        </w:rPr>
        <w:t>k spodbujanju krožnega gospodarstva in zmanjševanju plastičnih odpadkov ter trajnostnemu financiranju.</w:t>
      </w:r>
    </w:p>
    <w:p w14:paraId="4593B7D3" w14:textId="77777777" w:rsidR="00FD0129" w:rsidRPr="007E7A47" w:rsidRDefault="00FD0129" w:rsidP="001A5DC8">
      <w:pPr>
        <w:autoSpaceDE w:val="0"/>
        <w:autoSpaceDN w:val="0"/>
        <w:adjustRightInd w:val="0"/>
        <w:rPr>
          <w:rFonts w:cs="Segoe UI"/>
          <w:bCs/>
          <w:szCs w:val="22"/>
          <w:lang w:val="sr-Latn-RS"/>
        </w:rPr>
      </w:pPr>
    </w:p>
    <w:p w14:paraId="1036C750" w14:textId="77777777" w:rsidR="00BA0EBC" w:rsidRDefault="001A5DC8" w:rsidP="00846017">
      <w:pPr>
        <w:rPr>
          <w:rFonts w:cs="Segoe UI"/>
          <w:bCs/>
          <w:szCs w:val="22"/>
          <w:lang w:val="sr-Latn-RS"/>
        </w:rPr>
      </w:pPr>
      <w:r w:rsidRPr="001A5DC8">
        <w:rPr>
          <w:rFonts w:cs="Segoe UI"/>
          <w:bCs/>
          <w:szCs w:val="22"/>
          <w:lang w:val="sr-Latn-RS"/>
        </w:rPr>
        <w:t xml:space="preserve">Henkel je razširil tudi orodje za oblikovanje recikliranja EasyD4R, ki omogoča hitro in zanesljivo oceno možnosti recikliranja embalaže zgodaj v razvojnem procesu. Programska oprema, ki je bila na voljo drugim podjetjem in organizacijam, zdaj zajema ne samo različne vrste plastične embalaže, temveč tudi materiale, kot so papir, steklo ali aluminij. </w:t>
      </w:r>
    </w:p>
    <w:p w14:paraId="40A86001" w14:textId="77777777" w:rsidR="00BA0EBC" w:rsidRDefault="00BA0EBC" w:rsidP="00846017">
      <w:pPr>
        <w:rPr>
          <w:rFonts w:cs="Segoe UI"/>
          <w:bCs/>
          <w:szCs w:val="22"/>
          <w:lang w:val="sr-Latn-RS"/>
        </w:rPr>
      </w:pPr>
    </w:p>
    <w:p w14:paraId="65855E0D" w14:textId="021412CA" w:rsidR="00846017" w:rsidRDefault="001A5DC8" w:rsidP="00846017">
      <w:pPr>
        <w:rPr>
          <w:rFonts w:cs="Segoe UI"/>
          <w:bCs/>
          <w:szCs w:val="22"/>
          <w:lang w:val="sr-Latn-RS"/>
        </w:rPr>
      </w:pPr>
      <w:r w:rsidRPr="001A5DC8">
        <w:rPr>
          <w:rFonts w:cs="Segoe UI"/>
          <w:bCs/>
          <w:szCs w:val="22"/>
          <w:lang w:val="sr-Latn-RS"/>
        </w:rPr>
        <w:t xml:space="preserve">Poleg inovacij in trajnosti je Henkel tudi </w:t>
      </w:r>
      <w:r w:rsidRPr="00BA0EBC">
        <w:rPr>
          <w:rFonts w:cs="Segoe UI"/>
          <w:b/>
          <w:szCs w:val="22"/>
          <w:lang w:val="sr-Latn-RS"/>
        </w:rPr>
        <w:t>digitalizacijo</w:t>
      </w:r>
      <w:r w:rsidRPr="001A5DC8">
        <w:rPr>
          <w:rFonts w:cs="Segoe UI"/>
          <w:bCs/>
          <w:szCs w:val="22"/>
          <w:lang w:val="sr-Latn-RS"/>
        </w:rPr>
        <w:t xml:space="preserve"> opredelil kot ključni način za krepitev svoje konkurenčnosti. V prvi polovici leta je Henkel zabeležil močno rast digitalne prodaje v višini več kot 60% v sektorjih lBeauty Care i Laundry &amp; Home Care. Za skupino se digitalni delež v skupni prodaji giblje med 13% in 19%. S svojo novo enoto Digital Business želi Henkel postati vodilni na področju digitalnega poslovanja v svojih panogah in ustvariti oprijemljivo vrednost za svoje stranke. Zato je Henkel konec junija predstavil nov operacijski model za svoje digitalne in informacijske dejavnosti ter združil IT ekipe, strokovnjake za digitalne poslovne prostore, lastnike poslovnih procesov in platformo HenkelX Ventures, ki jo je vodil Henkelov direktor za digitalno in informacijsko tehnologijo.</w:t>
      </w:r>
    </w:p>
    <w:p w14:paraId="57218C56" w14:textId="77777777" w:rsidR="00BA0EBC" w:rsidRPr="007E7A47" w:rsidRDefault="00BA0EBC" w:rsidP="00846017">
      <w:pPr>
        <w:rPr>
          <w:rFonts w:cs="Segoe UI"/>
          <w:szCs w:val="22"/>
          <w:lang w:val="sr-Latn-RS" w:eastAsia="de-DE"/>
        </w:rPr>
      </w:pPr>
    </w:p>
    <w:p w14:paraId="56450D09" w14:textId="77777777" w:rsidR="00BA0EBC" w:rsidRPr="00BA0EBC" w:rsidRDefault="00BA0EBC" w:rsidP="00BA0EBC">
      <w:pPr>
        <w:spacing w:after="120"/>
        <w:rPr>
          <w:rFonts w:cs="Segoe UI"/>
          <w:szCs w:val="22"/>
          <w:lang w:val="sr-Latn-RS" w:eastAsia="de-DE"/>
        </w:rPr>
      </w:pPr>
      <w:r w:rsidRPr="00BA0EBC">
        <w:rPr>
          <w:rFonts w:cs="Segoe UI"/>
          <w:szCs w:val="22"/>
          <w:lang w:val="sr-Latn-RS" w:eastAsia="de-DE"/>
        </w:rPr>
        <w:t xml:space="preserve">Izpopolnjeni hitri in za prihodnost pripravljeni </w:t>
      </w:r>
      <w:r w:rsidRPr="00BA0EBC">
        <w:rPr>
          <w:rFonts w:cs="Segoe UI"/>
          <w:b/>
          <w:bCs/>
          <w:szCs w:val="22"/>
          <w:lang w:val="sr-Latn-RS" w:eastAsia="de-DE"/>
        </w:rPr>
        <w:t>poslovni procesi</w:t>
      </w:r>
      <w:r w:rsidRPr="00BA0EBC">
        <w:rPr>
          <w:rFonts w:cs="Segoe UI"/>
          <w:szCs w:val="22"/>
          <w:lang w:val="sr-Latn-RS" w:eastAsia="de-DE"/>
        </w:rPr>
        <w:t xml:space="preserve"> so še en bistveni element Henklovega strateškega okvira. Podjetje redno pregleduje svoje poslovne procese in strukture ter ocenjuje, ali so izpopolnjeni, hitri in enostavni ter jih prilagaja spreminjajočemu se dogajanju na trgu in trendom. Razviti bodo tudi novi poslovni modeli s poudarkom na ohranjanju bližine do kupcev in potrošnikov.</w:t>
      </w:r>
    </w:p>
    <w:p w14:paraId="3211F64D" w14:textId="77777777" w:rsidR="00BA0EBC" w:rsidRPr="00BA0EBC" w:rsidRDefault="00BA0EBC" w:rsidP="00BA0EBC">
      <w:pPr>
        <w:spacing w:after="120"/>
        <w:rPr>
          <w:rFonts w:cs="Segoe UI"/>
          <w:szCs w:val="22"/>
          <w:lang w:val="sr-Latn-RS" w:eastAsia="de-DE"/>
        </w:rPr>
      </w:pPr>
    </w:p>
    <w:p w14:paraId="6AF0818E" w14:textId="7622AE41" w:rsidR="00385438" w:rsidRPr="007E7A47" w:rsidRDefault="00BA0EBC" w:rsidP="00BA0EBC">
      <w:pPr>
        <w:spacing w:after="120"/>
        <w:rPr>
          <w:rFonts w:cs="Segoe UI"/>
          <w:b/>
          <w:szCs w:val="22"/>
          <w:lang w:val="sr-Latn-RS"/>
        </w:rPr>
      </w:pPr>
      <w:r w:rsidRPr="00BA0EBC">
        <w:rPr>
          <w:rFonts w:cs="Segoe UI"/>
          <w:szCs w:val="22"/>
          <w:lang w:val="sr-Latn-RS" w:eastAsia="de-DE"/>
        </w:rPr>
        <w:t xml:space="preserve">Nadaljnji razvoj korporativne kulture skupine Henkel in pospešitev </w:t>
      </w:r>
      <w:r w:rsidRPr="00BA0EBC">
        <w:rPr>
          <w:rFonts w:cs="Segoe UI"/>
          <w:b/>
          <w:bCs/>
          <w:szCs w:val="22"/>
          <w:lang w:val="sr-Latn-RS" w:eastAsia="de-DE"/>
        </w:rPr>
        <w:t>kulturne preobrazbe</w:t>
      </w:r>
      <w:r w:rsidRPr="00BA0EBC">
        <w:rPr>
          <w:rFonts w:cs="Segoe UI"/>
          <w:szCs w:val="22"/>
          <w:lang w:val="sr-Latn-RS" w:eastAsia="de-DE"/>
        </w:rPr>
        <w:t xml:space="preserve"> sta druga elementa, ki sta ključnega pomena za premik podjetja naprej. Cilj je gojiti kulturo sodelovanja z okrepljenimi ljudmi in z odgovornostjo vodstva podjetja v središču. Za Henkel je ključnega pomena, da zaposleni nenehno razvijajo svoje poklicne in osebne veščine. V prvi polovici leta 2020 je zato podjetje izvajalo posebej zasnovane projekte usposabljanja in izpopolnjevanja, na primer na področju vodilne vloge v  digitalizaciji in inovacijah. Trenutna korona kriza  je dokazala tudi močno korporacijsko kulturo družbe Henkel Group ter odpornost in zavzetost zaposlenih po vsem svetu.</w:t>
      </w:r>
    </w:p>
    <w:p w14:paraId="5A3D8003" w14:textId="77777777" w:rsidR="00BA0EBC" w:rsidRDefault="00BA0EBC" w:rsidP="00F317B5">
      <w:pPr>
        <w:rPr>
          <w:rFonts w:cs="Segoe UI"/>
          <w:b/>
          <w:szCs w:val="22"/>
          <w:lang w:val="sr-Latn-RS"/>
        </w:rPr>
      </w:pPr>
      <w:r w:rsidRPr="00BA0EBC">
        <w:rPr>
          <w:rFonts w:cs="Segoe UI"/>
          <w:b/>
          <w:szCs w:val="22"/>
          <w:lang w:val="sr-Latn-RS"/>
        </w:rPr>
        <w:t>Ukrepi za reševanje pandemije virusa COVID-19</w:t>
      </w:r>
    </w:p>
    <w:p w14:paraId="2C3E7F4E" w14:textId="77777777" w:rsidR="00BA0EBC" w:rsidRDefault="00BA0EBC" w:rsidP="00F317B5">
      <w:pPr>
        <w:rPr>
          <w:rFonts w:cs="Segoe UI"/>
          <w:b/>
          <w:szCs w:val="22"/>
          <w:lang w:val="sr-Latn-RS"/>
        </w:rPr>
      </w:pPr>
    </w:p>
    <w:p w14:paraId="0FAD9CB5" w14:textId="4D3C2616" w:rsidR="00846017" w:rsidRDefault="00BA0EBC" w:rsidP="00846017">
      <w:pPr>
        <w:rPr>
          <w:rFonts w:cs="Segoe UI"/>
          <w:szCs w:val="22"/>
          <w:lang w:val="sr-Latn-RS" w:eastAsia="de-DE"/>
        </w:rPr>
      </w:pPr>
      <w:r w:rsidRPr="00BA0EBC">
        <w:rPr>
          <w:rFonts w:cs="Segoe UI"/>
          <w:bCs/>
          <w:szCs w:val="22"/>
          <w:lang w:val="sr-Latn-RS"/>
        </w:rPr>
        <w:t xml:space="preserve">Pandemija virusa COVID-19 je prizadela vsa področja življenja in pomembno vplivala na svetovno gospodarstvo. Med to krizo sta bili zdravje in varnost zaposlenih, strank in poslovnih partnerjev glavni prioriteti Henkla. Podjetje je v začetni fazi uvedlo široko paleto zaščitnih </w:t>
      </w:r>
      <w:r w:rsidRPr="00BA0EBC">
        <w:rPr>
          <w:rFonts w:cs="Segoe UI"/>
          <w:bCs/>
          <w:szCs w:val="22"/>
          <w:lang w:val="sr-Latn-RS"/>
        </w:rPr>
        <w:lastRenderedPageBreak/>
        <w:t>ukrepov. Hkrati se je Henkel zelo trudil nadaljevati svoje poslovne dejavnosti in služiti strankam in potrošnikom po vsem svetu. Henkel je sprožil tudi svetovni solidarnostni program, ki vključuje finančne donacije, na primer Solidarnostni sklad Svetovne zdravstvene organizacije (WHO) za COVID-19 in Fundacijo Združenih narodov (ZN) in za druge izbrane</w:t>
      </w:r>
      <w:r>
        <w:rPr>
          <w:rFonts w:cs="Segoe UI"/>
          <w:bCs/>
          <w:szCs w:val="22"/>
          <w:lang w:val="sr-Latn-RS"/>
        </w:rPr>
        <w:t xml:space="preserve"> </w:t>
      </w:r>
      <w:r w:rsidR="00705B8A">
        <w:rPr>
          <w:rFonts w:cs="Segoe UI"/>
          <w:szCs w:val="22"/>
          <w:lang w:val="sr-Latn-RS" w:eastAsia="de-DE"/>
        </w:rPr>
        <w:t>organizacij</w:t>
      </w:r>
      <w:r>
        <w:rPr>
          <w:rFonts w:cs="Segoe UI"/>
          <w:szCs w:val="22"/>
          <w:lang w:val="sr-Latn-RS" w:eastAsia="de-DE"/>
        </w:rPr>
        <w:t>e</w:t>
      </w:r>
      <w:r w:rsidR="00705B8A">
        <w:rPr>
          <w:rFonts w:cs="Segoe UI"/>
          <w:szCs w:val="22"/>
          <w:lang w:val="sr-Latn-RS" w:eastAsia="de-DE"/>
        </w:rPr>
        <w:t xml:space="preserve"> </w:t>
      </w:r>
      <w:r>
        <w:rPr>
          <w:rFonts w:cs="Segoe UI"/>
          <w:szCs w:val="22"/>
          <w:lang w:val="sr-Latn-RS" w:eastAsia="de-DE"/>
        </w:rPr>
        <w:t>po vsem svetu</w:t>
      </w:r>
      <w:r w:rsidR="00705B8A">
        <w:rPr>
          <w:rFonts w:cs="Segoe UI"/>
          <w:szCs w:val="22"/>
          <w:lang w:val="sr-Latn-RS" w:eastAsia="de-DE"/>
        </w:rPr>
        <w:t xml:space="preserve">. </w:t>
      </w:r>
      <w:r w:rsidRPr="00BA0EBC">
        <w:rPr>
          <w:rFonts w:cs="Segoe UI"/>
          <w:szCs w:val="22"/>
          <w:lang w:val="sr-Latn-RS" w:eastAsia="de-DE"/>
        </w:rPr>
        <w:t>Poleg tega je Henkel podaril več kot 5 milijonov izdelkov za osebno in gospodinjsko higieno in je na svojih lokacijah proizvajal razkužila. Na globalnem planu je Henkel jproizvedel in podaril več kot 111.000 litrov razkužil zdravstvenim sistemom in bolnišnicam. Do danes je Henkel podprl več kot 500 projektov, povezanih s korona virusom, v več kot 40 državah po vsem svetu in tako pomagal skoraj 5 milijonom ljudi, ki so pomoč potrebovali med pandemijo.</w:t>
      </w:r>
    </w:p>
    <w:p w14:paraId="178DEFF0" w14:textId="77777777" w:rsidR="00BA0EBC" w:rsidRPr="007E7A47" w:rsidRDefault="00BA0EBC" w:rsidP="00846017">
      <w:pPr>
        <w:rPr>
          <w:rFonts w:cs="Segoe UI"/>
          <w:szCs w:val="22"/>
          <w:lang w:val="sr-Latn-RS" w:eastAsia="de-DE"/>
        </w:rPr>
      </w:pPr>
    </w:p>
    <w:p w14:paraId="429055EA" w14:textId="17F6FC43" w:rsidR="00846017" w:rsidRPr="007E7A47" w:rsidRDefault="00BA0EBC" w:rsidP="00BA0EBC">
      <w:pPr>
        <w:rPr>
          <w:rFonts w:asciiTheme="majorHAnsi" w:hAnsiTheme="majorHAnsi" w:cstheme="majorHAnsi"/>
          <w:szCs w:val="22"/>
          <w:lang w:val="sr-Latn-RS"/>
        </w:rPr>
      </w:pPr>
      <w:r w:rsidRPr="00BA0EBC">
        <w:rPr>
          <w:rFonts w:cs="Segoe UI"/>
          <w:szCs w:val="22"/>
          <w:lang w:val="sr-Latn-RS" w:eastAsia="de-DE"/>
        </w:rPr>
        <w:t xml:space="preserve">"Ko se bo kriza razvijala, se bomo morali nenehno prilagajati. Na motnje na trgu se bomo odzivali prožno in hitro. Pri tem bomo aktivno oblikovali spremembe in premikali meje," je povzel Carsten Knobel. </w:t>
      </w:r>
      <w:r>
        <w:rPr>
          <w:rFonts w:cs="Segoe UI"/>
          <w:szCs w:val="22"/>
          <w:lang w:val="sr-Latn-RS" w:eastAsia="de-DE"/>
        </w:rPr>
        <w:t xml:space="preserve"> </w:t>
      </w:r>
      <w:r w:rsidRPr="00BA0EBC">
        <w:rPr>
          <w:rFonts w:cs="Segoe UI"/>
          <w:szCs w:val="22"/>
          <w:lang w:val="sr-Latn-RS" w:eastAsia="de-DE"/>
        </w:rPr>
        <w:t>"Prepričan sem, da smo z našo predano svetovno ekipo, z novim strateškim okvirom s poudarkom na smotrni  rasti,  naši močni bilanci stanja in finančni prilagodljivosti, pa tudi zmožnosti ustvarjanja močnih denarnih tokov, primerni za soočanje s to težko situacijo in da bomo iz krize izšli močnejši. "</w:t>
      </w:r>
    </w:p>
    <w:p w14:paraId="4BC08E41" w14:textId="77777777" w:rsidR="0013569C" w:rsidRPr="007E7A47" w:rsidRDefault="0013569C" w:rsidP="00846017">
      <w:pPr>
        <w:rPr>
          <w:rFonts w:asciiTheme="majorHAnsi" w:hAnsiTheme="majorHAnsi" w:cstheme="majorHAnsi"/>
          <w:szCs w:val="22"/>
          <w:lang w:val="sr-Latn-RS"/>
        </w:rPr>
      </w:pPr>
    </w:p>
    <w:p w14:paraId="1C4447C6" w14:textId="77777777" w:rsidR="00E24632" w:rsidRPr="007E7A47" w:rsidRDefault="00E24632" w:rsidP="00D06825">
      <w:pPr>
        <w:rPr>
          <w:rStyle w:val="AboutandContactHeadline"/>
          <w:lang w:val="sr-Latn-RS"/>
        </w:rPr>
      </w:pPr>
    </w:p>
    <w:p w14:paraId="77FEAF68" w14:textId="77777777" w:rsidR="00742C83" w:rsidRPr="00742C83" w:rsidRDefault="00742C83" w:rsidP="00742C83">
      <w:pPr>
        <w:rPr>
          <w:rFonts w:asciiTheme="majorHAnsi" w:hAnsiTheme="majorHAnsi" w:cstheme="majorHAnsi"/>
          <w:bCs/>
          <w:sz w:val="14"/>
          <w:szCs w:val="14"/>
          <w:lang w:val="sr-Latn-RS"/>
        </w:rPr>
      </w:pPr>
      <w:r w:rsidRPr="00742C83">
        <w:rPr>
          <w:rFonts w:asciiTheme="majorHAnsi" w:hAnsiTheme="majorHAnsi" w:cstheme="majorHAnsi"/>
          <w:bCs/>
          <w:sz w:val="14"/>
          <w:szCs w:val="14"/>
          <w:lang w:val="sr-Latn-RS"/>
        </w:rPr>
        <w:t>To obvestilo vsebuje predhodne izjave, ki temeljijo na trenutnih ocenah in predpostavkah, ki jih je oblikovalo korporativno poslovodstvo Henkel AG &amp; Co. KGaA. Za izjave, ki se nanašajo na prihodnost, so značilne besede, kot so "pričakovati", "nameravati", "načrtovati", "verjeti", "oceniti" in podobni izrazi. Takšnih izjav nikakor ne smemo razlagati kot zagotovilo, da se bodo ta pričakovanja izkazala za pravilna. Prihodnji uspeh in rezultati, ki jih bodo dejansko dosegli Henkel AG &amp; Co. KGaA in pridružene družbe so odvisne od številnih tveganj in negotovosti, zato se lahko bistveno razlikujejo od predhodnih izajv.  Številni dejavniki niso pod nadzorom Henkela, zato jih ni mogoče natančno oceniti, kot so prihodnje gospodarsko okolje in ukrepi konkurentov in drugih, ki sodelujejo na trgu. Henkel ne načrtuje in se ne zavezuje, da bo posodabljal kakršne koli predhodne izjave.</w:t>
      </w:r>
    </w:p>
    <w:p w14:paraId="009C1C66" w14:textId="77777777" w:rsidR="00742C83" w:rsidRPr="00742C83" w:rsidRDefault="00742C83" w:rsidP="00742C83">
      <w:pPr>
        <w:rPr>
          <w:rFonts w:asciiTheme="majorHAnsi" w:hAnsiTheme="majorHAnsi" w:cstheme="majorHAnsi"/>
          <w:bCs/>
          <w:sz w:val="14"/>
          <w:szCs w:val="14"/>
          <w:lang w:val="sr-Latn-RS"/>
        </w:rPr>
      </w:pPr>
    </w:p>
    <w:p w14:paraId="7FFA3304" w14:textId="77777777" w:rsidR="00742C83" w:rsidRPr="00742C83" w:rsidRDefault="00742C83" w:rsidP="00742C83">
      <w:pPr>
        <w:rPr>
          <w:rFonts w:asciiTheme="majorHAnsi" w:hAnsiTheme="majorHAnsi" w:cstheme="majorHAnsi"/>
          <w:bCs/>
          <w:sz w:val="14"/>
          <w:szCs w:val="14"/>
          <w:lang w:val="sr-Latn-RS"/>
        </w:rPr>
      </w:pPr>
      <w:r w:rsidRPr="00742C83">
        <w:rPr>
          <w:rFonts w:asciiTheme="majorHAnsi" w:hAnsiTheme="majorHAnsi" w:cstheme="majorHAnsi"/>
          <w:bCs/>
          <w:sz w:val="14"/>
          <w:szCs w:val="14"/>
          <w:lang w:val="sr-Latn-RS"/>
        </w:rPr>
        <w:t>Ta dokument vključuje - znotraj veljavnega okvira finančnega poročanja, ki ni jasno opredeljen - dodatne finančne ukrepe, ki so a ni nujno da bi bile alternativni uspešni ukrepi (ukrepi, ki niso GAAP). Na te dodatne finančne ukrepe ne bi smeli gledati osamljeno ali kot alternativo ukrepom Henklovega čistega premoženja in finančnega položaja ali rezultatov poslovanja, predstavljenih v skladu z veljavnim okvirom finančnega poročanja v konsolidiranih računovodskih izkazih. Druga podjetja, ki poročajo ali opisujejo alternativne ukrepe za uspeh s podobnimi imeni, jih lahko štejejo drugače.</w:t>
      </w:r>
    </w:p>
    <w:p w14:paraId="3C8428F9" w14:textId="77777777" w:rsidR="00742C83" w:rsidRPr="00742C83" w:rsidRDefault="00742C83" w:rsidP="00742C83">
      <w:pPr>
        <w:rPr>
          <w:rFonts w:asciiTheme="majorHAnsi" w:hAnsiTheme="majorHAnsi" w:cstheme="majorHAnsi"/>
          <w:bCs/>
          <w:sz w:val="14"/>
          <w:szCs w:val="14"/>
          <w:lang w:val="sr-Latn-RS"/>
        </w:rPr>
      </w:pPr>
    </w:p>
    <w:p w14:paraId="0BFF6B34" w14:textId="3524BBE3" w:rsidR="00BF6E82" w:rsidRPr="007E7A47" w:rsidRDefault="00742C83" w:rsidP="00742C83">
      <w:pPr>
        <w:rPr>
          <w:rStyle w:val="AboutandContactBody"/>
          <w:lang w:val="sr-Latn-RS"/>
        </w:rPr>
      </w:pPr>
      <w:r w:rsidRPr="00742C83">
        <w:rPr>
          <w:rFonts w:asciiTheme="majorHAnsi" w:hAnsiTheme="majorHAnsi" w:cstheme="majorHAnsi"/>
          <w:bCs/>
          <w:sz w:val="14"/>
          <w:szCs w:val="14"/>
          <w:lang w:val="sr-Latn-RS"/>
        </w:rPr>
        <w:t>Ta dokument je izdan samo v informativne namene in ni namenjen svetovanju za naložbe ali ponudbo za prodajo ali povabilo k oddaji ponudbe za nakup kakršnihkoli vrednostnih papirjev.</w:t>
      </w:r>
    </w:p>
    <w:p w14:paraId="522BE522" w14:textId="77777777" w:rsidR="00112A28" w:rsidRPr="007E7A47" w:rsidRDefault="00112A28" w:rsidP="000425ED">
      <w:pPr>
        <w:tabs>
          <w:tab w:val="left" w:pos="1080"/>
          <w:tab w:val="left" w:pos="4500"/>
        </w:tabs>
        <w:rPr>
          <w:rStyle w:val="AboutandContactBody"/>
          <w:rFonts w:asciiTheme="majorHAnsi" w:hAnsiTheme="majorHAnsi" w:cstheme="majorHAnsi"/>
          <w:color w:val="0000FF"/>
          <w:szCs w:val="18"/>
          <w:u w:val="single"/>
          <w:lang w:val="sr-Latn-RS"/>
        </w:rPr>
      </w:pPr>
    </w:p>
    <w:sectPr w:rsidR="00112A28" w:rsidRPr="007E7A47" w:rsidSect="00DC2465">
      <w:headerReference w:type="even"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A8686" w14:textId="77777777" w:rsidR="00CD4402" w:rsidRDefault="00CD4402">
      <w:r>
        <w:separator/>
      </w:r>
    </w:p>
  </w:endnote>
  <w:endnote w:type="continuationSeparator" w:id="0">
    <w:p w14:paraId="3D1E3E4C" w14:textId="77777777" w:rsidR="00CD4402" w:rsidRDefault="00CD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58F0F4DD" w:rsidR="00CF6F33" w:rsidRPr="00112A28" w:rsidRDefault="00112A28" w:rsidP="00112A28">
    <w:pPr>
      <w:pStyle w:val="Footer"/>
      <w:tabs>
        <w:tab w:val="clear" w:pos="7083"/>
        <w:tab w:val="clear" w:pos="8640"/>
        <w:tab w:val="right" w:pos="9071"/>
      </w:tabs>
      <w:jc w:val="both"/>
    </w:pPr>
    <w:r w:rsidRPr="00BF6E82">
      <w:t>Henkel AG &amp; Co. KGaA</w:t>
    </w:r>
    <w:r>
      <w:tab/>
    </w:r>
    <w:r w:rsidR="00524D6B">
      <w:t xml:space="preserve">Strana </w:t>
    </w:r>
    <w:r w:rsidRPr="00BF6E82">
      <w:fldChar w:fldCharType="begin"/>
    </w:r>
    <w:r w:rsidRPr="00BF6E82">
      <w:instrText xml:space="preserve"> PAGE  \* Arabic  \* MERGEFORMAT </w:instrText>
    </w:r>
    <w:r w:rsidRPr="00BF6E82">
      <w:fldChar w:fldCharType="separate"/>
    </w:r>
    <w:r w:rsidR="008A1FD1">
      <w:t>6</w:t>
    </w:r>
    <w:r w:rsidRPr="00BF6E82">
      <w:fldChar w:fldCharType="end"/>
    </w:r>
    <w:r w:rsidRPr="00BF6E82">
      <w:t>/</w:t>
    </w:r>
    <w:fldSimple w:instr=" NUMPAGES  \* Arabic  \* MERGEFORMAT ">
      <w:r w:rsidR="008A1FD1">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Footer"/>
    </w:pPr>
    <w:bookmarkStart w:id="1" w:name="_Hlk505758583"/>
    <w:r w:rsidRPr="00992A11">
      <w:rPr>
        <w:lang w:val="en-GB" w:eastAsia="en-GB"/>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8A1FD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8A1FD1">
      <w:t>5</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C2009" w14:textId="77777777" w:rsidR="00CD4402" w:rsidRDefault="00CD4402">
      <w:r>
        <w:separator/>
      </w:r>
    </w:p>
  </w:footnote>
  <w:footnote w:type="continuationSeparator" w:id="0">
    <w:p w14:paraId="7A64B962" w14:textId="77777777" w:rsidR="00CD4402" w:rsidRDefault="00CD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5942D0B4" w:rsidR="00CF6F33" w:rsidRPr="00EB46D9" w:rsidRDefault="0059722C" w:rsidP="00EB46D9">
    <w:pPr>
      <w:pStyle w:val="Header"/>
    </w:pPr>
    <w:r w:rsidRPr="00EB46D9">
      <w:rPr>
        <w:noProof/>
        <w:lang w:val="en-GB" w:eastAsia="en-GB"/>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en-GB" w:eastAsia="en-GB"/>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3CC5F56"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742C83">
      <w:rPr>
        <w:noProof/>
      </w:rPr>
      <w:t xml:space="preserve">Şporočilo </w:t>
    </w:r>
    <w:r w:rsidR="007E7A47">
      <w:rPr>
        <w:noProof/>
      </w:rPr>
      <w:t xml:space="preserve">za </w:t>
    </w:r>
    <w:r w:rsidR="00742C83">
      <w:rPr>
        <w:noProof/>
      </w:rPr>
      <w:t>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5267"/>
    <w:rsid w:val="00006346"/>
    <w:rsid w:val="000069EB"/>
    <w:rsid w:val="00006A45"/>
    <w:rsid w:val="00021C67"/>
    <w:rsid w:val="000301F0"/>
    <w:rsid w:val="00030557"/>
    <w:rsid w:val="00030F51"/>
    <w:rsid w:val="00035A84"/>
    <w:rsid w:val="00040341"/>
    <w:rsid w:val="00040CC9"/>
    <w:rsid w:val="000425ED"/>
    <w:rsid w:val="000510FC"/>
    <w:rsid w:val="00051E86"/>
    <w:rsid w:val="000575F9"/>
    <w:rsid w:val="000618FC"/>
    <w:rsid w:val="00067071"/>
    <w:rsid w:val="00080D10"/>
    <w:rsid w:val="0008357F"/>
    <w:rsid w:val="0008406B"/>
    <w:rsid w:val="000B5D2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4FBA"/>
    <w:rsid w:val="00115230"/>
    <w:rsid w:val="00115B5F"/>
    <w:rsid w:val="001162B4"/>
    <w:rsid w:val="00122CBC"/>
    <w:rsid w:val="00124BF7"/>
    <w:rsid w:val="00126C65"/>
    <w:rsid w:val="00126D4A"/>
    <w:rsid w:val="00132AE9"/>
    <w:rsid w:val="00132DA9"/>
    <w:rsid w:val="0013305B"/>
    <w:rsid w:val="00133B99"/>
    <w:rsid w:val="00134424"/>
    <w:rsid w:val="0013569C"/>
    <w:rsid w:val="001443BD"/>
    <w:rsid w:val="001577E9"/>
    <w:rsid w:val="0016138C"/>
    <w:rsid w:val="001731CE"/>
    <w:rsid w:val="001A5DC8"/>
    <w:rsid w:val="001B7C20"/>
    <w:rsid w:val="001C0B32"/>
    <w:rsid w:val="001C4BE1"/>
    <w:rsid w:val="001D7ADF"/>
    <w:rsid w:val="001E0F71"/>
    <w:rsid w:val="001E11D6"/>
    <w:rsid w:val="001E6D05"/>
    <w:rsid w:val="001E73E8"/>
    <w:rsid w:val="001E7C28"/>
    <w:rsid w:val="001F1BDF"/>
    <w:rsid w:val="001F7110"/>
    <w:rsid w:val="001F7E96"/>
    <w:rsid w:val="002005F5"/>
    <w:rsid w:val="00202284"/>
    <w:rsid w:val="0020528D"/>
    <w:rsid w:val="00212488"/>
    <w:rsid w:val="002129A6"/>
    <w:rsid w:val="00220612"/>
    <w:rsid w:val="00220628"/>
    <w:rsid w:val="002260C7"/>
    <w:rsid w:val="002304D2"/>
    <w:rsid w:val="00233D04"/>
    <w:rsid w:val="00234ABD"/>
    <w:rsid w:val="00236491"/>
    <w:rsid w:val="00236E2A"/>
    <w:rsid w:val="00237F62"/>
    <w:rsid w:val="0024586A"/>
    <w:rsid w:val="002518A2"/>
    <w:rsid w:val="00256F0C"/>
    <w:rsid w:val="00262C05"/>
    <w:rsid w:val="00281D14"/>
    <w:rsid w:val="00282C13"/>
    <w:rsid w:val="002A0DF7"/>
    <w:rsid w:val="002A2975"/>
    <w:rsid w:val="002A460D"/>
    <w:rsid w:val="002A5EE9"/>
    <w:rsid w:val="002A60E0"/>
    <w:rsid w:val="002C1344"/>
    <w:rsid w:val="002C252E"/>
    <w:rsid w:val="002C26DA"/>
    <w:rsid w:val="002C6773"/>
    <w:rsid w:val="002D2A3D"/>
    <w:rsid w:val="002D74CF"/>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4F7E"/>
    <w:rsid w:val="00365B39"/>
    <w:rsid w:val="00365E44"/>
    <w:rsid w:val="003662B1"/>
    <w:rsid w:val="00367AA1"/>
    <w:rsid w:val="00370A5B"/>
    <w:rsid w:val="00372E36"/>
    <w:rsid w:val="00376EE9"/>
    <w:rsid w:val="00376FFC"/>
    <w:rsid w:val="00377CBB"/>
    <w:rsid w:val="00384F62"/>
    <w:rsid w:val="00385438"/>
    <w:rsid w:val="003877B6"/>
    <w:rsid w:val="00391539"/>
    <w:rsid w:val="00393887"/>
    <w:rsid w:val="00394C6B"/>
    <w:rsid w:val="003A4E62"/>
    <w:rsid w:val="003B1069"/>
    <w:rsid w:val="003B390A"/>
    <w:rsid w:val="003C15DE"/>
    <w:rsid w:val="003C2889"/>
    <w:rsid w:val="003C4EB2"/>
    <w:rsid w:val="003F1928"/>
    <w:rsid w:val="003F1AF3"/>
    <w:rsid w:val="003F4D8D"/>
    <w:rsid w:val="0040386D"/>
    <w:rsid w:val="00415041"/>
    <w:rsid w:val="004313E7"/>
    <w:rsid w:val="00434CD3"/>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A49D0"/>
    <w:rsid w:val="004B54E8"/>
    <w:rsid w:val="004C4FEB"/>
    <w:rsid w:val="004C6B79"/>
    <w:rsid w:val="004D059B"/>
    <w:rsid w:val="004D0E64"/>
    <w:rsid w:val="004D48A8"/>
    <w:rsid w:val="004D4CB6"/>
    <w:rsid w:val="004E3341"/>
    <w:rsid w:val="004E6238"/>
    <w:rsid w:val="004F10C1"/>
    <w:rsid w:val="004F5AD9"/>
    <w:rsid w:val="00500C9E"/>
    <w:rsid w:val="00502E62"/>
    <w:rsid w:val="00506B8A"/>
    <w:rsid w:val="0052212B"/>
    <w:rsid w:val="00524D6B"/>
    <w:rsid w:val="005266EA"/>
    <w:rsid w:val="00534B46"/>
    <w:rsid w:val="00540358"/>
    <w:rsid w:val="00540D47"/>
    <w:rsid w:val="005463C3"/>
    <w:rsid w:val="00550864"/>
    <w:rsid w:val="0055571E"/>
    <w:rsid w:val="00556F67"/>
    <w:rsid w:val="005652E8"/>
    <w:rsid w:val="00576BDA"/>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69D9"/>
    <w:rsid w:val="005F27F4"/>
    <w:rsid w:val="005F3239"/>
    <w:rsid w:val="005F6567"/>
    <w:rsid w:val="00607094"/>
    <w:rsid w:val="00607256"/>
    <w:rsid w:val="006144B1"/>
    <w:rsid w:val="006227C7"/>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79F0"/>
    <w:rsid w:val="006B2DED"/>
    <w:rsid w:val="006B3322"/>
    <w:rsid w:val="006B47EE"/>
    <w:rsid w:val="006B499F"/>
    <w:rsid w:val="006C33BE"/>
    <w:rsid w:val="006C7E78"/>
    <w:rsid w:val="006D098F"/>
    <w:rsid w:val="006D4996"/>
    <w:rsid w:val="006D54AB"/>
    <w:rsid w:val="006E1FA9"/>
    <w:rsid w:val="006E3006"/>
    <w:rsid w:val="006E5032"/>
    <w:rsid w:val="006E5BDA"/>
    <w:rsid w:val="006F0FC7"/>
    <w:rsid w:val="006F39A9"/>
    <w:rsid w:val="006F670F"/>
    <w:rsid w:val="00702921"/>
    <w:rsid w:val="00702946"/>
    <w:rsid w:val="00703272"/>
    <w:rsid w:val="00705B8A"/>
    <w:rsid w:val="0070733C"/>
    <w:rsid w:val="00710C5D"/>
    <w:rsid w:val="0071348C"/>
    <w:rsid w:val="00717273"/>
    <w:rsid w:val="00720FD4"/>
    <w:rsid w:val="00724AF2"/>
    <w:rsid w:val="0073096C"/>
    <w:rsid w:val="00733A46"/>
    <w:rsid w:val="00742398"/>
    <w:rsid w:val="00742C83"/>
    <w:rsid w:val="007432A9"/>
    <w:rsid w:val="007451D3"/>
    <w:rsid w:val="007507B5"/>
    <w:rsid w:val="0075091D"/>
    <w:rsid w:val="00753A24"/>
    <w:rsid w:val="0075430D"/>
    <w:rsid w:val="00767929"/>
    <w:rsid w:val="00772188"/>
    <w:rsid w:val="0077222A"/>
    <w:rsid w:val="007813D0"/>
    <w:rsid w:val="00781997"/>
    <w:rsid w:val="007845AC"/>
    <w:rsid w:val="00785993"/>
    <w:rsid w:val="007866E2"/>
    <w:rsid w:val="00786BA3"/>
    <w:rsid w:val="0079202F"/>
    <w:rsid w:val="00795AF2"/>
    <w:rsid w:val="007A2AAD"/>
    <w:rsid w:val="007A4432"/>
    <w:rsid w:val="007A784E"/>
    <w:rsid w:val="007B499C"/>
    <w:rsid w:val="007B4D4B"/>
    <w:rsid w:val="007B58C6"/>
    <w:rsid w:val="007D2A02"/>
    <w:rsid w:val="007D3AC4"/>
    <w:rsid w:val="007D62A4"/>
    <w:rsid w:val="007E6EA1"/>
    <w:rsid w:val="007E7A47"/>
    <w:rsid w:val="007F0F63"/>
    <w:rsid w:val="007F2B1E"/>
    <w:rsid w:val="007F62B4"/>
    <w:rsid w:val="00801517"/>
    <w:rsid w:val="00805011"/>
    <w:rsid w:val="00813492"/>
    <w:rsid w:val="00816FCE"/>
    <w:rsid w:val="00817AE8"/>
    <w:rsid w:val="00817DE8"/>
    <w:rsid w:val="008220D1"/>
    <w:rsid w:val="008229F5"/>
    <w:rsid w:val="0082699A"/>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0945"/>
    <w:rsid w:val="008712FE"/>
    <w:rsid w:val="0087142D"/>
    <w:rsid w:val="00873416"/>
    <w:rsid w:val="00873956"/>
    <w:rsid w:val="00880E72"/>
    <w:rsid w:val="008825EE"/>
    <w:rsid w:val="0088596E"/>
    <w:rsid w:val="0089796A"/>
    <w:rsid w:val="008A1FD1"/>
    <w:rsid w:val="008A2375"/>
    <w:rsid w:val="008D03B5"/>
    <w:rsid w:val="008D76C5"/>
    <w:rsid w:val="008E0A04"/>
    <w:rsid w:val="008E0AFA"/>
    <w:rsid w:val="008E75D3"/>
    <w:rsid w:val="008F0CE4"/>
    <w:rsid w:val="008F125E"/>
    <w:rsid w:val="008F4D2F"/>
    <w:rsid w:val="00906292"/>
    <w:rsid w:val="00914B5B"/>
    <w:rsid w:val="00917162"/>
    <w:rsid w:val="009178AA"/>
    <w:rsid w:val="009251CC"/>
    <w:rsid w:val="0092714E"/>
    <w:rsid w:val="00942002"/>
    <w:rsid w:val="00947885"/>
    <w:rsid w:val="009504AB"/>
    <w:rsid w:val="00952168"/>
    <w:rsid w:val="009527FE"/>
    <w:rsid w:val="009529B2"/>
    <w:rsid w:val="009739A0"/>
    <w:rsid w:val="00974F84"/>
    <w:rsid w:val="009767C7"/>
    <w:rsid w:val="0098579A"/>
    <w:rsid w:val="009918DD"/>
    <w:rsid w:val="0099195A"/>
    <w:rsid w:val="00992A11"/>
    <w:rsid w:val="00994681"/>
    <w:rsid w:val="0099486A"/>
    <w:rsid w:val="009A0E26"/>
    <w:rsid w:val="009A16EC"/>
    <w:rsid w:val="009A22C2"/>
    <w:rsid w:val="009B29B7"/>
    <w:rsid w:val="009B3B37"/>
    <w:rsid w:val="009B7D1F"/>
    <w:rsid w:val="009C088E"/>
    <w:rsid w:val="009C4D35"/>
    <w:rsid w:val="009D1522"/>
    <w:rsid w:val="009D7252"/>
    <w:rsid w:val="009E5EB4"/>
    <w:rsid w:val="009F610E"/>
    <w:rsid w:val="00A044D6"/>
    <w:rsid w:val="00A04ADB"/>
    <w:rsid w:val="00A05F11"/>
    <w:rsid w:val="00A11E0F"/>
    <w:rsid w:val="00A26CB6"/>
    <w:rsid w:val="00A32F82"/>
    <w:rsid w:val="00A32F8B"/>
    <w:rsid w:val="00A3756F"/>
    <w:rsid w:val="00A42D6F"/>
    <w:rsid w:val="00A45A62"/>
    <w:rsid w:val="00A54AC5"/>
    <w:rsid w:val="00A55DC3"/>
    <w:rsid w:val="00A56D41"/>
    <w:rsid w:val="00A60529"/>
    <w:rsid w:val="00A61353"/>
    <w:rsid w:val="00A61481"/>
    <w:rsid w:val="00A66DB1"/>
    <w:rsid w:val="00A67A92"/>
    <w:rsid w:val="00A87870"/>
    <w:rsid w:val="00A91A70"/>
    <w:rsid w:val="00A97316"/>
    <w:rsid w:val="00AA1B85"/>
    <w:rsid w:val="00AB1CB6"/>
    <w:rsid w:val="00AB1D9A"/>
    <w:rsid w:val="00AD0C22"/>
    <w:rsid w:val="00AD442C"/>
    <w:rsid w:val="00AD44FE"/>
    <w:rsid w:val="00AD5A37"/>
    <w:rsid w:val="00AE400C"/>
    <w:rsid w:val="00AE49F1"/>
    <w:rsid w:val="00AE5532"/>
    <w:rsid w:val="00B05CCA"/>
    <w:rsid w:val="00B14271"/>
    <w:rsid w:val="00B16270"/>
    <w:rsid w:val="00B2685D"/>
    <w:rsid w:val="00B30351"/>
    <w:rsid w:val="00B307E3"/>
    <w:rsid w:val="00B33C2A"/>
    <w:rsid w:val="00B35967"/>
    <w:rsid w:val="00B422EC"/>
    <w:rsid w:val="00B54885"/>
    <w:rsid w:val="00B634AB"/>
    <w:rsid w:val="00B726D4"/>
    <w:rsid w:val="00B8214F"/>
    <w:rsid w:val="00B82B48"/>
    <w:rsid w:val="00B86A4F"/>
    <w:rsid w:val="00B93035"/>
    <w:rsid w:val="00B958E8"/>
    <w:rsid w:val="00B97E4A"/>
    <w:rsid w:val="00BA09B2"/>
    <w:rsid w:val="00BA0EBC"/>
    <w:rsid w:val="00BA4586"/>
    <w:rsid w:val="00BA465D"/>
    <w:rsid w:val="00BA5B46"/>
    <w:rsid w:val="00BB2D73"/>
    <w:rsid w:val="00BB45BA"/>
    <w:rsid w:val="00BB5D0B"/>
    <w:rsid w:val="00BC0995"/>
    <w:rsid w:val="00BE2D0A"/>
    <w:rsid w:val="00BE47D4"/>
    <w:rsid w:val="00BE793A"/>
    <w:rsid w:val="00BF2B82"/>
    <w:rsid w:val="00BF432A"/>
    <w:rsid w:val="00BF6E82"/>
    <w:rsid w:val="00C04220"/>
    <w:rsid w:val="00C060C7"/>
    <w:rsid w:val="00C24C17"/>
    <w:rsid w:val="00C3758F"/>
    <w:rsid w:val="00C40B88"/>
    <w:rsid w:val="00C44489"/>
    <w:rsid w:val="00C47D87"/>
    <w:rsid w:val="00C5376E"/>
    <w:rsid w:val="00C5701B"/>
    <w:rsid w:val="00C66218"/>
    <w:rsid w:val="00C677C9"/>
    <w:rsid w:val="00C808A6"/>
    <w:rsid w:val="00C97091"/>
    <w:rsid w:val="00C97260"/>
    <w:rsid w:val="00CA2001"/>
    <w:rsid w:val="00CB5B6C"/>
    <w:rsid w:val="00CC052E"/>
    <w:rsid w:val="00CD16BE"/>
    <w:rsid w:val="00CD2F8F"/>
    <w:rsid w:val="00CD4402"/>
    <w:rsid w:val="00CD4616"/>
    <w:rsid w:val="00CD56AF"/>
    <w:rsid w:val="00CE33D5"/>
    <w:rsid w:val="00CF5D37"/>
    <w:rsid w:val="00CF6F33"/>
    <w:rsid w:val="00D02248"/>
    <w:rsid w:val="00D063B8"/>
    <w:rsid w:val="00D06825"/>
    <w:rsid w:val="00D17E3B"/>
    <w:rsid w:val="00D2306F"/>
    <w:rsid w:val="00D23C09"/>
    <w:rsid w:val="00D23CED"/>
    <w:rsid w:val="00D24BD2"/>
    <w:rsid w:val="00D2573D"/>
    <w:rsid w:val="00D260A2"/>
    <w:rsid w:val="00D30CC6"/>
    <w:rsid w:val="00D3260C"/>
    <w:rsid w:val="00D34FB1"/>
    <w:rsid w:val="00D35790"/>
    <w:rsid w:val="00D5611E"/>
    <w:rsid w:val="00D5653B"/>
    <w:rsid w:val="00D62EF1"/>
    <w:rsid w:val="00D6309D"/>
    <w:rsid w:val="00D644CA"/>
    <w:rsid w:val="00D64EA0"/>
    <w:rsid w:val="00D66FC2"/>
    <w:rsid w:val="00D7044E"/>
    <w:rsid w:val="00D71417"/>
    <w:rsid w:val="00D76C7E"/>
    <w:rsid w:val="00D771DE"/>
    <w:rsid w:val="00D7776D"/>
    <w:rsid w:val="00D92179"/>
    <w:rsid w:val="00D922C6"/>
    <w:rsid w:val="00D9293F"/>
    <w:rsid w:val="00D93598"/>
    <w:rsid w:val="00DA1E18"/>
    <w:rsid w:val="00DA2009"/>
    <w:rsid w:val="00DB05B1"/>
    <w:rsid w:val="00DB3786"/>
    <w:rsid w:val="00DB59E8"/>
    <w:rsid w:val="00DB5A79"/>
    <w:rsid w:val="00DC2465"/>
    <w:rsid w:val="00DC7D48"/>
    <w:rsid w:val="00DD512E"/>
    <w:rsid w:val="00DE1177"/>
    <w:rsid w:val="00DE2CEA"/>
    <w:rsid w:val="00DE6A3C"/>
    <w:rsid w:val="00DE74F4"/>
    <w:rsid w:val="00DE7F97"/>
    <w:rsid w:val="00DF1010"/>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545D7"/>
    <w:rsid w:val="00E547FE"/>
    <w:rsid w:val="00E60ECA"/>
    <w:rsid w:val="00E663B6"/>
    <w:rsid w:val="00E758B9"/>
    <w:rsid w:val="00E85569"/>
    <w:rsid w:val="00E856AF"/>
    <w:rsid w:val="00E86B83"/>
    <w:rsid w:val="00E87C64"/>
    <w:rsid w:val="00E93A01"/>
    <w:rsid w:val="00E93FF8"/>
    <w:rsid w:val="00E96EAF"/>
    <w:rsid w:val="00EA1752"/>
    <w:rsid w:val="00EA5A89"/>
    <w:rsid w:val="00EA5BDB"/>
    <w:rsid w:val="00EB46D9"/>
    <w:rsid w:val="00EC0E64"/>
    <w:rsid w:val="00EC142D"/>
    <w:rsid w:val="00EC1E16"/>
    <w:rsid w:val="00EC2DD1"/>
    <w:rsid w:val="00ED0024"/>
    <w:rsid w:val="00ED0F85"/>
    <w:rsid w:val="00ED2B5C"/>
    <w:rsid w:val="00ED3269"/>
    <w:rsid w:val="00ED3A18"/>
    <w:rsid w:val="00EE1A8C"/>
    <w:rsid w:val="00EE4643"/>
    <w:rsid w:val="00EF023E"/>
    <w:rsid w:val="00EF1330"/>
    <w:rsid w:val="00EF15FF"/>
    <w:rsid w:val="00EF7111"/>
    <w:rsid w:val="00EF7D1A"/>
    <w:rsid w:val="00F0448F"/>
    <w:rsid w:val="00F0716C"/>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7DF1"/>
    <w:rsid w:val="00F8309B"/>
    <w:rsid w:val="00F833C9"/>
    <w:rsid w:val="00F90064"/>
    <w:rsid w:val="00F9586C"/>
    <w:rsid w:val="00F96AFD"/>
    <w:rsid w:val="00FA1398"/>
    <w:rsid w:val="00FA2E19"/>
    <w:rsid w:val="00FA697F"/>
    <w:rsid w:val="00FB3846"/>
    <w:rsid w:val="00FB5521"/>
    <w:rsid w:val="00FB610D"/>
    <w:rsid w:val="00FC4477"/>
    <w:rsid w:val="00FC46FB"/>
    <w:rsid w:val="00FC7B66"/>
    <w:rsid w:val="00FD0129"/>
    <w:rsid w:val="00FD2BD3"/>
    <w:rsid w:val="00FD4CCA"/>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Nerazreenaomemba1">
    <w:name w:val="Nerazrešena omemba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16A288-1EAF-440E-8E7E-9415184F1227}">
  <ds:schemaRefs>
    <ds:schemaRef ds:uri="http://schemas.openxmlformats.org/officeDocument/2006/bibliography"/>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13</TotalTime>
  <Pages>5</Pages>
  <Words>1863</Words>
  <Characters>10623</Characters>
  <Application>Microsoft Office Word</Application>
  <DocSecurity>0</DocSecurity>
  <Lines>88</Lines>
  <Paragraphs>24</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12462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Borko Milićević - Ninamedia</cp:lastModifiedBy>
  <cp:revision>4</cp:revision>
  <cp:lastPrinted>2020-08-05T16:24:00Z</cp:lastPrinted>
  <dcterms:created xsi:type="dcterms:W3CDTF">2020-08-06T21:23:00Z</dcterms:created>
  <dcterms:modified xsi:type="dcterms:W3CDTF">2020-08-07T06:26:00Z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