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8BC0215" w:rsidR="00B422EC" w:rsidRPr="00B70A47" w:rsidRDefault="00E41377" w:rsidP="00E41377">
      <w:pPr>
        <w:pStyle w:val="MonthDayYear"/>
        <w:tabs>
          <w:tab w:val="left" w:pos="7513"/>
        </w:tabs>
        <w:jc w:val="left"/>
        <w:rPr>
          <w:lang w:val="tr-TR"/>
        </w:rPr>
      </w:pPr>
      <w:r w:rsidRPr="000069EB">
        <w:tab/>
      </w:r>
      <w:r w:rsidR="00635616" w:rsidRPr="00B70A47">
        <w:rPr>
          <w:lang w:val="tr-TR"/>
        </w:rPr>
        <w:t>6</w:t>
      </w:r>
      <w:r w:rsidR="00B70A47" w:rsidRPr="00B70A47">
        <w:rPr>
          <w:lang w:val="tr-TR"/>
        </w:rPr>
        <w:t xml:space="preserve"> Ağustos</w:t>
      </w:r>
      <w:r w:rsidR="00BF6E82" w:rsidRPr="00B70A47">
        <w:rPr>
          <w:lang w:val="tr-TR"/>
        </w:rPr>
        <w:t xml:space="preserve"> 20</w:t>
      </w:r>
      <w:r w:rsidR="00F635FC" w:rsidRPr="00B70A47">
        <w:rPr>
          <w:lang w:val="tr-TR"/>
        </w:rPr>
        <w:t>20</w:t>
      </w:r>
    </w:p>
    <w:p w14:paraId="1946FA1E" w14:textId="389031C4" w:rsidR="00B70A47" w:rsidRPr="00B70A47" w:rsidRDefault="00B70A47" w:rsidP="00635616">
      <w:pPr>
        <w:pStyle w:val="Topline"/>
        <w:spacing w:after="360"/>
        <w:rPr>
          <w:rFonts w:asciiTheme="majorHAnsi" w:hAnsiTheme="majorHAnsi" w:cstheme="majorHAnsi"/>
          <w:lang w:val="tr-TR"/>
        </w:rPr>
      </w:pPr>
      <w:r w:rsidRPr="00B70A47">
        <w:rPr>
          <w:rFonts w:asciiTheme="majorHAnsi" w:hAnsiTheme="majorHAnsi" w:cstheme="majorHAnsi"/>
          <w:lang w:val="tr-TR"/>
        </w:rPr>
        <w:t>Henkel’in 2020’nin ilk yarısı ve ikinci çeyrek raporu</w:t>
      </w:r>
    </w:p>
    <w:p w14:paraId="7EAAA1E5" w14:textId="1FEAF3AC" w:rsidR="00B70A47" w:rsidRPr="00B70A47" w:rsidRDefault="00B70A47" w:rsidP="00635616">
      <w:pPr>
        <w:jc w:val="left"/>
        <w:rPr>
          <w:rStyle w:val="Headline"/>
          <w:rFonts w:asciiTheme="majorHAnsi" w:hAnsiTheme="majorHAnsi" w:cstheme="majorHAnsi"/>
          <w:lang w:val="tr-TR"/>
        </w:rPr>
      </w:pPr>
      <w:r w:rsidRPr="00B70A47">
        <w:rPr>
          <w:rStyle w:val="Headline"/>
          <w:rFonts w:asciiTheme="majorHAnsi" w:hAnsiTheme="majorHAnsi" w:cstheme="majorHAnsi"/>
          <w:lang w:val="tr-TR"/>
        </w:rPr>
        <w:t>Henkel, Covid-19 salgınının kayda değer etkisine karşın güçlü bir iş performansı ortaya koydu</w:t>
      </w:r>
    </w:p>
    <w:p w14:paraId="6706FA18" w14:textId="77777777" w:rsidR="00852511" w:rsidRPr="00795AF2" w:rsidRDefault="00852511" w:rsidP="00365E44"/>
    <w:p w14:paraId="63D72995" w14:textId="347DE66A" w:rsidR="00635616" w:rsidRPr="00B70A47" w:rsidRDefault="00B70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bookmarkStart w:id="0" w:name="_Hlk43712519"/>
      <w:r w:rsidRPr="00B70A47">
        <w:rPr>
          <w:rFonts w:asciiTheme="majorHAnsi" w:hAnsiTheme="majorHAnsi" w:cstheme="majorHAnsi"/>
          <w:b/>
          <w:szCs w:val="22"/>
          <w:lang w:val="tr-TR"/>
        </w:rPr>
        <w:t>Çalışan güvenliğine, müşterilere tedarik sağlamaya ve topluma fayda sağlamaya odaklanmak</w:t>
      </w:r>
    </w:p>
    <w:bookmarkEnd w:id="0"/>
    <w:p w14:paraId="50631AFC" w14:textId="5CFD4B2B" w:rsidR="00635616" w:rsidRPr="00B70A47" w:rsidRDefault="00B70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B70A47">
        <w:rPr>
          <w:rFonts w:asciiTheme="majorHAnsi" w:hAnsiTheme="majorHAnsi" w:cstheme="majorHAnsi"/>
          <w:b/>
          <w:szCs w:val="22"/>
          <w:lang w:val="tr-TR"/>
        </w:rPr>
        <w:t xml:space="preserve">Grup’un yılın ilk yarısındaki satışları 9,485 milyar Euro olarak gerçekleşirken, nominal satışlarda %-6,0 oranında, </w:t>
      </w:r>
      <w:r>
        <w:rPr>
          <w:rFonts w:asciiTheme="majorHAnsi" w:hAnsiTheme="majorHAnsi" w:cstheme="majorHAnsi"/>
          <w:b/>
          <w:szCs w:val="22"/>
          <w:lang w:val="tr-TR"/>
        </w:rPr>
        <w:t>organik</w:t>
      </w:r>
      <w:r w:rsidRPr="00B70A47">
        <w:rPr>
          <w:rFonts w:asciiTheme="majorHAnsi" w:hAnsiTheme="majorHAnsi" w:cstheme="majorHAnsi"/>
          <w:b/>
          <w:szCs w:val="22"/>
          <w:lang w:val="tr-TR"/>
        </w:rPr>
        <w:t xml:space="preserve"> satışlarda ise %-5,2 oranında bir değişim gözlendi</w:t>
      </w:r>
    </w:p>
    <w:p w14:paraId="050F17EF" w14:textId="7C39A894" w:rsidR="00635616" w:rsidRPr="00B70A47" w:rsidRDefault="00B70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B70A47">
        <w:rPr>
          <w:rFonts w:asciiTheme="majorHAnsi" w:hAnsiTheme="majorHAnsi" w:cstheme="majorHAnsi"/>
          <w:b/>
          <w:szCs w:val="22"/>
          <w:lang w:val="tr-TR"/>
        </w:rPr>
        <w:t>Faaliyet karı*, %-27,5</w:t>
      </w:r>
      <w:r w:rsidR="009578A8">
        <w:rPr>
          <w:rFonts w:asciiTheme="majorHAnsi" w:hAnsiTheme="majorHAnsi" w:cstheme="majorHAnsi"/>
          <w:b/>
          <w:szCs w:val="22"/>
          <w:lang w:val="tr-TR"/>
        </w:rPr>
        <w:t xml:space="preserve"> </w:t>
      </w:r>
      <w:r w:rsidRPr="00B70A47">
        <w:rPr>
          <w:rFonts w:asciiTheme="majorHAnsi" w:hAnsiTheme="majorHAnsi" w:cstheme="majorHAnsi"/>
          <w:b/>
          <w:szCs w:val="22"/>
          <w:lang w:val="tr-TR"/>
        </w:rPr>
        <w:t>oranında bir değişimle, 1,191 milyar Euro seviyesinde gerçekleşti</w:t>
      </w:r>
    </w:p>
    <w:p w14:paraId="2F15CBE5" w14:textId="4B052E8D" w:rsidR="00635616" w:rsidRPr="00822F23" w:rsidRDefault="00B70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822F23">
        <w:rPr>
          <w:rFonts w:asciiTheme="majorHAnsi" w:hAnsiTheme="majorHAnsi" w:cstheme="majorHAnsi"/>
          <w:b/>
          <w:szCs w:val="22"/>
          <w:lang w:val="tr-TR"/>
        </w:rPr>
        <w:t xml:space="preserve">Faiz ve vergi öncesi kar </w:t>
      </w:r>
      <w:r w:rsidR="00822F23" w:rsidRPr="00822F23">
        <w:rPr>
          <w:rFonts w:asciiTheme="majorHAnsi" w:hAnsiTheme="majorHAnsi" w:cstheme="majorHAnsi"/>
          <w:b/>
          <w:szCs w:val="22"/>
          <w:lang w:val="tr-TR"/>
        </w:rPr>
        <w:t xml:space="preserve">(EBIT) </w:t>
      </w:r>
      <w:r w:rsidRPr="00822F23">
        <w:rPr>
          <w:rFonts w:asciiTheme="majorHAnsi" w:hAnsiTheme="majorHAnsi" w:cstheme="majorHAnsi"/>
          <w:b/>
          <w:szCs w:val="22"/>
          <w:lang w:val="tr-TR"/>
        </w:rPr>
        <w:t>marjı</w:t>
      </w:r>
      <w:r w:rsidR="00822F23" w:rsidRPr="00822F23">
        <w:rPr>
          <w:rFonts w:asciiTheme="majorHAnsi" w:hAnsiTheme="majorHAnsi" w:cstheme="majorHAnsi"/>
          <w:b/>
          <w:szCs w:val="22"/>
          <w:vertAlign w:val="superscript"/>
        </w:rPr>
        <w:t>*</w:t>
      </w:r>
      <w:r w:rsidRPr="00822F23">
        <w:rPr>
          <w:rFonts w:asciiTheme="majorHAnsi" w:hAnsiTheme="majorHAnsi" w:cstheme="majorHAnsi"/>
          <w:b/>
          <w:szCs w:val="22"/>
          <w:lang w:val="tr-TR"/>
        </w:rPr>
        <w:t xml:space="preserve"> -370 baz puanlık bir değişim</w:t>
      </w:r>
      <w:r w:rsidR="00822F23" w:rsidRPr="00822F23">
        <w:rPr>
          <w:rFonts w:asciiTheme="majorHAnsi" w:hAnsiTheme="majorHAnsi" w:cstheme="majorHAnsi"/>
          <w:b/>
          <w:szCs w:val="22"/>
          <w:lang w:val="tr-TR"/>
        </w:rPr>
        <w:t>le %12,6 seviyesinde gözlendi</w:t>
      </w:r>
    </w:p>
    <w:p w14:paraId="723BE023" w14:textId="20D7A992" w:rsidR="00635616" w:rsidRPr="00822F23" w:rsidRDefault="00822F23"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822F23">
        <w:rPr>
          <w:rFonts w:asciiTheme="majorHAnsi" w:hAnsiTheme="majorHAnsi" w:cstheme="majorHAnsi"/>
          <w:b/>
          <w:szCs w:val="22"/>
          <w:lang w:val="tr-TR"/>
        </w:rPr>
        <w:t>İmtiyazlı hisse senedi başına karlılık (EPS)</w:t>
      </w:r>
      <w:r w:rsidRPr="00822F23">
        <w:rPr>
          <w:rFonts w:asciiTheme="majorHAnsi" w:hAnsiTheme="majorHAnsi" w:cstheme="majorHAnsi"/>
          <w:b/>
          <w:szCs w:val="22"/>
          <w:vertAlign w:val="superscript"/>
          <w:lang w:val="tr-TR"/>
        </w:rPr>
        <w:t xml:space="preserve">* </w:t>
      </w:r>
      <w:r w:rsidRPr="00822F23">
        <w:rPr>
          <w:rFonts w:asciiTheme="majorHAnsi" w:hAnsiTheme="majorHAnsi" w:cstheme="majorHAnsi"/>
          <w:b/>
          <w:szCs w:val="22"/>
          <w:lang w:val="tr-TR"/>
        </w:rPr>
        <w:t>%-29,2 oranında değişim göstererek 1,96 Euro seviye</w:t>
      </w:r>
      <w:r>
        <w:rPr>
          <w:rFonts w:asciiTheme="majorHAnsi" w:hAnsiTheme="majorHAnsi" w:cstheme="majorHAnsi"/>
          <w:b/>
          <w:szCs w:val="22"/>
          <w:lang w:val="tr-TR"/>
        </w:rPr>
        <w:t>sinde gözlendi. Sabit kur ile ise</w:t>
      </w:r>
      <w:r w:rsidRPr="00822F23">
        <w:rPr>
          <w:rFonts w:asciiTheme="majorHAnsi" w:hAnsiTheme="majorHAnsi" w:cstheme="majorHAnsi"/>
          <w:b/>
          <w:szCs w:val="22"/>
          <w:lang w:val="tr-TR"/>
        </w:rPr>
        <w:t xml:space="preserve"> %-28,2 oranında bir değişim ortaya koydu</w:t>
      </w:r>
    </w:p>
    <w:p w14:paraId="7E1297A5" w14:textId="0C91116C" w:rsidR="00635616" w:rsidRPr="00822F23" w:rsidRDefault="00822F23"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822F23">
        <w:rPr>
          <w:rFonts w:asciiTheme="majorHAnsi" w:hAnsiTheme="majorHAnsi" w:cstheme="majorHAnsi"/>
          <w:b/>
          <w:szCs w:val="22"/>
          <w:lang w:val="tr-TR"/>
        </w:rPr>
        <w:t>Serbest nakit akışı 938 milyon Euro olarak gerçekleşirken, net mali durum ise ilerleme gösterdi</w:t>
      </w:r>
    </w:p>
    <w:p w14:paraId="2A509BBD" w14:textId="3B1793D9" w:rsidR="00635616" w:rsidRPr="000069EB" w:rsidRDefault="00822F23"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 xml:space="preserve"> </w:t>
      </w:r>
      <w:r w:rsidRPr="00822F23">
        <w:rPr>
          <w:rFonts w:asciiTheme="majorHAnsi" w:hAnsiTheme="majorHAnsi" w:cstheme="majorHAnsi"/>
          <w:b/>
          <w:szCs w:val="22"/>
          <w:lang w:val="tr-TR"/>
        </w:rPr>
        <w:t>Piyasalardaki devam eden belirsizlik sebebiyle, 2020’nin tümü için yeni bir öngörü ortaya konmadı</w:t>
      </w:r>
    </w:p>
    <w:p w14:paraId="717372CE" w14:textId="6318DCA2" w:rsidR="00635616" w:rsidRPr="00822F23" w:rsidRDefault="00822F23"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822F23">
        <w:rPr>
          <w:rFonts w:asciiTheme="majorHAnsi" w:hAnsiTheme="majorHAnsi" w:cstheme="majorHAnsi"/>
          <w:b/>
          <w:szCs w:val="22"/>
          <w:lang w:val="tr-TR"/>
        </w:rPr>
        <w:t>Amaca yönelik büyüme için hayata geçirilen yeni gündemin uygulanmasına devam ediliyor</w:t>
      </w:r>
    </w:p>
    <w:p w14:paraId="474A4296" w14:textId="77777777" w:rsidR="00D71270" w:rsidRDefault="00D71270" w:rsidP="00643D8A">
      <w:pPr>
        <w:rPr>
          <w:rFonts w:cs="Segoe UI"/>
          <w:szCs w:val="22"/>
        </w:rPr>
      </w:pPr>
    </w:p>
    <w:p w14:paraId="57D4724D" w14:textId="4136B4A8" w:rsidR="00F67BA8" w:rsidRPr="00F67BA8" w:rsidRDefault="00F67BA8" w:rsidP="00643D8A">
      <w:pPr>
        <w:rPr>
          <w:rFonts w:cs="Segoe UI"/>
          <w:b/>
          <w:bCs/>
          <w:szCs w:val="22"/>
          <w:lang w:val="tr-TR"/>
        </w:rPr>
      </w:pPr>
      <w:r w:rsidRPr="00F67BA8">
        <w:rPr>
          <w:rFonts w:cs="Segoe UI"/>
          <w:b/>
          <w:bCs/>
          <w:szCs w:val="22"/>
          <w:lang w:val="tr-TR"/>
        </w:rPr>
        <w:t>Düsseldorf – Henkel CEO’su Carsten Knobel görüşlerini, “2020’nin ilk yarısında</w:t>
      </w:r>
      <w:r>
        <w:rPr>
          <w:rFonts w:cs="Segoe UI"/>
          <w:b/>
          <w:bCs/>
          <w:szCs w:val="22"/>
          <w:lang w:val="tr-TR"/>
        </w:rPr>
        <w:t xml:space="preserve"> Henkel, ciddi seviyede yaşanan küresel ekonomik gerileme ve birçok sektörde gerçekleşen keskin talep düşüşünden önemli ölçüde etkilendi. Daha önce benzeri görülmemiş bu </w:t>
      </w:r>
      <w:r w:rsidR="009578A8" w:rsidRPr="00E11D2F">
        <w:rPr>
          <w:rFonts w:cs="Segoe UI"/>
          <w:b/>
          <w:bCs/>
          <w:szCs w:val="22"/>
          <w:lang w:val="tr-TR"/>
        </w:rPr>
        <w:t>küresel</w:t>
      </w:r>
      <w:r w:rsidR="009578A8">
        <w:rPr>
          <w:rFonts w:cs="Segoe UI"/>
          <w:b/>
          <w:bCs/>
          <w:color w:val="FF0000"/>
          <w:szCs w:val="22"/>
          <w:lang w:val="tr-TR"/>
        </w:rPr>
        <w:t xml:space="preserve"> </w:t>
      </w:r>
      <w:r>
        <w:rPr>
          <w:rFonts w:cs="Segoe UI"/>
          <w:b/>
          <w:bCs/>
          <w:szCs w:val="22"/>
          <w:lang w:val="tr-TR"/>
        </w:rPr>
        <w:t xml:space="preserve">kriz esnasında odaklandığımız noktalar, çalışanların korunması, müşterilere sağlanan tedariğin devam etmesi, iş devamlılığının sağlanması ve toplumun desteklenmesidir. </w:t>
      </w:r>
      <w:r w:rsidR="009B39A0">
        <w:rPr>
          <w:rFonts w:cs="Segoe UI"/>
          <w:b/>
          <w:bCs/>
          <w:szCs w:val="22"/>
          <w:lang w:val="tr-TR"/>
        </w:rPr>
        <w:t>2020’nin ilk yarısında bu noktalarda başarılı olmamızı sağlayan faktör ise dünya genelindeki çalışan</w:t>
      </w:r>
      <w:r w:rsidR="00F534D4">
        <w:rPr>
          <w:rFonts w:cs="Segoe UI"/>
          <w:b/>
          <w:bCs/>
          <w:szCs w:val="22"/>
          <w:lang w:val="tr-TR"/>
        </w:rPr>
        <w:t xml:space="preserve">larımızın </w:t>
      </w:r>
      <w:r w:rsidR="009B39A0">
        <w:rPr>
          <w:rFonts w:cs="Segoe UI"/>
          <w:b/>
          <w:bCs/>
          <w:szCs w:val="22"/>
          <w:lang w:val="tr-TR"/>
        </w:rPr>
        <w:t>ortaya koyduğu olağanüstü ekip ruhu ve</w:t>
      </w:r>
      <w:r w:rsidR="00D71270">
        <w:rPr>
          <w:rFonts w:cs="Segoe UI"/>
          <w:b/>
          <w:bCs/>
          <w:szCs w:val="22"/>
          <w:lang w:val="tr-TR"/>
        </w:rPr>
        <w:t xml:space="preserve"> </w:t>
      </w:r>
      <w:r w:rsidR="009B39A0">
        <w:rPr>
          <w:rFonts w:cs="Segoe UI"/>
          <w:b/>
          <w:bCs/>
          <w:szCs w:val="22"/>
          <w:lang w:val="tr-TR"/>
        </w:rPr>
        <w:t>kararlılıktır. Tüketici ve endüstriyel iş birimlerindeki portföyümüzün genişliği, bu krizin genel satış ve kar performansımıza olan negatif etkisini dengelememizde bize yardımcı oldu: 2020’nin ilk altı ayında satışlarımız yaklaşık 9,5 milyar Euro miktarında gerçekleşirken, faaliyet karımız 1,2 milyar Euro, f</w:t>
      </w:r>
      <w:r w:rsidR="009B39A0" w:rsidRPr="009B39A0">
        <w:rPr>
          <w:rFonts w:cs="Segoe UI"/>
          <w:b/>
          <w:bCs/>
          <w:szCs w:val="22"/>
          <w:lang w:val="tr-TR"/>
        </w:rPr>
        <w:t>aiz ve vergi öncesi kar (EBIT) marjı</w:t>
      </w:r>
      <w:r w:rsidR="009B39A0">
        <w:rPr>
          <w:rFonts w:cs="Segoe UI"/>
          <w:b/>
          <w:bCs/>
          <w:szCs w:val="22"/>
          <w:lang w:val="tr-TR"/>
        </w:rPr>
        <w:t>mız</w:t>
      </w:r>
      <w:r w:rsidR="004434B5">
        <w:rPr>
          <w:rFonts w:cs="Segoe UI"/>
          <w:b/>
          <w:bCs/>
          <w:szCs w:val="22"/>
          <w:lang w:val="tr-TR"/>
        </w:rPr>
        <w:t xml:space="preserve"> </w:t>
      </w:r>
      <w:r w:rsidR="009B39A0">
        <w:rPr>
          <w:rFonts w:cs="Segoe UI"/>
          <w:b/>
          <w:bCs/>
          <w:szCs w:val="22"/>
          <w:lang w:val="tr-TR"/>
        </w:rPr>
        <w:lastRenderedPageBreak/>
        <w:t xml:space="preserve">ise yüzde 12,6 seviyesinde idi. 2019 için olan </w:t>
      </w:r>
      <w:r w:rsidR="00E11D2F">
        <w:rPr>
          <w:rFonts w:cs="Segoe UI"/>
          <w:b/>
          <w:bCs/>
          <w:szCs w:val="22"/>
          <w:lang w:val="tr-TR"/>
        </w:rPr>
        <w:t>temettünün tümünü</w:t>
      </w:r>
      <w:r w:rsidR="009B39A0" w:rsidRPr="00E11D2F">
        <w:rPr>
          <w:rFonts w:cs="Segoe UI"/>
          <w:b/>
          <w:bCs/>
          <w:szCs w:val="22"/>
          <w:lang w:val="tr-TR"/>
        </w:rPr>
        <w:t xml:space="preserve"> </w:t>
      </w:r>
      <w:r w:rsidR="009B39A0">
        <w:rPr>
          <w:rFonts w:cs="Segoe UI"/>
          <w:b/>
          <w:bCs/>
          <w:szCs w:val="22"/>
          <w:lang w:val="tr-TR"/>
        </w:rPr>
        <w:t xml:space="preserve">hissedarlara ödemiş olmamızın yanı sıra, oldukça güçlü bir serbest nakit akışı ortaya koyduk ve net mali durumumuzu daha ileri taşıdık. </w:t>
      </w:r>
      <w:r w:rsidR="00C40A93">
        <w:rPr>
          <w:rFonts w:cs="Segoe UI"/>
          <w:b/>
          <w:bCs/>
          <w:szCs w:val="22"/>
          <w:lang w:val="tr-TR"/>
        </w:rPr>
        <w:t xml:space="preserve">Kriz süresince kısa çalışma opsiyonunu kullanmadık, devlet yardımına başvurmadık ve salgın nedeniyle iş gücümüzü azaltmadık. Özetle, </w:t>
      </w:r>
      <w:r w:rsidR="00234DEC">
        <w:rPr>
          <w:rFonts w:cs="Segoe UI"/>
          <w:b/>
          <w:bCs/>
          <w:szCs w:val="22"/>
          <w:lang w:val="tr-TR"/>
        </w:rPr>
        <w:t xml:space="preserve">daha önce benzeri görülmemiş </w:t>
      </w:r>
      <w:r w:rsidR="00C40A93">
        <w:rPr>
          <w:rFonts w:cs="Segoe UI"/>
          <w:b/>
          <w:bCs/>
          <w:szCs w:val="22"/>
          <w:lang w:val="tr-TR"/>
        </w:rPr>
        <w:t xml:space="preserve">zorlu bir ortam içinde dahi genel olarak güçlü bir performans ortaya koyduk.” şeklinde ifade etti. </w:t>
      </w:r>
    </w:p>
    <w:p w14:paraId="74DCD38C" w14:textId="43CFC8BF" w:rsidR="007F0F63" w:rsidRPr="00846017" w:rsidRDefault="007F0F63" w:rsidP="00643D8A">
      <w:pPr>
        <w:rPr>
          <w:rFonts w:cs="Segoe UI"/>
          <w:szCs w:val="22"/>
        </w:rPr>
      </w:pPr>
    </w:p>
    <w:p w14:paraId="5B723B8E" w14:textId="1491D81A" w:rsidR="00BB7230" w:rsidRPr="00BB7230" w:rsidRDefault="00BB7230" w:rsidP="00846017">
      <w:pPr>
        <w:rPr>
          <w:rFonts w:cs="Segoe UI"/>
          <w:b/>
          <w:bCs/>
          <w:szCs w:val="22"/>
          <w:lang w:val="tr-TR"/>
        </w:rPr>
      </w:pPr>
      <w:r w:rsidRPr="00BB7230">
        <w:rPr>
          <w:rFonts w:cs="Segoe UI"/>
          <w:b/>
          <w:bCs/>
          <w:szCs w:val="22"/>
          <w:lang w:val="tr-TR"/>
        </w:rPr>
        <w:t>Henkel 2020’nin ilk yarısında 9,485 milyar Euro seviyesinde satış gerçekleştirdi.</w:t>
      </w:r>
      <w:r>
        <w:rPr>
          <w:rFonts w:cs="Segoe UI"/>
          <w:b/>
          <w:bCs/>
          <w:szCs w:val="22"/>
          <w:lang w:val="tr-TR"/>
        </w:rPr>
        <w:t xml:space="preserve"> Bu da, geçen yılın ilk yarısına kıyasla nominal olarak yüzde -6,0 oranında, organik olarak ise yüzde -5,2 oranında bir azalmaya işaret ediyor. Henkel aynı zamanda, 2020’nin ilk altı ayında, geçen yılın aynı dönemine kıyasla yüzde -27,5 oranında bir azalmayla 1,191 milyar Euro seviyesinde düzeltilmiş faaliyet karı ortaya koydu. </w:t>
      </w:r>
      <w:r w:rsidR="007A2E3E">
        <w:rPr>
          <w:rFonts w:cs="Segoe UI"/>
          <w:b/>
          <w:bCs/>
          <w:szCs w:val="22"/>
          <w:lang w:val="tr-TR"/>
        </w:rPr>
        <w:t xml:space="preserve">Faiz ve vergi öncesi kar (EBIT) marjı ise geçen yılın aynı dönemine kıyasla -370 baz puanı azalarak yüzde 12,6 seviyesinde gözlendi. </w:t>
      </w:r>
    </w:p>
    <w:p w14:paraId="74F11F3B" w14:textId="0DDA2320" w:rsidR="00846017" w:rsidRPr="00846017" w:rsidRDefault="00846017" w:rsidP="00846017">
      <w:pPr>
        <w:rPr>
          <w:rFonts w:cs="Segoe UI"/>
          <w:b/>
          <w:bCs/>
          <w:szCs w:val="22"/>
        </w:rPr>
      </w:pPr>
    </w:p>
    <w:p w14:paraId="3A1C206F" w14:textId="3086BF86" w:rsidR="007A2E3E" w:rsidRPr="007A2E3E" w:rsidRDefault="007A2E3E" w:rsidP="00846017">
      <w:pPr>
        <w:rPr>
          <w:rFonts w:cs="Segoe UI"/>
          <w:b/>
          <w:bCs/>
          <w:szCs w:val="22"/>
          <w:lang w:val="tr-TR"/>
        </w:rPr>
      </w:pPr>
      <w:r w:rsidRPr="00053342">
        <w:rPr>
          <w:rFonts w:cs="Segoe UI"/>
          <w:b/>
          <w:bCs/>
          <w:szCs w:val="22"/>
          <w:lang w:val="tr-TR"/>
        </w:rPr>
        <w:t xml:space="preserve">Yapıştırıcı Teknolojileri, ilk altı ay süresince özellikle müşteri konumundaki önemli sektörlerde gerçekleşen kayda değer talep düşüşünden etkilendi. </w:t>
      </w:r>
      <w:r w:rsidR="00D17C6E" w:rsidRPr="00053342">
        <w:rPr>
          <w:rFonts w:cs="Segoe UI"/>
          <w:b/>
          <w:bCs/>
          <w:szCs w:val="22"/>
          <w:lang w:val="tr-TR"/>
        </w:rPr>
        <w:t>B</w:t>
      </w:r>
      <w:r w:rsidR="00285B0B" w:rsidRPr="00053342">
        <w:rPr>
          <w:rFonts w:cs="Segoe UI"/>
          <w:b/>
          <w:bCs/>
          <w:szCs w:val="22"/>
          <w:lang w:val="tr-TR"/>
        </w:rPr>
        <w:t>irçok ülkede kuaför salon</w:t>
      </w:r>
      <w:r w:rsidR="006E5A1F" w:rsidRPr="00053342">
        <w:rPr>
          <w:rFonts w:cs="Segoe UI"/>
          <w:b/>
          <w:bCs/>
          <w:szCs w:val="22"/>
          <w:lang w:val="tr-TR"/>
        </w:rPr>
        <w:t>larının kapatılmasın</w:t>
      </w:r>
      <w:r w:rsidR="001B5981" w:rsidRPr="00053342">
        <w:rPr>
          <w:rFonts w:cs="Segoe UI"/>
          <w:b/>
          <w:bCs/>
          <w:szCs w:val="22"/>
          <w:lang w:val="tr-TR"/>
        </w:rPr>
        <w:t>ın</w:t>
      </w:r>
      <w:r w:rsidR="00D17C6E" w:rsidRPr="00053342">
        <w:rPr>
          <w:rFonts w:cs="Segoe UI"/>
          <w:b/>
          <w:bCs/>
          <w:szCs w:val="22"/>
          <w:lang w:val="tr-TR"/>
        </w:rPr>
        <w:t>,</w:t>
      </w:r>
      <w:r w:rsidR="001B5981" w:rsidRPr="00053342">
        <w:rPr>
          <w:rFonts w:cs="Segoe UI"/>
          <w:b/>
          <w:bCs/>
          <w:szCs w:val="22"/>
          <w:lang w:val="tr-TR"/>
        </w:rPr>
        <w:t xml:space="preserve"> </w:t>
      </w:r>
      <w:r w:rsidR="006E5A1F" w:rsidRPr="00053342">
        <w:rPr>
          <w:rFonts w:cs="Segoe UI"/>
          <w:b/>
          <w:bCs/>
          <w:szCs w:val="22"/>
          <w:lang w:val="tr-TR"/>
        </w:rPr>
        <w:t>Profesyonel iş birimin</w:t>
      </w:r>
      <w:r w:rsidR="001B5981" w:rsidRPr="00053342">
        <w:rPr>
          <w:rFonts w:cs="Segoe UI"/>
          <w:b/>
          <w:bCs/>
          <w:szCs w:val="22"/>
          <w:lang w:val="tr-TR"/>
        </w:rPr>
        <w:t>in üzerindeki ciddi negatif etkisi</w:t>
      </w:r>
      <w:r w:rsidR="00D17C6E" w:rsidRPr="00053342">
        <w:rPr>
          <w:rFonts w:cs="Segoe UI"/>
          <w:b/>
          <w:bCs/>
          <w:szCs w:val="22"/>
          <w:lang w:val="tr-TR"/>
        </w:rPr>
        <w:t xml:space="preserve">, Beauty Care performansına </w:t>
      </w:r>
      <w:r w:rsidR="00053342" w:rsidRPr="00053342">
        <w:rPr>
          <w:rFonts w:cs="Segoe UI"/>
          <w:b/>
          <w:bCs/>
          <w:szCs w:val="22"/>
          <w:lang w:val="tr-TR"/>
        </w:rPr>
        <w:t xml:space="preserve">önemli ölçüde </w:t>
      </w:r>
      <w:r w:rsidR="00D17C6E" w:rsidRPr="00053342">
        <w:rPr>
          <w:rFonts w:cs="Segoe UI"/>
          <w:b/>
          <w:bCs/>
          <w:szCs w:val="22"/>
          <w:lang w:val="tr-TR"/>
        </w:rPr>
        <w:t xml:space="preserve">yansıdı. </w:t>
      </w:r>
      <w:r w:rsidR="00285B0B" w:rsidRPr="00053342">
        <w:rPr>
          <w:rFonts w:cs="Segoe UI"/>
          <w:b/>
          <w:bCs/>
          <w:szCs w:val="22"/>
          <w:lang w:val="tr-TR"/>
        </w:rPr>
        <w:t>Çamaşır ve Ev Bakım ise, temizlik ürünlerine olan yüksek talebin de desteğiyle oldukça güçlü bir gelişim ortaya koydu.</w:t>
      </w:r>
    </w:p>
    <w:p w14:paraId="25555AFF" w14:textId="2545F4A0" w:rsidR="00846017" w:rsidRPr="00846017" w:rsidRDefault="00846017" w:rsidP="00846017">
      <w:pPr>
        <w:rPr>
          <w:rFonts w:cs="Segoe UI"/>
          <w:b/>
          <w:bCs/>
          <w:szCs w:val="22"/>
        </w:rPr>
      </w:pPr>
    </w:p>
    <w:p w14:paraId="7F353DD9" w14:textId="7854067C" w:rsidR="00A14CB2" w:rsidRPr="00A14CB2" w:rsidRDefault="00A14CB2" w:rsidP="0064107F">
      <w:pPr>
        <w:rPr>
          <w:rFonts w:cs="Segoe UI"/>
          <w:b/>
          <w:bCs/>
          <w:szCs w:val="22"/>
          <w:lang w:val="tr-TR"/>
        </w:rPr>
      </w:pPr>
      <w:r w:rsidRPr="00A14CB2">
        <w:rPr>
          <w:rFonts w:cs="Segoe UI"/>
          <w:b/>
          <w:bCs/>
          <w:szCs w:val="22"/>
          <w:lang w:val="tr-TR"/>
        </w:rPr>
        <w:t>Carsten Knobel sözlerine, “</w:t>
      </w:r>
      <w:r>
        <w:rPr>
          <w:rFonts w:cs="Segoe UI"/>
          <w:b/>
          <w:bCs/>
          <w:szCs w:val="22"/>
          <w:lang w:val="tr-TR"/>
        </w:rPr>
        <w:t>Devam eden belirsizlikler göz önüne alındığında, şu an itibariyle yılın bütünü için yeni ve güvenilir bir öngörü ortaya koyamıyoruz.” şeklinde devam etti ve ekledi:</w:t>
      </w:r>
    </w:p>
    <w:p w14:paraId="0856CCF5" w14:textId="23EFA747" w:rsidR="00846017" w:rsidRPr="00846017" w:rsidRDefault="00846017" w:rsidP="00846017">
      <w:pPr>
        <w:rPr>
          <w:rFonts w:cs="Segoe UI"/>
          <w:b/>
          <w:bCs/>
          <w:szCs w:val="22"/>
        </w:rPr>
      </w:pPr>
    </w:p>
    <w:p w14:paraId="4A89AB6C" w14:textId="3C6E39B1" w:rsidR="00A14CB2" w:rsidRPr="00A14CB2" w:rsidRDefault="00A14CB2" w:rsidP="00846017">
      <w:pPr>
        <w:rPr>
          <w:rFonts w:cs="Segoe UI"/>
          <w:b/>
          <w:bCs/>
          <w:szCs w:val="22"/>
          <w:lang w:val="tr-TR"/>
        </w:rPr>
      </w:pPr>
      <w:r w:rsidRPr="00A14CB2">
        <w:rPr>
          <w:rFonts w:cs="Segoe UI"/>
          <w:b/>
          <w:bCs/>
          <w:szCs w:val="22"/>
          <w:lang w:val="tr-TR"/>
        </w:rPr>
        <w:t>“Mevcut krizi yönetirken</w:t>
      </w:r>
      <w:r>
        <w:rPr>
          <w:rFonts w:cs="Segoe UI"/>
          <w:b/>
          <w:bCs/>
          <w:szCs w:val="22"/>
          <w:lang w:val="tr-TR"/>
        </w:rPr>
        <w:t>, gelecek yılları etkileyecek olan iddialı büyüme programımıza bütünüyle bağlı kalmaya devam ediyoruz. Yeni stratejik çerçevemiz doğrultusunda ilk girişimlere başladık ve amaca yönelik büyümeye dönük programımızı aktif bir şekilde hayata geçirmeye devam edeceğiz.”</w:t>
      </w:r>
    </w:p>
    <w:p w14:paraId="57460F2B" w14:textId="35C0DAA2" w:rsidR="00846017" w:rsidRDefault="00846017" w:rsidP="00846017">
      <w:pPr>
        <w:rPr>
          <w:rFonts w:asciiTheme="majorHAnsi" w:hAnsiTheme="majorHAnsi" w:cstheme="majorHAnsi"/>
          <w:b/>
          <w:bCs/>
          <w:szCs w:val="22"/>
        </w:rPr>
      </w:pPr>
    </w:p>
    <w:p w14:paraId="3CD11E0B" w14:textId="371F570D" w:rsidR="006A5671" w:rsidRPr="00D71270" w:rsidRDefault="00A80B8F" w:rsidP="00D71270">
      <w:pPr>
        <w:spacing w:after="120"/>
        <w:rPr>
          <w:rFonts w:cs="Segoe UI"/>
          <w:b/>
          <w:bCs/>
          <w:szCs w:val="22"/>
          <w:lang w:val="tr-TR" w:eastAsia="de-DE"/>
        </w:rPr>
      </w:pPr>
      <w:r w:rsidRPr="00A80B8F">
        <w:rPr>
          <w:rFonts w:cs="Segoe UI"/>
          <w:b/>
          <w:bCs/>
          <w:szCs w:val="22"/>
          <w:lang w:val="tr-TR" w:eastAsia="de-DE"/>
        </w:rPr>
        <w:t>2020’nin İlk Yarısında Grup Satış ve Kar Performansı</w:t>
      </w:r>
    </w:p>
    <w:p w14:paraId="3EE7434F" w14:textId="7B26F5A1" w:rsidR="00A80B8F" w:rsidRPr="006A5671" w:rsidRDefault="00A80B8F" w:rsidP="00846017">
      <w:pPr>
        <w:rPr>
          <w:rFonts w:cs="Segoe UI"/>
          <w:szCs w:val="22"/>
          <w:lang w:val="tr-TR"/>
        </w:rPr>
      </w:pPr>
      <w:r w:rsidRPr="006A5671">
        <w:rPr>
          <w:rFonts w:cs="Segoe UI"/>
          <w:szCs w:val="22"/>
          <w:lang w:val="tr-TR"/>
        </w:rPr>
        <w:t xml:space="preserve">Henkel’in </w:t>
      </w:r>
      <w:r w:rsidR="006A5671" w:rsidRPr="006A5671">
        <w:rPr>
          <w:rFonts w:cs="Segoe UI"/>
          <w:szCs w:val="22"/>
          <w:lang w:val="tr-TR"/>
        </w:rPr>
        <w:t xml:space="preserve">2020’nin ilk yarısında </w:t>
      </w:r>
      <w:r w:rsidRPr="006A5671">
        <w:rPr>
          <w:rFonts w:cs="Segoe UI"/>
          <w:szCs w:val="22"/>
          <w:lang w:val="tr-TR"/>
        </w:rPr>
        <w:t xml:space="preserve">Grup düzeyindeki </w:t>
      </w:r>
      <w:r w:rsidRPr="006A5671">
        <w:rPr>
          <w:rFonts w:cs="Segoe UI"/>
          <w:b/>
          <w:szCs w:val="22"/>
          <w:lang w:val="tr-TR"/>
        </w:rPr>
        <w:t>satışları</w:t>
      </w:r>
      <w:r w:rsidRPr="006A5671">
        <w:rPr>
          <w:rFonts w:cs="Segoe UI"/>
          <w:szCs w:val="22"/>
          <w:lang w:val="tr-TR"/>
        </w:rPr>
        <w:t xml:space="preserve"> 9,485 milyar Euro ile </w:t>
      </w:r>
      <w:r w:rsidR="006A5671">
        <w:rPr>
          <w:rFonts w:cs="Segoe UI"/>
          <w:szCs w:val="22"/>
          <w:lang w:val="tr-TR"/>
        </w:rPr>
        <w:t xml:space="preserve">geçen yılın aynı dönemine kıyasla yüzde -6,0 </w:t>
      </w:r>
      <w:r w:rsidR="006A5671" w:rsidRPr="00053342">
        <w:rPr>
          <w:rFonts w:cs="Segoe UI"/>
          <w:szCs w:val="22"/>
          <w:lang w:val="tr-TR"/>
        </w:rPr>
        <w:t xml:space="preserve">oranında </w:t>
      </w:r>
      <w:r w:rsidR="00ED4CDD" w:rsidRPr="00053342">
        <w:rPr>
          <w:rFonts w:cs="Segoe UI"/>
          <w:szCs w:val="22"/>
          <w:lang w:val="tr-TR"/>
        </w:rPr>
        <w:t xml:space="preserve">altında </w:t>
      </w:r>
      <w:r w:rsidR="006A5671">
        <w:rPr>
          <w:rFonts w:cs="Segoe UI"/>
          <w:szCs w:val="22"/>
          <w:lang w:val="tr-TR"/>
        </w:rPr>
        <w:t xml:space="preserve">gerçekleşti (İkinci </w:t>
      </w:r>
      <w:r w:rsidR="000448B6">
        <w:rPr>
          <w:rFonts w:cs="Segoe UI"/>
          <w:szCs w:val="22"/>
          <w:lang w:val="tr-TR"/>
        </w:rPr>
        <w:t>Ç</w:t>
      </w:r>
      <w:r w:rsidR="006A5671">
        <w:rPr>
          <w:rFonts w:cs="Segoe UI"/>
          <w:szCs w:val="22"/>
          <w:lang w:val="tr-TR"/>
        </w:rPr>
        <w:t xml:space="preserve">eyrek: 4,558 milyar Euro; yüzde -11,0). </w:t>
      </w:r>
      <w:r w:rsidR="006A5671" w:rsidRPr="006A5671">
        <w:rPr>
          <w:rFonts w:cs="Segoe UI"/>
          <w:szCs w:val="22"/>
          <w:lang w:val="tr-TR"/>
        </w:rPr>
        <w:t>Kur etkileri, satın alma ve elden çıkarmaların etkisinden arındırılmış</w:t>
      </w:r>
      <w:r w:rsidR="006A5671">
        <w:rPr>
          <w:rFonts w:cs="Segoe UI"/>
          <w:szCs w:val="22"/>
          <w:lang w:val="tr-TR"/>
        </w:rPr>
        <w:t xml:space="preserve"> </w:t>
      </w:r>
      <w:r w:rsidR="006A5671" w:rsidRPr="006A5671">
        <w:rPr>
          <w:rFonts w:cs="Segoe UI"/>
          <w:b/>
          <w:szCs w:val="22"/>
          <w:lang w:val="tr-TR"/>
        </w:rPr>
        <w:t>organik</w:t>
      </w:r>
      <w:r w:rsidR="006A5671">
        <w:rPr>
          <w:rFonts w:cs="Segoe UI"/>
          <w:szCs w:val="22"/>
          <w:lang w:val="tr-TR"/>
        </w:rPr>
        <w:t xml:space="preserve"> satışlar ise yüzde -5,2 oranında negatif bir değişim gösterdi (İkinci Çeyrek: Yüzde -9,4). Satın alma ve elden çıkarmaların katkısı ise yüzde 0,3 oranında idi (İkinci Çeyrek: Yüzde 0,2). Kur etkileri ise satışlara yüzde -1,1 oranında negatif bir etki yaptı (İkinci Çeyrek: Yüzde -1,9). </w:t>
      </w:r>
    </w:p>
    <w:p w14:paraId="6D113511" w14:textId="50CB3B48" w:rsidR="00846017" w:rsidRPr="008E0A04" w:rsidRDefault="00846017" w:rsidP="00846017">
      <w:pPr>
        <w:rPr>
          <w:rFonts w:cs="Segoe UI"/>
          <w:b/>
          <w:bCs/>
          <w:szCs w:val="22"/>
        </w:rPr>
      </w:pPr>
    </w:p>
    <w:p w14:paraId="095FCAC6" w14:textId="68C9F3E8" w:rsidR="000448B6" w:rsidRPr="000448B6" w:rsidRDefault="000448B6" w:rsidP="00846017">
      <w:pPr>
        <w:rPr>
          <w:rFonts w:cs="Segoe UI"/>
          <w:szCs w:val="22"/>
          <w:lang w:val="tr-TR"/>
        </w:rPr>
      </w:pPr>
      <w:r w:rsidRPr="000448B6">
        <w:rPr>
          <w:rFonts w:cs="Segoe UI"/>
          <w:b/>
          <w:szCs w:val="22"/>
          <w:lang w:val="tr-TR"/>
        </w:rPr>
        <w:t>Gelişmekte olan piyasalar</w:t>
      </w:r>
      <w:r w:rsidRPr="000448B6">
        <w:rPr>
          <w:rFonts w:cs="Segoe UI"/>
          <w:szCs w:val="22"/>
          <w:lang w:val="tr-TR"/>
        </w:rPr>
        <w:t xml:space="preserve"> yüzde -2,6 oranında bir </w:t>
      </w:r>
      <w:r>
        <w:rPr>
          <w:rFonts w:cs="Segoe UI"/>
          <w:szCs w:val="22"/>
          <w:lang w:val="tr-TR"/>
        </w:rPr>
        <w:t xml:space="preserve">organik satış değişimi gösterdi (İkinci Çeyrek: Yüzde -7,1). </w:t>
      </w:r>
      <w:r w:rsidRPr="000448B6">
        <w:rPr>
          <w:rFonts w:cs="Segoe UI"/>
          <w:b/>
          <w:szCs w:val="22"/>
          <w:lang w:val="tr-TR"/>
        </w:rPr>
        <w:t>Gelişmiş piyasalar</w:t>
      </w:r>
      <w:r>
        <w:rPr>
          <w:rFonts w:cs="Segoe UI"/>
          <w:szCs w:val="22"/>
          <w:lang w:val="tr-TR"/>
        </w:rPr>
        <w:t xml:space="preserve"> ise yüzde -6,9 oranında negatif bir organik satış değişimi ortaya koydu (İkinci Çeyrek: Yüzde -10,9).</w:t>
      </w:r>
    </w:p>
    <w:p w14:paraId="2667511E" w14:textId="77777777" w:rsidR="000448B6" w:rsidRDefault="000448B6" w:rsidP="00846017">
      <w:pPr>
        <w:rPr>
          <w:rFonts w:cs="Segoe UI"/>
          <w:szCs w:val="22"/>
        </w:rPr>
      </w:pPr>
    </w:p>
    <w:p w14:paraId="649FBADF" w14:textId="3DF5BB25" w:rsidR="000448B6" w:rsidRPr="000448B6" w:rsidRDefault="000448B6" w:rsidP="00846017">
      <w:pPr>
        <w:rPr>
          <w:rFonts w:cs="Segoe UI"/>
          <w:szCs w:val="22"/>
          <w:lang w:val="tr-TR"/>
        </w:rPr>
      </w:pPr>
      <w:r w:rsidRPr="005B0503">
        <w:rPr>
          <w:rFonts w:cs="Segoe UI"/>
          <w:b/>
          <w:szCs w:val="22"/>
          <w:lang w:val="tr-TR"/>
        </w:rPr>
        <w:t>Batı Avrupa</w:t>
      </w:r>
      <w:r w:rsidRPr="000448B6">
        <w:rPr>
          <w:rFonts w:cs="Segoe UI"/>
          <w:szCs w:val="22"/>
          <w:lang w:val="tr-TR"/>
        </w:rPr>
        <w:t>’da yılın ilk yarısına ait satışlar</w:t>
      </w:r>
      <w:r>
        <w:rPr>
          <w:rFonts w:cs="Segoe UI"/>
          <w:szCs w:val="22"/>
          <w:lang w:val="tr-TR"/>
        </w:rPr>
        <w:t xml:space="preserve"> yüzde -8,0 oranında negatif bir organik değişim gösterdi (İkinci Çeyrek: Yüzde -11,6). </w:t>
      </w:r>
      <w:r w:rsidRPr="005B0503">
        <w:rPr>
          <w:rFonts w:cs="Segoe UI"/>
          <w:b/>
          <w:szCs w:val="22"/>
          <w:lang w:val="tr-TR"/>
        </w:rPr>
        <w:t>Doğu Avrupa</w:t>
      </w:r>
      <w:r>
        <w:rPr>
          <w:rFonts w:cs="Segoe UI"/>
          <w:szCs w:val="22"/>
          <w:lang w:val="tr-TR"/>
        </w:rPr>
        <w:t xml:space="preserve"> ise yüzde 3,1 oranında organik bir büyüme ortaya koydu (İkinci Çeyrek: Yüzde -3,8). </w:t>
      </w:r>
      <w:r w:rsidR="005B0503" w:rsidRPr="005B0503">
        <w:rPr>
          <w:rFonts w:cs="Segoe UI"/>
          <w:b/>
          <w:szCs w:val="22"/>
          <w:lang w:val="tr-TR"/>
        </w:rPr>
        <w:t>Afrika/Orta Doğu</w:t>
      </w:r>
      <w:r w:rsidR="005B0503">
        <w:rPr>
          <w:rFonts w:cs="Segoe UI"/>
          <w:szCs w:val="22"/>
          <w:lang w:val="tr-TR"/>
        </w:rPr>
        <w:t>’da gözlenen organik satış büyümesi yüzde 4,2 oranında idi (</w:t>
      </w:r>
      <w:r w:rsidR="00D56176">
        <w:rPr>
          <w:rFonts w:cs="Segoe UI"/>
          <w:szCs w:val="22"/>
          <w:lang w:val="tr-TR"/>
        </w:rPr>
        <w:t>İkinci Çeyrek: Yüzde 1,4</w:t>
      </w:r>
      <w:r w:rsidR="005B0503">
        <w:rPr>
          <w:rFonts w:cs="Segoe UI"/>
          <w:szCs w:val="22"/>
          <w:lang w:val="tr-TR"/>
        </w:rPr>
        <w:t xml:space="preserve">). Öte yandan </w:t>
      </w:r>
      <w:r w:rsidR="005B0503" w:rsidRPr="005B0503">
        <w:rPr>
          <w:rFonts w:cs="Segoe UI"/>
          <w:b/>
          <w:szCs w:val="22"/>
          <w:lang w:val="tr-TR"/>
        </w:rPr>
        <w:t>Kuzey Amerika</w:t>
      </w:r>
      <w:r w:rsidR="005B0503">
        <w:rPr>
          <w:rFonts w:cs="Segoe UI"/>
          <w:szCs w:val="22"/>
          <w:lang w:val="tr-TR"/>
        </w:rPr>
        <w:t xml:space="preserve"> bölgesinde organik satış değişimi yüzde -6,4 oranında gözlendi (İkinci Çeyrek: Yüzde -10,9). </w:t>
      </w:r>
      <w:r w:rsidR="005B0503" w:rsidRPr="005B0503">
        <w:rPr>
          <w:rFonts w:cs="Segoe UI"/>
          <w:b/>
          <w:szCs w:val="22"/>
          <w:lang w:val="tr-TR"/>
        </w:rPr>
        <w:t>Latin Amerika</w:t>
      </w:r>
      <w:r w:rsidR="005B0503">
        <w:rPr>
          <w:rFonts w:cs="Segoe UI"/>
          <w:szCs w:val="22"/>
          <w:lang w:val="tr-TR"/>
        </w:rPr>
        <w:t xml:space="preserve">’da gerçekleşen organik satış değişimi ise yüzde -11,4 oranında idi (İkinci Çeyrek: Yüzde -20,1). Son olarak, </w:t>
      </w:r>
      <w:r w:rsidR="005B0503" w:rsidRPr="005B0503">
        <w:rPr>
          <w:rFonts w:cs="Segoe UI"/>
          <w:b/>
          <w:szCs w:val="22"/>
          <w:lang w:val="tr-TR"/>
        </w:rPr>
        <w:t>Asya-Pasifik</w:t>
      </w:r>
      <w:r w:rsidR="005B0503">
        <w:rPr>
          <w:rFonts w:cs="Segoe UI"/>
          <w:szCs w:val="22"/>
          <w:lang w:val="tr-TR"/>
        </w:rPr>
        <w:t xml:space="preserve"> bölgesinde satışlar organik olarak yüzde -6,4 oranında azalma gösterdi (İkinci Çeyrek: Yüzde -7,2).</w:t>
      </w:r>
    </w:p>
    <w:p w14:paraId="3715CFDC" w14:textId="77777777" w:rsidR="00D92179" w:rsidRPr="008E0A04" w:rsidRDefault="00D92179" w:rsidP="00846017">
      <w:pPr>
        <w:rPr>
          <w:rFonts w:cs="Segoe UI"/>
          <w:b/>
          <w:bCs/>
          <w:szCs w:val="22"/>
        </w:rPr>
      </w:pPr>
    </w:p>
    <w:p w14:paraId="6F4E470C" w14:textId="0243B622" w:rsidR="002E4536" w:rsidRPr="002E4536" w:rsidRDefault="002E4536" w:rsidP="00846017">
      <w:pPr>
        <w:rPr>
          <w:rFonts w:cs="Segoe UI"/>
          <w:szCs w:val="22"/>
          <w:lang w:val="tr-TR"/>
        </w:rPr>
      </w:pPr>
      <w:r w:rsidRPr="002E4536">
        <w:rPr>
          <w:rFonts w:cs="Segoe UI"/>
          <w:b/>
          <w:szCs w:val="22"/>
          <w:lang w:val="tr-TR"/>
        </w:rPr>
        <w:t>Düzeltilmiş faaliyet karı (düzeltilmiş EBIT)</w:t>
      </w:r>
      <w:r w:rsidRPr="002E4536">
        <w:rPr>
          <w:rFonts w:cs="Segoe UI"/>
          <w:szCs w:val="22"/>
          <w:lang w:val="tr-TR"/>
        </w:rPr>
        <w:t xml:space="preserve">, geçen yılın ilk yarısında gözlenen 1,641 milyar Euro’ya kıyasla yüzde -27,5 oranında azalarak 2020’de 1,191 milyar Euro seviyesinde gerçekleşti. </w:t>
      </w:r>
    </w:p>
    <w:p w14:paraId="721479D9" w14:textId="77777777" w:rsidR="00D71270" w:rsidRDefault="00D71270" w:rsidP="00846017">
      <w:pPr>
        <w:rPr>
          <w:rFonts w:cs="Segoe UI"/>
          <w:b/>
          <w:bCs/>
          <w:szCs w:val="22"/>
        </w:rPr>
      </w:pPr>
    </w:p>
    <w:p w14:paraId="7AAEE93A" w14:textId="485B4FE2" w:rsidR="002E4536" w:rsidRPr="002E4536" w:rsidRDefault="002E4536" w:rsidP="00846017">
      <w:pPr>
        <w:rPr>
          <w:rFonts w:cs="Segoe UI"/>
          <w:szCs w:val="22"/>
          <w:lang w:val="tr-TR"/>
        </w:rPr>
      </w:pPr>
      <w:r w:rsidRPr="002E4536">
        <w:rPr>
          <w:rFonts w:cs="Segoe UI"/>
          <w:b/>
          <w:szCs w:val="22"/>
          <w:lang w:val="tr-TR"/>
        </w:rPr>
        <w:t>Düzeltilmiş satış kazancı (düzeltilmiş EBIT marjı)</w:t>
      </w:r>
      <w:r>
        <w:rPr>
          <w:rFonts w:cs="Segoe UI"/>
          <w:szCs w:val="22"/>
          <w:lang w:val="tr-TR"/>
        </w:rPr>
        <w:t xml:space="preserve">, geçen yılın aynı dönemine kıyasla yüzde -3,7 oranında azalarak bu yılın ilk altı ayında yüzde 12,6 seviyesinde gözlendi. </w:t>
      </w:r>
    </w:p>
    <w:p w14:paraId="0053A584" w14:textId="77777777" w:rsidR="00846017" w:rsidRPr="00846017" w:rsidRDefault="00846017" w:rsidP="00846017">
      <w:pPr>
        <w:rPr>
          <w:rFonts w:cs="Segoe UI"/>
          <w:szCs w:val="22"/>
        </w:rPr>
      </w:pPr>
    </w:p>
    <w:p w14:paraId="2C98E715" w14:textId="52DE027A" w:rsidR="002E4536" w:rsidRPr="002E4536" w:rsidRDefault="002E4536" w:rsidP="00846017">
      <w:pPr>
        <w:rPr>
          <w:rFonts w:cs="Segoe UI"/>
          <w:szCs w:val="22"/>
          <w:lang w:val="tr-TR"/>
        </w:rPr>
      </w:pPr>
      <w:r w:rsidRPr="002E4536">
        <w:rPr>
          <w:rFonts w:cs="Segoe UI"/>
          <w:b/>
          <w:szCs w:val="22"/>
          <w:lang w:val="tr-TR"/>
        </w:rPr>
        <w:t>İmtiyazlı hisse senedi başına karlılık</w:t>
      </w:r>
      <w:r>
        <w:rPr>
          <w:rFonts w:cs="Segoe UI"/>
          <w:szCs w:val="22"/>
          <w:lang w:val="tr-TR"/>
        </w:rPr>
        <w:t xml:space="preserve"> 2019’un ilk yarısındaki 2,77 Euro seviyesine kıyasla yüzde -29,2 oranında azalarak 1,96 Euro seviyesinde gerçekleşti. </w:t>
      </w:r>
      <w:r w:rsidRPr="002E4536">
        <w:rPr>
          <w:rFonts w:cs="Segoe UI"/>
          <w:szCs w:val="22"/>
          <w:lang w:val="tr-TR"/>
        </w:rPr>
        <w:t>Sabit kur ile ise</w:t>
      </w:r>
      <w:r>
        <w:rPr>
          <w:rFonts w:cs="Segoe UI"/>
          <w:szCs w:val="22"/>
          <w:lang w:val="tr-TR"/>
        </w:rPr>
        <w:t>, yüzde -28,2 oranında bir azalma</w:t>
      </w:r>
      <w:r w:rsidRPr="002E4536">
        <w:rPr>
          <w:rFonts w:cs="Segoe UI"/>
          <w:szCs w:val="22"/>
          <w:lang w:val="tr-TR"/>
        </w:rPr>
        <w:t xml:space="preserve"> ortaya koydu</w:t>
      </w:r>
      <w:r>
        <w:rPr>
          <w:rFonts w:cs="Segoe UI"/>
          <w:szCs w:val="22"/>
          <w:lang w:val="tr-TR"/>
        </w:rPr>
        <w:t>.</w:t>
      </w:r>
    </w:p>
    <w:p w14:paraId="325BC16A" w14:textId="77777777" w:rsidR="00D71270" w:rsidRDefault="00D71270" w:rsidP="00846017">
      <w:pPr>
        <w:rPr>
          <w:rFonts w:cs="Segoe UI"/>
          <w:b/>
          <w:bCs/>
          <w:szCs w:val="22"/>
        </w:rPr>
      </w:pPr>
    </w:p>
    <w:p w14:paraId="11C0A845" w14:textId="1693777D" w:rsidR="009C7913" w:rsidRPr="00761158" w:rsidRDefault="00761158" w:rsidP="00846017">
      <w:pPr>
        <w:rPr>
          <w:rFonts w:cs="Segoe UI"/>
          <w:szCs w:val="22"/>
          <w:lang w:val="tr-TR"/>
        </w:rPr>
      </w:pPr>
      <w:r w:rsidRPr="00761158">
        <w:rPr>
          <w:rFonts w:cs="Segoe UI"/>
          <w:szCs w:val="22"/>
          <w:lang w:val="tr-TR"/>
        </w:rPr>
        <w:t xml:space="preserve">Satış yüzdesi olarak </w:t>
      </w:r>
      <w:r w:rsidRPr="00761158">
        <w:rPr>
          <w:rFonts w:cs="Segoe UI"/>
          <w:b/>
          <w:szCs w:val="22"/>
          <w:lang w:val="tr-TR"/>
        </w:rPr>
        <w:t>net işletme sermayesi</w:t>
      </w:r>
      <w:r w:rsidRPr="00761158">
        <w:rPr>
          <w:rFonts w:cs="Segoe UI"/>
          <w:szCs w:val="22"/>
          <w:lang w:val="tr-TR"/>
        </w:rPr>
        <w:t xml:space="preserve">, </w:t>
      </w:r>
      <w:r w:rsidR="006C6707">
        <w:rPr>
          <w:rFonts w:cs="Segoe UI"/>
          <w:szCs w:val="22"/>
          <w:lang w:val="tr-TR"/>
        </w:rPr>
        <w:t xml:space="preserve">gelişme göstererek </w:t>
      </w:r>
      <w:r w:rsidR="006C6707" w:rsidRPr="00761158">
        <w:rPr>
          <w:rFonts w:cs="Segoe UI"/>
          <w:szCs w:val="22"/>
          <w:lang w:val="tr-TR"/>
        </w:rPr>
        <w:t>yüzde 4,4 seviyesinde gerçekleş</w:t>
      </w:r>
      <w:r w:rsidR="006C6707">
        <w:rPr>
          <w:rFonts w:cs="Segoe UI"/>
          <w:szCs w:val="22"/>
          <w:lang w:val="tr-TR"/>
        </w:rPr>
        <w:t xml:space="preserve">irken, </w:t>
      </w:r>
      <w:r>
        <w:rPr>
          <w:rFonts w:cs="Segoe UI"/>
          <w:szCs w:val="22"/>
          <w:lang w:val="tr-TR"/>
        </w:rPr>
        <w:t>geçen yılın aynı dönemindeki yüzde 6,7 seviyesine kıyasla önemli ölçüde azal</w:t>
      </w:r>
      <w:r w:rsidR="006C6707">
        <w:rPr>
          <w:rFonts w:cs="Segoe UI"/>
          <w:szCs w:val="22"/>
          <w:lang w:val="tr-TR"/>
        </w:rPr>
        <w:t>ma gösterdi</w:t>
      </w:r>
      <w:r>
        <w:rPr>
          <w:rFonts w:cs="Segoe UI"/>
          <w:szCs w:val="22"/>
          <w:lang w:val="tr-TR"/>
        </w:rPr>
        <w:t>.</w:t>
      </w:r>
    </w:p>
    <w:p w14:paraId="7DF468C5" w14:textId="77777777" w:rsidR="00D71270" w:rsidRDefault="00D71270" w:rsidP="00846017">
      <w:pPr>
        <w:autoSpaceDE w:val="0"/>
        <w:autoSpaceDN w:val="0"/>
        <w:adjustRightInd w:val="0"/>
        <w:rPr>
          <w:rFonts w:cs="Segoe UI"/>
          <w:b/>
          <w:szCs w:val="22"/>
        </w:rPr>
      </w:pPr>
    </w:p>
    <w:p w14:paraId="6358B3E7" w14:textId="0517D288" w:rsidR="00761158" w:rsidRPr="00761158" w:rsidRDefault="00761158" w:rsidP="00846017">
      <w:pPr>
        <w:autoSpaceDE w:val="0"/>
        <w:autoSpaceDN w:val="0"/>
        <w:adjustRightInd w:val="0"/>
        <w:rPr>
          <w:rFonts w:cs="Segoe UI"/>
          <w:szCs w:val="22"/>
          <w:lang w:val="tr-TR"/>
        </w:rPr>
      </w:pPr>
      <w:r w:rsidRPr="00761158">
        <w:rPr>
          <w:rFonts w:cs="Segoe UI"/>
          <w:b/>
          <w:szCs w:val="22"/>
          <w:lang w:val="tr-TR"/>
        </w:rPr>
        <w:t>Serbest nakit akışı</w:t>
      </w:r>
      <w:r w:rsidR="008C6C0E" w:rsidRPr="008C6C0E">
        <w:rPr>
          <w:rFonts w:cs="Segoe UI"/>
          <w:szCs w:val="22"/>
          <w:lang w:val="tr-TR"/>
        </w:rPr>
        <w:t>, 2020’nin ilk yarısında</w:t>
      </w:r>
      <w:r w:rsidRPr="00761158">
        <w:rPr>
          <w:rFonts w:cs="Segoe UI"/>
          <w:szCs w:val="22"/>
          <w:lang w:val="tr-TR"/>
        </w:rPr>
        <w:t xml:space="preserve"> 938 milyon E</w:t>
      </w:r>
      <w:r w:rsidR="008C6C0E">
        <w:rPr>
          <w:rFonts w:cs="Segoe UI"/>
          <w:szCs w:val="22"/>
          <w:lang w:val="tr-TR"/>
        </w:rPr>
        <w:t>uro</w:t>
      </w:r>
      <w:r w:rsidR="003324BF">
        <w:rPr>
          <w:rFonts w:cs="Segoe UI"/>
          <w:szCs w:val="22"/>
          <w:lang w:val="tr-TR"/>
        </w:rPr>
        <w:t>’ya ulaşarak</w:t>
      </w:r>
      <w:r w:rsidR="008C6C0E">
        <w:rPr>
          <w:rFonts w:cs="Segoe UI"/>
          <w:szCs w:val="22"/>
          <w:lang w:val="tr-TR"/>
        </w:rPr>
        <w:t xml:space="preserve"> </w:t>
      </w:r>
      <w:r w:rsidR="003324BF">
        <w:rPr>
          <w:rFonts w:cs="Segoe UI"/>
          <w:szCs w:val="22"/>
          <w:lang w:val="tr-TR"/>
        </w:rPr>
        <w:t>çok güçlü kaldı</w:t>
      </w:r>
      <w:r w:rsidR="008C6C0E" w:rsidRPr="00470936">
        <w:rPr>
          <w:rFonts w:cs="Segoe UI"/>
          <w:color w:val="FF0000"/>
          <w:szCs w:val="22"/>
          <w:lang w:val="tr-TR"/>
        </w:rPr>
        <w:t xml:space="preserve"> </w:t>
      </w:r>
      <w:r w:rsidR="008C6C0E">
        <w:rPr>
          <w:rFonts w:cs="Segoe UI"/>
          <w:szCs w:val="22"/>
          <w:lang w:val="tr-TR"/>
        </w:rPr>
        <w:t>(2019’un ilk yarısı: 990 milyon Euro).</w:t>
      </w:r>
    </w:p>
    <w:p w14:paraId="118C25FB" w14:textId="77777777" w:rsidR="00846017" w:rsidRPr="00846017" w:rsidRDefault="00846017" w:rsidP="00846017">
      <w:pPr>
        <w:rPr>
          <w:rFonts w:cs="Segoe UI"/>
          <w:szCs w:val="22"/>
        </w:rPr>
      </w:pPr>
    </w:p>
    <w:p w14:paraId="5BFD749B" w14:textId="06C81A82" w:rsidR="008C6C0E" w:rsidRPr="008C6C0E" w:rsidRDefault="008C6C0E" w:rsidP="00846017">
      <w:pPr>
        <w:rPr>
          <w:rFonts w:cs="Segoe UI"/>
          <w:szCs w:val="22"/>
          <w:lang w:val="tr-TR"/>
        </w:rPr>
      </w:pPr>
      <w:r w:rsidRPr="008C6C0E">
        <w:rPr>
          <w:rFonts w:cs="Segoe UI"/>
          <w:szCs w:val="22"/>
          <w:lang w:val="tr-TR"/>
        </w:rPr>
        <w:t xml:space="preserve">30 Haziran 2020 itibariyle Henkel’in </w:t>
      </w:r>
      <w:r w:rsidRPr="008C6C0E">
        <w:rPr>
          <w:rFonts w:cs="Segoe UI"/>
          <w:b/>
          <w:szCs w:val="22"/>
          <w:lang w:val="tr-TR"/>
        </w:rPr>
        <w:t>net mali durumu</w:t>
      </w:r>
      <w:r w:rsidRPr="008C6C0E">
        <w:rPr>
          <w:rFonts w:cs="Segoe UI"/>
          <w:szCs w:val="22"/>
          <w:lang w:val="tr-TR"/>
        </w:rPr>
        <w:t>, ikinci çeyrekte gerçekleşen yaklaşık 800 milyon Euro</w:t>
      </w:r>
      <w:r w:rsidR="00DD75D6">
        <w:rPr>
          <w:rFonts w:cs="Segoe UI"/>
          <w:szCs w:val="22"/>
          <w:lang w:val="tr-TR"/>
        </w:rPr>
        <w:t xml:space="preserve">luk </w:t>
      </w:r>
      <w:r w:rsidRPr="008C6C0E">
        <w:rPr>
          <w:rFonts w:cs="Segoe UI"/>
          <w:szCs w:val="22"/>
          <w:lang w:val="tr-TR"/>
        </w:rPr>
        <w:t>temettü ödemesine karşın,</w:t>
      </w:r>
      <w:r>
        <w:rPr>
          <w:rFonts w:cs="Segoe UI"/>
          <w:b/>
          <w:szCs w:val="22"/>
          <w:lang w:val="tr-TR"/>
        </w:rPr>
        <w:t xml:space="preserve"> </w:t>
      </w:r>
      <w:r>
        <w:rPr>
          <w:rFonts w:cs="Segoe UI"/>
          <w:szCs w:val="22"/>
          <w:lang w:val="tr-TR"/>
        </w:rPr>
        <w:t>ilerleme</w:t>
      </w:r>
      <w:r w:rsidRPr="008C6C0E">
        <w:rPr>
          <w:rFonts w:cs="Segoe UI"/>
          <w:szCs w:val="22"/>
          <w:lang w:val="tr-TR"/>
        </w:rPr>
        <w:t xml:space="preserve"> göstererek</w:t>
      </w:r>
      <w:r>
        <w:rPr>
          <w:rFonts w:cs="Segoe UI"/>
          <w:b/>
          <w:szCs w:val="22"/>
          <w:lang w:val="tr-TR"/>
        </w:rPr>
        <w:t xml:space="preserve"> </w:t>
      </w:r>
      <w:r w:rsidRPr="008C6C0E">
        <w:rPr>
          <w:rFonts w:cs="Segoe UI"/>
          <w:szCs w:val="22"/>
          <w:lang w:val="tr-TR"/>
        </w:rPr>
        <w:t>-1,951 milyar Euro olarak gerçekleşti (31 Aralık 2019: -2,047 milyar Euro)</w:t>
      </w:r>
      <w:r>
        <w:rPr>
          <w:rFonts w:cs="Segoe UI"/>
          <w:szCs w:val="22"/>
          <w:lang w:val="tr-TR"/>
        </w:rPr>
        <w:t xml:space="preserve">. </w:t>
      </w:r>
    </w:p>
    <w:p w14:paraId="7F745676" w14:textId="77777777" w:rsidR="00D71270" w:rsidRDefault="00D71270" w:rsidP="00D71270">
      <w:pPr>
        <w:spacing w:after="120"/>
        <w:rPr>
          <w:rFonts w:cs="Segoe UI"/>
          <w:b/>
          <w:bCs/>
          <w:szCs w:val="22"/>
          <w:lang w:val="tr-TR" w:eastAsia="de-DE"/>
        </w:rPr>
      </w:pPr>
    </w:p>
    <w:p w14:paraId="4B5870C9" w14:textId="5EA873EE" w:rsidR="008C6C0E" w:rsidRPr="00D71270" w:rsidRDefault="00EA66F8" w:rsidP="00D71270">
      <w:pPr>
        <w:spacing w:after="120"/>
        <w:rPr>
          <w:rFonts w:cs="Segoe UI"/>
          <w:b/>
          <w:bCs/>
          <w:szCs w:val="22"/>
          <w:lang w:val="tr-TR" w:eastAsia="de-DE"/>
        </w:rPr>
      </w:pPr>
      <w:r>
        <w:rPr>
          <w:rFonts w:cs="Segoe UI"/>
          <w:b/>
          <w:bCs/>
          <w:szCs w:val="22"/>
          <w:lang w:val="tr-TR" w:eastAsia="de-DE"/>
        </w:rPr>
        <w:t>2020’nin İlk Yarısında İş Birimi P</w:t>
      </w:r>
      <w:r w:rsidR="008C6C0E" w:rsidRPr="008C6C0E">
        <w:rPr>
          <w:rFonts w:cs="Segoe UI"/>
          <w:b/>
          <w:bCs/>
          <w:szCs w:val="22"/>
          <w:lang w:val="tr-TR" w:eastAsia="de-DE"/>
        </w:rPr>
        <w:t>erformansı</w:t>
      </w:r>
    </w:p>
    <w:p w14:paraId="14130022" w14:textId="35B8C086" w:rsidR="00EA66F8" w:rsidRDefault="008C6C0E" w:rsidP="00846017">
      <w:pPr>
        <w:rPr>
          <w:rFonts w:cs="Segoe UI"/>
          <w:szCs w:val="22"/>
          <w:lang w:val="tr-TR"/>
        </w:rPr>
      </w:pPr>
      <w:r w:rsidRPr="008C6C0E">
        <w:rPr>
          <w:rFonts w:cs="Segoe UI"/>
          <w:szCs w:val="22"/>
          <w:lang w:val="tr-TR"/>
        </w:rPr>
        <w:t xml:space="preserve">2020’nin ilk yarısında </w:t>
      </w:r>
      <w:r w:rsidRPr="00683F25">
        <w:rPr>
          <w:rFonts w:cs="Segoe UI"/>
          <w:b/>
          <w:szCs w:val="22"/>
          <w:lang w:val="tr-TR"/>
        </w:rPr>
        <w:t>Yapıştırıcı Teknolojileri</w:t>
      </w:r>
      <w:r>
        <w:rPr>
          <w:rFonts w:cs="Segoe UI"/>
          <w:szCs w:val="22"/>
          <w:lang w:val="tr-TR"/>
        </w:rPr>
        <w:t xml:space="preserve"> İş Birimi’nde </w:t>
      </w:r>
      <w:r w:rsidRPr="00683F25">
        <w:rPr>
          <w:rFonts w:cs="Segoe UI"/>
          <w:b/>
          <w:szCs w:val="22"/>
          <w:lang w:val="tr-TR"/>
        </w:rPr>
        <w:t>satışlar</w:t>
      </w:r>
      <w:r>
        <w:rPr>
          <w:rFonts w:cs="Segoe UI"/>
          <w:szCs w:val="22"/>
          <w:lang w:val="tr-TR"/>
        </w:rPr>
        <w:t xml:space="preserve"> nominal olarak geçen yılın aynı dönemindeki seviyesine kıyasla </w:t>
      </w:r>
      <w:r w:rsidR="00683F25">
        <w:rPr>
          <w:rFonts w:cs="Segoe UI"/>
          <w:szCs w:val="22"/>
          <w:lang w:val="tr-TR"/>
        </w:rPr>
        <w:t xml:space="preserve">yüzde -12,2 oranında azalma göstererek 4,153 milyar Euro seviyesinde gerçekleşti (İkinci Çeyrek: 1,944 milyar Euro, yüzde -19,7). </w:t>
      </w:r>
      <w:r w:rsidR="00683F25" w:rsidRPr="00683F25">
        <w:rPr>
          <w:rFonts w:cs="Segoe UI"/>
          <w:b/>
          <w:szCs w:val="22"/>
          <w:lang w:val="tr-TR"/>
        </w:rPr>
        <w:t>Organik</w:t>
      </w:r>
      <w:r w:rsidR="00683F25">
        <w:rPr>
          <w:rFonts w:cs="Segoe UI"/>
          <w:szCs w:val="22"/>
          <w:lang w:val="tr-TR"/>
        </w:rPr>
        <w:t xml:space="preserve"> olarak ise, satışlardaki değişim yüzde -10,9 oranında idi (İkinci Çeyrek: Yüzde -17,4). Yılın ilk </w:t>
      </w:r>
      <w:r w:rsidR="00683F25">
        <w:rPr>
          <w:rFonts w:cs="Segoe UI"/>
          <w:szCs w:val="22"/>
          <w:lang w:val="tr-TR"/>
        </w:rPr>
        <w:lastRenderedPageBreak/>
        <w:t xml:space="preserve">yarısında, özellikle ikinci çeyrekte, gerçekleşen değişim, Covid-19 salgını sebebiyle endüstriyel ve otomotiv alanlarındaki üretimde gerçekleşen kayda değer düşüşten etkilendi. </w:t>
      </w:r>
      <w:r w:rsidR="00683F25" w:rsidRPr="00683F25">
        <w:rPr>
          <w:rFonts w:cs="Segoe UI"/>
          <w:b/>
          <w:szCs w:val="22"/>
          <w:lang w:val="tr-TR"/>
        </w:rPr>
        <w:t>Düzeltilmiş faaliyet karı</w:t>
      </w:r>
      <w:r w:rsidR="00683F25">
        <w:rPr>
          <w:rFonts w:cs="Segoe UI"/>
          <w:szCs w:val="22"/>
          <w:lang w:val="tr-TR"/>
        </w:rPr>
        <w:t xml:space="preserve"> yüzde -36,6 oranında azaldı ve 543 milyon Euro seviyesinde gözlendi. Yüzde 13,1 seviyesi ile </w:t>
      </w:r>
      <w:r w:rsidR="00683F25" w:rsidRPr="00683F25">
        <w:rPr>
          <w:rFonts w:cs="Segoe UI"/>
          <w:b/>
          <w:szCs w:val="22"/>
          <w:lang w:val="tr-TR"/>
        </w:rPr>
        <w:t>düzeltilmiş satış kazancı</w:t>
      </w:r>
      <w:r w:rsidR="00683F25">
        <w:rPr>
          <w:rFonts w:cs="Segoe UI"/>
          <w:szCs w:val="22"/>
          <w:lang w:val="tr-TR"/>
        </w:rPr>
        <w:t>, 2019’un ilk yarısındaki seviyesinin altında idi. Marj azalmasının sebebi, özellikle satış hacminde salgın nedeniyle ortaya çıkan ciddi ölçekteki düşüş idi.</w:t>
      </w:r>
    </w:p>
    <w:p w14:paraId="0BBE93B3" w14:textId="77777777" w:rsidR="00D71270" w:rsidRPr="00D71270" w:rsidRDefault="00D71270" w:rsidP="00846017">
      <w:pPr>
        <w:rPr>
          <w:rFonts w:cs="Segoe UI"/>
          <w:szCs w:val="22"/>
          <w:lang w:val="tr-TR"/>
        </w:rPr>
      </w:pPr>
    </w:p>
    <w:p w14:paraId="37F8DE30" w14:textId="780DE9EF" w:rsidR="00EA66F8" w:rsidRPr="00EA66F8" w:rsidRDefault="00EA66F8" w:rsidP="00846017">
      <w:pPr>
        <w:rPr>
          <w:rFonts w:cs="Segoe UI"/>
          <w:szCs w:val="22"/>
          <w:lang w:val="tr-TR"/>
        </w:rPr>
      </w:pPr>
      <w:r w:rsidRPr="00EA66F8">
        <w:rPr>
          <w:rFonts w:cs="Segoe UI"/>
          <w:b/>
          <w:szCs w:val="22"/>
          <w:lang w:val="tr-TR"/>
        </w:rPr>
        <w:t>Beauty Care</w:t>
      </w:r>
      <w:r w:rsidRPr="00EA66F8">
        <w:rPr>
          <w:rFonts w:cs="Segoe UI"/>
          <w:szCs w:val="22"/>
          <w:lang w:val="tr-TR"/>
        </w:rPr>
        <w:t xml:space="preserve"> İş Birimi’nde, 2020’nin ilk yarısında </w:t>
      </w:r>
      <w:r w:rsidRPr="00EA66F8">
        <w:rPr>
          <w:rFonts w:cs="Segoe UI"/>
          <w:b/>
          <w:szCs w:val="22"/>
          <w:lang w:val="tr-TR"/>
        </w:rPr>
        <w:t>satışlar</w:t>
      </w:r>
      <w:r>
        <w:rPr>
          <w:rFonts w:cs="Segoe UI"/>
          <w:szCs w:val="22"/>
          <w:lang w:val="tr-TR"/>
        </w:rPr>
        <w:t xml:space="preserve"> yüzde -8,5 oranında </w:t>
      </w:r>
      <w:r w:rsidRPr="00EA66F8">
        <w:rPr>
          <w:rFonts w:cs="Segoe UI"/>
          <w:b/>
          <w:szCs w:val="22"/>
          <w:lang w:val="tr-TR"/>
        </w:rPr>
        <w:t>organik</w:t>
      </w:r>
      <w:r>
        <w:rPr>
          <w:rFonts w:cs="Segoe UI"/>
          <w:szCs w:val="22"/>
          <w:lang w:val="tr-TR"/>
        </w:rPr>
        <w:t xml:space="preserve"> bir değişim ortaya koydu (İkinci Çeyrek: Yüzde -12,8). Nominal olarak ise satışlar, geçen yılın aynı dönemindeki seviyesine kıyasla yüzde -7,4 oranında düşüş göstererek 1,818 milyar Euro olarak gerçekleşti (İkinci Çeyrek: 883 milyon Euro, yüzde -11,9). Bu değişim özellikle Covid-19 salgınının </w:t>
      </w:r>
      <w:r w:rsidR="009D2570" w:rsidRPr="00DD75D6">
        <w:rPr>
          <w:rFonts w:cs="Segoe UI"/>
          <w:szCs w:val="22"/>
          <w:lang w:val="tr-TR"/>
        </w:rPr>
        <w:t xml:space="preserve">Profesyonel iş birimi </w:t>
      </w:r>
      <w:r>
        <w:rPr>
          <w:rFonts w:cs="Segoe UI"/>
          <w:szCs w:val="22"/>
          <w:lang w:val="tr-TR"/>
        </w:rPr>
        <w:t xml:space="preserve">üzerindeki negatif etkisinden kaynaklandı. </w:t>
      </w:r>
      <w:r w:rsidRPr="00EA66F8">
        <w:rPr>
          <w:rFonts w:cs="Segoe UI"/>
          <w:b/>
          <w:szCs w:val="22"/>
          <w:lang w:val="tr-TR"/>
        </w:rPr>
        <w:t>Düzeltilmiş faaliyet karı</w:t>
      </w:r>
      <w:r w:rsidRPr="00EA66F8">
        <w:rPr>
          <w:rFonts w:cs="Segoe UI"/>
          <w:szCs w:val="22"/>
          <w:lang w:val="tr-TR"/>
        </w:rPr>
        <w:t>,</w:t>
      </w:r>
      <w:r>
        <w:rPr>
          <w:rFonts w:cs="Segoe UI"/>
          <w:szCs w:val="22"/>
          <w:lang w:val="tr-TR"/>
        </w:rPr>
        <w:t xml:space="preserve"> 2019’un ilk yarısındaki seviyesinin yüzde -35,4 </w:t>
      </w:r>
      <w:r w:rsidRPr="00DD75D6">
        <w:rPr>
          <w:rFonts w:cs="Segoe UI"/>
          <w:szCs w:val="22"/>
          <w:lang w:val="tr-TR"/>
        </w:rPr>
        <w:t xml:space="preserve">oranında </w:t>
      </w:r>
      <w:r w:rsidR="009D2570" w:rsidRPr="00DD75D6">
        <w:rPr>
          <w:rFonts w:cs="Segoe UI"/>
          <w:szCs w:val="22"/>
          <w:lang w:val="tr-TR"/>
        </w:rPr>
        <w:t>altında</w:t>
      </w:r>
      <w:r w:rsidRPr="00DD75D6">
        <w:rPr>
          <w:rFonts w:cs="Segoe UI"/>
          <w:szCs w:val="22"/>
          <w:lang w:val="tr-TR"/>
        </w:rPr>
        <w:t xml:space="preserve">, 172 milyon </w:t>
      </w:r>
      <w:r>
        <w:rPr>
          <w:rFonts w:cs="Segoe UI"/>
          <w:szCs w:val="22"/>
          <w:lang w:val="tr-TR"/>
        </w:rPr>
        <w:t xml:space="preserve">Euro seviyesinde gerçekleşti. </w:t>
      </w:r>
      <w:r w:rsidRPr="00EA66F8">
        <w:rPr>
          <w:rFonts w:cs="Segoe UI"/>
          <w:b/>
          <w:szCs w:val="22"/>
          <w:lang w:val="tr-TR"/>
        </w:rPr>
        <w:t>Düzeltilmiş satış kazancı</w:t>
      </w:r>
      <w:r>
        <w:rPr>
          <w:rFonts w:cs="Segoe UI"/>
          <w:szCs w:val="22"/>
          <w:lang w:val="tr-TR"/>
        </w:rPr>
        <w:t xml:space="preserve"> ise, </w:t>
      </w:r>
      <w:r w:rsidR="009D2570" w:rsidRPr="00943BB6">
        <w:rPr>
          <w:rFonts w:cs="Segoe UI"/>
          <w:szCs w:val="22"/>
          <w:lang w:val="tr-TR"/>
        </w:rPr>
        <w:t xml:space="preserve">Profesyonel iş biriminde </w:t>
      </w:r>
      <w:r w:rsidRPr="00943BB6">
        <w:rPr>
          <w:rFonts w:cs="Segoe UI"/>
          <w:szCs w:val="22"/>
          <w:lang w:val="tr-TR"/>
        </w:rPr>
        <w:t xml:space="preserve">azalan </w:t>
      </w:r>
      <w:r>
        <w:rPr>
          <w:rFonts w:cs="Segoe UI"/>
          <w:szCs w:val="22"/>
          <w:lang w:val="tr-TR"/>
        </w:rPr>
        <w:t xml:space="preserve">satış hacimlerinin etkisinde kalarak, negatif bir değişim gösterdi ve yüzde 9,4 seviyesinde gözlendi. </w:t>
      </w:r>
    </w:p>
    <w:p w14:paraId="5E70F287" w14:textId="77777777" w:rsidR="00D56176" w:rsidRDefault="00D56176" w:rsidP="00846017">
      <w:pPr>
        <w:rPr>
          <w:rFonts w:cs="Segoe UI"/>
          <w:bCs/>
          <w:szCs w:val="22"/>
        </w:rPr>
      </w:pPr>
      <w:bookmarkStart w:id="1" w:name="_Hlk46226936"/>
    </w:p>
    <w:p w14:paraId="671668DA" w14:textId="421287B3" w:rsidR="00D56176" w:rsidRDefault="00D56176" w:rsidP="00846017">
      <w:pPr>
        <w:rPr>
          <w:rFonts w:cs="Segoe UI"/>
          <w:bCs/>
          <w:szCs w:val="22"/>
          <w:lang w:val="tr-TR"/>
        </w:rPr>
      </w:pPr>
      <w:r w:rsidRPr="00D56176">
        <w:rPr>
          <w:rFonts w:cs="Segoe UI"/>
          <w:b/>
          <w:bCs/>
          <w:szCs w:val="22"/>
          <w:lang w:val="tr-TR"/>
        </w:rPr>
        <w:t>Çamaşır ve Ev Bakım</w:t>
      </w:r>
      <w:r w:rsidRPr="00D56176">
        <w:rPr>
          <w:rFonts w:cs="Segoe UI"/>
          <w:bCs/>
          <w:szCs w:val="22"/>
          <w:lang w:val="tr-TR"/>
        </w:rPr>
        <w:t xml:space="preserve"> İş Birimi ise, 2020’nin ilk yarısında</w:t>
      </w:r>
      <w:r>
        <w:rPr>
          <w:rFonts w:cs="Segoe UI"/>
          <w:bCs/>
          <w:szCs w:val="22"/>
          <w:lang w:val="tr-TR"/>
        </w:rPr>
        <w:t xml:space="preserve"> yüzde 4,9 oranında </w:t>
      </w:r>
      <w:r w:rsidRPr="00D56176">
        <w:rPr>
          <w:rFonts w:cs="Segoe UI"/>
          <w:b/>
          <w:bCs/>
          <w:szCs w:val="22"/>
          <w:lang w:val="tr-TR"/>
        </w:rPr>
        <w:t>organik</w:t>
      </w:r>
      <w:r w:rsidR="001D2B65">
        <w:rPr>
          <w:rFonts w:cs="Segoe UI"/>
          <w:bCs/>
          <w:szCs w:val="22"/>
          <w:lang w:val="tr-TR"/>
        </w:rPr>
        <w:t xml:space="preserve"> </w:t>
      </w:r>
      <w:r w:rsidRPr="00D56176">
        <w:rPr>
          <w:rFonts w:cs="Segoe UI"/>
          <w:b/>
          <w:bCs/>
          <w:szCs w:val="22"/>
          <w:lang w:val="tr-TR"/>
        </w:rPr>
        <w:t>satış</w:t>
      </w:r>
      <w:r>
        <w:rPr>
          <w:rFonts w:cs="Segoe UI"/>
          <w:bCs/>
          <w:szCs w:val="22"/>
          <w:lang w:val="tr-TR"/>
        </w:rPr>
        <w:t xml:space="preserve"> büyümesi ortaya koydu (İkinci Çeyrek: Yüzde 4,4). Nominal olarak satışlar yüzde 3,8 oranında artış göstererek 3,460 milyar Euro seviyesinde gerçekleşti (İkinci Çeyrek: 1,705 milyar Euro, yüzde 2,3). 531 milyon Euro seviyesinde gözlenen </w:t>
      </w:r>
      <w:r w:rsidRPr="00D56176">
        <w:rPr>
          <w:rFonts w:cs="Segoe UI"/>
          <w:b/>
          <w:bCs/>
          <w:szCs w:val="22"/>
          <w:lang w:val="tr-TR"/>
        </w:rPr>
        <w:t>düzeltilmiş faaliyet karı</w:t>
      </w:r>
      <w:r>
        <w:rPr>
          <w:rFonts w:cs="Segoe UI"/>
          <w:bCs/>
          <w:szCs w:val="22"/>
          <w:lang w:val="tr-TR"/>
        </w:rPr>
        <w:t xml:space="preserve"> geçen yılın aynı dönemine kıyasla yüzde -6,0 oranında azalma gösterdi. </w:t>
      </w:r>
      <w:r w:rsidRPr="00D56176">
        <w:rPr>
          <w:rFonts w:cs="Segoe UI"/>
          <w:b/>
          <w:bCs/>
          <w:szCs w:val="22"/>
          <w:lang w:val="tr-TR"/>
        </w:rPr>
        <w:t>Düzeltilmiş satış kazancı</w:t>
      </w:r>
      <w:r>
        <w:rPr>
          <w:rFonts w:cs="Segoe UI"/>
          <w:bCs/>
          <w:szCs w:val="22"/>
          <w:lang w:val="tr-TR"/>
        </w:rPr>
        <w:t xml:space="preserve"> ise, büyük oranda pazarlama, reklam, dijitalleşme ve IT alanlarındaki artan yatırımlar nedeniyle, 2019’un ilk yarısındaki seviyesinin altında, yüzde 15,3 olarak gerçekleşti. </w:t>
      </w:r>
    </w:p>
    <w:p w14:paraId="2B9B7C31" w14:textId="77777777" w:rsidR="00D71270" w:rsidRDefault="00533A66" w:rsidP="00D71270">
      <w:pPr>
        <w:spacing w:after="120" w:line="240" w:lineRule="auto"/>
        <w:contextualSpacing/>
        <w:jc w:val="left"/>
        <w:rPr>
          <w:rFonts w:cs="Segoe UI"/>
          <w:szCs w:val="22"/>
          <w:lang w:val="tr-TR"/>
        </w:rPr>
      </w:pPr>
      <w:r w:rsidRPr="00533A66">
        <w:rPr>
          <w:rFonts w:cs="Segoe UI"/>
          <w:b/>
          <w:szCs w:val="22"/>
          <w:lang w:val="tr-TR"/>
        </w:rPr>
        <w:br/>
        <w:t>Amaca Yönelik Büyüme Gündemi: Yeni Stratejik Çerçevenin Uygulanması</w:t>
      </w:r>
    </w:p>
    <w:p w14:paraId="435B5491" w14:textId="48C43E6B" w:rsidR="00533A66" w:rsidRPr="00D71270" w:rsidRDefault="00533A66" w:rsidP="00B91EA7">
      <w:pPr>
        <w:autoSpaceDE w:val="0"/>
        <w:autoSpaceDN w:val="0"/>
        <w:adjustRightInd w:val="0"/>
        <w:rPr>
          <w:rFonts w:cs="Segoe UI"/>
          <w:szCs w:val="22"/>
          <w:lang w:val="tr-TR"/>
        </w:rPr>
      </w:pPr>
      <w:r w:rsidRPr="00533A66">
        <w:rPr>
          <w:rFonts w:cs="Segoe UI"/>
          <w:bCs/>
          <w:szCs w:val="22"/>
          <w:lang w:val="tr-TR"/>
        </w:rPr>
        <w:br/>
      </w:r>
      <w:r w:rsidRPr="00B91EA7">
        <w:rPr>
          <w:rFonts w:cs="Segoe UI"/>
          <w:szCs w:val="22"/>
        </w:rPr>
        <w:t xml:space="preserve">Henkel, Mart 2020’nin başında şirketin geleceğe dönük büyüme gündemini açıkladı. Henkel, net bir stratejik çerçeve geliştirdi. Bu çerçevede, kazandıran bir portföy, özellikle inovasyon, sürdürülebilirlik ve dijitalleşme alanlarında olmak üzere rekabet üstünlüğü, geleceğe hazır bir işletme modeli ve güçlü bir kurumsal kültür yer </w:t>
      </w:r>
      <w:r w:rsidR="009C462E" w:rsidRPr="00B91EA7">
        <w:rPr>
          <w:rFonts w:cs="Segoe UI"/>
          <w:szCs w:val="22"/>
        </w:rPr>
        <w:t>almaktadır.</w:t>
      </w:r>
      <w:r w:rsidRPr="00B91EA7">
        <w:rPr>
          <w:rFonts w:cs="Segoe UI"/>
          <w:szCs w:val="22"/>
        </w:rPr>
        <w:t xml:space="preserve"> Carsten Knobel, “Bu stratejik çerçeve bize, amaca yönelik büyümeye net bir şekilde odaklanarak 2020’li yılları Henkel için kazanmamızda yardımcı olacak” açıklamasında bulundu. “Mart ayında yapılan duyurudan bu yana, ilk eylemleri başlatma ve tedbirleri hayata geçirme konusunda iyi bir ilerleme kaydettik.”</w:t>
      </w:r>
    </w:p>
    <w:p w14:paraId="17BDD8D3" w14:textId="6933CBC6" w:rsidR="009D2570" w:rsidRDefault="009D2570" w:rsidP="00533A66">
      <w:pPr>
        <w:autoSpaceDE w:val="0"/>
        <w:autoSpaceDN w:val="0"/>
        <w:adjustRightInd w:val="0"/>
        <w:rPr>
          <w:rFonts w:cs="Segoe UI"/>
          <w:bCs/>
          <w:szCs w:val="22"/>
          <w:lang w:val="tr-TR"/>
        </w:rPr>
      </w:pPr>
    </w:p>
    <w:p w14:paraId="0438D575" w14:textId="77777777" w:rsidR="00533A66" w:rsidRPr="00533A66" w:rsidRDefault="00533A66" w:rsidP="00533A66">
      <w:pPr>
        <w:autoSpaceDE w:val="0"/>
        <w:autoSpaceDN w:val="0"/>
        <w:adjustRightInd w:val="0"/>
        <w:rPr>
          <w:rFonts w:cs="Segoe UI"/>
          <w:bCs/>
          <w:szCs w:val="22"/>
          <w:lang w:val="tr-TR"/>
        </w:rPr>
      </w:pPr>
      <w:r w:rsidRPr="00533A66">
        <w:rPr>
          <w:rFonts w:cs="Segoe UI"/>
          <w:b/>
          <w:bCs/>
          <w:szCs w:val="22"/>
          <w:lang w:val="tr-TR"/>
        </w:rPr>
        <w:t>Aktif portföy yönetimi</w:t>
      </w:r>
      <w:r w:rsidRPr="00533A66">
        <w:rPr>
          <w:rFonts w:cs="Segoe UI"/>
          <w:bCs/>
          <w:szCs w:val="22"/>
          <w:lang w:val="tr-TR"/>
        </w:rPr>
        <w:t xml:space="preserve">, Henkel’in gelecek rotasının en önemli unsurlarından biridir. Henkel, ağırlıklı olarak tüketici iş birimlerinde yer alan, bir milyar Euro’yu aşan toplam satış hacmi bulunan ve yaklaşık yüzde 50 oranında bir kısmı 2021 sonu itibariyle elden çıkarılacak ya da üretimi durdurulacak olan marka ve kategorileri belirledi. Pazardaki mevcut belirsizliklere karşın Henkel, portföy tedbirlerinin açıklanan zaman dilimi içerisinde uygulanacağını tekrar </w:t>
      </w:r>
      <w:r w:rsidRPr="00533A66">
        <w:rPr>
          <w:rFonts w:cs="Segoe UI"/>
          <w:bCs/>
          <w:szCs w:val="22"/>
          <w:lang w:val="tr-TR"/>
        </w:rPr>
        <w:lastRenderedPageBreak/>
        <w:t>doğruladı. Henkel halihazırda, ağırlıklı olarak Yapıştırıcı Teknolojileri İş Birimi’nde olmak üzere, bu yıl içerisinde yaklaşık 80 milyon Euro değerinde toplam satış hacmi bulunan birimlerin aktivitesini durdurdu ve bunlara ilişkin elden çıkarma anlaşmaları imzaladı.</w:t>
      </w:r>
    </w:p>
    <w:p w14:paraId="13619BDC" w14:textId="77777777" w:rsidR="00533A66" w:rsidRPr="00533A66" w:rsidRDefault="00533A66" w:rsidP="00533A66">
      <w:pPr>
        <w:autoSpaceDE w:val="0"/>
        <w:autoSpaceDN w:val="0"/>
        <w:adjustRightInd w:val="0"/>
        <w:rPr>
          <w:rFonts w:cs="Segoe UI"/>
          <w:bCs/>
          <w:szCs w:val="22"/>
          <w:lang w:val="tr-TR"/>
        </w:rPr>
      </w:pPr>
    </w:p>
    <w:p w14:paraId="6F21B175" w14:textId="2C8BAFCF" w:rsidR="00533A66" w:rsidRPr="00533A66" w:rsidRDefault="00533A66" w:rsidP="00533A66">
      <w:pPr>
        <w:rPr>
          <w:rFonts w:cs="Segoe UI"/>
          <w:bCs/>
          <w:szCs w:val="22"/>
          <w:lang w:val="tr-TR" w:eastAsia="tr-TR"/>
        </w:rPr>
      </w:pPr>
      <w:r w:rsidRPr="00533A66">
        <w:rPr>
          <w:rFonts w:cs="Segoe UI"/>
          <w:bCs/>
          <w:szCs w:val="22"/>
          <w:lang w:val="tr-TR" w:eastAsia="tr-TR"/>
        </w:rPr>
        <w:t>Aktif portföy yönetiminin yanı sıra, satın almalar da Henkel’in stratejisinin ayrılmaz bir parçası olmaya devam ediyor. Kısa bir süre önce Henkel, değerlerinin toplamı yaklaşık 500 milyon Euro olan iki alım işlemi gerçekleştirdi. Henkel, bünyesinde hızlı bir şekilde büyüyen üç farklı seçkin güzellik markası bulunan bir şirketin çoğunluk hissesini satın alarak, Beauty Care İş Birimi’ndeki dijital doğrudan tüketiciye (D2C) yönelik aktivitelerini genişletti. Henkel, Yapıştırıcı Teknolojileri İş Birimi’nde ise, GE markası* altında pazarlanan önemli bir tüketici sızdırmazlık ürünü portföyünü satın alarak, Kuzey Amerika bölgesindeki tüketicilere ve zanaatk</w:t>
      </w:r>
      <w:r w:rsidR="007252D3">
        <w:rPr>
          <w:rFonts w:cs="Segoe UI"/>
          <w:bCs/>
          <w:szCs w:val="22"/>
          <w:lang w:val="tr-TR" w:eastAsia="tr-TR"/>
        </w:rPr>
        <w:t>a</w:t>
      </w:r>
      <w:r w:rsidRPr="00533A66">
        <w:rPr>
          <w:rFonts w:cs="Segoe UI"/>
          <w:bCs/>
          <w:szCs w:val="22"/>
          <w:lang w:val="tr-TR" w:eastAsia="tr-TR"/>
        </w:rPr>
        <w:t>rlara sunulan yapıştırıcılar ve sızdırmazlık ürünleri alanındaki pozisyonunu genişletecek. Satın alınan işletme, çeşitli uygulamalar</w:t>
      </w:r>
      <w:r w:rsidR="009244D0">
        <w:rPr>
          <w:rFonts w:cs="Segoe UI"/>
          <w:bCs/>
          <w:szCs w:val="22"/>
          <w:lang w:val="tr-TR" w:eastAsia="tr-TR"/>
        </w:rPr>
        <w:t>a yönelik</w:t>
      </w:r>
      <w:r w:rsidRPr="00533A66">
        <w:rPr>
          <w:rFonts w:cs="Segoe UI"/>
          <w:bCs/>
          <w:szCs w:val="22"/>
          <w:lang w:val="tr-TR" w:eastAsia="tr-TR"/>
        </w:rPr>
        <w:t xml:space="preserve"> silikon sızdırmazlık ürünleri yelpazesi üzerine çalışıyor.</w:t>
      </w:r>
    </w:p>
    <w:p w14:paraId="7AA1D614" w14:textId="2EFBB79F" w:rsidR="00533A66" w:rsidRDefault="00533A66" w:rsidP="00533A66">
      <w:pPr>
        <w:ind w:firstLine="1"/>
        <w:rPr>
          <w:rFonts w:cs="Segoe UI"/>
          <w:bCs/>
          <w:szCs w:val="22"/>
          <w:lang w:val="tr-TR" w:eastAsia="tr-TR"/>
        </w:rPr>
      </w:pPr>
      <w:r w:rsidRPr="00533A66">
        <w:rPr>
          <w:rFonts w:cs="Segoe UI"/>
          <w:b/>
          <w:bCs/>
          <w:szCs w:val="22"/>
          <w:lang w:val="tr-TR" w:eastAsia="tr-TR"/>
        </w:rPr>
        <w:t xml:space="preserve">Rekabet üstünlüğünü </w:t>
      </w:r>
      <w:r w:rsidRPr="00533A66">
        <w:rPr>
          <w:rFonts w:cs="Segoe UI"/>
          <w:bCs/>
          <w:szCs w:val="22"/>
          <w:lang w:val="tr-TR" w:eastAsia="tr-TR"/>
        </w:rPr>
        <w:t xml:space="preserve">güçlendirmek için Henkel, güçlü </w:t>
      </w:r>
      <w:r w:rsidRPr="00533A66">
        <w:rPr>
          <w:rFonts w:cs="Segoe UI"/>
          <w:b/>
          <w:bCs/>
          <w:szCs w:val="22"/>
          <w:lang w:val="tr-TR" w:eastAsia="tr-TR"/>
        </w:rPr>
        <w:t>inovasyonlara</w:t>
      </w:r>
      <w:r w:rsidRPr="00533A66">
        <w:rPr>
          <w:rFonts w:cs="Segoe UI"/>
          <w:bCs/>
          <w:szCs w:val="22"/>
          <w:lang w:val="tr-TR" w:eastAsia="tr-TR"/>
        </w:rPr>
        <w:t xml:space="preserve"> hız kazandırmaya, fark yaratan bir faktör olarak </w:t>
      </w:r>
      <w:r w:rsidRPr="00533A66">
        <w:rPr>
          <w:rFonts w:cs="Segoe UI"/>
          <w:b/>
          <w:bCs/>
          <w:szCs w:val="22"/>
          <w:lang w:val="tr-TR" w:eastAsia="tr-TR"/>
        </w:rPr>
        <w:t>sürdürülebilirliği</w:t>
      </w:r>
      <w:r w:rsidRPr="00533A66">
        <w:rPr>
          <w:rFonts w:cs="Segoe UI"/>
          <w:bCs/>
          <w:szCs w:val="22"/>
          <w:lang w:val="tr-TR" w:eastAsia="tr-TR"/>
        </w:rPr>
        <w:t xml:space="preserve"> artırmaya ve </w:t>
      </w:r>
      <w:r w:rsidRPr="00533A66">
        <w:rPr>
          <w:rFonts w:cs="Segoe UI"/>
          <w:b/>
          <w:bCs/>
          <w:szCs w:val="22"/>
          <w:lang w:val="tr-TR" w:eastAsia="tr-TR"/>
        </w:rPr>
        <w:t>dijitalleşmeyi</w:t>
      </w:r>
      <w:r w:rsidRPr="00533A66">
        <w:rPr>
          <w:rFonts w:cs="Segoe UI"/>
          <w:bCs/>
          <w:szCs w:val="22"/>
          <w:lang w:val="tr-TR" w:eastAsia="tr-TR"/>
        </w:rPr>
        <w:t xml:space="preserve"> müşteri ve tüketici değeri yaratan bir araca dönüştürmeye odaklanacak.</w:t>
      </w:r>
    </w:p>
    <w:p w14:paraId="47431DCE" w14:textId="77777777" w:rsidR="007252D3" w:rsidRPr="00533A66" w:rsidRDefault="007252D3" w:rsidP="007252D3">
      <w:pPr>
        <w:rPr>
          <w:rFonts w:cs="Segoe UI"/>
          <w:bCs/>
          <w:szCs w:val="22"/>
          <w:lang w:val="tr-TR" w:eastAsia="tr-TR"/>
        </w:rPr>
      </w:pPr>
    </w:p>
    <w:p w14:paraId="45F52066" w14:textId="77777777" w:rsidR="00533A66" w:rsidRPr="00533A66" w:rsidRDefault="00533A66" w:rsidP="00533A66">
      <w:pPr>
        <w:autoSpaceDE w:val="0"/>
        <w:autoSpaceDN w:val="0"/>
        <w:adjustRightInd w:val="0"/>
        <w:rPr>
          <w:rFonts w:cs="Segoe UI"/>
          <w:bCs/>
          <w:szCs w:val="22"/>
          <w:lang w:val="tr-TR"/>
        </w:rPr>
      </w:pPr>
      <w:r w:rsidRPr="00533A66">
        <w:rPr>
          <w:rFonts w:cs="Segoe UI"/>
          <w:bCs/>
          <w:szCs w:val="22"/>
          <w:lang w:val="tr-TR"/>
        </w:rPr>
        <w:t xml:space="preserve">Henkel, güçlü </w:t>
      </w:r>
      <w:r w:rsidRPr="00533A66">
        <w:rPr>
          <w:rFonts w:cs="Segoe UI"/>
          <w:b/>
          <w:bCs/>
          <w:szCs w:val="22"/>
          <w:lang w:val="tr-TR"/>
        </w:rPr>
        <w:t>inovasyonları</w:t>
      </w:r>
      <w:r w:rsidRPr="00533A66">
        <w:rPr>
          <w:rFonts w:cs="Segoe UI"/>
          <w:bCs/>
          <w:szCs w:val="22"/>
          <w:lang w:val="tr-TR"/>
        </w:rPr>
        <w:t xml:space="preserve"> artan yatırımlarla destekleyerek hızlandırmayı amaçlıyor. Bu da, güçlendirilmiş bir </w:t>
      </w:r>
      <w:r w:rsidRPr="00533A66">
        <w:rPr>
          <w:rFonts w:cs="Segoe UI"/>
          <w:b/>
          <w:bCs/>
          <w:szCs w:val="22"/>
          <w:lang w:val="tr-TR"/>
        </w:rPr>
        <w:t>inovasyon yaklaşımını</w:t>
      </w:r>
      <w:r w:rsidRPr="00533A66">
        <w:rPr>
          <w:rFonts w:cs="Segoe UI"/>
          <w:bCs/>
          <w:szCs w:val="22"/>
          <w:lang w:val="tr-TR"/>
        </w:rPr>
        <w:t xml:space="preserve"> içinde barındırıyor. İnovasyonlar ve markalar, ana kategoriler ve bölgelerde sürekli yatırımlarla desteklenecek. Henkel, reklam, dijitalleşme ve IT alanlarında </w:t>
      </w:r>
      <w:r w:rsidRPr="00533A66">
        <w:rPr>
          <w:rFonts w:cs="Segoe UI"/>
          <w:b/>
          <w:bCs/>
          <w:szCs w:val="22"/>
          <w:lang w:val="tr-TR"/>
        </w:rPr>
        <w:t xml:space="preserve">büyümeye yönelik yatırımlarını artırma </w:t>
      </w:r>
      <w:r w:rsidRPr="00533A66">
        <w:rPr>
          <w:rFonts w:cs="Segoe UI"/>
          <w:bCs/>
          <w:szCs w:val="22"/>
          <w:lang w:val="tr-TR"/>
        </w:rPr>
        <w:t>konusunda kararlıdır. Karşılaşılan makroekonomik zorluklara rağmen Henkel, bu yılın ilk altı ayında bu yatırımları yüksek çift haneli milyon Euro miktarlarında artırmıştır.</w:t>
      </w:r>
    </w:p>
    <w:p w14:paraId="67E8D16D" w14:textId="77777777" w:rsidR="00533A66" w:rsidRPr="00533A66" w:rsidRDefault="00533A66" w:rsidP="00533A66">
      <w:pPr>
        <w:autoSpaceDE w:val="0"/>
        <w:autoSpaceDN w:val="0"/>
        <w:adjustRightInd w:val="0"/>
        <w:rPr>
          <w:rFonts w:cs="Segoe UI"/>
          <w:bCs/>
          <w:szCs w:val="22"/>
          <w:lang w:val="tr-TR"/>
        </w:rPr>
      </w:pPr>
    </w:p>
    <w:p w14:paraId="36AFE277" w14:textId="77777777" w:rsidR="00533A66" w:rsidRPr="00533A66" w:rsidRDefault="00533A66" w:rsidP="00533A66">
      <w:pPr>
        <w:autoSpaceDE w:val="0"/>
        <w:autoSpaceDN w:val="0"/>
        <w:adjustRightInd w:val="0"/>
        <w:rPr>
          <w:rFonts w:cs="Segoe UI"/>
          <w:bCs/>
          <w:szCs w:val="22"/>
          <w:lang w:val="tr-TR"/>
        </w:rPr>
      </w:pPr>
      <w:r w:rsidRPr="00533A66">
        <w:rPr>
          <w:rFonts w:cs="Segoe UI"/>
          <w:bCs/>
          <w:szCs w:val="22"/>
          <w:lang w:val="tr-TR"/>
        </w:rPr>
        <w:t>Henkel, Yapıştırıcı Teknolojileri İş Birimi için Düsseldorf’da bulunan son teknoloji inovasyon merkezine yaptığı yatırımlarına devam etmiştir. Tüketici iş birimlerinde ise Henkel, farklı bölgelerde yeni el dezenfektanları ve temizlik ürünleri için hızlı bir şekilde ek bir hijyen portföyü ve üretim kapasitesi geliştirmiştir.</w:t>
      </w:r>
    </w:p>
    <w:p w14:paraId="68C8C43D" w14:textId="57B90D6B" w:rsidR="00533A66" w:rsidRPr="00533A66" w:rsidRDefault="00533A66" w:rsidP="00533A66">
      <w:pPr>
        <w:autoSpaceDE w:val="0"/>
        <w:autoSpaceDN w:val="0"/>
        <w:adjustRightInd w:val="0"/>
        <w:rPr>
          <w:rFonts w:cs="Segoe UI"/>
          <w:bCs/>
          <w:szCs w:val="22"/>
          <w:lang w:val="tr-TR"/>
        </w:rPr>
      </w:pPr>
      <w:r w:rsidRPr="00533A66">
        <w:rPr>
          <w:rFonts w:cs="Segoe UI"/>
          <w:bCs/>
          <w:szCs w:val="22"/>
          <w:lang w:val="tr-TR"/>
        </w:rPr>
        <w:br/>
        <w:t xml:space="preserve">Henkel’in rekabet üstünlüğü stratejisinin merkezinde, piyasa içerisinde güçlü inovasyonlarla sağlanan belirgin farklılık yer almaktadır. Henkel, Yapıştırıcı Teknolojileri İş Birimi’nde, üst düzey akıllı telefonların suya karşı dayanıklılığını artıracak yeni bir ürün yelpazesini piyasa sunmak </w:t>
      </w:r>
      <w:r w:rsidR="00424C9C">
        <w:rPr>
          <w:rFonts w:cs="Segoe UI"/>
          <w:bCs/>
          <w:szCs w:val="22"/>
          <w:lang w:val="tr-TR"/>
        </w:rPr>
        <w:t xml:space="preserve">için, </w:t>
      </w:r>
      <w:r w:rsidRPr="00533A66">
        <w:rPr>
          <w:rFonts w:cs="Segoe UI"/>
          <w:bCs/>
          <w:szCs w:val="22"/>
          <w:lang w:val="tr-TR"/>
        </w:rPr>
        <w:t xml:space="preserve">sızdırmazlık ve aşılama </w:t>
      </w:r>
      <w:r w:rsidR="00424C9C">
        <w:rPr>
          <w:rFonts w:cs="Segoe UI"/>
          <w:bCs/>
          <w:szCs w:val="22"/>
          <w:lang w:val="tr-TR"/>
        </w:rPr>
        <w:t xml:space="preserve">teknolojisi çözümlerini içeren geniş endüstri portfoyünden yararlanmıştır. </w:t>
      </w:r>
      <w:r w:rsidRPr="00533A66">
        <w:rPr>
          <w:rFonts w:cs="Segoe UI"/>
          <w:bCs/>
          <w:szCs w:val="22"/>
          <w:lang w:val="tr-TR"/>
        </w:rPr>
        <w:t>Bu çalışma, dünya çapındaki en büyük akıllı telefon markalarından biriyle gerçekleştirilmiş bir iş birliğidir. Beauty Care, saç boyama işleminin daha “teknolojik” kategorisinde yer alan doğal trendlerden yola çıkarak, yeni Schwarzkopf markası olan Simply Color’ı piyasaya sürdü. Çamaşır ve Ev Bakım İş Birimi ise Persil 4in1 Discs’i tanıttı. Persil Discs şu anda Persil markasına ait toplam satışların neredeyse yüzde 10’luk bölümünü oluşturmaktadır.</w:t>
      </w:r>
    </w:p>
    <w:p w14:paraId="7201FF0F" w14:textId="7CFBD39A" w:rsidR="008E47D4" w:rsidRDefault="00680E4E" w:rsidP="00533A66">
      <w:pPr>
        <w:rPr>
          <w:rFonts w:cs="Segoe UI"/>
          <w:bCs/>
          <w:szCs w:val="22"/>
          <w:lang w:val="tr-TR"/>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63F1C436" wp14:editId="2CFD3CEE">
                <wp:simplePos x="0" y="0"/>
                <wp:positionH relativeFrom="margin">
                  <wp:posOffset>0</wp:posOffset>
                </wp:positionH>
                <wp:positionV relativeFrom="paragraph">
                  <wp:posOffset>204573</wp:posOffset>
                </wp:positionV>
                <wp:extent cx="5851102" cy="273133"/>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102"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0D3EE" w14:textId="77777777" w:rsidR="00680E4E" w:rsidRPr="00533A66" w:rsidRDefault="00680E4E" w:rsidP="00680E4E">
                            <w:pPr>
                              <w:rPr>
                                <w:rFonts w:cs="Segoe UI"/>
                                <w:sz w:val="16"/>
                                <w:szCs w:val="16"/>
                                <w:lang w:val="tr-TR" w:eastAsia="tr-TR"/>
                              </w:rPr>
                            </w:pPr>
                            <w:r w:rsidRPr="00236491">
                              <w:rPr>
                                <w:sz w:val="14"/>
                                <w:szCs w:val="14"/>
                              </w:rPr>
                              <w:t xml:space="preserve">* </w:t>
                            </w:r>
                            <w:r w:rsidRPr="00533A66">
                              <w:rPr>
                                <w:rFonts w:cs="Segoe UI"/>
                                <w:color w:val="000000"/>
                                <w:sz w:val="16"/>
                                <w:szCs w:val="16"/>
                                <w:lang w:val="tr-TR" w:eastAsia="tr-TR"/>
                              </w:rPr>
                              <w:t>GE, General Electric Company’e ait lisanslı bir ticari markadır.</w:t>
                            </w:r>
                          </w:p>
                          <w:p w14:paraId="347F2E13" w14:textId="77777777" w:rsidR="00680E4E" w:rsidRPr="009504AB" w:rsidRDefault="00680E4E" w:rsidP="00680E4E">
                            <w:pPr>
                              <w:autoSpaceDE w:val="0"/>
                              <w:autoSpaceDN w:val="0"/>
                              <w:adjustRightInd w:val="0"/>
                              <w:spacing w:line="360" w:lineRule="auto"/>
                              <w:rPr>
                                <w:sz w:val="16"/>
                                <w:szCs w:val="16"/>
                              </w:rPr>
                            </w:pPr>
                          </w:p>
                          <w:p w14:paraId="0E1755DD" w14:textId="77777777" w:rsidR="00680E4E" w:rsidRPr="009504AB" w:rsidRDefault="00680E4E" w:rsidP="00680E4E">
                            <w:pPr>
                              <w:autoSpaceDE w:val="0"/>
                              <w:autoSpaceDN w:val="0"/>
                              <w:adjustRightInd w:val="0"/>
                              <w:spacing w:line="360" w:lineRule="auto"/>
                              <w:rPr>
                                <w:sz w:val="16"/>
                                <w:szCs w:val="16"/>
                              </w:rPr>
                            </w:pPr>
                          </w:p>
                          <w:p w14:paraId="3045B349" w14:textId="77777777" w:rsidR="00680E4E" w:rsidRPr="00236491" w:rsidRDefault="00680E4E" w:rsidP="00680E4E">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1C436" id="_x0000_t202" coordsize="21600,21600" o:spt="202" path="m,l,21600r21600,l21600,xe">
                <v:stroke joinstyle="miter"/>
                <v:path gradientshapeok="t" o:connecttype="rect"/>
              </v:shapetype>
              <v:shape id="Textfeld 7" o:spid="_x0000_s1026" type="#_x0000_t202" style="position:absolute;left:0;text-align:left;margin-left:0;margin-top:16.1pt;width:460.7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BOCAIAAO8DAAAOAAAAZHJzL2Uyb0RvYy54bWysU9uO0zAQfUfiHyy/0zS90CVqulq6KkJa&#10;FqRdPsBxnMbC8Zix26R8PWOnWwq8IfxgeTzjM3POjNe3Q2fYUaHXYEueT6acKSuh1nZf8q/Puzc3&#10;nPkgbC0MWFXyk/L8dvP61bp3hZpBC6ZWyAjE+qJ3JW9DcEWWedmqTvgJOGXJ2QB2IpCJ+6xG0RN6&#10;Z7LZdPo26wFrhyCV93R7Pzr5JuE3jZLhc9N4FZgpOdUW0o5pr+Kebdai2KNwrZbnMsQ/VNEJbSnp&#10;BepeBMEOqP+C6rRE8NCEiYQug6bRUiUOxCaf/sHmqRVOJS4kjncXmfz/g5WPxy/IdF3yFWdWdNSi&#10;ZzWERpmaraI6vfMFBT05CgvDexioy4mpdw8gv3lmYdsKu1d3iNC3StRUXR5fZldPRxwfQar+E9SU&#10;RhwCJKChwS5KR2IwQqcunS6doVKYpMvlzTLPpzPOJPlmq3k+n6cUonh57dCHDwo6Fg8lR+p8QhfH&#10;Bx9iNaJ4CYnJPBhd77QxycB9tTXIjoKmZJfWGf23MGNjsIX4bESMN4lmZDZyDEM1nGWroD4RYYRx&#10;6uiX0KEF/MFZTxNXcv/9IFBxZj5aEu1dvljEEU3GYrmakYHXnuraI6wkqJIHzsbjNoxjfXCo9y1l&#10;Gttk4Y6EbnTSIHZkrOpcN01Vkub8A+LYXtsp6tc/3fwEAAD//wMAUEsDBBQABgAIAAAAIQD4oUGZ&#10;3AAAAAYBAAAPAAAAZHJzL2Rvd25yZXYueG1sTI/BTsMwEETvSPyDtUhcEHVq2oam2VSABOLa0g/Y&#10;xG4SNV5Hsdukf4850eNoRjNv8u1kO3Exg28dI8xnCQjDldMt1wiHn8/nVxA+EGvqHBuEq/GwLe7v&#10;csq0G3lnLvtQi1jCPiOEJoQ+k9JXjbHkZ643HL2jGyyFKIda6oHGWG47qZJkJS21HBca6s1HY6rT&#10;/mwRjt/j03I9ll/hkO4Wq3dq09JdER8fprcNiGCm8B+GP/yIDkVkKt2ZtRcdQjwSEF6UAhHdtZov&#10;QJQI6VKBLHJ5i1/8AgAA//8DAFBLAQItABQABgAIAAAAIQC2gziS/gAAAOEBAAATAAAAAAAAAAAA&#10;AAAAAAAAAABbQ29udGVudF9UeXBlc10ueG1sUEsBAi0AFAAGAAgAAAAhADj9If/WAAAAlAEAAAsA&#10;AAAAAAAAAAAAAAAALwEAAF9yZWxzLy5yZWxzUEsBAi0AFAAGAAgAAAAhAPkXgE4IAgAA7wMAAA4A&#10;AAAAAAAAAAAAAAAALgIAAGRycy9lMm9Eb2MueG1sUEsBAi0AFAAGAAgAAAAhAPihQZncAAAABgEA&#10;AA8AAAAAAAAAAAAAAAAAYgQAAGRycy9kb3ducmV2LnhtbFBLBQYAAAAABAAEAPMAAABrBQAAAAA=&#10;" stroked="f">
                <v:textbox>
                  <w:txbxContent>
                    <w:p w14:paraId="6570D3EE" w14:textId="77777777" w:rsidR="00680E4E" w:rsidRPr="00533A66" w:rsidRDefault="00680E4E" w:rsidP="00680E4E">
                      <w:pPr>
                        <w:rPr>
                          <w:rFonts w:cs="Segoe UI"/>
                          <w:sz w:val="16"/>
                          <w:szCs w:val="16"/>
                          <w:lang w:val="tr-TR" w:eastAsia="tr-TR"/>
                        </w:rPr>
                      </w:pPr>
                      <w:r w:rsidRPr="00236491">
                        <w:rPr>
                          <w:sz w:val="14"/>
                          <w:szCs w:val="14"/>
                        </w:rPr>
                        <w:t xml:space="preserve">* </w:t>
                      </w:r>
                      <w:r w:rsidRPr="00533A66">
                        <w:rPr>
                          <w:rFonts w:cs="Segoe UI"/>
                          <w:color w:val="000000"/>
                          <w:sz w:val="16"/>
                          <w:szCs w:val="16"/>
                          <w:lang w:val="tr-TR" w:eastAsia="tr-TR"/>
                        </w:rPr>
                        <w:t>GE, General Electric Company’e ait lisanslı bir ticari markadır.</w:t>
                      </w:r>
                    </w:p>
                    <w:p w14:paraId="347F2E13" w14:textId="77777777" w:rsidR="00680E4E" w:rsidRPr="009504AB" w:rsidRDefault="00680E4E" w:rsidP="00680E4E">
                      <w:pPr>
                        <w:autoSpaceDE w:val="0"/>
                        <w:autoSpaceDN w:val="0"/>
                        <w:adjustRightInd w:val="0"/>
                        <w:spacing w:line="360" w:lineRule="auto"/>
                        <w:rPr>
                          <w:sz w:val="16"/>
                          <w:szCs w:val="16"/>
                        </w:rPr>
                      </w:pPr>
                    </w:p>
                    <w:p w14:paraId="0E1755DD" w14:textId="77777777" w:rsidR="00680E4E" w:rsidRPr="009504AB" w:rsidRDefault="00680E4E" w:rsidP="00680E4E">
                      <w:pPr>
                        <w:autoSpaceDE w:val="0"/>
                        <w:autoSpaceDN w:val="0"/>
                        <w:adjustRightInd w:val="0"/>
                        <w:spacing w:line="360" w:lineRule="auto"/>
                        <w:rPr>
                          <w:sz w:val="16"/>
                          <w:szCs w:val="16"/>
                        </w:rPr>
                      </w:pPr>
                    </w:p>
                    <w:p w14:paraId="3045B349" w14:textId="77777777" w:rsidR="00680E4E" w:rsidRPr="00236491" w:rsidRDefault="00680E4E" w:rsidP="00680E4E">
                      <w:pPr>
                        <w:rPr>
                          <w:sz w:val="14"/>
                          <w:szCs w:val="14"/>
                        </w:rPr>
                      </w:pPr>
                    </w:p>
                  </w:txbxContent>
                </v:textbox>
                <w10:wrap anchorx="margin"/>
              </v:shape>
            </w:pict>
          </mc:Fallback>
        </mc:AlternateContent>
      </w:r>
    </w:p>
    <w:p w14:paraId="6287C49D" w14:textId="28C4D336" w:rsidR="006E5CBF" w:rsidRDefault="00533A66" w:rsidP="00533A66">
      <w:pPr>
        <w:rPr>
          <w:rFonts w:cs="Segoe UI"/>
          <w:bCs/>
          <w:szCs w:val="22"/>
          <w:lang w:val="tr-TR"/>
        </w:rPr>
      </w:pPr>
      <w:r w:rsidRPr="00533A66">
        <w:rPr>
          <w:rFonts w:cs="Segoe UI"/>
          <w:b/>
          <w:bCs/>
          <w:szCs w:val="22"/>
          <w:lang w:val="tr-TR"/>
        </w:rPr>
        <w:lastRenderedPageBreak/>
        <w:t>Sürdürülebilirlik</w:t>
      </w:r>
      <w:r w:rsidRPr="00533A66">
        <w:rPr>
          <w:rFonts w:cs="Segoe UI"/>
          <w:bCs/>
          <w:szCs w:val="22"/>
          <w:lang w:val="tr-TR"/>
        </w:rPr>
        <w:t>, Henkel’in en güçlü yanlarından biridir. Şirketin bu alandaki liderliği, yapılan derecelendirme ve sıralamalarla düzenli olarak onaylanmaktadır. Bu doğrultuda Henkel, sürdürülebilirlik alanındaki liderliğini net bir rekabet üstünlüğü olarak daha da güçlü hale</w:t>
      </w:r>
      <w:r w:rsidR="008E47D4">
        <w:rPr>
          <w:rFonts w:cs="Segoe UI"/>
          <w:bCs/>
          <w:szCs w:val="22"/>
          <w:lang w:val="tr-TR"/>
        </w:rPr>
        <w:t xml:space="preserve"> </w:t>
      </w:r>
    </w:p>
    <w:p w14:paraId="358DE059" w14:textId="30A499DC" w:rsidR="00533A66" w:rsidRPr="00533A66" w:rsidRDefault="00533A66" w:rsidP="00533A66">
      <w:pPr>
        <w:rPr>
          <w:rFonts w:cs="Segoe UI"/>
          <w:bCs/>
          <w:szCs w:val="22"/>
          <w:lang w:val="tr-TR"/>
        </w:rPr>
      </w:pPr>
      <w:r w:rsidRPr="00533A66">
        <w:rPr>
          <w:rFonts w:cs="Segoe UI"/>
          <w:bCs/>
          <w:szCs w:val="22"/>
          <w:lang w:val="tr-TR"/>
        </w:rPr>
        <w:t>getirmeyi hedeflemektedir.  Yaptığı çalışmalara ivme kazandırmak amacıyla Henkel, yeni kilometre taşlarını ve özel hedeflerini belirlemiştir. Bu unsurlardan biri de, 2040 yılına kadar iklim-pozitif bir şirkete dönüşmektir.</w:t>
      </w:r>
    </w:p>
    <w:p w14:paraId="1EE4932C" w14:textId="2ED02ADE" w:rsidR="00533A66" w:rsidRPr="00533A66" w:rsidRDefault="00533A66" w:rsidP="00533A66">
      <w:pPr>
        <w:rPr>
          <w:rFonts w:cs="Segoe UI"/>
          <w:bCs/>
          <w:szCs w:val="22"/>
          <w:lang w:val="tr-TR"/>
        </w:rPr>
      </w:pPr>
    </w:p>
    <w:p w14:paraId="494505FF" w14:textId="39E3EE8F" w:rsidR="00B2377A" w:rsidRPr="00B2377A" w:rsidRDefault="00B2377A" w:rsidP="00B2377A">
      <w:pPr>
        <w:rPr>
          <w:lang w:val="tr-TR"/>
        </w:rPr>
      </w:pPr>
      <w:r w:rsidRPr="00B2377A">
        <w:rPr>
          <w:lang w:val="tr-TR"/>
        </w:rPr>
        <w:t>Henkel, 2020 yılının Haziran ayında plastik atıkların azaltılmasına yönelik bir tahvil ihraç ederek dünyada bunu gerçekleştiren ilk şirket oldu. Bununla birlikte Henkel, önemli kurumsal finans araçlarını sürdürülebilirlik alanındaki ilerlemeyle bir araya getirerek bir adım daha attı. Bu tahvil ihracı kapsamında elde edilen ve toplam hacmi yaklaşık 100 milyon Euro olan kazançlar, özel olarak Henkel’in plastik atığı azaltma çalışmalarıyla bağlantılı projelere ve harcamalara ayrılacak. Söz konusu tahvil ihracı, Henkel’in döngüsel bir ekonomiyi teşvik etmek ve plastik atıkları azaltmanın yanı sıra Sürdürülebilir Finans konusunda gösterdiği kararlılığı vurgulamaktadır.</w:t>
      </w:r>
    </w:p>
    <w:p w14:paraId="6DF853C7" w14:textId="4BE2781C" w:rsidR="008E47D4" w:rsidRDefault="008E47D4" w:rsidP="00533A66">
      <w:pPr>
        <w:rPr>
          <w:rFonts w:cs="Segoe UI"/>
          <w:bCs/>
          <w:szCs w:val="22"/>
          <w:lang w:val="tr-TR"/>
        </w:rPr>
      </w:pPr>
    </w:p>
    <w:p w14:paraId="4AB831FF" w14:textId="6F3041ED" w:rsidR="00533A66" w:rsidRPr="00533A66" w:rsidRDefault="00533A66" w:rsidP="00533A66">
      <w:pPr>
        <w:rPr>
          <w:rFonts w:cs="Segoe UI"/>
          <w:bCs/>
          <w:szCs w:val="22"/>
          <w:lang w:val="tr-TR"/>
        </w:rPr>
      </w:pPr>
      <w:r w:rsidRPr="00533A66">
        <w:rPr>
          <w:rFonts w:cs="Segoe UI"/>
          <w:bCs/>
          <w:szCs w:val="22"/>
          <w:lang w:val="tr-TR"/>
        </w:rPr>
        <w:t>Aynı zamanda Henkel, ürün geliştirmenin ilk aşamalarında olan ambalajların geri dönüştürülebilirliğinin hızlı ve isabetli şekilde değerlendirilmesini sağlayan geri dönüşüm aracı “EasyD4R”ın tasarımını geliştirdi. Diğer şirketlerin ve kuruluşların da kullanımına sunulan yazılım, artık yalnızca farklı tipteki plastik ambalajları değil, kâğıt, cam ya da alüminyum gibi materyalleri de değerlendirebiliyor.</w:t>
      </w:r>
    </w:p>
    <w:p w14:paraId="6E70B670" w14:textId="030F44C0" w:rsidR="008E47D4" w:rsidRDefault="008E47D4" w:rsidP="00533A66">
      <w:pPr>
        <w:rPr>
          <w:rFonts w:cs="Segoe UI"/>
          <w:bCs/>
          <w:szCs w:val="22"/>
        </w:rPr>
      </w:pPr>
    </w:p>
    <w:p w14:paraId="4B1C6EEB" w14:textId="6DE26956" w:rsidR="00BB2F65" w:rsidRDefault="00533A66" w:rsidP="00533A66">
      <w:pPr>
        <w:rPr>
          <w:rFonts w:cs="Segoe UI"/>
          <w:szCs w:val="22"/>
          <w:lang w:val="tr-TR" w:eastAsia="de-DE"/>
        </w:rPr>
      </w:pPr>
      <w:r w:rsidRPr="00533A66">
        <w:rPr>
          <w:rFonts w:cs="Segoe UI"/>
          <w:szCs w:val="22"/>
          <w:lang w:val="tr-TR" w:eastAsia="de-DE"/>
        </w:rPr>
        <w:t>Henkel’in sürdürülebilirlik alanında kaydettiği ilerleme, tüketiciler ve endüstriyel müşteriler için sunduğu ürünlerde de görülmektedir. Örneğin, Çamaşır ve Ev Bakım iş biriminde, Pro Nature ürün gamı, Somat ve Bref Pro Nature ile genişletilmiştir. Pro Nature ürünleri, 30 ülkede bulunmakta, %99,9 oranında doğal içerik barındırmakta ve bu ürünlerin ambalajlarında %100’e kadar geri dönüştürülmüş plastik kullanılmaktadır. Beauty Care İş Birimi, Nature Box ve N.A.E. markaları altında plastik ambalajı olmayan katı şampuan, vücut ve yüz sabunlarını piyasaya sunmuştur. Yapıştırıcı Teknolojileri ise Loctite Liofol ile, polietilenin kâğıt ile değiştirilmesini sağlayan ve gıda ve gıda dışı ambalaja uygun olan, sertifikalı geri dönüştürülebilir sıcak ve soğuk sızdırmazlık kaplamasını piyasaya sunmuştur.</w:t>
      </w:r>
    </w:p>
    <w:p w14:paraId="27D2C632" w14:textId="65901181" w:rsidR="00BB2F65" w:rsidRPr="00533A66" w:rsidRDefault="00BB2F65" w:rsidP="00533A66">
      <w:pPr>
        <w:rPr>
          <w:rFonts w:cs="Segoe UI"/>
          <w:szCs w:val="22"/>
          <w:lang w:val="tr-TR" w:eastAsia="de-DE"/>
        </w:rPr>
      </w:pPr>
    </w:p>
    <w:p w14:paraId="6D6AE266" w14:textId="6E7B7C3E" w:rsidR="00533A66" w:rsidRPr="00533A66" w:rsidRDefault="00533A66" w:rsidP="00533A66">
      <w:pPr>
        <w:rPr>
          <w:rFonts w:cs="Segoe UI"/>
          <w:szCs w:val="22"/>
          <w:lang w:val="tr-TR" w:eastAsia="de-DE"/>
        </w:rPr>
      </w:pPr>
      <w:r w:rsidRPr="00533A66">
        <w:rPr>
          <w:rFonts w:cs="Segoe UI"/>
          <w:szCs w:val="22"/>
          <w:lang w:val="tr-TR" w:eastAsia="de-DE"/>
        </w:rPr>
        <w:t xml:space="preserve">Henkel, inovasyon ve sürdürülebilirliğin yanı sıra </w:t>
      </w:r>
      <w:r w:rsidRPr="00533A66">
        <w:rPr>
          <w:rFonts w:cs="Segoe UI"/>
          <w:b/>
          <w:szCs w:val="22"/>
          <w:lang w:val="tr-TR" w:eastAsia="de-DE"/>
        </w:rPr>
        <w:t xml:space="preserve">dijitalleşmeyi </w:t>
      </w:r>
      <w:r w:rsidRPr="00533A66">
        <w:rPr>
          <w:rFonts w:cs="Segoe UI"/>
          <w:szCs w:val="22"/>
          <w:lang w:val="tr-TR" w:eastAsia="de-DE"/>
        </w:rPr>
        <w:t xml:space="preserve">de rekabet gücünü artıracak temel bir araç olarak tanımlamaktadır. Yılın ilk yarısında Henkel, Beauty Care ve Çamaşır ve Ev Bakım İş Birimlerinin dijital satışlarında toplamda yüzde 60’tan fazla bir artış elde etmiştir. Grup için toplam satışlardaki dijital pay, </w:t>
      </w:r>
      <w:r w:rsidR="007A2A2C">
        <w:rPr>
          <w:rFonts w:cs="Segoe UI"/>
          <w:szCs w:val="22"/>
          <w:lang w:val="tr-TR" w:eastAsia="de-DE"/>
        </w:rPr>
        <w:t xml:space="preserve">yüzde </w:t>
      </w:r>
      <w:r w:rsidRPr="00533A66">
        <w:rPr>
          <w:rFonts w:cs="Segoe UI"/>
          <w:szCs w:val="22"/>
          <w:lang w:val="tr-TR" w:eastAsia="de-DE"/>
        </w:rPr>
        <w:t xml:space="preserve">onlu oranların ortaları aralığına doğru yaklaşmaktadır. Henkel, yeni birimi olan “Dijital İş Birimi” ile, kendi sektörlerinde dijital iş birimi lideri olmayı ve müşterileri için değer oluşturmayı hedeflemektedir. Bu doğrultuda </w:t>
      </w:r>
      <w:r w:rsidRPr="00533A66">
        <w:rPr>
          <w:rFonts w:cs="Segoe UI"/>
          <w:szCs w:val="22"/>
          <w:lang w:val="tr-TR" w:eastAsia="de-DE"/>
        </w:rPr>
        <w:lastRenderedPageBreak/>
        <w:t xml:space="preserve">Henkel, Haziran ayının sonunda dijital ve IT faaliyetleri için yeni bir işletme modelini </w:t>
      </w:r>
      <w:r w:rsidR="003F067F">
        <w:rPr>
          <w:rFonts w:cs="Segoe UI"/>
          <w:szCs w:val="22"/>
          <w:lang w:val="tr-TR" w:eastAsia="de-DE"/>
        </w:rPr>
        <w:t>başlatarak</w:t>
      </w:r>
      <w:r w:rsidRPr="00533A66">
        <w:rPr>
          <w:rFonts w:cs="Segoe UI"/>
          <w:szCs w:val="22"/>
          <w:lang w:val="tr-TR" w:eastAsia="de-DE"/>
        </w:rPr>
        <w:t>,  IT ekiplerini, dijital iş birimi uzmanlarını, iş süreci sahiplerini ve HenkelX Ventures’ı Henkel Dijital ve Bilişim Yöneticisi’nin (CDIO) liderliğinde bir araya getirmiştir.</w:t>
      </w:r>
    </w:p>
    <w:p w14:paraId="387C53F9" w14:textId="77777777" w:rsidR="00533A66" w:rsidRPr="00533A66" w:rsidRDefault="00533A66" w:rsidP="00533A66">
      <w:pPr>
        <w:rPr>
          <w:rFonts w:cs="Segoe UI"/>
          <w:szCs w:val="22"/>
          <w:lang w:val="tr-TR" w:eastAsia="de-DE"/>
        </w:rPr>
      </w:pPr>
    </w:p>
    <w:p w14:paraId="7CEAB3DE" w14:textId="77777777" w:rsidR="00533A66" w:rsidRPr="00533A66" w:rsidRDefault="00533A66" w:rsidP="00533A66">
      <w:pPr>
        <w:rPr>
          <w:rFonts w:cs="Segoe UI"/>
          <w:szCs w:val="22"/>
          <w:lang w:val="tr-TR" w:eastAsia="de-DE"/>
        </w:rPr>
      </w:pPr>
      <w:r w:rsidRPr="00533A66">
        <w:rPr>
          <w:rFonts w:cs="Segoe UI"/>
          <w:lang w:val="tr-TR"/>
        </w:rPr>
        <w:t xml:space="preserve">Yalın, hızlı ve geleceğe hazır </w:t>
      </w:r>
      <w:r w:rsidRPr="00533A66">
        <w:rPr>
          <w:rFonts w:cs="Segoe UI"/>
          <w:b/>
          <w:lang w:val="tr-TR"/>
        </w:rPr>
        <w:t xml:space="preserve">iş süreçleri </w:t>
      </w:r>
      <w:r w:rsidRPr="00533A66">
        <w:rPr>
          <w:rFonts w:cs="Segoe UI"/>
          <w:lang w:val="tr-TR"/>
        </w:rPr>
        <w:t>de, Henkel’in stratejik çerçevesinin bir diğer önemli unsurudur. Şirket, sahip olduğu iş süreçlerini ve yapılarını düzenli olarak gözden geçirmekte, yalın, hızlı ve basit olmaları üzerinden değerlendirmekte ve bunları değişen piyasa gelişmelerine ve trendlerine uygun hale getirmektedir. Buna ek olarak, müşterilere ve tüketicilere olan yakınlığı sağlama amacıyla yeni iş modelleri geliştirilecektir. Henkel, Yapıştırıcı Teknolojileri ve satın alma organizasyonundaki yeni işletme modellerini başarıyla uygulamıştır. Bölgesel odağı geliştirmek ve müşteri ve tüketici yakınlığını artırmak amacıyla Çamaşır ve Ev Bakım ve Beauty Care İş Birimlerinde yapılan organizasyonel değişiklikler planlandığı gibi hayata geçmektedir.</w:t>
      </w:r>
    </w:p>
    <w:p w14:paraId="53033C6A" w14:textId="77777777" w:rsidR="00533A66" w:rsidRPr="00533A66" w:rsidRDefault="00533A66" w:rsidP="00533A66">
      <w:pPr>
        <w:rPr>
          <w:rFonts w:cs="Segoe UI"/>
          <w:szCs w:val="22"/>
          <w:lang w:val="tr-TR" w:eastAsia="de-DE"/>
        </w:rPr>
      </w:pPr>
    </w:p>
    <w:p w14:paraId="0F6AB76F" w14:textId="62762E3E" w:rsidR="00533A66" w:rsidRPr="00533A66" w:rsidRDefault="00533A66" w:rsidP="00533A66">
      <w:pPr>
        <w:rPr>
          <w:rFonts w:cs="Segoe UI"/>
          <w:szCs w:val="22"/>
          <w:lang w:val="tr-TR" w:eastAsia="de-DE"/>
        </w:rPr>
      </w:pPr>
      <w:r w:rsidRPr="00533A66">
        <w:rPr>
          <w:rFonts w:cs="Segoe UI"/>
          <w:szCs w:val="22"/>
          <w:lang w:val="tr-TR" w:eastAsia="de-DE"/>
        </w:rPr>
        <w:t xml:space="preserve">Henkel’in kurumsal kültürünü daha da geliştirmek ve </w:t>
      </w:r>
      <w:r w:rsidRPr="00533A66">
        <w:rPr>
          <w:rFonts w:cs="Segoe UI"/>
          <w:b/>
          <w:szCs w:val="22"/>
          <w:lang w:val="tr-TR" w:eastAsia="de-DE"/>
        </w:rPr>
        <w:t>kültürel dönüşüme</w:t>
      </w:r>
      <w:r w:rsidRPr="00533A66">
        <w:rPr>
          <w:rFonts w:cs="Segoe UI"/>
          <w:szCs w:val="22"/>
          <w:lang w:val="tr-TR" w:eastAsia="de-DE"/>
        </w:rPr>
        <w:t xml:space="preserve"> ivme kazandırmak, şirketin ilerlemeye yönelik çalışmalarındaki diğer ana unsurlardır. Bu bağlamda amaçlanan, merkezinde şirketin liderlik sorumluluklarını barındıran, yetkin insanların yer aldığı bir işbirliği kültürü yaratmaktır. Henkel için, çalışanların profesyonel ve bireysel becerilerini sürekli olarak geliştirmesi oldukça büyük önem taşımaktadır. Bu doğrultuda şirket, 2020’nin ilk yarısında liderlik, dijitalleşme ve inovasyon gibi alanlarda özel olarak tasarlanmış eğitim ve beceri geliştirme projeleri sunmuştur. Mevcut Covid-19 krizi de Henkel’in sahip olduğu güçlü kurumsal kültürü ve dünya çapında çalışanlarının gösterdiği direnç ve </w:t>
      </w:r>
      <w:r w:rsidR="00017340">
        <w:rPr>
          <w:rFonts w:cs="Segoe UI"/>
          <w:szCs w:val="22"/>
          <w:lang w:val="tr-TR" w:eastAsia="de-DE"/>
        </w:rPr>
        <w:t>adanmışlığı</w:t>
      </w:r>
      <w:r w:rsidRPr="00533A66">
        <w:rPr>
          <w:rFonts w:cs="Segoe UI"/>
          <w:szCs w:val="22"/>
          <w:lang w:val="tr-TR" w:eastAsia="de-DE"/>
        </w:rPr>
        <w:t xml:space="preserve"> kanıtlamıştır.</w:t>
      </w:r>
    </w:p>
    <w:p w14:paraId="13ADD745" w14:textId="77777777" w:rsidR="008E47D4" w:rsidRDefault="008E47D4" w:rsidP="00533A66">
      <w:pPr>
        <w:spacing w:after="120"/>
        <w:rPr>
          <w:rFonts w:cs="Segoe UI"/>
          <w:b/>
          <w:szCs w:val="22"/>
          <w:lang w:val="tr-TR"/>
        </w:rPr>
      </w:pPr>
    </w:p>
    <w:p w14:paraId="4FA04677" w14:textId="7513CD09" w:rsidR="00533A66" w:rsidRPr="00533A66" w:rsidRDefault="00533A66" w:rsidP="00533A66">
      <w:pPr>
        <w:spacing w:after="120"/>
        <w:rPr>
          <w:rFonts w:cs="Segoe UI"/>
          <w:b/>
          <w:szCs w:val="22"/>
          <w:lang w:val="tr-TR"/>
        </w:rPr>
      </w:pPr>
      <w:r w:rsidRPr="00533A66">
        <w:rPr>
          <w:rFonts w:cs="Segoe UI"/>
          <w:b/>
          <w:szCs w:val="22"/>
          <w:lang w:val="tr-TR"/>
        </w:rPr>
        <w:t>Covid-19 Salgınına İlişkin Tedbirler</w:t>
      </w:r>
    </w:p>
    <w:p w14:paraId="192029FD" w14:textId="21A5156E" w:rsidR="00533A66" w:rsidRPr="00533A66" w:rsidRDefault="00533A66" w:rsidP="00533A66">
      <w:pPr>
        <w:rPr>
          <w:rFonts w:cs="Segoe UI"/>
          <w:szCs w:val="22"/>
          <w:lang w:val="tr-TR" w:eastAsia="de-DE"/>
        </w:rPr>
      </w:pPr>
      <w:r w:rsidRPr="00533A66">
        <w:rPr>
          <w:rFonts w:cs="Segoe UI"/>
          <w:szCs w:val="22"/>
          <w:lang w:val="tr-TR" w:eastAsia="de-DE"/>
        </w:rPr>
        <w:t>Covid-19 salgını, hayatın tüm alanlarını etkisi altına almış ve küresel ekonomiyi önemli ölçüde etkilemiştir. Bu kriz süresince Henkel’in en büyük önceliği çalışanların, müşterilerin ve iş ortaklarının sağlığı ve güvenliğidir. Şirket, erken bir aşamada geniş çaplı önleyici tedbirler almıştır. Aynı zamanda, iş faaliyetlerini sürdürmek ve dünya genelindeki müşterilerine ve tüketicilerine hizmet vermek amacıyla büyük bir çaba göstermiştir. Buna ek olarak Henkel, Dünya Sağlık Örgütü (WHO) ve Birleşmiş Milletler (UN) Vakfı tarafından hayata geçirilmiş olan Covid-19 Dayanışma Katkı Fonu’na ve dünya genelindeki diğer belirli kuruluşlara yaptığı maddi bağışlar d</w:t>
      </w:r>
      <w:r w:rsidR="00DC1814">
        <w:rPr>
          <w:rFonts w:cs="Segoe UI"/>
          <w:szCs w:val="22"/>
          <w:lang w:val="tr-TR" w:eastAsia="de-DE"/>
        </w:rPr>
        <w:t>a</w:t>
      </w:r>
      <w:r w:rsidRPr="00533A66">
        <w:rPr>
          <w:rFonts w:cs="Segoe UI"/>
          <w:szCs w:val="22"/>
          <w:lang w:val="tr-TR" w:eastAsia="de-DE"/>
        </w:rPr>
        <w:t>hil olmak üzere küresel bir dayanışma programı başlatmıştır. Bunun yanı sıra Henkel, 5 milyondan fazla kişisel ve ev hijyen ürünü bağışlamış ve kendi tesislerinde dezenfektan üretimi yapmıştır. Henkel, küresel ölçekte sağlık çalışanlarına ve hastanelere destek amaçlı olarak 111.000 litreden fazla dezenfektan üretmiş ve bağışlamıştır. Henkel bugüne dek, Covid-19’a ilişkin 40 farklı ülkede yapılan 500’e yakın projeyi desteklemiş, dünya çapında Covid-19 salgını süresince yardıma ihtiyaç duyan yaklaşık 5 milyon insana yardım etmiştir.</w:t>
      </w:r>
    </w:p>
    <w:p w14:paraId="2AAFA382" w14:textId="77777777" w:rsidR="008E47D4" w:rsidRDefault="008E47D4" w:rsidP="00533A66">
      <w:pPr>
        <w:rPr>
          <w:rFonts w:cs="Segoe UI"/>
          <w:szCs w:val="22"/>
          <w:lang w:eastAsia="de-DE"/>
        </w:rPr>
      </w:pPr>
    </w:p>
    <w:p w14:paraId="41906D7F" w14:textId="5DBCAFC3" w:rsidR="00533A66" w:rsidRPr="00533A66" w:rsidRDefault="00533A66" w:rsidP="00533A66">
      <w:pPr>
        <w:rPr>
          <w:rFonts w:cs="Segoe UI"/>
          <w:lang w:val="tr-TR"/>
        </w:rPr>
      </w:pPr>
      <w:r w:rsidRPr="00533A66">
        <w:rPr>
          <w:rFonts w:cs="Segoe UI"/>
          <w:lang w:val="tr-TR"/>
        </w:rPr>
        <w:lastRenderedPageBreak/>
        <w:t>Carsten Knobel durumu şu sözlerle özetliyor: “Kriz değişim geçirdikçe sürekli olarak ona uyum sağlamamız gerekiyor. Piyasalarımızda yaşanan aksamalara esnek ve hızlı şekilde cevap vereceğiz. Değişime aktif olarak şekil vereceğiz ve yeni adımlar atacağız. Kendini adamış bir biçimde çalışan global ekibimiz, amaca yönelik büyümeye odaklanmış yeni stratejik çerçevemiz</w:t>
      </w:r>
      <w:r w:rsidRPr="00DC1814">
        <w:rPr>
          <w:rFonts w:cs="Segoe UI"/>
          <w:lang w:val="tr-TR"/>
        </w:rPr>
        <w:t>, güçlü bilançomuz, finansal</w:t>
      </w:r>
      <w:r w:rsidRPr="00533A66">
        <w:rPr>
          <w:rFonts w:cs="Segoe UI"/>
          <w:lang w:val="tr-TR"/>
        </w:rPr>
        <w:t xml:space="preserve"> esnekliğimiz ve güçlü nakit akışı sağlama kapasitemizle bu zor durumla baş edecek şekilde konumlanmış olduğumuza ve bu krizden daha güçlü bir şekilde çıkacağımıza inanıyorum.” </w:t>
      </w:r>
    </w:p>
    <w:bookmarkEnd w:id="1"/>
    <w:p w14:paraId="64A2FFD2" w14:textId="77777777" w:rsidR="003D3196" w:rsidRDefault="003D3196" w:rsidP="003D3196">
      <w:pPr>
        <w:rPr>
          <w:rFonts w:cs="Segoe UI"/>
          <w:szCs w:val="22"/>
          <w:lang w:val="tr-TR"/>
        </w:rPr>
      </w:pPr>
    </w:p>
    <w:p w14:paraId="3D62A6F2" w14:textId="4DA240F6" w:rsidR="003D3196" w:rsidRPr="00533A66" w:rsidRDefault="003D3196" w:rsidP="003D3196">
      <w:pPr>
        <w:rPr>
          <w:rStyle w:val="AboutandContactBody"/>
          <w:rFonts w:cs="Segoe UI"/>
          <w:b/>
          <w:szCs w:val="18"/>
          <w:lang w:val="tr-TR"/>
        </w:rPr>
      </w:pPr>
      <w:r w:rsidRPr="00533A66">
        <w:rPr>
          <w:rStyle w:val="AboutandContactBody"/>
          <w:rFonts w:cs="Segoe UI"/>
          <w:b/>
          <w:szCs w:val="18"/>
          <w:lang w:val="tr-TR"/>
        </w:rPr>
        <w:t>Henkel Hakkında</w:t>
      </w:r>
    </w:p>
    <w:p w14:paraId="0CAB59A0" w14:textId="77777777" w:rsidR="003D3196" w:rsidRPr="00533A66" w:rsidRDefault="003D3196" w:rsidP="003D3196">
      <w:pPr>
        <w:rPr>
          <w:rStyle w:val="AboutandContactBody"/>
          <w:rFonts w:cs="Segoe UI"/>
          <w:szCs w:val="18"/>
          <w:lang w:val="tr-TR"/>
        </w:rPr>
      </w:pPr>
      <w:r w:rsidRPr="00533A66">
        <w:rPr>
          <w:rStyle w:val="AboutandContactBody"/>
          <w:rFonts w:cs="Segoe UI"/>
          <w:szCs w:val="18"/>
          <w:lang w:val="tr-TR"/>
        </w:rPr>
        <w:t>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dünya çapında tüm endüstriyel sektörlerde global bir liderdir. Henkel’in Çamaşır ve Ev Bakım ile Beauty Care İş Birimlerinde, dünya genelinde pek çok piyasa ve kategoride liderliği bulunmaktadır. 1876 yılında kurulan Henkel, 140 yılı aşkın süredir başarısını sürdürmektedir</w:t>
      </w:r>
      <w:r>
        <w:rPr>
          <w:rStyle w:val="AboutandContactBody"/>
          <w:rFonts w:cs="Segoe UI"/>
          <w:szCs w:val="18"/>
          <w:lang w:val="tr-TR"/>
        </w:rPr>
        <w:t xml:space="preserve">. 2019 yılında Henkel, </w:t>
      </w:r>
      <w:r w:rsidRPr="00533A66">
        <w:rPr>
          <w:rStyle w:val="AboutandContactBody"/>
          <w:rFonts w:cs="Segoe UI"/>
          <w:szCs w:val="18"/>
          <w:lang w:val="tr-TR"/>
        </w:rPr>
        <w:t>20 milyar Euro</w:t>
      </w:r>
      <w:r>
        <w:rPr>
          <w:rStyle w:val="AboutandContactBody"/>
          <w:rFonts w:cs="Segoe UI"/>
          <w:szCs w:val="18"/>
          <w:lang w:val="tr-TR"/>
        </w:rPr>
        <w:t>’nun üzerinde</w:t>
      </w:r>
      <w:r w:rsidRPr="00533A66">
        <w:rPr>
          <w:rStyle w:val="AboutandContactBody"/>
          <w:rFonts w:cs="Segoe UI"/>
          <w:szCs w:val="18"/>
          <w:lang w:val="tr-TR"/>
        </w:rPr>
        <w:t xml:space="preserve"> satış ve 3,2 milyar Euro</w:t>
      </w:r>
      <w:r>
        <w:rPr>
          <w:rStyle w:val="AboutandContactBody"/>
          <w:rFonts w:cs="Segoe UI"/>
          <w:szCs w:val="18"/>
          <w:lang w:val="tr-TR"/>
        </w:rPr>
        <w:t>’nun üzerinde</w:t>
      </w:r>
      <w:r w:rsidRPr="00533A66">
        <w:rPr>
          <w:rStyle w:val="AboutandContactBody"/>
          <w:rFonts w:cs="Segoe UI"/>
          <w:szCs w:val="18"/>
          <w:lang w:val="tr-TR"/>
        </w:rPr>
        <w:t xml:space="preserve"> </w:t>
      </w:r>
      <w:r>
        <w:rPr>
          <w:rStyle w:val="AboutandContactBody"/>
          <w:rFonts w:cs="Segoe UI"/>
          <w:szCs w:val="18"/>
          <w:lang w:val="tr-TR"/>
        </w:rPr>
        <w:t xml:space="preserve">düzeltilmiş </w:t>
      </w:r>
      <w:r w:rsidRPr="00533A66">
        <w:rPr>
          <w:rStyle w:val="AboutandContactBody"/>
          <w:rFonts w:cs="Segoe UI"/>
          <w:szCs w:val="18"/>
          <w:lang w:val="tr-TR"/>
        </w:rPr>
        <w:t>faaliyet kârı bildirmiştir. Henkel dünya çapında</w:t>
      </w:r>
      <w:r>
        <w:rPr>
          <w:rStyle w:val="AboutandContactBody"/>
          <w:rFonts w:cs="Segoe UI"/>
          <w:szCs w:val="18"/>
          <w:lang w:val="tr-TR"/>
        </w:rPr>
        <w:t>,</w:t>
      </w:r>
      <w:r w:rsidRPr="00533A66">
        <w:rPr>
          <w:rStyle w:val="AboutandContactBody"/>
          <w:rFonts w:cs="Segoe UI"/>
          <w:szCs w:val="18"/>
          <w:lang w:val="tr-TR"/>
        </w:rPr>
        <w:t xml:space="preserve"> güçlü </w:t>
      </w:r>
      <w:r>
        <w:rPr>
          <w:rStyle w:val="AboutandContactBody"/>
          <w:rFonts w:cs="Segoe UI"/>
          <w:szCs w:val="18"/>
          <w:lang w:val="tr-TR"/>
        </w:rPr>
        <w:t xml:space="preserve">bir </w:t>
      </w:r>
      <w:r w:rsidRPr="00533A66">
        <w:rPr>
          <w:rStyle w:val="AboutandContactBody"/>
          <w:rFonts w:cs="Segoe UI"/>
          <w:szCs w:val="18"/>
          <w:lang w:val="tr-TR"/>
        </w:rPr>
        <w:t>şirket kültür</w:t>
      </w:r>
      <w:r>
        <w:rPr>
          <w:rStyle w:val="AboutandContactBody"/>
          <w:rFonts w:cs="Segoe UI"/>
          <w:szCs w:val="18"/>
          <w:lang w:val="tr-TR"/>
        </w:rPr>
        <w:t>ü ile bir araya gelmiş, tutkulu ve</w:t>
      </w:r>
      <w:r w:rsidRPr="00533A66">
        <w:rPr>
          <w:rStyle w:val="AboutandContactBody"/>
          <w:rFonts w:cs="Segoe UI"/>
          <w:szCs w:val="18"/>
          <w:lang w:val="tr-TR"/>
        </w:rPr>
        <w:t xml:space="preserve"> birbirinden farklı olan</w:t>
      </w:r>
      <w:r>
        <w:rPr>
          <w:rStyle w:val="AboutandContactBody"/>
          <w:rFonts w:cs="Segoe UI"/>
          <w:szCs w:val="18"/>
          <w:lang w:val="tr-TR"/>
        </w:rPr>
        <w:t>,</w:t>
      </w:r>
      <w:r w:rsidRPr="00533A66">
        <w:rPr>
          <w:rStyle w:val="AboutandContactBody"/>
          <w:rFonts w:cs="Segoe UI"/>
          <w:szCs w:val="18"/>
          <w:lang w:val="tr-TR"/>
        </w:rPr>
        <w:t xml:space="preserve"> a</w:t>
      </w:r>
      <w:r>
        <w:rPr>
          <w:rStyle w:val="AboutandContactBody"/>
          <w:rFonts w:cs="Segoe UI"/>
          <w:szCs w:val="18"/>
          <w:lang w:val="tr-TR"/>
        </w:rPr>
        <w:t>ncak sürdürülebilir değer yaratmak ortak amacı için çalışan ve ortak değerlerde birleşen</w:t>
      </w:r>
      <w:r w:rsidRPr="00533A66">
        <w:rPr>
          <w:rStyle w:val="AboutandContactBody"/>
          <w:rFonts w:cs="Segoe UI"/>
          <w:szCs w:val="18"/>
          <w:lang w:val="tr-TR"/>
        </w:rPr>
        <w:t xml:space="preserve"> 52.000</w:t>
      </w:r>
      <w:r>
        <w:rPr>
          <w:rStyle w:val="AboutandContactBody"/>
          <w:rFonts w:cs="Segoe UI"/>
          <w:szCs w:val="18"/>
          <w:lang w:val="tr-TR"/>
        </w:rPr>
        <w:t>’den fazla</w:t>
      </w:r>
      <w:r w:rsidRPr="00533A66">
        <w:rPr>
          <w:rStyle w:val="AboutandContactBody"/>
          <w:rFonts w:cs="Segoe UI"/>
          <w:szCs w:val="18"/>
          <w:lang w:val="tr-TR"/>
        </w:rPr>
        <w:t xml:space="preserve">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A47648">
          <w:rPr>
            <w:rStyle w:val="Hyperlink"/>
            <w:rFonts w:cs="Segoe UI"/>
            <w:lang w:val="tr-TR"/>
          </w:rPr>
          <w:t>www.henkel.com</w:t>
        </w:r>
      </w:hyperlink>
      <w:r w:rsidRPr="00533A66">
        <w:rPr>
          <w:rStyle w:val="AboutandContactBody"/>
          <w:rFonts w:cs="Segoe UI"/>
          <w:szCs w:val="18"/>
          <w:lang w:val="tr-TR"/>
        </w:rPr>
        <w:t>'u ziyaret ediniz.</w:t>
      </w:r>
    </w:p>
    <w:p w14:paraId="670D824F" w14:textId="77777777" w:rsidR="00892EB0" w:rsidRDefault="00892EB0" w:rsidP="00223967">
      <w:pPr>
        <w:spacing w:line="240" w:lineRule="auto"/>
        <w:jc w:val="left"/>
        <w:rPr>
          <w:rStyle w:val="AboutandContactHeadline"/>
        </w:rPr>
      </w:pPr>
    </w:p>
    <w:sectPr w:rsidR="00892EB0" w:rsidSect="003D3196">
      <w:headerReference w:type="even" r:id="rId13"/>
      <w:footerReference w:type="even" r:id="rId14"/>
      <w:footerReference w:type="default" r:id="rId15"/>
      <w:headerReference w:type="first" r:id="rId16"/>
      <w:footerReference w:type="first" r:id="rId17"/>
      <w:pgSz w:w="11907" w:h="16840" w:code="9"/>
      <w:pgMar w:top="867" w:right="1411" w:bottom="1702" w:left="1411" w:header="113"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21C33" w14:textId="77777777" w:rsidR="001135C9" w:rsidRDefault="001135C9">
      <w:r>
        <w:separator/>
      </w:r>
    </w:p>
  </w:endnote>
  <w:endnote w:type="continuationSeparator" w:id="0">
    <w:p w14:paraId="4F6C7D3F" w14:textId="77777777" w:rsidR="001135C9" w:rsidRDefault="0011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607575690"/>
      <w:docPartObj>
        <w:docPartGallery w:val="Page Numbers (Bottom of Page)"/>
        <w:docPartUnique/>
      </w:docPartObj>
    </w:sdtPr>
    <w:sdtEndPr>
      <w:rPr>
        <w:noProof/>
      </w:rPr>
    </w:sdtEndPr>
    <w:sdtContent>
      <w:p w14:paraId="5B26DD38" w14:textId="3DC5F218" w:rsidR="003D3196" w:rsidRDefault="003D3196">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34D143E8" w14:textId="77777777" w:rsidR="003D3196" w:rsidRDefault="003D3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755356005"/>
      <w:docPartObj>
        <w:docPartGallery w:val="Page Numbers (Bottom of Page)"/>
        <w:docPartUnique/>
      </w:docPartObj>
    </w:sdtPr>
    <w:sdtEndPr>
      <w:rPr>
        <w:noProof/>
      </w:rPr>
    </w:sdtEndPr>
    <w:sdtContent>
      <w:p w14:paraId="2C1825C8" w14:textId="5F1533DB" w:rsidR="003D3196" w:rsidRDefault="003D3196">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637D10C9" w14:textId="31A5436B" w:rsidR="008C6C0E" w:rsidRPr="00112A28" w:rsidRDefault="008C6C0E" w:rsidP="00112A28">
    <w:pPr>
      <w:pStyle w:val="Footer"/>
      <w:tabs>
        <w:tab w:val="clear" w:pos="7083"/>
        <w:tab w:val="clear" w:pos="8640"/>
        <w:tab w:val="right" w:pos="9071"/>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4809789" w:rsidR="008C6C0E" w:rsidRPr="00992A11" w:rsidRDefault="00D71270" w:rsidP="00992A11">
    <w:pPr>
      <w:pStyle w:val="Footer"/>
    </w:pPr>
    <w:bookmarkStart w:id="2" w:name="_Hlk505758583"/>
    <w:r w:rsidRPr="00B34F1F">
      <w:rPr>
        <w:rFonts w:asciiTheme="majorHAnsi" w:hAnsiTheme="majorHAnsi" w:cstheme="majorHAnsi"/>
        <w:b/>
        <w:bCs w:val="0"/>
        <w:sz w:val="24"/>
        <w:lang w:val="tr-TR" w:eastAsia="tr-TR"/>
      </w:rPr>
      <mc:AlternateContent>
        <mc:Choice Requires="wps">
          <w:drawing>
            <wp:anchor distT="45720" distB="45720" distL="114300" distR="114300" simplePos="0" relativeHeight="251661312" behindDoc="0" locked="0" layoutInCell="1" allowOverlap="1" wp14:anchorId="5579A23D" wp14:editId="3651EE7B">
              <wp:simplePos x="0" y="0"/>
              <wp:positionH relativeFrom="margin">
                <wp:posOffset>0</wp:posOffset>
              </wp:positionH>
              <wp:positionV relativeFrom="paragraph">
                <wp:posOffset>45085</wp:posOffset>
              </wp:positionV>
              <wp:extent cx="4795284" cy="467833"/>
              <wp:effectExtent l="0" t="0" r="5715" b="889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284" cy="467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64882" w14:textId="77777777" w:rsidR="00D71270" w:rsidRPr="00111CF5" w:rsidRDefault="00D71270" w:rsidP="00D71270">
                          <w:pPr>
                            <w:autoSpaceDE w:val="0"/>
                            <w:autoSpaceDN w:val="0"/>
                            <w:adjustRightInd w:val="0"/>
                            <w:spacing w:line="360" w:lineRule="auto"/>
                            <w:rPr>
                              <w:sz w:val="16"/>
                              <w:szCs w:val="16"/>
                              <w:lang w:val="tr-TR"/>
                            </w:rPr>
                          </w:pPr>
                          <w:r w:rsidRPr="00ED5A2D">
                            <w:rPr>
                              <w:sz w:val="16"/>
                              <w:szCs w:val="16"/>
                            </w:rPr>
                            <w:t xml:space="preserve">* </w:t>
                          </w:r>
                          <w:r w:rsidRPr="00111CF5">
                            <w:rPr>
                              <w:sz w:val="16"/>
                              <w:szCs w:val="16"/>
                              <w:lang w:val="tr-TR"/>
                            </w:rPr>
                            <w:t>Tek</w:t>
                          </w:r>
                          <w:r>
                            <w:rPr>
                              <w:sz w:val="16"/>
                              <w:szCs w:val="16"/>
                              <w:lang w:val="tr-TR"/>
                            </w:rPr>
                            <w:t xml:space="preserve"> seferlik masraflar</w:t>
                          </w:r>
                          <w:r w:rsidRPr="00111CF5">
                            <w:rPr>
                              <w:sz w:val="16"/>
                              <w:szCs w:val="16"/>
                              <w:lang w:val="tr-TR"/>
                            </w:rPr>
                            <w:t xml:space="preserve"> ve gelirler ile </w:t>
                          </w:r>
                          <w:r>
                            <w:rPr>
                              <w:sz w:val="16"/>
                              <w:szCs w:val="16"/>
                              <w:lang w:val="tr-TR"/>
                            </w:rPr>
                            <w:t>yeniden yapılandırma masrafları</w:t>
                          </w:r>
                          <w:r w:rsidRPr="00111CF5">
                            <w:rPr>
                              <w:sz w:val="16"/>
                              <w:szCs w:val="16"/>
                              <w:lang w:val="tr-TR"/>
                            </w:rPr>
                            <w:t xml:space="preserve"> için ayarlanmıştır.</w:t>
                          </w:r>
                        </w:p>
                        <w:p w14:paraId="24386A56" w14:textId="77777777" w:rsidR="00D71270" w:rsidRPr="00ED5A2D" w:rsidRDefault="00D71270" w:rsidP="00D712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79A23D" id="_x0000_t202" coordsize="21600,21600" o:spt="202" path="m,l,21600r21600,l21600,xe">
              <v:stroke joinstyle="miter"/>
              <v:path gradientshapeok="t" o:connecttype="rect"/>
            </v:shapetype>
            <v:shape id="Textfeld 10" o:spid="_x0000_s1027" type="#_x0000_t202" style="position:absolute;left:0;text-align:left;margin-left:0;margin-top:3.55pt;width:377.6pt;height:3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YbCQIAAPEDAAAOAAAAZHJzL2Uyb0RvYy54bWysU8Fu2zAMvQ/YPwi6L07StEmNOEWXIsOA&#10;rhvQ7gNkWbaFyaJGKbGzrx8lp1m23YbpIIgi9fj4SK3vhs6wg0KvwRZ8NplypqyEStum4F9fdu9W&#10;nPkgbCUMWFXwo/L8bvP2zbp3uZpDC6ZSyAjE+rx3BW9DcHmWedmqTvgJOGXJWQN2IpCJTVah6Am9&#10;M9l8Or3JesDKIUjlPd0+jE6+Sfh1rWT4XNdeBWYKTtxC2jHtZdyzzVrkDQrXanmiIf6BRSe0paRn&#10;qAcRBNuj/guq0xLBQx0mEroM6lpLlWqgambTP6p5boVTqRYSx7uzTP7/wcqnwxdkuqLekTxWdNSj&#10;FzWEWpmK0RXp0zufU9izo8AwvIeBYlOt3j2C/OaZhW0rbKPuEaFvlaiI3yy+zC6ejjg+gpT9J6go&#10;j9gHSEBDjV0Uj+RghE5EjufeEBcm6XKxvL2erxacSfItbparq6uUQuSvrx368EFBx+Kh4Ei9T+ji&#10;8OhDZCPy15CYzIPR1U4bkwxsyq1BdhA0J7u0Tui/hRkbgy3EZyNivEllxsrGGsNQDifZSqiOVDDC&#10;OHf0T+jQAv7grKeZK7j/vheoODMfLYl2O1ss4pAmY3G9nJOBl57y0iOsJKiCB87G4zaMg713qJuW&#10;Mo1tsnBPQtc6aRA7MrI68aa5StKc/kAc3Es7Rf36qZufAAAA//8DAFBLAwQUAAYACAAAACEAvH1r&#10;AdsAAAAFAQAADwAAAGRycy9kb3ducmV2LnhtbEyP3U6DQBSE7018h80x8cbYpY0UpBwaNdF4258H&#10;OMApkLJnCbst9O1dr/RyMpOZb/LtbHp15dF1VhCWiwgUS2XrThqE4+HzOQXlPElNvRVGuLGDbXF/&#10;l1NW20l2fN37RoUScRkhtN4PmdauatmQW9iBJXgnOxryQY6NrkeaQrnp9SqK1tpQJ2GhpYE/Wq7O&#10;+4tBOH1PT/HrVH75Y7J7Wb9Tl5T2hvj4ML9tQHme/V8YfvEDOhSBqbQXqZ3qEcIRj5AsQQUzieMV&#10;qBIhjVLQRa7/0xc/AAAA//8DAFBLAQItABQABgAIAAAAIQC2gziS/gAAAOEBAAATAAAAAAAAAAAA&#10;AAAAAAAAAABbQ29udGVudF9UeXBlc10ueG1sUEsBAi0AFAAGAAgAAAAhADj9If/WAAAAlAEAAAsA&#10;AAAAAAAAAAAAAAAALwEAAF9yZWxzLy5yZWxzUEsBAi0AFAAGAAgAAAAhAJDG9hsJAgAA8QMAAA4A&#10;AAAAAAAAAAAAAAAALgIAAGRycy9lMm9Eb2MueG1sUEsBAi0AFAAGAAgAAAAhALx9awHbAAAABQEA&#10;AA8AAAAAAAAAAAAAAAAAYwQAAGRycy9kb3ducmV2LnhtbFBLBQYAAAAABAAEAPMAAABrBQAAAAA=&#10;" stroked="f">
              <v:textbox>
                <w:txbxContent>
                  <w:p w14:paraId="36A64882" w14:textId="77777777" w:rsidR="00D71270" w:rsidRPr="00111CF5" w:rsidRDefault="00D71270" w:rsidP="00D71270">
                    <w:pPr>
                      <w:autoSpaceDE w:val="0"/>
                      <w:autoSpaceDN w:val="0"/>
                      <w:adjustRightInd w:val="0"/>
                      <w:spacing w:line="360" w:lineRule="auto"/>
                      <w:rPr>
                        <w:sz w:val="16"/>
                        <w:szCs w:val="16"/>
                        <w:lang w:val="tr-TR"/>
                      </w:rPr>
                    </w:pPr>
                    <w:r w:rsidRPr="00ED5A2D">
                      <w:rPr>
                        <w:sz w:val="16"/>
                        <w:szCs w:val="16"/>
                      </w:rPr>
                      <w:t xml:space="preserve">* </w:t>
                    </w:r>
                    <w:r w:rsidRPr="00111CF5">
                      <w:rPr>
                        <w:sz w:val="16"/>
                        <w:szCs w:val="16"/>
                        <w:lang w:val="tr-TR"/>
                      </w:rPr>
                      <w:t>Tek</w:t>
                    </w:r>
                    <w:r>
                      <w:rPr>
                        <w:sz w:val="16"/>
                        <w:szCs w:val="16"/>
                        <w:lang w:val="tr-TR"/>
                      </w:rPr>
                      <w:t xml:space="preserve"> seferlik masraflar</w:t>
                    </w:r>
                    <w:r w:rsidRPr="00111CF5">
                      <w:rPr>
                        <w:sz w:val="16"/>
                        <w:szCs w:val="16"/>
                        <w:lang w:val="tr-TR"/>
                      </w:rPr>
                      <w:t xml:space="preserve"> ve gelirler ile </w:t>
                    </w:r>
                    <w:r>
                      <w:rPr>
                        <w:sz w:val="16"/>
                        <w:szCs w:val="16"/>
                        <w:lang w:val="tr-TR"/>
                      </w:rPr>
                      <w:t>yeniden yapılandırma masrafları</w:t>
                    </w:r>
                    <w:r w:rsidRPr="00111CF5">
                      <w:rPr>
                        <w:sz w:val="16"/>
                        <w:szCs w:val="16"/>
                        <w:lang w:val="tr-TR"/>
                      </w:rPr>
                      <w:t xml:space="preserve"> için ayarlanmıştır.</w:t>
                    </w:r>
                  </w:p>
                  <w:p w14:paraId="24386A56" w14:textId="77777777" w:rsidR="00D71270" w:rsidRPr="00ED5A2D" w:rsidRDefault="00D71270" w:rsidP="00D71270"/>
                </w:txbxContent>
              </v:textbox>
              <w10:wrap anchorx="margin"/>
            </v:shape>
          </w:pict>
        </mc:Fallback>
      </mc:AlternateContent>
    </w:r>
    <w:r w:rsidR="008C6C0E" w:rsidRPr="00992A11">
      <w:rPr>
        <w:lang w:val="tr-TR" w:eastAsia="tr-TR"/>
      </w:rPr>
      <w:drawing>
        <wp:anchor distT="0" distB="0" distL="114300" distR="114300" simplePos="0" relativeHeight="251659264"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07D6" w14:textId="77777777" w:rsidR="001135C9" w:rsidRDefault="001135C9">
      <w:r>
        <w:separator/>
      </w:r>
    </w:p>
  </w:footnote>
  <w:footnote w:type="continuationSeparator" w:id="0">
    <w:p w14:paraId="7884291A" w14:textId="77777777" w:rsidR="001135C9" w:rsidRDefault="0011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8C6C0E" w:rsidRDefault="008C6C0E"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0FFD1B4" w:rsidR="008C6C0E" w:rsidRPr="00EB46D9" w:rsidRDefault="008C6C0E" w:rsidP="00EB46D9">
    <w:pPr>
      <w:pStyle w:val="Header"/>
    </w:pPr>
    <w:r w:rsidRPr="00EB46D9">
      <w:rPr>
        <w:noProof/>
        <w:lang w:val="tr-TR" w:eastAsia="tr-TR"/>
      </w:rPr>
      <w:drawing>
        <wp:anchor distT="0" distB="0" distL="114300" distR="114300" simplePos="0" relativeHeight="251657216" behindDoc="0" locked="1" layoutInCell="1" allowOverlap="1" wp14:anchorId="5559ED3E" wp14:editId="17DE51AA">
          <wp:simplePos x="0" y="0"/>
          <wp:positionH relativeFrom="margin">
            <wp:posOffset>5036820</wp:posOffset>
          </wp:positionH>
          <wp:positionV relativeFrom="margin">
            <wp:posOffset>-1160145</wp:posOffset>
          </wp:positionV>
          <wp:extent cx="1051560" cy="603250"/>
          <wp:effectExtent l="0" t="0" r="0" b="635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5168"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B097800" id="Group 16" o:spid="_x0000_s1026" style="position:absolute;margin-left:14.2pt;margin-top:297.7pt;width:14.15pt;height:297.65pt;z-index:25165516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E6031">
      <w:rPr>
        <w:noProof/>
      </w:rP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17340"/>
    <w:rsid w:val="00021C67"/>
    <w:rsid w:val="000301F0"/>
    <w:rsid w:val="00030557"/>
    <w:rsid w:val="00030F51"/>
    <w:rsid w:val="00035A84"/>
    <w:rsid w:val="00040CC9"/>
    <w:rsid w:val="000425ED"/>
    <w:rsid w:val="000448B6"/>
    <w:rsid w:val="000510FC"/>
    <w:rsid w:val="00051E86"/>
    <w:rsid w:val="00053342"/>
    <w:rsid w:val="000575F9"/>
    <w:rsid w:val="000618FC"/>
    <w:rsid w:val="00067071"/>
    <w:rsid w:val="00080D10"/>
    <w:rsid w:val="0008357F"/>
    <w:rsid w:val="0008406B"/>
    <w:rsid w:val="000B5D2F"/>
    <w:rsid w:val="000B695A"/>
    <w:rsid w:val="000C210A"/>
    <w:rsid w:val="000C56DD"/>
    <w:rsid w:val="000D1672"/>
    <w:rsid w:val="000E2F62"/>
    <w:rsid w:val="000E38ED"/>
    <w:rsid w:val="000E7F24"/>
    <w:rsid w:val="000F01F9"/>
    <w:rsid w:val="000F03BE"/>
    <w:rsid w:val="000F1757"/>
    <w:rsid w:val="000F225B"/>
    <w:rsid w:val="000F7FAF"/>
    <w:rsid w:val="00105975"/>
    <w:rsid w:val="00111CF5"/>
    <w:rsid w:val="00111F4D"/>
    <w:rsid w:val="00112A28"/>
    <w:rsid w:val="001135C9"/>
    <w:rsid w:val="00115230"/>
    <w:rsid w:val="00115B5F"/>
    <w:rsid w:val="001162B4"/>
    <w:rsid w:val="00122CBC"/>
    <w:rsid w:val="00126C65"/>
    <w:rsid w:val="00126D4A"/>
    <w:rsid w:val="00132DA9"/>
    <w:rsid w:val="0013305B"/>
    <w:rsid w:val="00133B99"/>
    <w:rsid w:val="0013569C"/>
    <w:rsid w:val="001443BD"/>
    <w:rsid w:val="001577E9"/>
    <w:rsid w:val="0016138C"/>
    <w:rsid w:val="001679F5"/>
    <w:rsid w:val="001731CE"/>
    <w:rsid w:val="001B3DDE"/>
    <w:rsid w:val="001B5981"/>
    <w:rsid w:val="001B7C20"/>
    <w:rsid w:val="001C0B32"/>
    <w:rsid w:val="001C4BE1"/>
    <w:rsid w:val="001D2B65"/>
    <w:rsid w:val="001D7ADF"/>
    <w:rsid w:val="001E0F71"/>
    <w:rsid w:val="001E6D05"/>
    <w:rsid w:val="001E73E8"/>
    <w:rsid w:val="001E7C28"/>
    <w:rsid w:val="001F1BDF"/>
    <w:rsid w:val="001F7110"/>
    <w:rsid w:val="001F7E96"/>
    <w:rsid w:val="002005F5"/>
    <w:rsid w:val="00202284"/>
    <w:rsid w:val="0020528D"/>
    <w:rsid w:val="00212488"/>
    <w:rsid w:val="002129A6"/>
    <w:rsid w:val="00220628"/>
    <w:rsid w:val="00223967"/>
    <w:rsid w:val="002260C7"/>
    <w:rsid w:val="002304D2"/>
    <w:rsid w:val="00233D04"/>
    <w:rsid w:val="00234ABD"/>
    <w:rsid w:val="00234DEC"/>
    <w:rsid w:val="00236491"/>
    <w:rsid w:val="00236E2A"/>
    <w:rsid w:val="00237F62"/>
    <w:rsid w:val="0024586A"/>
    <w:rsid w:val="002518A2"/>
    <w:rsid w:val="00256F0C"/>
    <w:rsid w:val="00262C05"/>
    <w:rsid w:val="00280790"/>
    <w:rsid w:val="00281D14"/>
    <w:rsid w:val="00282C13"/>
    <w:rsid w:val="00285B0B"/>
    <w:rsid w:val="002A0DF7"/>
    <w:rsid w:val="002A2975"/>
    <w:rsid w:val="002A460D"/>
    <w:rsid w:val="002A5EE9"/>
    <w:rsid w:val="002A60E0"/>
    <w:rsid w:val="002C1344"/>
    <w:rsid w:val="002C252E"/>
    <w:rsid w:val="002C6773"/>
    <w:rsid w:val="002D2A3D"/>
    <w:rsid w:val="002D74CF"/>
    <w:rsid w:val="002E0B17"/>
    <w:rsid w:val="002E4536"/>
    <w:rsid w:val="002E4FFB"/>
    <w:rsid w:val="002E7DED"/>
    <w:rsid w:val="002F7E11"/>
    <w:rsid w:val="00304087"/>
    <w:rsid w:val="00310ACD"/>
    <w:rsid w:val="0031379F"/>
    <w:rsid w:val="00320A26"/>
    <w:rsid w:val="00321344"/>
    <w:rsid w:val="003324BF"/>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A62FE"/>
    <w:rsid w:val="003B1069"/>
    <w:rsid w:val="003B390A"/>
    <w:rsid w:val="003C15DE"/>
    <w:rsid w:val="003C2889"/>
    <w:rsid w:val="003C4EB2"/>
    <w:rsid w:val="003D3196"/>
    <w:rsid w:val="003F067F"/>
    <w:rsid w:val="003F1AF3"/>
    <w:rsid w:val="003F4D8D"/>
    <w:rsid w:val="0040386D"/>
    <w:rsid w:val="00424C9C"/>
    <w:rsid w:val="004313E7"/>
    <w:rsid w:val="00437753"/>
    <w:rsid w:val="004434B5"/>
    <w:rsid w:val="00444A70"/>
    <w:rsid w:val="0044763B"/>
    <w:rsid w:val="00456A53"/>
    <w:rsid w:val="004615C4"/>
    <w:rsid w:val="0046266D"/>
    <w:rsid w:val="004629B3"/>
    <w:rsid w:val="0046376E"/>
    <w:rsid w:val="0046690F"/>
    <w:rsid w:val="00470936"/>
    <w:rsid w:val="00472FEC"/>
    <w:rsid w:val="004808EC"/>
    <w:rsid w:val="00490A03"/>
    <w:rsid w:val="00493327"/>
    <w:rsid w:val="00494DBE"/>
    <w:rsid w:val="00495CE6"/>
    <w:rsid w:val="004A144D"/>
    <w:rsid w:val="004A323C"/>
    <w:rsid w:val="004B54E8"/>
    <w:rsid w:val="004C4FEB"/>
    <w:rsid w:val="004C6B79"/>
    <w:rsid w:val="004D059B"/>
    <w:rsid w:val="004D0E64"/>
    <w:rsid w:val="004D48A8"/>
    <w:rsid w:val="004D4CB6"/>
    <w:rsid w:val="004E3341"/>
    <w:rsid w:val="004F10C1"/>
    <w:rsid w:val="004F5AD9"/>
    <w:rsid w:val="00502E62"/>
    <w:rsid w:val="00506B8A"/>
    <w:rsid w:val="0052212B"/>
    <w:rsid w:val="00524A77"/>
    <w:rsid w:val="005266EA"/>
    <w:rsid w:val="00533A66"/>
    <w:rsid w:val="00534B46"/>
    <w:rsid w:val="00540358"/>
    <w:rsid w:val="00540D47"/>
    <w:rsid w:val="005463C3"/>
    <w:rsid w:val="00550864"/>
    <w:rsid w:val="0055571E"/>
    <w:rsid w:val="00556F67"/>
    <w:rsid w:val="005652E8"/>
    <w:rsid w:val="00576BDA"/>
    <w:rsid w:val="005779CA"/>
    <w:rsid w:val="005833F0"/>
    <w:rsid w:val="00586CAF"/>
    <w:rsid w:val="005873E9"/>
    <w:rsid w:val="00587642"/>
    <w:rsid w:val="00591180"/>
    <w:rsid w:val="0059722C"/>
    <w:rsid w:val="00597D07"/>
    <w:rsid w:val="005A3846"/>
    <w:rsid w:val="005B0503"/>
    <w:rsid w:val="005B2CD2"/>
    <w:rsid w:val="005B6A58"/>
    <w:rsid w:val="005C2F58"/>
    <w:rsid w:val="005C7112"/>
    <w:rsid w:val="005D0561"/>
    <w:rsid w:val="005D0AD9"/>
    <w:rsid w:val="005D22F6"/>
    <w:rsid w:val="005E0C30"/>
    <w:rsid w:val="005E3FBB"/>
    <w:rsid w:val="005E69D9"/>
    <w:rsid w:val="005F27F4"/>
    <w:rsid w:val="005F3239"/>
    <w:rsid w:val="005F6567"/>
    <w:rsid w:val="00607094"/>
    <w:rsid w:val="00607256"/>
    <w:rsid w:val="006144B1"/>
    <w:rsid w:val="006335F1"/>
    <w:rsid w:val="006345B6"/>
    <w:rsid w:val="00635616"/>
    <w:rsid w:val="00635712"/>
    <w:rsid w:val="006368FF"/>
    <w:rsid w:val="0064107F"/>
    <w:rsid w:val="00643D8A"/>
    <w:rsid w:val="00652229"/>
    <w:rsid w:val="00652793"/>
    <w:rsid w:val="006626CA"/>
    <w:rsid w:val="00663487"/>
    <w:rsid w:val="00672382"/>
    <w:rsid w:val="00680E4E"/>
    <w:rsid w:val="00682643"/>
    <w:rsid w:val="00682EB9"/>
    <w:rsid w:val="00683F25"/>
    <w:rsid w:val="0068441A"/>
    <w:rsid w:val="00690B19"/>
    <w:rsid w:val="006A0A3C"/>
    <w:rsid w:val="006A5671"/>
    <w:rsid w:val="006A79F0"/>
    <w:rsid w:val="006B3F35"/>
    <w:rsid w:val="006B47EE"/>
    <w:rsid w:val="006B499F"/>
    <w:rsid w:val="006C33BE"/>
    <w:rsid w:val="006C6707"/>
    <w:rsid w:val="006C7E78"/>
    <w:rsid w:val="006D098F"/>
    <w:rsid w:val="006D4996"/>
    <w:rsid w:val="006D54AB"/>
    <w:rsid w:val="006E1FA9"/>
    <w:rsid w:val="006E224B"/>
    <w:rsid w:val="006E3006"/>
    <w:rsid w:val="006E5032"/>
    <w:rsid w:val="006E5A1F"/>
    <w:rsid w:val="006E5BDA"/>
    <w:rsid w:val="006E5CBF"/>
    <w:rsid w:val="006F0FC7"/>
    <w:rsid w:val="006F39A9"/>
    <w:rsid w:val="006F670F"/>
    <w:rsid w:val="00702921"/>
    <w:rsid w:val="00703272"/>
    <w:rsid w:val="0070733C"/>
    <w:rsid w:val="00710C5D"/>
    <w:rsid w:val="0071348C"/>
    <w:rsid w:val="00717273"/>
    <w:rsid w:val="00720FD4"/>
    <w:rsid w:val="00724AF2"/>
    <w:rsid w:val="007252D3"/>
    <w:rsid w:val="0073096C"/>
    <w:rsid w:val="00733A46"/>
    <w:rsid w:val="00742398"/>
    <w:rsid w:val="007432A9"/>
    <w:rsid w:val="007507B5"/>
    <w:rsid w:val="0075091D"/>
    <w:rsid w:val="00753A24"/>
    <w:rsid w:val="0075430D"/>
    <w:rsid w:val="00761158"/>
    <w:rsid w:val="00772188"/>
    <w:rsid w:val="0077222A"/>
    <w:rsid w:val="007813D0"/>
    <w:rsid w:val="007845AC"/>
    <w:rsid w:val="00785993"/>
    <w:rsid w:val="007866E2"/>
    <w:rsid w:val="00786BA3"/>
    <w:rsid w:val="0079202F"/>
    <w:rsid w:val="00795AF2"/>
    <w:rsid w:val="007A2A2C"/>
    <w:rsid w:val="007A2AAD"/>
    <w:rsid w:val="007A2E3E"/>
    <w:rsid w:val="007A4432"/>
    <w:rsid w:val="007A784E"/>
    <w:rsid w:val="007B499C"/>
    <w:rsid w:val="007B4D4B"/>
    <w:rsid w:val="007B58C6"/>
    <w:rsid w:val="007D2A02"/>
    <w:rsid w:val="007D62A4"/>
    <w:rsid w:val="007E6EA1"/>
    <w:rsid w:val="007F0F63"/>
    <w:rsid w:val="007F2B1E"/>
    <w:rsid w:val="007F62B4"/>
    <w:rsid w:val="00801517"/>
    <w:rsid w:val="00813492"/>
    <w:rsid w:val="00817AE8"/>
    <w:rsid w:val="00817DE8"/>
    <w:rsid w:val="008229F5"/>
    <w:rsid w:val="00822F23"/>
    <w:rsid w:val="0082699A"/>
    <w:rsid w:val="00832633"/>
    <w:rsid w:val="00833CEB"/>
    <w:rsid w:val="008372D2"/>
    <w:rsid w:val="008377BC"/>
    <w:rsid w:val="00844C17"/>
    <w:rsid w:val="00846017"/>
    <w:rsid w:val="00847726"/>
    <w:rsid w:val="008514CA"/>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26C2"/>
    <w:rsid w:val="00892EB0"/>
    <w:rsid w:val="00894867"/>
    <w:rsid w:val="0089796A"/>
    <w:rsid w:val="008A2375"/>
    <w:rsid w:val="008A5124"/>
    <w:rsid w:val="008B09E1"/>
    <w:rsid w:val="008C6C0E"/>
    <w:rsid w:val="008D76C5"/>
    <w:rsid w:val="008E0A04"/>
    <w:rsid w:val="008E0AFA"/>
    <w:rsid w:val="008E47D4"/>
    <w:rsid w:val="008E75D3"/>
    <w:rsid w:val="008F0CE4"/>
    <w:rsid w:val="008F125E"/>
    <w:rsid w:val="008F4D2F"/>
    <w:rsid w:val="00906292"/>
    <w:rsid w:val="00914B5B"/>
    <w:rsid w:val="00917162"/>
    <w:rsid w:val="009178AA"/>
    <w:rsid w:val="009244D0"/>
    <w:rsid w:val="009251CC"/>
    <w:rsid w:val="0092714E"/>
    <w:rsid w:val="00942002"/>
    <w:rsid w:val="00943BB6"/>
    <w:rsid w:val="00947885"/>
    <w:rsid w:val="009504AB"/>
    <w:rsid w:val="00952168"/>
    <w:rsid w:val="009527FE"/>
    <w:rsid w:val="009529B2"/>
    <w:rsid w:val="009578A8"/>
    <w:rsid w:val="009739A0"/>
    <w:rsid w:val="00974F84"/>
    <w:rsid w:val="009767C7"/>
    <w:rsid w:val="0098579A"/>
    <w:rsid w:val="009918DD"/>
    <w:rsid w:val="0099195A"/>
    <w:rsid w:val="00992A11"/>
    <w:rsid w:val="00994681"/>
    <w:rsid w:val="0099486A"/>
    <w:rsid w:val="00996FF0"/>
    <w:rsid w:val="009A0E26"/>
    <w:rsid w:val="009A16EC"/>
    <w:rsid w:val="009A22C2"/>
    <w:rsid w:val="009B29B7"/>
    <w:rsid w:val="009B39A0"/>
    <w:rsid w:val="009B3B37"/>
    <w:rsid w:val="009B7D1F"/>
    <w:rsid w:val="009C088E"/>
    <w:rsid w:val="009C462E"/>
    <w:rsid w:val="009C4D35"/>
    <w:rsid w:val="009C7913"/>
    <w:rsid w:val="009D1522"/>
    <w:rsid w:val="009D2570"/>
    <w:rsid w:val="009D7252"/>
    <w:rsid w:val="009E5EB4"/>
    <w:rsid w:val="009F610E"/>
    <w:rsid w:val="00A044D6"/>
    <w:rsid w:val="00A04ADB"/>
    <w:rsid w:val="00A05F11"/>
    <w:rsid w:val="00A11E0F"/>
    <w:rsid w:val="00A14CB2"/>
    <w:rsid w:val="00A26CB6"/>
    <w:rsid w:val="00A32F82"/>
    <w:rsid w:val="00A32F8B"/>
    <w:rsid w:val="00A3756F"/>
    <w:rsid w:val="00A42D6F"/>
    <w:rsid w:val="00A45A62"/>
    <w:rsid w:val="00A47648"/>
    <w:rsid w:val="00A54AC5"/>
    <w:rsid w:val="00A55DC3"/>
    <w:rsid w:val="00A56D41"/>
    <w:rsid w:val="00A60529"/>
    <w:rsid w:val="00A61353"/>
    <w:rsid w:val="00A61481"/>
    <w:rsid w:val="00A66DB1"/>
    <w:rsid w:val="00A67A92"/>
    <w:rsid w:val="00A80B8F"/>
    <w:rsid w:val="00A87870"/>
    <w:rsid w:val="00A91A70"/>
    <w:rsid w:val="00A97316"/>
    <w:rsid w:val="00AA1B85"/>
    <w:rsid w:val="00AB1CB6"/>
    <w:rsid w:val="00AB1D9A"/>
    <w:rsid w:val="00AD0C22"/>
    <w:rsid w:val="00AD442C"/>
    <w:rsid w:val="00AD44FE"/>
    <w:rsid w:val="00AD5A37"/>
    <w:rsid w:val="00AE400C"/>
    <w:rsid w:val="00AE49F1"/>
    <w:rsid w:val="00AE5532"/>
    <w:rsid w:val="00B05CCA"/>
    <w:rsid w:val="00B14271"/>
    <w:rsid w:val="00B16270"/>
    <w:rsid w:val="00B2377A"/>
    <w:rsid w:val="00B2685D"/>
    <w:rsid w:val="00B30351"/>
    <w:rsid w:val="00B33C2A"/>
    <w:rsid w:val="00B35967"/>
    <w:rsid w:val="00B422EC"/>
    <w:rsid w:val="00B54885"/>
    <w:rsid w:val="00B634AB"/>
    <w:rsid w:val="00B70A47"/>
    <w:rsid w:val="00B726D4"/>
    <w:rsid w:val="00B81534"/>
    <w:rsid w:val="00B8214F"/>
    <w:rsid w:val="00B82B48"/>
    <w:rsid w:val="00B86A4F"/>
    <w:rsid w:val="00B91324"/>
    <w:rsid w:val="00B91EA7"/>
    <w:rsid w:val="00B93035"/>
    <w:rsid w:val="00B958E8"/>
    <w:rsid w:val="00B97E4A"/>
    <w:rsid w:val="00BA09B2"/>
    <w:rsid w:val="00BA465D"/>
    <w:rsid w:val="00BA5B46"/>
    <w:rsid w:val="00BB2D73"/>
    <w:rsid w:val="00BB2F65"/>
    <w:rsid w:val="00BB45BA"/>
    <w:rsid w:val="00BB5D0B"/>
    <w:rsid w:val="00BB7230"/>
    <w:rsid w:val="00BC0995"/>
    <w:rsid w:val="00BE2D0A"/>
    <w:rsid w:val="00BE47D4"/>
    <w:rsid w:val="00BE793A"/>
    <w:rsid w:val="00BF2B82"/>
    <w:rsid w:val="00BF432A"/>
    <w:rsid w:val="00BF6E82"/>
    <w:rsid w:val="00C060C7"/>
    <w:rsid w:val="00C24C17"/>
    <w:rsid w:val="00C3758F"/>
    <w:rsid w:val="00C40A93"/>
    <w:rsid w:val="00C40B88"/>
    <w:rsid w:val="00C44489"/>
    <w:rsid w:val="00C47D87"/>
    <w:rsid w:val="00C5032F"/>
    <w:rsid w:val="00C5376E"/>
    <w:rsid w:val="00C5701B"/>
    <w:rsid w:val="00C66218"/>
    <w:rsid w:val="00C677C9"/>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C6E"/>
    <w:rsid w:val="00D17E3B"/>
    <w:rsid w:val="00D2306F"/>
    <w:rsid w:val="00D23C09"/>
    <w:rsid w:val="00D23CED"/>
    <w:rsid w:val="00D24BD2"/>
    <w:rsid w:val="00D2573D"/>
    <w:rsid w:val="00D260A2"/>
    <w:rsid w:val="00D30CC6"/>
    <w:rsid w:val="00D3260C"/>
    <w:rsid w:val="00D35790"/>
    <w:rsid w:val="00D5611E"/>
    <w:rsid w:val="00D56176"/>
    <w:rsid w:val="00D5653B"/>
    <w:rsid w:val="00D62EF1"/>
    <w:rsid w:val="00D6309D"/>
    <w:rsid w:val="00D644CA"/>
    <w:rsid w:val="00D64EA0"/>
    <w:rsid w:val="00D66FC2"/>
    <w:rsid w:val="00D7044E"/>
    <w:rsid w:val="00D71270"/>
    <w:rsid w:val="00D76C7E"/>
    <w:rsid w:val="00D771DE"/>
    <w:rsid w:val="00D7776D"/>
    <w:rsid w:val="00D92179"/>
    <w:rsid w:val="00D922C6"/>
    <w:rsid w:val="00D9293F"/>
    <w:rsid w:val="00D93598"/>
    <w:rsid w:val="00DA1E18"/>
    <w:rsid w:val="00DA2009"/>
    <w:rsid w:val="00DB05B1"/>
    <w:rsid w:val="00DB3786"/>
    <w:rsid w:val="00DB59E8"/>
    <w:rsid w:val="00DB5A79"/>
    <w:rsid w:val="00DC1814"/>
    <w:rsid w:val="00DC2465"/>
    <w:rsid w:val="00DC7D48"/>
    <w:rsid w:val="00DD512E"/>
    <w:rsid w:val="00DD75D6"/>
    <w:rsid w:val="00DE1177"/>
    <w:rsid w:val="00DE2CEA"/>
    <w:rsid w:val="00DE6A3C"/>
    <w:rsid w:val="00DE74F4"/>
    <w:rsid w:val="00DE7F97"/>
    <w:rsid w:val="00DF1010"/>
    <w:rsid w:val="00DF5AEA"/>
    <w:rsid w:val="00DF63F6"/>
    <w:rsid w:val="00DF7BD0"/>
    <w:rsid w:val="00E020B5"/>
    <w:rsid w:val="00E11D2F"/>
    <w:rsid w:val="00E13747"/>
    <w:rsid w:val="00E14758"/>
    <w:rsid w:val="00E21088"/>
    <w:rsid w:val="00E24632"/>
    <w:rsid w:val="00E25AEA"/>
    <w:rsid w:val="00E27C65"/>
    <w:rsid w:val="00E30D26"/>
    <w:rsid w:val="00E30DEF"/>
    <w:rsid w:val="00E30ED2"/>
    <w:rsid w:val="00E31276"/>
    <w:rsid w:val="00E345A8"/>
    <w:rsid w:val="00E34666"/>
    <w:rsid w:val="00E37F70"/>
    <w:rsid w:val="00E41377"/>
    <w:rsid w:val="00E41985"/>
    <w:rsid w:val="00E446C1"/>
    <w:rsid w:val="00E545D7"/>
    <w:rsid w:val="00E547FE"/>
    <w:rsid w:val="00E60ECA"/>
    <w:rsid w:val="00E65825"/>
    <w:rsid w:val="00E663B6"/>
    <w:rsid w:val="00E758B9"/>
    <w:rsid w:val="00E85569"/>
    <w:rsid w:val="00E856AF"/>
    <w:rsid w:val="00E86B83"/>
    <w:rsid w:val="00E87C64"/>
    <w:rsid w:val="00E93A01"/>
    <w:rsid w:val="00E93FF8"/>
    <w:rsid w:val="00E96EAF"/>
    <w:rsid w:val="00EA1752"/>
    <w:rsid w:val="00EA5A89"/>
    <w:rsid w:val="00EA5BDB"/>
    <w:rsid w:val="00EA66F8"/>
    <w:rsid w:val="00EB46D9"/>
    <w:rsid w:val="00EC0E64"/>
    <w:rsid w:val="00EC142D"/>
    <w:rsid w:val="00EC1E16"/>
    <w:rsid w:val="00EC2DD1"/>
    <w:rsid w:val="00ED0024"/>
    <w:rsid w:val="00ED0F85"/>
    <w:rsid w:val="00ED2B5C"/>
    <w:rsid w:val="00ED3269"/>
    <w:rsid w:val="00ED3A18"/>
    <w:rsid w:val="00ED4CDD"/>
    <w:rsid w:val="00EE1A8C"/>
    <w:rsid w:val="00EE4643"/>
    <w:rsid w:val="00EE6031"/>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534D4"/>
    <w:rsid w:val="00F635FC"/>
    <w:rsid w:val="00F63D03"/>
    <w:rsid w:val="00F65E2F"/>
    <w:rsid w:val="00F67BA8"/>
    <w:rsid w:val="00F67DF1"/>
    <w:rsid w:val="00F8309B"/>
    <w:rsid w:val="00F833C9"/>
    <w:rsid w:val="00F90064"/>
    <w:rsid w:val="00F932C9"/>
    <w:rsid w:val="00F9586C"/>
    <w:rsid w:val="00F96AFD"/>
    <w:rsid w:val="00F972F1"/>
    <w:rsid w:val="00FA1398"/>
    <w:rsid w:val="00FA2E19"/>
    <w:rsid w:val="00FA697F"/>
    <w:rsid w:val="00FB3846"/>
    <w:rsid w:val="00FB5521"/>
    <w:rsid w:val="00FB610D"/>
    <w:rsid w:val="00FC4477"/>
    <w:rsid w:val="00FC46FB"/>
    <w:rsid w:val="00FC7B66"/>
    <w:rsid w:val="00FD2BD3"/>
    <w:rsid w:val="00FD4CCA"/>
    <w:rsid w:val="00FE2A9E"/>
    <w:rsid w:val="00FE34B3"/>
    <w:rsid w:val="00FE46B7"/>
    <w:rsid w:val="00FE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D0CFF24F-2052-44DE-BA01-6B321EFA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
    <w:name w:val="_He_01_Fließtext"/>
    <w:qFormat/>
    <w:rsid w:val="00533A66"/>
    <w:pPr>
      <w:spacing w:after="160" w:line="276" w:lineRule="auto"/>
    </w:pPr>
    <w:rPr>
      <w:rFonts w:ascii="Arial" w:eastAsiaTheme="minorHAnsi" w:hAnsi="Arial" w:cstheme="minorBidi"/>
      <w:sz w:val="24"/>
      <w:szCs w:val="22"/>
    </w:rPr>
  </w:style>
  <w:style w:type="paragraph" w:customStyle="1" w:styleId="He02berschriftEbene2">
    <w:name w:val="_He_02_Überschrift Ebene 2"/>
    <w:next w:val="He01Flietext"/>
    <w:qFormat/>
    <w:rsid w:val="00533A66"/>
    <w:pPr>
      <w:spacing w:after="113"/>
    </w:pPr>
    <w:rPr>
      <w:rFonts w:ascii="Arial" w:eastAsiaTheme="minorHAnsi" w:hAnsi="Arial" w:cstheme="minorBidi"/>
      <w:b/>
      <w:sz w:val="28"/>
      <w:szCs w:val="22"/>
    </w:rPr>
  </w:style>
  <w:style w:type="character" w:styleId="FollowedHyperlink">
    <w:name w:val="FollowedHyperlink"/>
    <w:basedOn w:val="DefaultParagraphFont"/>
    <w:rsid w:val="00A47648"/>
    <w:rPr>
      <w:color w:val="954F72" w:themeColor="followedHyperlink"/>
      <w:u w:val="single"/>
    </w:rPr>
  </w:style>
  <w:style w:type="paragraph" w:customStyle="1" w:styleId="He01FlietextAufzhlung1Ebene">
    <w:name w:val="_He_01_Fließtext Aufzählung 1. Ebene"/>
    <w:next w:val="He01Flietext"/>
    <w:qFormat/>
    <w:rsid w:val="006E5A1F"/>
    <w:pPr>
      <w:numPr>
        <w:numId w:val="8"/>
      </w:numPr>
      <w:spacing w:after="113" w:line="276" w:lineRule="auto"/>
    </w:pPr>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000280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041DC-F4A2-42FD-AACE-81DFBD495FD6}">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3124</Words>
  <Characters>17807</Characters>
  <Application>Microsoft Office Word</Application>
  <DocSecurity>0</DocSecurity>
  <Lines>148</Lines>
  <Paragraphs>41</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20890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Oznur Cati</cp:lastModifiedBy>
  <cp:revision>78</cp:revision>
  <cp:lastPrinted>2020-08-05T16:24:00Z</cp:lastPrinted>
  <dcterms:created xsi:type="dcterms:W3CDTF">2020-08-09T12:03:00Z</dcterms:created>
  <dcterms:modified xsi:type="dcterms:W3CDTF">2020-08-10T13:46:00Z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