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1F083EB" w:rsidR="00B422EC" w:rsidRPr="000069EB" w:rsidRDefault="00E41377" w:rsidP="00E41377">
      <w:pPr>
        <w:pStyle w:val="MonthDayYear"/>
        <w:tabs>
          <w:tab w:val="left" w:pos="7513"/>
        </w:tabs>
        <w:jc w:val="left"/>
      </w:pPr>
      <w:r w:rsidRPr="000069EB">
        <w:tab/>
      </w:r>
      <w:r w:rsidR="00635616" w:rsidRPr="000069EB">
        <w:t xml:space="preserve">August </w:t>
      </w:r>
      <w:r w:rsidR="00AD35D6">
        <w:t>1</w:t>
      </w:r>
      <w:r w:rsidR="00AE0468">
        <w:t>4</w:t>
      </w:r>
      <w:r w:rsidR="00BF6E82" w:rsidRPr="000069EB">
        <w:t>, 20</w:t>
      </w:r>
      <w:r w:rsidR="00F635FC" w:rsidRPr="000069EB">
        <w:t>20</w:t>
      </w:r>
    </w:p>
    <w:p w14:paraId="09896324" w14:textId="2DAB21F7" w:rsidR="007F0F63" w:rsidRPr="00635616" w:rsidRDefault="00635616" w:rsidP="00635616">
      <w:pPr>
        <w:pStyle w:val="Topline"/>
        <w:spacing w:after="360"/>
        <w:rPr>
          <w:rFonts w:asciiTheme="majorHAnsi" w:hAnsiTheme="majorHAnsi" w:cstheme="majorHAnsi"/>
        </w:rPr>
      </w:pPr>
      <w:r w:rsidRPr="00B34F1F">
        <w:rPr>
          <w:rFonts w:asciiTheme="majorHAnsi" w:hAnsiTheme="majorHAnsi" w:cstheme="majorHAnsi"/>
        </w:rPr>
        <w:t>Henkel reports on first half and second quarter 2020</w:t>
      </w:r>
    </w:p>
    <w:p w14:paraId="76AD0789" w14:textId="0C7F55CF" w:rsidR="007F0F63" w:rsidRPr="00635616" w:rsidRDefault="00C66218" w:rsidP="00635616">
      <w:pPr>
        <w:jc w:val="left"/>
        <w:rPr>
          <w:rStyle w:val="Headline"/>
          <w:rFonts w:asciiTheme="majorHAnsi" w:hAnsiTheme="majorHAnsi" w:cstheme="majorHAnsi"/>
        </w:rPr>
      </w:pPr>
      <w:r>
        <w:rPr>
          <w:rStyle w:val="Headline"/>
          <w:rFonts w:asciiTheme="majorHAnsi" w:hAnsiTheme="majorHAnsi" w:cstheme="majorHAnsi"/>
        </w:rPr>
        <w:t>Henkel deliver</w:t>
      </w:r>
      <w:r w:rsidR="00EC0E64">
        <w:rPr>
          <w:rStyle w:val="Headline"/>
          <w:rFonts w:asciiTheme="majorHAnsi" w:hAnsiTheme="majorHAnsi" w:cstheme="majorHAnsi"/>
        </w:rPr>
        <w:t>s</w:t>
      </w:r>
      <w:r>
        <w:rPr>
          <w:rStyle w:val="Headline"/>
          <w:rFonts w:asciiTheme="majorHAnsi" w:hAnsiTheme="majorHAnsi" w:cstheme="majorHAnsi"/>
        </w:rPr>
        <w:t xml:space="preserve"> overall robust business performance</w:t>
      </w:r>
      <w:r w:rsidR="00635616" w:rsidRPr="00B34F1F">
        <w:rPr>
          <w:rStyle w:val="Headline"/>
          <w:rFonts w:asciiTheme="majorHAnsi" w:hAnsiTheme="majorHAnsi" w:cstheme="majorHAnsi"/>
        </w:rPr>
        <w:t xml:space="preserve"> </w:t>
      </w:r>
      <w:r w:rsidR="00EC0E64">
        <w:rPr>
          <w:rStyle w:val="Headline"/>
          <w:rFonts w:asciiTheme="majorHAnsi" w:hAnsiTheme="majorHAnsi" w:cstheme="majorHAnsi"/>
        </w:rPr>
        <w:br/>
      </w:r>
      <w:r w:rsidR="000425ED">
        <w:rPr>
          <w:rStyle w:val="Headline"/>
          <w:rFonts w:asciiTheme="majorHAnsi" w:hAnsiTheme="majorHAnsi" w:cstheme="majorHAnsi"/>
        </w:rPr>
        <w:t xml:space="preserve">despite substantial impact from </w:t>
      </w:r>
      <w:r>
        <w:rPr>
          <w:rStyle w:val="Headline"/>
          <w:rFonts w:asciiTheme="majorHAnsi" w:hAnsiTheme="majorHAnsi" w:cstheme="majorHAnsi"/>
        </w:rPr>
        <w:t>COVID-19 pandemic</w:t>
      </w:r>
    </w:p>
    <w:p w14:paraId="6706FA18" w14:textId="77777777" w:rsidR="00852511" w:rsidRPr="00795AF2" w:rsidRDefault="00852511" w:rsidP="00365E44"/>
    <w:p w14:paraId="63D72995" w14:textId="35446956" w:rsidR="00635616" w:rsidRPr="004D0E64" w:rsidRDefault="00635616"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43712519"/>
      <w:r w:rsidRPr="004D0E64">
        <w:rPr>
          <w:rFonts w:asciiTheme="majorHAnsi" w:hAnsiTheme="majorHAnsi" w:cstheme="majorHAnsi"/>
          <w:b/>
          <w:szCs w:val="22"/>
        </w:rPr>
        <w:t xml:space="preserve">Focus on ensuring employee safety, supplying customers </w:t>
      </w:r>
      <w:r w:rsidRPr="004D0E64">
        <w:rPr>
          <w:rFonts w:asciiTheme="majorHAnsi" w:hAnsiTheme="majorHAnsi" w:cstheme="majorHAnsi"/>
          <w:b/>
          <w:szCs w:val="22"/>
        </w:rPr>
        <w:br/>
        <w:t>and supporting communities</w:t>
      </w:r>
    </w:p>
    <w:p w14:paraId="50631AFC" w14:textId="3754212C" w:rsidR="00635616" w:rsidRPr="004D0E64" w:rsidRDefault="00635616"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r w:rsidRPr="004D0E64">
        <w:rPr>
          <w:rFonts w:asciiTheme="majorHAnsi" w:hAnsiTheme="majorHAnsi" w:cstheme="majorHAnsi"/>
          <w:b/>
          <w:szCs w:val="22"/>
        </w:rPr>
        <w:t xml:space="preserve">Group half-year sales reach </w:t>
      </w:r>
      <w:r w:rsidR="00F9586C" w:rsidRPr="004D0E64">
        <w:rPr>
          <w:rFonts w:asciiTheme="majorHAnsi" w:hAnsiTheme="majorHAnsi" w:cstheme="majorHAnsi"/>
          <w:b/>
          <w:szCs w:val="22"/>
        </w:rPr>
        <w:t>9,485</w:t>
      </w:r>
      <w:r w:rsidRPr="004D0E64">
        <w:rPr>
          <w:rFonts w:asciiTheme="majorHAnsi" w:hAnsiTheme="majorHAnsi" w:cstheme="majorHAnsi"/>
          <w:b/>
          <w:szCs w:val="22"/>
        </w:rPr>
        <w:t xml:space="preserve"> </w:t>
      </w:r>
      <w:r w:rsidR="00F9586C" w:rsidRPr="004D0E64">
        <w:rPr>
          <w:rFonts w:asciiTheme="majorHAnsi" w:hAnsiTheme="majorHAnsi" w:cstheme="majorHAnsi"/>
          <w:b/>
          <w:szCs w:val="22"/>
        </w:rPr>
        <w:t>m</w:t>
      </w:r>
      <w:r w:rsidRPr="004D0E64">
        <w:rPr>
          <w:rFonts w:asciiTheme="majorHAnsi" w:hAnsiTheme="majorHAnsi" w:cstheme="majorHAnsi"/>
          <w:b/>
          <w:szCs w:val="22"/>
        </w:rPr>
        <w:t xml:space="preserve">illion euros, </w:t>
      </w:r>
      <w:bookmarkEnd w:id="0"/>
      <w:r w:rsidRPr="004D0E64">
        <w:rPr>
          <w:rFonts w:asciiTheme="majorHAnsi" w:hAnsiTheme="majorHAnsi" w:cstheme="majorHAnsi"/>
          <w:b/>
          <w:szCs w:val="22"/>
        </w:rPr>
        <w:t>nominal: -</w:t>
      </w:r>
      <w:r w:rsidR="00F9586C" w:rsidRPr="004D0E64">
        <w:rPr>
          <w:rFonts w:asciiTheme="majorHAnsi" w:hAnsiTheme="majorHAnsi" w:cstheme="majorHAnsi"/>
          <w:b/>
          <w:szCs w:val="22"/>
        </w:rPr>
        <w:t>6</w:t>
      </w:r>
      <w:r w:rsidR="000510FC" w:rsidRPr="004D0E64">
        <w:rPr>
          <w:rFonts w:asciiTheme="majorHAnsi" w:hAnsiTheme="majorHAnsi" w:cstheme="majorHAnsi"/>
          <w:b/>
          <w:szCs w:val="22"/>
        </w:rPr>
        <w:t>.</w:t>
      </w:r>
      <w:r w:rsidR="00F9586C" w:rsidRPr="004D0E64">
        <w:rPr>
          <w:rFonts w:asciiTheme="majorHAnsi" w:hAnsiTheme="majorHAnsi" w:cstheme="majorHAnsi"/>
          <w:b/>
          <w:szCs w:val="22"/>
        </w:rPr>
        <w:t>0</w:t>
      </w:r>
      <w:r w:rsidRPr="004D0E64">
        <w:rPr>
          <w:rFonts w:asciiTheme="majorHAnsi" w:hAnsiTheme="majorHAnsi" w:cstheme="majorHAnsi"/>
          <w:b/>
          <w:szCs w:val="22"/>
        </w:rPr>
        <w:t>%, organic: -</w:t>
      </w:r>
      <w:r w:rsidR="00F9586C" w:rsidRPr="004D0E64">
        <w:rPr>
          <w:rFonts w:asciiTheme="majorHAnsi" w:hAnsiTheme="majorHAnsi" w:cstheme="majorHAnsi"/>
          <w:b/>
          <w:szCs w:val="22"/>
        </w:rPr>
        <w:t>5</w:t>
      </w:r>
      <w:r w:rsidR="000510FC" w:rsidRPr="004D0E64">
        <w:rPr>
          <w:rFonts w:asciiTheme="majorHAnsi" w:hAnsiTheme="majorHAnsi" w:cstheme="majorHAnsi"/>
          <w:b/>
          <w:szCs w:val="22"/>
        </w:rPr>
        <w:t>.</w:t>
      </w:r>
      <w:r w:rsidR="00F9586C" w:rsidRPr="004D0E64">
        <w:rPr>
          <w:rFonts w:asciiTheme="majorHAnsi" w:hAnsiTheme="majorHAnsi" w:cstheme="majorHAnsi"/>
          <w:b/>
          <w:szCs w:val="22"/>
        </w:rPr>
        <w:t>2</w:t>
      </w:r>
      <w:r w:rsidRPr="004D0E64">
        <w:rPr>
          <w:rFonts w:asciiTheme="majorHAnsi" w:hAnsiTheme="majorHAnsi" w:cstheme="majorHAnsi"/>
          <w:b/>
          <w:szCs w:val="22"/>
        </w:rPr>
        <w:t>%</w:t>
      </w:r>
    </w:p>
    <w:p w14:paraId="050F17EF" w14:textId="306A9E1D" w:rsidR="00635616" w:rsidRPr="004D0E64" w:rsidRDefault="00EC0E64"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cstheme="majorHAnsi"/>
          <w:b/>
          <w:szCs w:val="22"/>
        </w:rPr>
        <w:t>O</w:t>
      </w:r>
      <w:r w:rsidR="00635616" w:rsidRPr="004D0E64">
        <w:rPr>
          <w:rFonts w:asciiTheme="majorHAnsi" w:hAnsiTheme="majorHAnsi" w:cstheme="majorHAnsi"/>
          <w:b/>
          <w:szCs w:val="22"/>
        </w:rPr>
        <w:t xml:space="preserve">perating profit* at </w:t>
      </w:r>
      <w:r w:rsidR="00233D04" w:rsidRPr="004D0E64">
        <w:rPr>
          <w:rFonts w:asciiTheme="majorHAnsi" w:hAnsiTheme="majorHAnsi" w:cstheme="majorHAnsi"/>
          <w:b/>
          <w:szCs w:val="22"/>
        </w:rPr>
        <w:t>1</w:t>
      </w:r>
      <w:r w:rsidR="00635616" w:rsidRPr="004D0E64">
        <w:rPr>
          <w:rFonts w:asciiTheme="majorHAnsi" w:hAnsiTheme="majorHAnsi" w:cstheme="majorHAnsi"/>
          <w:b/>
          <w:szCs w:val="22"/>
        </w:rPr>
        <w:t>,</w:t>
      </w:r>
      <w:r w:rsidR="00233D04" w:rsidRPr="004D0E64">
        <w:rPr>
          <w:rFonts w:asciiTheme="majorHAnsi" w:hAnsiTheme="majorHAnsi" w:cstheme="majorHAnsi"/>
          <w:b/>
          <w:szCs w:val="22"/>
        </w:rPr>
        <w:t>1</w:t>
      </w:r>
      <w:r w:rsidR="00B35967">
        <w:rPr>
          <w:rFonts w:asciiTheme="majorHAnsi" w:hAnsiTheme="majorHAnsi" w:cstheme="majorHAnsi"/>
          <w:b/>
          <w:szCs w:val="22"/>
        </w:rPr>
        <w:t>91</w:t>
      </w:r>
      <w:r w:rsidR="00635616" w:rsidRPr="004D0E64">
        <w:rPr>
          <w:rFonts w:asciiTheme="majorHAnsi" w:hAnsiTheme="majorHAnsi" w:cstheme="majorHAnsi"/>
          <w:b/>
          <w:szCs w:val="22"/>
        </w:rPr>
        <w:t xml:space="preserve"> million euros, -</w:t>
      </w:r>
      <w:r w:rsidR="007B58C6">
        <w:rPr>
          <w:rFonts w:asciiTheme="majorHAnsi" w:hAnsiTheme="majorHAnsi" w:cstheme="majorHAnsi"/>
          <w:b/>
          <w:szCs w:val="22"/>
        </w:rPr>
        <w:t>27.</w:t>
      </w:r>
      <w:r w:rsidR="005E3FBB">
        <w:rPr>
          <w:rFonts w:asciiTheme="majorHAnsi" w:hAnsiTheme="majorHAnsi" w:cstheme="majorHAnsi"/>
          <w:b/>
          <w:szCs w:val="22"/>
        </w:rPr>
        <w:t>5</w:t>
      </w:r>
      <w:r w:rsidR="00635616" w:rsidRPr="004D0E64">
        <w:rPr>
          <w:rFonts w:asciiTheme="majorHAnsi" w:hAnsiTheme="majorHAnsi" w:cstheme="majorHAnsi"/>
          <w:b/>
          <w:szCs w:val="22"/>
        </w:rPr>
        <w:t>%</w:t>
      </w:r>
    </w:p>
    <w:p w14:paraId="2F15CBE5" w14:textId="152B7D50" w:rsidR="00635616" w:rsidRPr="004D0E64" w:rsidRDefault="00635616"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r w:rsidRPr="004D0E64">
        <w:rPr>
          <w:rFonts w:asciiTheme="majorHAnsi" w:hAnsiTheme="majorHAnsi" w:cstheme="majorHAnsi"/>
          <w:b/>
          <w:szCs w:val="22"/>
        </w:rPr>
        <w:t>EBIT margin</w:t>
      </w:r>
      <w:r w:rsidRPr="004D0E64">
        <w:rPr>
          <w:rFonts w:asciiTheme="majorHAnsi" w:hAnsiTheme="majorHAnsi" w:cstheme="majorHAnsi"/>
          <w:b/>
          <w:szCs w:val="22"/>
          <w:vertAlign w:val="superscript"/>
        </w:rPr>
        <w:t>*</w:t>
      </w:r>
      <w:r w:rsidRPr="004D0E64">
        <w:rPr>
          <w:rFonts w:asciiTheme="majorHAnsi" w:hAnsiTheme="majorHAnsi" w:cstheme="majorHAnsi"/>
          <w:b/>
          <w:szCs w:val="22"/>
        </w:rPr>
        <w:t xml:space="preserve"> at </w:t>
      </w:r>
      <w:r w:rsidR="00F9586C" w:rsidRPr="004D0E64">
        <w:rPr>
          <w:rFonts w:asciiTheme="majorHAnsi" w:hAnsiTheme="majorHAnsi" w:cstheme="majorHAnsi"/>
          <w:b/>
          <w:szCs w:val="22"/>
        </w:rPr>
        <w:t>12</w:t>
      </w:r>
      <w:r w:rsidR="000510FC" w:rsidRPr="004D0E64">
        <w:rPr>
          <w:rFonts w:asciiTheme="majorHAnsi" w:hAnsiTheme="majorHAnsi" w:cstheme="majorHAnsi"/>
          <w:b/>
          <w:szCs w:val="22"/>
        </w:rPr>
        <w:t>.</w:t>
      </w:r>
      <w:r w:rsidR="00B35967">
        <w:rPr>
          <w:rFonts w:asciiTheme="majorHAnsi" w:hAnsiTheme="majorHAnsi" w:cstheme="majorHAnsi"/>
          <w:b/>
          <w:szCs w:val="22"/>
        </w:rPr>
        <w:t>6</w:t>
      </w:r>
      <w:r w:rsidRPr="004D0E64">
        <w:rPr>
          <w:rFonts w:asciiTheme="majorHAnsi" w:hAnsiTheme="majorHAnsi" w:cstheme="majorHAnsi"/>
          <w:b/>
          <w:szCs w:val="22"/>
        </w:rPr>
        <w:t>%, -</w:t>
      </w:r>
      <w:r w:rsidR="00F9586C" w:rsidRPr="004D0E64">
        <w:rPr>
          <w:rFonts w:asciiTheme="majorHAnsi" w:hAnsiTheme="majorHAnsi" w:cstheme="majorHAnsi"/>
          <w:b/>
          <w:szCs w:val="22"/>
        </w:rPr>
        <w:t>3</w:t>
      </w:r>
      <w:r w:rsidR="00B35967">
        <w:rPr>
          <w:rFonts w:asciiTheme="majorHAnsi" w:hAnsiTheme="majorHAnsi" w:cstheme="majorHAnsi"/>
          <w:b/>
          <w:szCs w:val="22"/>
        </w:rPr>
        <w:t>7</w:t>
      </w:r>
      <w:r w:rsidR="00F9586C" w:rsidRPr="004D0E64">
        <w:rPr>
          <w:rFonts w:asciiTheme="majorHAnsi" w:hAnsiTheme="majorHAnsi" w:cstheme="majorHAnsi"/>
          <w:b/>
          <w:szCs w:val="22"/>
        </w:rPr>
        <w:t>0</w:t>
      </w:r>
      <w:r w:rsidRPr="004D0E64">
        <w:rPr>
          <w:rFonts w:asciiTheme="majorHAnsi" w:hAnsiTheme="majorHAnsi" w:cstheme="majorHAnsi"/>
          <w:b/>
          <w:szCs w:val="22"/>
        </w:rPr>
        <w:t xml:space="preserve"> basis points</w:t>
      </w:r>
    </w:p>
    <w:p w14:paraId="723BE023" w14:textId="2CB688FB" w:rsidR="00635616" w:rsidRPr="004D0E64" w:rsidRDefault="00635616"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r w:rsidRPr="004D0E64">
        <w:rPr>
          <w:rFonts w:asciiTheme="majorHAnsi" w:hAnsiTheme="majorHAnsi" w:cstheme="majorHAnsi"/>
          <w:b/>
          <w:szCs w:val="22"/>
        </w:rPr>
        <w:t>Earnings per preferred share (EPS)</w:t>
      </w:r>
      <w:r w:rsidRPr="004D0E64">
        <w:rPr>
          <w:rFonts w:asciiTheme="majorHAnsi" w:hAnsiTheme="majorHAnsi" w:cstheme="majorHAnsi"/>
          <w:b/>
          <w:szCs w:val="22"/>
          <w:vertAlign w:val="superscript"/>
        </w:rPr>
        <w:t>*</w:t>
      </w:r>
      <w:r w:rsidRPr="004D0E64">
        <w:rPr>
          <w:rFonts w:asciiTheme="majorHAnsi" w:hAnsiTheme="majorHAnsi" w:cstheme="majorHAnsi"/>
          <w:b/>
          <w:szCs w:val="22"/>
        </w:rPr>
        <w:t>: -</w:t>
      </w:r>
      <w:r w:rsidR="00126C65">
        <w:rPr>
          <w:rFonts w:asciiTheme="majorHAnsi" w:hAnsiTheme="majorHAnsi" w:cstheme="majorHAnsi"/>
          <w:b/>
          <w:szCs w:val="22"/>
        </w:rPr>
        <w:t>29.2</w:t>
      </w:r>
      <w:r w:rsidRPr="004D0E64">
        <w:rPr>
          <w:rFonts w:asciiTheme="majorHAnsi" w:hAnsiTheme="majorHAnsi" w:cstheme="majorHAnsi"/>
          <w:b/>
          <w:szCs w:val="22"/>
        </w:rPr>
        <w:t xml:space="preserve">% to </w:t>
      </w:r>
      <w:r w:rsidR="00F9586C" w:rsidRPr="004D0E64">
        <w:rPr>
          <w:rFonts w:asciiTheme="majorHAnsi" w:hAnsiTheme="majorHAnsi" w:cstheme="majorHAnsi"/>
          <w:b/>
          <w:szCs w:val="22"/>
        </w:rPr>
        <w:t>1</w:t>
      </w:r>
      <w:r w:rsidRPr="004D0E64">
        <w:rPr>
          <w:rFonts w:asciiTheme="majorHAnsi" w:hAnsiTheme="majorHAnsi" w:cstheme="majorHAnsi"/>
          <w:b/>
          <w:szCs w:val="22"/>
        </w:rPr>
        <w:t>.</w:t>
      </w:r>
      <w:r w:rsidR="00F9586C" w:rsidRPr="004D0E64">
        <w:rPr>
          <w:rFonts w:asciiTheme="majorHAnsi" w:hAnsiTheme="majorHAnsi" w:cstheme="majorHAnsi"/>
          <w:b/>
          <w:szCs w:val="22"/>
        </w:rPr>
        <w:t>9</w:t>
      </w:r>
      <w:r w:rsidR="00B35967">
        <w:rPr>
          <w:rFonts w:asciiTheme="majorHAnsi" w:hAnsiTheme="majorHAnsi" w:cstheme="majorHAnsi"/>
          <w:b/>
          <w:szCs w:val="22"/>
        </w:rPr>
        <w:t>6</w:t>
      </w:r>
      <w:r w:rsidRPr="004D0E64">
        <w:rPr>
          <w:rFonts w:asciiTheme="majorHAnsi" w:hAnsiTheme="majorHAnsi" w:cstheme="majorHAnsi"/>
          <w:b/>
          <w:szCs w:val="22"/>
        </w:rPr>
        <w:t xml:space="preserve"> euros, </w:t>
      </w:r>
      <w:r w:rsidRPr="004D0E64">
        <w:rPr>
          <w:rFonts w:asciiTheme="majorHAnsi" w:hAnsiTheme="majorHAnsi" w:cstheme="majorHAnsi"/>
          <w:b/>
          <w:szCs w:val="22"/>
        </w:rPr>
        <w:br/>
        <w:t>-</w:t>
      </w:r>
      <w:r w:rsidR="00F9586C" w:rsidRPr="004D0E64">
        <w:rPr>
          <w:rFonts w:asciiTheme="majorHAnsi" w:hAnsiTheme="majorHAnsi" w:cstheme="majorHAnsi"/>
          <w:b/>
          <w:szCs w:val="22"/>
        </w:rPr>
        <w:t>28</w:t>
      </w:r>
      <w:r w:rsidR="005E3FBB">
        <w:rPr>
          <w:rFonts w:asciiTheme="majorHAnsi" w:hAnsiTheme="majorHAnsi" w:cstheme="majorHAnsi"/>
          <w:b/>
          <w:szCs w:val="22"/>
        </w:rPr>
        <w:t>.2</w:t>
      </w:r>
      <w:r w:rsidRPr="004D0E64">
        <w:rPr>
          <w:rFonts w:asciiTheme="majorHAnsi" w:hAnsiTheme="majorHAnsi" w:cstheme="majorHAnsi"/>
          <w:b/>
          <w:szCs w:val="22"/>
        </w:rPr>
        <w:t xml:space="preserve">% at constant exchange rates </w:t>
      </w:r>
    </w:p>
    <w:p w14:paraId="7E1297A5" w14:textId="7A311C4E" w:rsidR="00635616" w:rsidRPr="00635616" w:rsidRDefault="00C66218"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cstheme="majorHAnsi"/>
          <w:b/>
          <w:szCs w:val="22"/>
        </w:rPr>
        <w:t>F</w:t>
      </w:r>
      <w:r w:rsidR="00635616" w:rsidRPr="00635616">
        <w:rPr>
          <w:rFonts w:asciiTheme="majorHAnsi" w:hAnsiTheme="majorHAnsi" w:cstheme="majorHAnsi"/>
          <w:b/>
          <w:szCs w:val="22"/>
        </w:rPr>
        <w:t>ree cash flow</w:t>
      </w:r>
      <w:r>
        <w:rPr>
          <w:rFonts w:asciiTheme="majorHAnsi" w:hAnsiTheme="majorHAnsi" w:cstheme="majorHAnsi"/>
          <w:b/>
          <w:szCs w:val="22"/>
        </w:rPr>
        <w:t xml:space="preserve"> at</w:t>
      </w:r>
      <w:r w:rsidR="00635616" w:rsidRPr="00635616">
        <w:rPr>
          <w:rFonts w:asciiTheme="majorHAnsi" w:hAnsiTheme="majorHAnsi" w:cstheme="majorHAnsi"/>
          <w:b/>
          <w:szCs w:val="22"/>
        </w:rPr>
        <w:t xml:space="preserve"> </w:t>
      </w:r>
      <w:r w:rsidR="00B35967">
        <w:rPr>
          <w:rFonts w:asciiTheme="majorHAnsi" w:hAnsiTheme="majorHAnsi" w:cstheme="majorHAnsi"/>
          <w:b/>
          <w:szCs w:val="22"/>
        </w:rPr>
        <w:t>93</w:t>
      </w:r>
      <w:r w:rsidR="00DF7BD0">
        <w:rPr>
          <w:rFonts w:asciiTheme="majorHAnsi" w:hAnsiTheme="majorHAnsi" w:cstheme="majorHAnsi"/>
          <w:b/>
          <w:szCs w:val="22"/>
        </w:rPr>
        <w:t>8</w:t>
      </w:r>
      <w:r w:rsidR="00635616" w:rsidRPr="00635616">
        <w:rPr>
          <w:rFonts w:asciiTheme="majorHAnsi" w:hAnsiTheme="majorHAnsi" w:cstheme="majorHAnsi"/>
          <w:b/>
          <w:szCs w:val="22"/>
        </w:rPr>
        <w:t xml:space="preserve"> million euros</w:t>
      </w:r>
      <w:r w:rsidR="0046266D">
        <w:rPr>
          <w:rFonts w:asciiTheme="majorHAnsi" w:hAnsiTheme="majorHAnsi" w:cstheme="majorHAnsi"/>
          <w:b/>
          <w:szCs w:val="22"/>
        </w:rPr>
        <w:t>, net financial position improved</w:t>
      </w:r>
    </w:p>
    <w:p w14:paraId="2A509BBD" w14:textId="7D539262" w:rsidR="00635616" w:rsidRPr="000069EB" w:rsidRDefault="0064107F"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r w:rsidRPr="000069EB">
        <w:rPr>
          <w:rFonts w:asciiTheme="majorHAnsi" w:hAnsiTheme="majorHAnsi" w:cstheme="majorHAnsi"/>
          <w:b/>
          <w:szCs w:val="22"/>
        </w:rPr>
        <w:t>No new full-year outlook for 2020 due to continuing market uncertainties</w:t>
      </w:r>
    </w:p>
    <w:p w14:paraId="717372CE" w14:textId="6BA8C50C" w:rsidR="00635616" w:rsidRPr="00635616" w:rsidRDefault="00635616" w:rsidP="00635616">
      <w:pPr>
        <w:pStyle w:val="ListParagraph"/>
        <w:numPr>
          <w:ilvl w:val="0"/>
          <w:numId w:val="7"/>
        </w:numPr>
        <w:spacing w:after="80"/>
        <w:ind w:left="357" w:right="-108" w:hanging="357"/>
        <w:contextualSpacing w:val="0"/>
        <w:jc w:val="left"/>
        <w:rPr>
          <w:rFonts w:asciiTheme="majorHAnsi" w:hAnsiTheme="majorHAnsi" w:cstheme="majorHAnsi"/>
          <w:b/>
          <w:szCs w:val="22"/>
        </w:rPr>
      </w:pPr>
      <w:r w:rsidRPr="00635616">
        <w:rPr>
          <w:rFonts w:asciiTheme="majorHAnsi" w:hAnsiTheme="majorHAnsi" w:cstheme="majorHAnsi"/>
          <w:b/>
          <w:szCs w:val="22"/>
        </w:rPr>
        <w:t xml:space="preserve">Implementation of new </w:t>
      </w:r>
      <w:r w:rsidR="008E0A04">
        <w:rPr>
          <w:rFonts w:asciiTheme="majorHAnsi" w:hAnsiTheme="majorHAnsi" w:cstheme="majorHAnsi"/>
          <w:b/>
          <w:szCs w:val="22"/>
        </w:rPr>
        <w:t>agenda for purposeful growth</w:t>
      </w:r>
      <w:r w:rsidRPr="00635616">
        <w:rPr>
          <w:rFonts w:asciiTheme="majorHAnsi" w:hAnsiTheme="majorHAnsi" w:cstheme="majorHAnsi"/>
          <w:b/>
          <w:szCs w:val="22"/>
        </w:rPr>
        <w:t xml:space="preserve"> on track</w:t>
      </w:r>
    </w:p>
    <w:p w14:paraId="2BD6A07A" w14:textId="11302DFF" w:rsidR="00635616" w:rsidRDefault="00635616" w:rsidP="00643D8A">
      <w:pPr>
        <w:rPr>
          <w:rFonts w:cs="Segoe UI"/>
          <w:szCs w:val="22"/>
        </w:rPr>
      </w:pPr>
    </w:p>
    <w:p w14:paraId="11B55725" w14:textId="3BC0DBF9" w:rsidR="0055571E" w:rsidRPr="00846017" w:rsidRDefault="0046266D" w:rsidP="00643D8A">
      <w:pPr>
        <w:rPr>
          <w:rFonts w:cs="Segoe UI"/>
          <w:b/>
          <w:bCs/>
          <w:szCs w:val="22"/>
        </w:rPr>
      </w:pPr>
      <w:r w:rsidRPr="00B34F1F">
        <w:rPr>
          <w:rFonts w:asciiTheme="majorHAnsi" w:hAnsiTheme="majorHAnsi" w:cstheme="majorHAnsi"/>
          <w:b/>
          <w:bCs/>
          <w:noProof/>
          <w:sz w:val="24"/>
        </w:rPr>
        <mc:AlternateContent>
          <mc:Choice Requires="wps">
            <w:drawing>
              <wp:anchor distT="45720" distB="45720" distL="114300" distR="114300" simplePos="0" relativeHeight="251659264" behindDoc="0" locked="0" layoutInCell="1" allowOverlap="1" wp14:anchorId="1E23DD7D" wp14:editId="0B125B64">
                <wp:simplePos x="0" y="0"/>
                <wp:positionH relativeFrom="margin">
                  <wp:posOffset>-19050</wp:posOffset>
                </wp:positionH>
                <wp:positionV relativeFrom="paragraph">
                  <wp:posOffset>3239579</wp:posOffset>
                </wp:positionV>
                <wp:extent cx="4683760" cy="273133"/>
                <wp:effectExtent l="0" t="0" r="254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73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0EF54" w14:textId="57EAC4FE" w:rsidR="00BE47D4" w:rsidRPr="00ED5A2D" w:rsidRDefault="00BE47D4" w:rsidP="00BE47D4">
                            <w:pPr>
                              <w:autoSpaceDE w:val="0"/>
                              <w:autoSpaceDN w:val="0"/>
                              <w:adjustRightInd w:val="0"/>
                              <w:spacing w:line="360" w:lineRule="auto"/>
                              <w:rPr>
                                <w:sz w:val="16"/>
                                <w:szCs w:val="16"/>
                              </w:rPr>
                            </w:pPr>
                            <w:r w:rsidRPr="00ED5A2D">
                              <w:rPr>
                                <w:sz w:val="16"/>
                                <w:szCs w:val="16"/>
                              </w:rPr>
                              <w:t xml:space="preserve">* </w:t>
                            </w:r>
                            <w:r w:rsidRPr="00D746F6">
                              <w:rPr>
                                <w:sz w:val="16"/>
                                <w:szCs w:val="16"/>
                              </w:rPr>
                              <w:t xml:space="preserve">Adjusted for one-time </w:t>
                            </w:r>
                            <w:r w:rsidR="007845AC">
                              <w:rPr>
                                <w:sz w:val="16"/>
                                <w:szCs w:val="16"/>
                              </w:rPr>
                              <w:t xml:space="preserve">expenses and </w:t>
                            </w:r>
                            <w:proofErr w:type="gramStart"/>
                            <w:r w:rsidR="007845AC">
                              <w:rPr>
                                <w:sz w:val="16"/>
                                <w:szCs w:val="16"/>
                              </w:rPr>
                              <w:t>income</w:t>
                            </w:r>
                            <w:r w:rsidR="00832633">
                              <w:rPr>
                                <w:sz w:val="16"/>
                                <w:szCs w:val="16"/>
                              </w:rPr>
                              <w:t>,</w:t>
                            </w:r>
                            <w:r w:rsidR="007845AC">
                              <w:rPr>
                                <w:sz w:val="16"/>
                                <w:szCs w:val="16"/>
                              </w:rPr>
                              <w:t xml:space="preserve"> </w:t>
                            </w:r>
                            <w:r w:rsidRPr="00D746F6">
                              <w:rPr>
                                <w:sz w:val="16"/>
                                <w:szCs w:val="16"/>
                              </w:rPr>
                              <w:t>and</w:t>
                            </w:r>
                            <w:proofErr w:type="gramEnd"/>
                            <w:r w:rsidRPr="00D746F6">
                              <w:rPr>
                                <w:sz w:val="16"/>
                                <w:szCs w:val="16"/>
                              </w:rPr>
                              <w:t xml:space="preserve"> restructuring </w:t>
                            </w:r>
                            <w:r>
                              <w:rPr>
                                <w:sz w:val="16"/>
                                <w:szCs w:val="16"/>
                              </w:rPr>
                              <w:t>expenses.</w:t>
                            </w:r>
                          </w:p>
                          <w:p w14:paraId="257A5710" w14:textId="77777777" w:rsidR="00BE47D4" w:rsidRPr="00ED5A2D" w:rsidRDefault="00BE47D4" w:rsidP="00BE47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DD7D" id="_x0000_t202" coordsize="21600,21600" o:spt="202" path="m,l,21600r21600,l21600,xe">
                <v:stroke joinstyle="miter"/>
                <v:path gradientshapeok="t" o:connecttype="rect"/>
              </v:shapetype>
              <v:shape id="Textfeld 10" o:spid="_x0000_s1026" type="#_x0000_t202" style="position:absolute;left:0;text-align:left;margin-left:-1.5pt;margin-top:255.1pt;width:368.8pt;height: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" stroked="f">
                <v:textbox>
                  <w:txbxContent>
                    <w:p w14:paraId="77D0EF54" w14:textId="57EAC4FE" w:rsidR="00BE47D4" w:rsidRPr="00ED5A2D" w:rsidRDefault="00BE47D4" w:rsidP="00BE47D4">
                      <w:pPr>
                        <w:autoSpaceDE w:val="0"/>
                        <w:autoSpaceDN w:val="0"/>
                        <w:adjustRightInd w:val="0"/>
                        <w:spacing w:line="360" w:lineRule="auto"/>
                        <w:rPr>
                          <w:sz w:val="16"/>
                          <w:szCs w:val="16"/>
                        </w:rPr>
                      </w:pPr>
                      <w:r w:rsidRPr="00ED5A2D">
                        <w:rPr>
                          <w:sz w:val="16"/>
                          <w:szCs w:val="16"/>
                        </w:rPr>
                        <w:t xml:space="preserve">* </w:t>
                      </w:r>
                      <w:r w:rsidRPr="00D746F6">
                        <w:rPr>
                          <w:sz w:val="16"/>
                          <w:szCs w:val="16"/>
                        </w:rPr>
                        <w:t xml:space="preserve">Adjusted for one-time </w:t>
                      </w:r>
                      <w:r w:rsidR="007845AC">
                        <w:rPr>
                          <w:sz w:val="16"/>
                          <w:szCs w:val="16"/>
                        </w:rPr>
                        <w:t xml:space="preserve">expenses and </w:t>
                      </w:r>
                      <w:proofErr w:type="gramStart"/>
                      <w:r w:rsidR="007845AC">
                        <w:rPr>
                          <w:sz w:val="16"/>
                          <w:szCs w:val="16"/>
                        </w:rPr>
                        <w:t>income</w:t>
                      </w:r>
                      <w:r w:rsidR="00832633">
                        <w:rPr>
                          <w:sz w:val="16"/>
                          <w:szCs w:val="16"/>
                        </w:rPr>
                        <w:t>,</w:t>
                      </w:r>
                      <w:r w:rsidR="007845AC">
                        <w:rPr>
                          <w:sz w:val="16"/>
                          <w:szCs w:val="16"/>
                        </w:rPr>
                        <w:t xml:space="preserve"> </w:t>
                      </w:r>
                      <w:r w:rsidRPr="00D746F6">
                        <w:rPr>
                          <w:sz w:val="16"/>
                          <w:szCs w:val="16"/>
                        </w:rPr>
                        <w:t>and</w:t>
                      </w:r>
                      <w:proofErr w:type="gramEnd"/>
                      <w:r w:rsidRPr="00D746F6">
                        <w:rPr>
                          <w:sz w:val="16"/>
                          <w:szCs w:val="16"/>
                        </w:rPr>
                        <w:t xml:space="preserve"> restructuring </w:t>
                      </w:r>
                      <w:r>
                        <w:rPr>
                          <w:sz w:val="16"/>
                          <w:szCs w:val="16"/>
                        </w:rPr>
                        <w:t>expenses.</w:t>
                      </w:r>
                    </w:p>
                    <w:p w14:paraId="257A5710" w14:textId="77777777" w:rsidR="00BE47D4" w:rsidRPr="00ED5A2D" w:rsidRDefault="00BE47D4" w:rsidP="00BE47D4"/>
                  </w:txbxContent>
                </v:textbox>
                <w10:wrap anchorx="margin"/>
              </v:shape>
            </w:pict>
          </mc:Fallback>
        </mc:AlternateContent>
      </w:r>
      <w:r w:rsidR="00635616" w:rsidRPr="00A97316">
        <w:rPr>
          <w:rFonts w:cs="Segoe UI"/>
          <w:b/>
          <w:bCs/>
          <w:szCs w:val="22"/>
        </w:rPr>
        <w:t>Düsseldorf</w:t>
      </w:r>
      <w:r w:rsidR="007F0F63" w:rsidRPr="00A97316">
        <w:rPr>
          <w:rFonts w:cs="Segoe UI"/>
          <w:b/>
          <w:bCs/>
          <w:szCs w:val="22"/>
        </w:rPr>
        <w:t xml:space="preserve"> –</w:t>
      </w:r>
      <w:r w:rsidR="007F0F63" w:rsidRPr="00795AF2">
        <w:rPr>
          <w:rFonts w:cs="Segoe UI"/>
          <w:szCs w:val="22"/>
        </w:rPr>
        <w:t xml:space="preserve"> </w:t>
      </w:r>
      <w:r w:rsidR="00813492" w:rsidRPr="00846017">
        <w:rPr>
          <w:rFonts w:cs="Segoe UI"/>
          <w:b/>
          <w:bCs/>
          <w:szCs w:val="22"/>
        </w:rPr>
        <w:t>“</w:t>
      </w:r>
      <w:r w:rsidR="00DB3786">
        <w:rPr>
          <w:rFonts w:cs="Segoe UI"/>
          <w:b/>
          <w:bCs/>
          <w:szCs w:val="22"/>
        </w:rPr>
        <w:t>I</w:t>
      </w:r>
      <w:r w:rsidR="00813492" w:rsidRPr="00846017">
        <w:rPr>
          <w:rFonts w:cs="Segoe UI"/>
          <w:b/>
          <w:bCs/>
          <w:szCs w:val="22"/>
        </w:rPr>
        <w:t>n the first half of 2020</w:t>
      </w:r>
      <w:r w:rsidR="00DB3786">
        <w:rPr>
          <w:rFonts w:cs="Segoe UI"/>
          <w:b/>
          <w:bCs/>
          <w:szCs w:val="22"/>
        </w:rPr>
        <w:t xml:space="preserve">, Henkel </w:t>
      </w:r>
      <w:r>
        <w:rPr>
          <w:rFonts w:cs="Segoe UI"/>
          <w:b/>
          <w:bCs/>
          <w:szCs w:val="22"/>
        </w:rPr>
        <w:t>was</w:t>
      </w:r>
      <w:r w:rsidR="00813492" w:rsidRPr="00846017">
        <w:rPr>
          <w:rFonts w:cs="Segoe UI"/>
          <w:b/>
          <w:bCs/>
          <w:szCs w:val="22"/>
        </w:rPr>
        <w:t xml:space="preserve"> substantially impacted by </w:t>
      </w:r>
      <w:r w:rsidR="000425ED">
        <w:rPr>
          <w:rFonts w:cs="Segoe UI"/>
          <w:b/>
          <w:bCs/>
          <w:szCs w:val="22"/>
        </w:rPr>
        <w:t xml:space="preserve">the significant </w:t>
      </w:r>
      <w:r w:rsidR="00C44489">
        <w:rPr>
          <w:rFonts w:cs="Segoe UI"/>
          <w:b/>
          <w:bCs/>
          <w:szCs w:val="22"/>
        </w:rPr>
        <w:t xml:space="preserve">global </w:t>
      </w:r>
      <w:r w:rsidR="000425ED">
        <w:rPr>
          <w:rFonts w:cs="Segoe UI"/>
          <w:b/>
          <w:bCs/>
          <w:szCs w:val="22"/>
        </w:rPr>
        <w:t xml:space="preserve">economic downturn </w:t>
      </w:r>
      <w:r w:rsidR="00C66218" w:rsidRPr="00846017">
        <w:rPr>
          <w:rFonts w:cs="Segoe UI"/>
          <w:b/>
          <w:bCs/>
          <w:szCs w:val="22"/>
        </w:rPr>
        <w:t>and the sharp decline in demand across many industries</w:t>
      </w:r>
      <w:r w:rsidR="00DB3786">
        <w:rPr>
          <w:rFonts w:cs="Segoe UI"/>
          <w:b/>
          <w:bCs/>
          <w:szCs w:val="22"/>
        </w:rPr>
        <w:t xml:space="preserve">. </w:t>
      </w:r>
      <w:r w:rsidR="00DB3786" w:rsidRPr="00846017">
        <w:rPr>
          <w:rFonts w:cs="Segoe UI"/>
          <w:b/>
          <w:bCs/>
          <w:szCs w:val="22"/>
        </w:rPr>
        <w:t xml:space="preserve">During this unprecedented </w:t>
      </w:r>
      <w:r w:rsidR="00DB3786">
        <w:rPr>
          <w:rFonts w:cs="Segoe UI"/>
          <w:b/>
          <w:bCs/>
          <w:szCs w:val="22"/>
        </w:rPr>
        <w:t xml:space="preserve">global </w:t>
      </w:r>
      <w:r w:rsidR="00DB3786" w:rsidRPr="00846017">
        <w:rPr>
          <w:rFonts w:cs="Segoe UI"/>
          <w:b/>
          <w:bCs/>
          <w:szCs w:val="22"/>
        </w:rPr>
        <w:t>crisis, our focus is to protect employees, supply customers, ensure business continuity and support communities. Thanks to the outstanding team spirit and commitment of our people around the world, we were able to achieve th</w:t>
      </w:r>
      <w:r w:rsidR="00B54885">
        <w:rPr>
          <w:rFonts w:cs="Segoe UI"/>
          <w:b/>
          <w:bCs/>
          <w:szCs w:val="22"/>
        </w:rPr>
        <w:t>is in the first half of 2020</w:t>
      </w:r>
      <w:r w:rsidR="00DB3786" w:rsidRPr="00846017">
        <w:rPr>
          <w:rFonts w:cs="Segoe UI"/>
          <w:b/>
          <w:bCs/>
          <w:szCs w:val="22"/>
        </w:rPr>
        <w:t xml:space="preserve">. The breadth of our portfolio in </w:t>
      </w:r>
      <w:r w:rsidR="00A05F11">
        <w:rPr>
          <w:rFonts w:cs="Segoe UI"/>
          <w:b/>
          <w:bCs/>
          <w:szCs w:val="22"/>
        </w:rPr>
        <w:t xml:space="preserve">the </w:t>
      </w:r>
      <w:r w:rsidR="00DB3786" w:rsidRPr="00846017">
        <w:rPr>
          <w:rFonts w:cs="Segoe UI"/>
          <w:b/>
          <w:bCs/>
          <w:szCs w:val="22"/>
        </w:rPr>
        <w:t>consumer and industrial businesses helped us to balance the impact of the crisis on our overall sales and earnings performance</w:t>
      </w:r>
      <w:r w:rsidR="00DB3786">
        <w:rPr>
          <w:rFonts w:cs="Segoe UI"/>
          <w:b/>
          <w:bCs/>
          <w:szCs w:val="22"/>
        </w:rPr>
        <w:t xml:space="preserve">: </w:t>
      </w:r>
      <w:r w:rsidR="00B54885">
        <w:rPr>
          <w:rFonts w:cs="Segoe UI"/>
          <w:b/>
          <w:bCs/>
          <w:szCs w:val="22"/>
        </w:rPr>
        <w:t>In the first six month</w:t>
      </w:r>
      <w:r w:rsidR="00A05F11">
        <w:rPr>
          <w:rFonts w:cs="Segoe UI"/>
          <w:b/>
          <w:bCs/>
          <w:szCs w:val="22"/>
        </w:rPr>
        <w:t>s</w:t>
      </w:r>
      <w:r w:rsidR="00B54885">
        <w:rPr>
          <w:rFonts w:cs="Segoe UI"/>
          <w:b/>
          <w:bCs/>
          <w:szCs w:val="22"/>
        </w:rPr>
        <w:t xml:space="preserve"> </w:t>
      </w:r>
      <w:r w:rsidR="008E0A04">
        <w:rPr>
          <w:rFonts w:cs="Segoe UI"/>
          <w:b/>
          <w:bCs/>
          <w:szCs w:val="22"/>
        </w:rPr>
        <w:t xml:space="preserve">of </w:t>
      </w:r>
      <w:r w:rsidR="00B54885">
        <w:rPr>
          <w:rFonts w:cs="Segoe UI"/>
          <w:b/>
          <w:bCs/>
          <w:szCs w:val="22"/>
        </w:rPr>
        <w:t>2020</w:t>
      </w:r>
      <w:r w:rsidR="008E0A04">
        <w:rPr>
          <w:rFonts w:cs="Segoe UI"/>
          <w:b/>
          <w:bCs/>
          <w:szCs w:val="22"/>
        </w:rPr>
        <w:t>,</w:t>
      </w:r>
      <w:r w:rsidR="00B54885">
        <w:rPr>
          <w:rFonts w:cs="Segoe UI"/>
          <w:b/>
          <w:bCs/>
          <w:szCs w:val="22"/>
        </w:rPr>
        <w:t xml:space="preserve"> we</w:t>
      </w:r>
      <w:r w:rsidR="00C66218">
        <w:rPr>
          <w:rFonts w:cs="Segoe UI"/>
          <w:b/>
          <w:bCs/>
          <w:szCs w:val="22"/>
        </w:rPr>
        <w:t xml:space="preserve"> </w:t>
      </w:r>
      <w:r w:rsidR="00DB3786">
        <w:rPr>
          <w:rFonts w:cs="Segoe UI"/>
          <w:b/>
          <w:bCs/>
          <w:szCs w:val="22"/>
        </w:rPr>
        <w:t>achieved sales of around 9.5 billion euros, an operating profit of 1.2 billion euros and 12.6 percent EBIT margin.</w:t>
      </w:r>
      <w:r w:rsidR="00813492" w:rsidRPr="00846017">
        <w:rPr>
          <w:rFonts w:cs="Segoe UI"/>
          <w:b/>
          <w:bCs/>
          <w:szCs w:val="22"/>
        </w:rPr>
        <w:t xml:space="preserve"> </w:t>
      </w:r>
      <w:r w:rsidR="00DB3786">
        <w:rPr>
          <w:rFonts w:cs="Segoe UI"/>
          <w:b/>
          <w:bCs/>
          <w:szCs w:val="22"/>
        </w:rPr>
        <w:t>We paid</w:t>
      </w:r>
      <w:r w:rsidRPr="000425ED">
        <w:rPr>
          <w:rFonts w:cs="Segoe UI"/>
          <w:b/>
          <w:bCs/>
          <w:szCs w:val="22"/>
        </w:rPr>
        <w:t xml:space="preserve"> out the full dividend </w:t>
      </w:r>
      <w:r w:rsidR="00DB3786">
        <w:rPr>
          <w:rFonts w:cs="Segoe UI"/>
          <w:b/>
          <w:bCs/>
          <w:szCs w:val="22"/>
        </w:rPr>
        <w:t xml:space="preserve">for 2019 </w:t>
      </w:r>
      <w:r w:rsidRPr="000425ED">
        <w:rPr>
          <w:rFonts w:cs="Segoe UI"/>
          <w:b/>
          <w:bCs/>
          <w:szCs w:val="22"/>
        </w:rPr>
        <w:t xml:space="preserve">to shareholders, </w:t>
      </w:r>
      <w:r w:rsidR="005E3FBB">
        <w:rPr>
          <w:rFonts w:cs="Segoe UI"/>
          <w:b/>
          <w:bCs/>
          <w:szCs w:val="22"/>
        </w:rPr>
        <w:t>a</w:t>
      </w:r>
      <w:r w:rsidRPr="000425ED">
        <w:rPr>
          <w:rFonts w:cs="Segoe UI"/>
          <w:b/>
          <w:bCs/>
          <w:szCs w:val="22"/>
        </w:rPr>
        <w:t>nd</w:t>
      </w:r>
      <w:r>
        <w:rPr>
          <w:rFonts w:cs="Segoe UI"/>
          <w:b/>
          <w:bCs/>
          <w:szCs w:val="22"/>
        </w:rPr>
        <w:t xml:space="preserve"> we were able to generate a </w:t>
      </w:r>
      <w:r w:rsidR="00DF7BD0">
        <w:rPr>
          <w:rFonts w:cs="Segoe UI"/>
          <w:b/>
          <w:bCs/>
          <w:szCs w:val="22"/>
        </w:rPr>
        <w:t xml:space="preserve">very </w:t>
      </w:r>
      <w:r>
        <w:rPr>
          <w:rFonts w:cs="Segoe UI"/>
          <w:b/>
          <w:bCs/>
          <w:szCs w:val="22"/>
        </w:rPr>
        <w:t xml:space="preserve">strong </w:t>
      </w:r>
      <w:r w:rsidR="00C66218">
        <w:rPr>
          <w:rFonts w:cs="Segoe UI"/>
          <w:b/>
          <w:bCs/>
          <w:szCs w:val="22"/>
        </w:rPr>
        <w:t xml:space="preserve">free </w:t>
      </w:r>
      <w:r>
        <w:rPr>
          <w:rFonts w:cs="Segoe UI"/>
          <w:b/>
          <w:bCs/>
          <w:szCs w:val="22"/>
        </w:rPr>
        <w:t>cash flow and further improve our net financial position</w:t>
      </w:r>
      <w:r w:rsidR="00DB3786">
        <w:rPr>
          <w:rFonts w:cs="Segoe UI"/>
          <w:b/>
          <w:bCs/>
          <w:szCs w:val="22"/>
        </w:rPr>
        <w:t xml:space="preserve">. </w:t>
      </w:r>
      <w:r w:rsidR="00B54885">
        <w:rPr>
          <w:rFonts w:cs="Segoe UI"/>
          <w:b/>
          <w:bCs/>
          <w:szCs w:val="22"/>
        </w:rPr>
        <w:t>During the crisis</w:t>
      </w:r>
      <w:r w:rsidR="00DB3786">
        <w:rPr>
          <w:rFonts w:cs="Segoe UI"/>
          <w:b/>
          <w:bCs/>
          <w:szCs w:val="22"/>
        </w:rPr>
        <w:t xml:space="preserve"> we</w:t>
      </w:r>
      <w:r w:rsidR="00DB3786" w:rsidRPr="009178AA">
        <w:rPr>
          <w:rFonts w:cs="Segoe UI"/>
          <w:b/>
          <w:bCs/>
          <w:szCs w:val="22"/>
        </w:rPr>
        <w:t xml:space="preserve"> did not introduce </w:t>
      </w:r>
      <w:proofErr w:type="gramStart"/>
      <w:r w:rsidR="00DB3786" w:rsidRPr="009178AA">
        <w:rPr>
          <w:rFonts w:cs="Segoe UI"/>
          <w:b/>
          <w:bCs/>
          <w:szCs w:val="22"/>
        </w:rPr>
        <w:t>short-time</w:t>
      </w:r>
      <w:proofErr w:type="gramEnd"/>
      <w:r w:rsidR="00DB3786" w:rsidRPr="009178AA">
        <w:rPr>
          <w:rFonts w:cs="Segoe UI"/>
          <w:b/>
          <w:bCs/>
          <w:szCs w:val="22"/>
        </w:rPr>
        <w:t xml:space="preserve"> working</w:t>
      </w:r>
      <w:r w:rsidR="00AE5532">
        <w:rPr>
          <w:rFonts w:cs="Segoe UI"/>
          <w:b/>
          <w:bCs/>
          <w:szCs w:val="22"/>
        </w:rPr>
        <w:t xml:space="preserve">, </w:t>
      </w:r>
      <w:r w:rsidR="0086088F" w:rsidRPr="008E0A04">
        <w:rPr>
          <w:rFonts w:cs="Segoe UI"/>
          <w:b/>
          <w:bCs/>
          <w:szCs w:val="22"/>
        </w:rPr>
        <w:t>appl</w:t>
      </w:r>
      <w:r w:rsidR="008E0A04" w:rsidRPr="008E0A04">
        <w:rPr>
          <w:rFonts w:cs="Segoe UI"/>
          <w:b/>
          <w:bCs/>
          <w:szCs w:val="22"/>
        </w:rPr>
        <w:t xml:space="preserve">y </w:t>
      </w:r>
      <w:r w:rsidR="0086088F" w:rsidRPr="008E0A04">
        <w:rPr>
          <w:rFonts w:cs="Segoe UI"/>
          <w:b/>
          <w:bCs/>
          <w:szCs w:val="22"/>
        </w:rPr>
        <w:t>for government aid</w:t>
      </w:r>
      <w:r w:rsidR="00DB3786" w:rsidRPr="009178AA">
        <w:rPr>
          <w:rFonts w:cs="Segoe UI"/>
          <w:b/>
          <w:bCs/>
          <w:szCs w:val="22"/>
        </w:rPr>
        <w:t xml:space="preserve"> </w:t>
      </w:r>
      <w:r w:rsidR="00DB3786">
        <w:rPr>
          <w:rFonts w:cs="Segoe UI"/>
          <w:b/>
          <w:bCs/>
          <w:szCs w:val="22"/>
        </w:rPr>
        <w:t xml:space="preserve">or reduce our </w:t>
      </w:r>
      <w:r w:rsidR="00DB3786">
        <w:rPr>
          <w:rFonts w:cs="Segoe UI"/>
          <w:b/>
          <w:bCs/>
          <w:szCs w:val="22"/>
        </w:rPr>
        <w:lastRenderedPageBreak/>
        <w:t xml:space="preserve">workforce due to the </w:t>
      </w:r>
      <w:r w:rsidR="00B54885">
        <w:rPr>
          <w:rFonts w:cs="Segoe UI"/>
          <w:b/>
          <w:bCs/>
          <w:szCs w:val="22"/>
        </w:rPr>
        <w:t>pandemic</w:t>
      </w:r>
      <w:r w:rsidR="00DB3786" w:rsidRPr="009178AA">
        <w:rPr>
          <w:rFonts w:cs="Segoe UI"/>
          <w:b/>
          <w:bCs/>
          <w:szCs w:val="22"/>
        </w:rPr>
        <w:t>.</w:t>
      </w:r>
      <w:r w:rsidR="00DB3786" w:rsidRPr="00E41377">
        <w:rPr>
          <w:rFonts w:cs="Segoe UI"/>
          <w:b/>
          <w:bCs/>
          <w:szCs w:val="22"/>
        </w:rPr>
        <w:t xml:space="preserve"> </w:t>
      </w:r>
      <w:r w:rsidR="00DB3786">
        <w:rPr>
          <w:rFonts w:cs="Segoe UI"/>
          <w:b/>
          <w:bCs/>
          <w:szCs w:val="22"/>
        </w:rPr>
        <w:t>In summary, we delivered an overall robust performance in an exceptionally challenging environment,</w:t>
      </w:r>
      <w:r w:rsidR="00813492" w:rsidRPr="00846017">
        <w:rPr>
          <w:rFonts w:cs="Segoe UI"/>
          <w:b/>
          <w:bCs/>
          <w:szCs w:val="22"/>
        </w:rPr>
        <w:t>” said Henkel CEO Carsten Knobel.</w:t>
      </w:r>
    </w:p>
    <w:p w14:paraId="74DCD38C" w14:textId="43CFC8BF" w:rsidR="007F0F63" w:rsidRPr="00846017" w:rsidRDefault="007F0F63" w:rsidP="00643D8A">
      <w:pPr>
        <w:rPr>
          <w:rFonts w:cs="Segoe UI"/>
          <w:szCs w:val="22"/>
        </w:rPr>
      </w:pPr>
    </w:p>
    <w:p w14:paraId="3961B889" w14:textId="745D353E" w:rsidR="00846017" w:rsidRPr="00846017" w:rsidRDefault="00846017" w:rsidP="00846017">
      <w:pPr>
        <w:rPr>
          <w:rFonts w:cs="Segoe UI"/>
          <w:b/>
          <w:bCs/>
          <w:szCs w:val="22"/>
        </w:rPr>
      </w:pPr>
      <w:r w:rsidRPr="00846017">
        <w:rPr>
          <w:rFonts w:cs="Segoe UI"/>
          <w:b/>
          <w:bCs/>
          <w:szCs w:val="22"/>
        </w:rPr>
        <w:t xml:space="preserve">Henkel recorded sales of </w:t>
      </w:r>
      <w:r w:rsidR="00233D04" w:rsidRPr="00233D04">
        <w:rPr>
          <w:rFonts w:cs="Segoe UI"/>
          <w:b/>
          <w:bCs/>
          <w:szCs w:val="22"/>
        </w:rPr>
        <w:t>9</w:t>
      </w:r>
      <w:r w:rsidR="000510FC" w:rsidRPr="00233D04">
        <w:rPr>
          <w:rFonts w:cs="Segoe UI"/>
          <w:b/>
          <w:bCs/>
          <w:szCs w:val="22"/>
        </w:rPr>
        <w:t>,</w:t>
      </w:r>
      <w:r w:rsidR="00233D04">
        <w:rPr>
          <w:rFonts w:cs="Segoe UI"/>
          <w:b/>
          <w:bCs/>
          <w:szCs w:val="22"/>
        </w:rPr>
        <w:t>485 m</w:t>
      </w:r>
      <w:r w:rsidRPr="00846017">
        <w:rPr>
          <w:rFonts w:cs="Segoe UI"/>
          <w:b/>
          <w:bCs/>
          <w:szCs w:val="22"/>
        </w:rPr>
        <w:t xml:space="preserve">illion euros in the first half of 2020. This is a decline of </w:t>
      </w:r>
      <w:r w:rsidR="00D64EA0">
        <w:rPr>
          <w:rFonts w:cs="Segoe UI"/>
          <w:b/>
          <w:bCs/>
          <w:szCs w:val="22"/>
        </w:rPr>
        <w:br/>
      </w:r>
      <w:r w:rsidRPr="00D64EA0">
        <w:rPr>
          <w:rFonts w:cs="Segoe UI"/>
          <w:b/>
          <w:bCs/>
          <w:szCs w:val="22"/>
        </w:rPr>
        <w:t>-</w:t>
      </w:r>
      <w:r w:rsidR="00233D04">
        <w:rPr>
          <w:rFonts w:cs="Segoe UI"/>
          <w:b/>
          <w:bCs/>
          <w:szCs w:val="22"/>
        </w:rPr>
        <w:t>6.0</w:t>
      </w:r>
      <w:r w:rsidRPr="00846017">
        <w:rPr>
          <w:rFonts w:cs="Segoe UI"/>
          <w:b/>
          <w:bCs/>
          <w:szCs w:val="22"/>
        </w:rPr>
        <w:t xml:space="preserve"> percent in nominal terms and </w:t>
      </w:r>
      <w:r w:rsidRPr="00D64EA0">
        <w:rPr>
          <w:rFonts w:cs="Segoe UI"/>
          <w:b/>
          <w:bCs/>
          <w:szCs w:val="22"/>
        </w:rPr>
        <w:t>-</w:t>
      </w:r>
      <w:r w:rsidR="00233D04">
        <w:rPr>
          <w:rFonts w:cs="Segoe UI"/>
          <w:b/>
          <w:bCs/>
          <w:szCs w:val="22"/>
        </w:rPr>
        <w:t>5.2</w:t>
      </w:r>
      <w:r w:rsidRPr="00846017">
        <w:rPr>
          <w:rFonts w:cs="Segoe UI"/>
          <w:b/>
          <w:bCs/>
          <w:szCs w:val="22"/>
        </w:rPr>
        <w:t xml:space="preserve"> percent in organic terms compared to the first </w:t>
      </w:r>
      <w:r w:rsidRPr="007B58C6">
        <w:rPr>
          <w:rFonts w:cs="Segoe UI"/>
          <w:b/>
          <w:bCs/>
          <w:szCs w:val="22"/>
        </w:rPr>
        <w:t xml:space="preserve">half of the prior year. Henkel also achieved an </w:t>
      </w:r>
      <w:r w:rsidR="005E3FBB">
        <w:rPr>
          <w:rFonts w:cs="Segoe UI"/>
          <w:b/>
          <w:bCs/>
          <w:szCs w:val="22"/>
        </w:rPr>
        <w:t xml:space="preserve">adjusted </w:t>
      </w:r>
      <w:r w:rsidRPr="007B58C6">
        <w:rPr>
          <w:rFonts w:cs="Segoe UI"/>
          <w:b/>
          <w:bCs/>
          <w:szCs w:val="22"/>
        </w:rPr>
        <w:t xml:space="preserve">operating profit of </w:t>
      </w:r>
      <w:r w:rsidR="00233D04" w:rsidRPr="007B58C6">
        <w:rPr>
          <w:rFonts w:cs="Segoe UI"/>
          <w:b/>
          <w:bCs/>
          <w:szCs w:val="22"/>
        </w:rPr>
        <w:t>1,1</w:t>
      </w:r>
      <w:r w:rsidR="00E41377">
        <w:rPr>
          <w:rFonts w:cs="Segoe UI"/>
          <w:b/>
          <w:bCs/>
          <w:szCs w:val="22"/>
        </w:rPr>
        <w:t>91</w:t>
      </w:r>
      <w:r w:rsidRPr="007B58C6">
        <w:rPr>
          <w:rFonts w:cs="Segoe UI"/>
          <w:b/>
          <w:bCs/>
          <w:szCs w:val="22"/>
        </w:rPr>
        <w:t xml:space="preserve"> million euros in the first six months of 2020, -</w:t>
      </w:r>
      <w:r w:rsidR="007B58C6">
        <w:rPr>
          <w:rFonts w:cs="Segoe UI"/>
          <w:b/>
          <w:bCs/>
          <w:szCs w:val="22"/>
        </w:rPr>
        <w:t>27.</w:t>
      </w:r>
      <w:r w:rsidR="005E3FBB">
        <w:rPr>
          <w:rFonts w:cs="Segoe UI"/>
          <w:b/>
          <w:bCs/>
          <w:szCs w:val="22"/>
        </w:rPr>
        <w:t>5</w:t>
      </w:r>
      <w:r w:rsidR="005E3FBB" w:rsidRPr="007B58C6">
        <w:rPr>
          <w:rFonts w:cs="Segoe UI"/>
          <w:b/>
          <w:bCs/>
          <w:szCs w:val="22"/>
        </w:rPr>
        <w:t xml:space="preserve"> </w:t>
      </w:r>
      <w:r w:rsidRPr="007B58C6">
        <w:rPr>
          <w:rFonts w:cs="Segoe UI"/>
          <w:b/>
          <w:bCs/>
          <w:szCs w:val="22"/>
        </w:rPr>
        <w:t xml:space="preserve">percent below the prior year. The </w:t>
      </w:r>
      <w:r w:rsidR="005E3FBB">
        <w:rPr>
          <w:rFonts w:cs="Segoe UI"/>
          <w:b/>
          <w:bCs/>
          <w:szCs w:val="22"/>
        </w:rPr>
        <w:t xml:space="preserve">adjusted </w:t>
      </w:r>
      <w:r w:rsidRPr="007B58C6">
        <w:rPr>
          <w:rFonts w:cs="Segoe UI"/>
          <w:b/>
          <w:bCs/>
          <w:szCs w:val="22"/>
        </w:rPr>
        <w:t xml:space="preserve">EBIT margin was at </w:t>
      </w:r>
      <w:r w:rsidR="00233D04" w:rsidRPr="007B58C6">
        <w:rPr>
          <w:rFonts w:cs="Segoe UI"/>
          <w:b/>
          <w:bCs/>
          <w:szCs w:val="22"/>
        </w:rPr>
        <w:t>12</w:t>
      </w:r>
      <w:r w:rsidRPr="007B58C6">
        <w:rPr>
          <w:rFonts w:cs="Segoe UI"/>
          <w:b/>
          <w:bCs/>
          <w:szCs w:val="22"/>
        </w:rPr>
        <w:t>.</w:t>
      </w:r>
      <w:r w:rsidR="00E41377">
        <w:rPr>
          <w:rFonts w:cs="Segoe UI"/>
          <w:b/>
          <w:bCs/>
          <w:szCs w:val="22"/>
        </w:rPr>
        <w:t>6</w:t>
      </w:r>
      <w:r w:rsidRPr="007B58C6">
        <w:rPr>
          <w:rFonts w:cs="Segoe UI"/>
          <w:b/>
          <w:bCs/>
          <w:szCs w:val="22"/>
        </w:rPr>
        <w:t xml:space="preserve"> percent, -</w:t>
      </w:r>
      <w:r w:rsidR="00233D04" w:rsidRPr="007B58C6">
        <w:rPr>
          <w:rFonts w:cs="Segoe UI"/>
          <w:b/>
          <w:bCs/>
          <w:szCs w:val="22"/>
        </w:rPr>
        <w:t>3</w:t>
      </w:r>
      <w:r w:rsidR="00E41377">
        <w:rPr>
          <w:rFonts w:cs="Segoe UI"/>
          <w:b/>
          <w:bCs/>
          <w:szCs w:val="22"/>
        </w:rPr>
        <w:t>7</w:t>
      </w:r>
      <w:r w:rsidR="00233D04" w:rsidRPr="007B58C6">
        <w:rPr>
          <w:rFonts w:cs="Segoe UI"/>
          <w:b/>
          <w:bCs/>
          <w:szCs w:val="22"/>
        </w:rPr>
        <w:t>0</w:t>
      </w:r>
      <w:r w:rsidRPr="007B58C6">
        <w:rPr>
          <w:rFonts w:cs="Segoe UI"/>
          <w:b/>
          <w:bCs/>
          <w:szCs w:val="22"/>
        </w:rPr>
        <w:t xml:space="preserve"> basis points lower than in the prior-year period.</w:t>
      </w:r>
    </w:p>
    <w:p w14:paraId="74F11F3B" w14:textId="0DDA2320" w:rsidR="00846017" w:rsidRPr="00846017" w:rsidRDefault="00846017" w:rsidP="00846017">
      <w:pPr>
        <w:rPr>
          <w:rFonts w:cs="Segoe UI"/>
          <w:b/>
          <w:bCs/>
          <w:szCs w:val="22"/>
        </w:rPr>
      </w:pPr>
    </w:p>
    <w:p w14:paraId="614814DD" w14:textId="5F6835AA" w:rsidR="00846017" w:rsidRPr="00846017" w:rsidRDefault="00846017" w:rsidP="00846017">
      <w:pPr>
        <w:rPr>
          <w:rFonts w:cs="Segoe UI"/>
          <w:b/>
          <w:bCs/>
          <w:szCs w:val="22"/>
        </w:rPr>
      </w:pPr>
      <w:proofErr w:type="gramStart"/>
      <w:r w:rsidRPr="00846017">
        <w:rPr>
          <w:rFonts w:cs="Segoe UI"/>
          <w:b/>
          <w:bCs/>
          <w:szCs w:val="22"/>
        </w:rPr>
        <w:t>In the course of</w:t>
      </w:r>
      <w:proofErr w:type="gramEnd"/>
      <w:r w:rsidRPr="00846017">
        <w:rPr>
          <w:rFonts w:cs="Segoe UI"/>
          <w:b/>
          <w:bCs/>
          <w:szCs w:val="22"/>
        </w:rPr>
        <w:t xml:space="preserve"> the first six months, Adhesive Technologies was impacted primarily by significantly declining demand from key customer industries. Beauty Care performance was affected mostly by the significantly negative Hair Salon business, driven by the salon closures enforced in numerous countries. </w:t>
      </w:r>
      <w:r w:rsidR="0064107F" w:rsidRPr="00846017">
        <w:rPr>
          <w:rFonts w:cs="Segoe UI"/>
          <w:b/>
          <w:bCs/>
          <w:szCs w:val="22"/>
        </w:rPr>
        <w:t>Laundry &amp; Home Care</w:t>
      </w:r>
      <w:r w:rsidR="0064107F">
        <w:rPr>
          <w:rFonts w:cs="Segoe UI"/>
          <w:b/>
          <w:bCs/>
          <w:szCs w:val="22"/>
        </w:rPr>
        <w:t xml:space="preserve"> showed a very strong</w:t>
      </w:r>
      <w:r w:rsidR="0064107F" w:rsidRPr="00846017">
        <w:rPr>
          <w:rFonts w:cs="Segoe UI"/>
          <w:b/>
          <w:bCs/>
          <w:szCs w:val="22"/>
        </w:rPr>
        <w:t xml:space="preserve"> development</w:t>
      </w:r>
      <w:r w:rsidR="0064107F">
        <w:rPr>
          <w:rFonts w:cs="Segoe UI"/>
          <w:b/>
          <w:bCs/>
          <w:szCs w:val="22"/>
        </w:rPr>
        <w:t>, also supported by a</w:t>
      </w:r>
      <w:r w:rsidRPr="00846017">
        <w:rPr>
          <w:rFonts w:cs="Segoe UI"/>
          <w:b/>
          <w:bCs/>
          <w:szCs w:val="22"/>
        </w:rPr>
        <w:t xml:space="preserve"> surge in demand for clean</w:t>
      </w:r>
      <w:r w:rsidR="00FE34B3">
        <w:rPr>
          <w:rFonts w:cs="Segoe UI"/>
          <w:b/>
          <w:bCs/>
          <w:szCs w:val="22"/>
        </w:rPr>
        <w:t>ing products</w:t>
      </w:r>
      <w:r w:rsidR="0064107F">
        <w:rPr>
          <w:rFonts w:cs="Segoe UI"/>
          <w:b/>
          <w:bCs/>
          <w:szCs w:val="22"/>
        </w:rPr>
        <w:t>.</w:t>
      </w:r>
    </w:p>
    <w:p w14:paraId="25555AFF" w14:textId="2545F4A0" w:rsidR="00846017" w:rsidRPr="00846017" w:rsidRDefault="00846017" w:rsidP="00846017">
      <w:pPr>
        <w:rPr>
          <w:rFonts w:cs="Segoe UI"/>
          <w:b/>
          <w:bCs/>
          <w:szCs w:val="22"/>
        </w:rPr>
      </w:pPr>
    </w:p>
    <w:p w14:paraId="03299EDE" w14:textId="1BAE1EE2" w:rsidR="0064107F" w:rsidRPr="00846017" w:rsidRDefault="00846017" w:rsidP="0064107F">
      <w:pPr>
        <w:rPr>
          <w:rFonts w:cs="Segoe UI"/>
          <w:b/>
          <w:bCs/>
          <w:szCs w:val="22"/>
        </w:rPr>
      </w:pPr>
      <w:r w:rsidRPr="00846017">
        <w:rPr>
          <w:rFonts w:cs="Segoe UI"/>
          <w:b/>
          <w:bCs/>
          <w:szCs w:val="22"/>
        </w:rPr>
        <w:t xml:space="preserve">“Given the continued uncertainties, </w:t>
      </w:r>
      <w:r w:rsidR="00EC0E64">
        <w:rPr>
          <w:rFonts w:cs="Segoe UI"/>
          <w:b/>
          <w:bCs/>
          <w:szCs w:val="22"/>
        </w:rPr>
        <w:t xml:space="preserve">however </w:t>
      </w:r>
      <w:r w:rsidRPr="00846017">
        <w:rPr>
          <w:rFonts w:cs="Segoe UI"/>
          <w:b/>
          <w:bCs/>
          <w:szCs w:val="22"/>
        </w:rPr>
        <w:t xml:space="preserve">we cannot provide a new and </w:t>
      </w:r>
      <w:r w:rsidR="00B54885" w:rsidRPr="00846017">
        <w:rPr>
          <w:rFonts w:cs="Segoe UI"/>
          <w:b/>
          <w:bCs/>
          <w:szCs w:val="22"/>
        </w:rPr>
        <w:t>relia</w:t>
      </w:r>
      <w:r w:rsidR="00B54885">
        <w:rPr>
          <w:rFonts w:cs="Segoe UI"/>
          <w:b/>
          <w:bCs/>
          <w:szCs w:val="22"/>
        </w:rPr>
        <w:t>ble</w:t>
      </w:r>
      <w:r w:rsidRPr="00846017">
        <w:rPr>
          <w:rFonts w:cs="Segoe UI"/>
          <w:b/>
          <w:bCs/>
          <w:szCs w:val="22"/>
        </w:rPr>
        <w:t xml:space="preserve"> outlook for the full-year at this point in time</w:t>
      </w:r>
      <w:r w:rsidR="0064107F">
        <w:rPr>
          <w:rFonts w:cs="Segoe UI"/>
          <w:b/>
          <w:bCs/>
          <w:szCs w:val="22"/>
        </w:rPr>
        <w:t>,”</w:t>
      </w:r>
      <w:r w:rsidR="0064107F" w:rsidRPr="0064107F">
        <w:rPr>
          <w:rFonts w:cs="Segoe UI"/>
          <w:b/>
          <w:bCs/>
          <w:szCs w:val="22"/>
        </w:rPr>
        <w:t xml:space="preserve"> </w:t>
      </w:r>
      <w:r w:rsidR="0064107F" w:rsidRPr="00846017">
        <w:rPr>
          <w:rFonts w:cs="Segoe UI"/>
          <w:b/>
          <w:bCs/>
          <w:szCs w:val="22"/>
        </w:rPr>
        <w:t>said Carsten Knobel.</w:t>
      </w:r>
      <w:r w:rsidR="0064107F">
        <w:rPr>
          <w:rFonts w:cs="Segoe UI"/>
          <w:b/>
          <w:bCs/>
          <w:szCs w:val="22"/>
        </w:rPr>
        <w:t xml:space="preserve"> </w:t>
      </w:r>
    </w:p>
    <w:p w14:paraId="0856CCF5" w14:textId="23EFA747" w:rsidR="00846017" w:rsidRPr="00846017" w:rsidRDefault="00846017" w:rsidP="00846017">
      <w:pPr>
        <w:rPr>
          <w:rFonts w:cs="Segoe UI"/>
          <w:b/>
          <w:bCs/>
          <w:szCs w:val="22"/>
        </w:rPr>
      </w:pPr>
    </w:p>
    <w:p w14:paraId="05017BC5" w14:textId="1C6C69DB" w:rsidR="00846017" w:rsidRPr="00846017" w:rsidRDefault="00846017" w:rsidP="00846017">
      <w:pPr>
        <w:rPr>
          <w:rFonts w:cs="Segoe UI"/>
          <w:b/>
          <w:bCs/>
          <w:szCs w:val="22"/>
        </w:rPr>
      </w:pPr>
      <w:r w:rsidRPr="00846017">
        <w:rPr>
          <w:rFonts w:cs="Segoe UI"/>
          <w:b/>
          <w:bCs/>
          <w:szCs w:val="22"/>
        </w:rPr>
        <w:t xml:space="preserve">“As we are managing the current crisis, we remain fully dedicated to our ambitious growth agenda for the coming years. </w:t>
      </w:r>
      <w:r w:rsidR="00C44489">
        <w:rPr>
          <w:rFonts w:cs="Segoe UI"/>
          <w:b/>
          <w:bCs/>
          <w:szCs w:val="22"/>
        </w:rPr>
        <w:t>W</w:t>
      </w:r>
      <w:r w:rsidRPr="00846017">
        <w:rPr>
          <w:rFonts w:cs="Segoe UI"/>
          <w:b/>
          <w:bCs/>
          <w:szCs w:val="22"/>
        </w:rPr>
        <w:t>e started first initiatives in line with our new strategic framework and will continue to actively drive the implementation of our agenda for purposeful growth.”</w:t>
      </w:r>
    </w:p>
    <w:p w14:paraId="57460F2B" w14:textId="35C0DAA2" w:rsidR="00846017" w:rsidRDefault="00846017" w:rsidP="00846017">
      <w:pPr>
        <w:rPr>
          <w:rFonts w:asciiTheme="majorHAnsi" w:hAnsiTheme="majorHAnsi" w:cstheme="majorHAnsi"/>
          <w:b/>
          <w:bCs/>
          <w:szCs w:val="22"/>
        </w:rPr>
      </w:pPr>
    </w:p>
    <w:p w14:paraId="5314F025" w14:textId="4BC12A9D" w:rsidR="00846017" w:rsidRPr="00846017" w:rsidRDefault="00846017" w:rsidP="00846017">
      <w:pPr>
        <w:spacing w:after="120"/>
        <w:rPr>
          <w:rFonts w:cs="Segoe UI"/>
          <w:b/>
          <w:bCs/>
          <w:szCs w:val="22"/>
          <w:lang w:eastAsia="de-DE"/>
        </w:rPr>
      </w:pPr>
      <w:r w:rsidRPr="00846017">
        <w:rPr>
          <w:rFonts w:cs="Segoe UI"/>
          <w:b/>
          <w:bCs/>
          <w:szCs w:val="22"/>
        </w:rPr>
        <w:t xml:space="preserve">Group </w:t>
      </w:r>
      <w:r w:rsidRPr="00846017">
        <w:rPr>
          <w:rFonts w:cs="Segoe UI"/>
          <w:b/>
          <w:bCs/>
          <w:szCs w:val="22"/>
          <w:lang w:eastAsia="de-DE"/>
        </w:rPr>
        <w:t xml:space="preserve">sales and earnings performance in </w:t>
      </w:r>
      <w:r w:rsidR="00A05F11">
        <w:rPr>
          <w:rFonts w:cs="Segoe UI"/>
          <w:b/>
          <w:bCs/>
          <w:szCs w:val="22"/>
          <w:lang w:eastAsia="de-DE"/>
        </w:rPr>
        <w:t xml:space="preserve">the </w:t>
      </w:r>
      <w:r w:rsidRPr="00846017">
        <w:rPr>
          <w:rFonts w:cs="Segoe UI"/>
          <w:b/>
          <w:bCs/>
          <w:szCs w:val="22"/>
          <w:lang w:eastAsia="de-DE"/>
        </w:rPr>
        <w:t>first half of 2020</w:t>
      </w:r>
    </w:p>
    <w:p w14:paraId="654D99C6" w14:textId="58288284" w:rsidR="00846017" w:rsidRPr="008E0A04" w:rsidRDefault="00846017" w:rsidP="00846017">
      <w:pPr>
        <w:rPr>
          <w:rFonts w:cs="Segoe UI"/>
          <w:szCs w:val="22"/>
        </w:rPr>
      </w:pPr>
      <w:r w:rsidRPr="008E0A04">
        <w:rPr>
          <w:rFonts w:cs="Segoe UI"/>
          <w:szCs w:val="22"/>
        </w:rPr>
        <w:t xml:space="preserve">At </w:t>
      </w:r>
      <w:r w:rsidR="00233D04" w:rsidRPr="008E0A04">
        <w:rPr>
          <w:rFonts w:cs="Segoe UI"/>
          <w:szCs w:val="22"/>
        </w:rPr>
        <w:t>9,485</w:t>
      </w:r>
      <w:r w:rsidRPr="008E0A04">
        <w:rPr>
          <w:rFonts w:cs="Segoe UI"/>
          <w:szCs w:val="22"/>
        </w:rPr>
        <w:t xml:space="preserve"> million euros, Henkel Group </w:t>
      </w:r>
      <w:r w:rsidRPr="008E0A04">
        <w:rPr>
          <w:rFonts w:cs="Segoe UI"/>
          <w:b/>
          <w:bCs/>
          <w:szCs w:val="22"/>
        </w:rPr>
        <w:t>sales</w:t>
      </w:r>
      <w:r w:rsidRPr="008E0A04">
        <w:rPr>
          <w:rFonts w:cs="Segoe UI"/>
          <w:szCs w:val="22"/>
        </w:rPr>
        <w:t xml:space="preserve"> in the first half of 2020 were </w:t>
      </w:r>
      <w:r w:rsidR="005E3FBB" w:rsidRPr="008E0A04">
        <w:rPr>
          <w:rFonts w:cs="Segoe UI"/>
          <w:szCs w:val="22"/>
        </w:rPr>
        <w:t>-</w:t>
      </w:r>
      <w:r w:rsidR="00233D04" w:rsidRPr="008E0A04">
        <w:rPr>
          <w:rFonts w:cs="Segoe UI"/>
          <w:szCs w:val="22"/>
        </w:rPr>
        <w:t>6.0</w:t>
      </w:r>
      <w:r w:rsidRPr="008E0A04">
        <w:rPr>
          <w:rFonts w:cs="Segoe UI"/>
          <w:szCs w:val="22"/>
        </w:rPr>
        <w:t xml:space="preserve"> percent below the prior-year period (Q2: </w:t>
      </w:r>
      <w:r w:rsidR="0040386D" w:rsidRPr="008E0A04">
        <w:rPr>
          <w:rFonts w:cs="Segoe UI"/>
          <w:szCs w:val="22"/>
        </w:rPr>
        <w:t>4,558</w:t>
      </w:r>
      <w:r w:rsidRPr="008E0A04">
        <w:rPr>
          <w:rFonts w:cs="Segoe UI"/>
          <w:szCs w:val="22"/>
        </w:rPr>
        <w:t xml:space="preserve"> million euros; -</w:t>
      </w:r>
      <w:r w:rsidR="006C33BE" w:rsidRPr="008E0A04">
        <w:rPr>
          <w:rFonts w:cs="Segoe UI"/>
          <w:szCs w:val="22"/>
        </w:rPr>
        <w:t>11.0</w:t>
      </w:r>
      <w:r w:rsidRPr="008E0A04">
        <w:rPr>
          <w:rFonts w:cs="Segoe UI"/>
          <w:szCs w:val="22"/>
        </w:rPr>
        <w:t xml:space="preserve"> percent). </w:t>
      </w:r>
      <w:r w:rsidRPr="008E0A04">
        <w:rPr>
          <w:rFonts w:cs="Segoe UI"/>
          <w:b/>
          <w:bCs/>
          <w:szCs w:val="22"/>
        </w:rPr>
        <w:t>Organic</w:t>
      </w:r>
      <w:r w:rsidRPr="008E0A04">
        <w:rPr>
          <w:rFonts w:cs="Segoe UI"/>
          <w:szCs w:val="22"/>
        </w:rPr>
        <w:t xml:space="preserve"> sales, which exclude the impact of currency effects and acquisitions/divestments, showed a negative development of </w:t>
      </w:r>
      <w:r w:rsidR="005E3FBB" w:rsidRPr="008E0A04">
        <w:rPr>
          <w:rFonts w:cs="Segoe UI"/>
          <w:szCs w:val="22"/>
        </w:rPr>
        <w:br/>
      </w:r>
      <w:r w:rsidRPr="008E0A04">
        <w:rPr>
          <w:rFonts w:cs="Segoe UI"/>
          <w:szCs w:val="22"/>
        </w:rPr>
        <w:t>-</w:t>
      </w:r>
      <w:r w:rsidR="00233D04" w:rsidRPr="008E0A04">
        <w:rPr>
          <w:rFonts w:cs="Segoe UI"/>
          <w:szCs w:val="22"/>
        </w:rPr>
        <w:t>5.2</w:t>
      </w:r>
      <w:r w:rsidRPr="008E0A04">
        <w:rPr>
          <w:rFonts w:cs="Segoe UI"/>
          <w:szCs w:val="22"/>
        </w:rPr>
        <w:t xml:space="preserve"> percent (Q2: </w:t>
      </w:r>
      <w:r w:rsidR="005652E8" w:rsidRPr="008E0A04">
        <w:rPr>
          <w:rFonts w:cs="Segoe UI"/>
          <w:szCs w:val="22"/>
        </w:rPr>
        <w:t>-9.4</w:t>
      </w:r>
      <w:r w:rsidRPr="008E0A04">
        <w:rPr>
          <w:rFonts w:cs="Segoe UI"/>
          <w:szCs w:val="22"/>
        </w:rPr>
        <w:t xml:space="preserve"> percent). The contribution from acquisitions and divestments amounted to </w:t>
      </w:r>
      <w:r w:rsidR="00233D04" w:rsidRPr="008E0A04">
        <w:rPr>
          <w:rFonts w:cs="Segoe UI"/>
          <w:szCs w:val="22"/>
        </w:rPr>
        <w:t>0.3</w:t>
      </w:r>
      <w:r w:rsidRPr="008E0A04">
        <w:rPr>
          <w:rFonts w:cs="Segoe UI"/>
          <w:szCs w:val="22"/>
        </w:rPr>
        <w:t xml:space="preserve"> percent (Q2: </w:t>
      </w:r>
      <w:r w:rsidR="0040386D" w:rsidRPr="008E0A04">
        <w:rPr>
          <w:rFonts w:cs="Segoe UI"/>
          <w:szCs w:val="22"/>
        </w:rPr>
        <w:t>0.2</w:t>
      </w:r>
      <w:r w:rsidRPr="008E0A04">
        <w:rPr>
          <w:rFonts w:cs="Segoe UI"/>
          <w:szCs w:val="22"/>
        </w:rPr>
        <w:t xml:space="preserve"> percent). Currency effects had a </w:t>
      </w:r>
      <w:r w:rsidR="00233D04" w:rsidRPr="008E0A04">
        <w:rPr>
          <w:rFonts w:cs="Segoe UI"/>
          <w:szCs w:val="22"/>
        </w:rPr>
        <w:t>negative</w:t>
      </w:r>
      <w:r w:rsidRPr="008E0A04">
        <w:rPr>
          <w:rFonts w:cs="Segoe UI"/>
          <w:szCs w:val="22"/>
        </w:rPr>
        <w:t xml:space="preserve"> impact of </w:t>
      </w:r>
      <w:r w:rsidR="00233D04" w:rsidRPr="008E0A04">
        <w:rPr>
          <w:rFonts w:cs="Segoe UI"/>
          <w:szCs w:val="22"/>
        </w:rPr>
        <w:t>-1.1</w:t>
      </w:r>
      <w:r w:rsidRPr="008E0A04">
        <w:rPr>
          <w:rFonts w:cs="Segoe UI"/>
          <w:szCs w:val="22"/>
        </w:rPr>
        <w:t xml:space="preserve"> percent on sales (Q2: </w:t>
      </w:r>
      <w:r w:rsidR="0040386D" w:rsidRPr="008E0A04">
        <w:rPr>
          <w:rFonts w:cs="Segoe UI"/>
          <w:szCs w:val="22"/>
        </w:rPr>
        <w:t>-1.9</w:t>
      </w:r>
      <w:r w:rsidRPr="008E0A04">
        <w:rPr>
          <w:rFonts w:cs="Segoe UI"/>
          <w:szCs w:val="22"/>
        </w:rPr>
        <w:t xml:space="preserve"> percent).</w:t>
      </w:r>
    </w:p>
    <w:p w14:paraId="6D113511" w14:textId="50CB3B48" w:rsidR="00846017" w:rsidRPr="008E0A04" w:rsidRDefault="00846017" w:rsidP="00846017">
      <w:pPr>
        <w:rPr>
          <w:rFonts w:cs="Segoe UI"/>
          <w:b/>
          <w:bCs/>
          <w:szCs w:val="22"/>
        </w:rPr>
      </w:pPr>
    </w:p>
    <w:p w14:paraId="482DBBD8" w14:textId="36D074F3" w:rsidR="00846017" w:rsidRPr="008E0A04" w:rsidRDefault="00846017" w:rsidP="00846017">
      <w:pPr>
        <w:rPr>
          <w:rFonts w:cs="Segoe UI"/>
          <w:szCs w:val="22"/>
        </w:rPr>
      </w:pPr>
      <w:r w:rsidRPr="008E0A04">
        <w:rPr>
          <w:rFonts w:cs="Segoe UI"/>
          <w:b/>
          <w:bCs/>
          <w:szCs w:val="22"/>
        </w:rPr>
        <w:t>Emerging markets</w:t>
      </w:r>
      <w:r w:rsidRPr="008E0A04">
        <w:rPr>
          <w:rFonts w:cs="Segoe UI"/>
          <w:szCs w:val="22"/>
        </w:rPr>
        <w:t xml:space="preserve"> </w:t>
      </w:r>
      <w:r w:rsidR="00233D04" w:rsidRPr="008E0A04">
        <w:rPr>
          <w:rFonts w:cs="Segoe UI"/>
          <w:szCs w:val="22"/>
        </w:rPr>
        <w:t>showed</w:t>
      </w:r>
      <w:r w:rsidRPr="008E0A04">
        <w:rPr>
          <w:rFonts w:cs="Segoe UI"/>
          <w:szCs w:val="22"/>
        </w:rPr>
        <w:t xml:space="preserve"> an organic sales </w:t>
      </w:r>
      <w:r w:rsidR="00233D04" w:rsidRPr="008E0A04">
        <w:rPr>
          <w:rFonts w:cs="Segoe UI"/>
          <w:szCs w:val="22"/>
        </w:rPr>
        <w:t>development</w:t>
      </w:r>
      <w:r w:rsidRPr="008E0A04">
        <w:rPr>
          <w:rFonts w:cs="Segoe UI"/>
          <w:szCs w:val="22"/>
        </w:rPr>
        <w:t xml:space="preserve"> of </w:t>
      </w:r>
      <w:r w:rsidR="00233D04" w:rsidRPr="008E0A04">
        <w:rPr>
          <w:rFonts w:cs="Segoe UI"/>
          <w:szCs w:val="22"/>
        </w:rPr>
        <w:t>-2.6</w:t>
      </w:r>
      <w:r w:rsidRPr="008E0A04">
        <w:rPr>
          <w:rFonts w:cs="Segoe UI"/>
          <w:szCs w:val="22"/>
        </w:rPr>
        <w:t xml:space="preserve"> percent (Q2: </w:t>
      </w:r>
      <w:r w:rsidR="000301F0" w:rsidRPr="008E0A04">
        <w:rPr>
          <w:rFonts w:cs="Segoe UI"/>
          <w:szCs w:val="22"/>
        </w:rPr>
        <w:t>-7.1</w:t>
      </w:r>
      <w:r w:rsidRPr="008E0A04">
        <w:rPr>
          <w:rFonts w:cs="Segoe UI"/>
          <w:szCs w:val="22"/>
        </w:rPr>
        <w:t xml:space="preserve"> percent). </w:t>
      </w:r>
      <w:r w:rsidRPr="008E0A04">
        <w:rPr>
          <w:rFonts w:cs="Segoe UI"/>
          <w:b/>
          <w:bCs/>
          <w:szCs w:val="22"/>
        </w:rPr>
        <w:t>Mature markets</w:t>
      </w:r>
      <w:r w:rsidRPr="008E0A04">
        <w:rPr>
          <w:rFonts w:cs="Segoe UI"/>
          <w:szCs w:val="22"/>
        </w:rPr>
        <w:t xml:space="preserve"> showed a negative organic sales development of -</w:t>
      </w:r>
      <w:r w:rsidR="00B35967" w:rsidRPr="008E0A04">
        <w:rPr>
          <w:rFonts w:cs="Segoe UI"/>
          <w:szCs w:val="22"/>
        </w:rPr>
        <w:t>6.9</w:t>
      </w:r>
      <w:r w:rsidRPr="008E0A04">
        <w:rPr>
          <w:rFonts w:cs="Segoe UI"/>
          <w:szCs w:val="22"/>
        </w:rPr>
        <w:t xml:space="preserve"> percent </w:t>
      </w:r>
      <w:r w:rsidR="005E3FBB" w:rsidRPr="008E0A04">
        <w:rPr>
          <w:rFonts w:cs="Segoe UI"/>
          <w:szCs w:val="22"/>
        </w:rPr>
        <w:br/>
      </w:r>
      <w:r w:rsidRPr="008E0A04">
        <w:rPr>
          <w:rFonts w:cs="Segoe UI"/>
          <w:szCs w:val="22"/>
        </w:rPr>
        <w:t>(Q2:</w:t>
      </w:r>
      <w:r w:rsidR="005E3FBB" w:rsidRPr="008E0A04">
        <w:rPr>
          <w:rFonts w:cs="Segoe UI"/>
          <w:szCs w:val="22"/>
        </w:rPr>
        <w:t xml:space="preserve"> </w:t>
      </w:r>
      <w:r w:rsidR="000301F0" w:rsidRPr="008E0A04">
        <w:rPr>
          <w:rFonts w:cs="Segoe UI"/>
          <w:szCs w:val="22"/>
        </w:rPr>
        <w:t>-10.9</w:t>
      </w:r>
      <w:r w:rsidRPr="008E0A04">
        <w:rPr>
          <w:rFonts w:cs="Segoe UI"/>
          <w:szCs w:val="22"/>
        </w:rPr>
        <w:t xml:space="preserve"> percent).</w:t>
      </w:r>
    </w:p>
    <w:p w14:paraId="1D8C3240" w14:textId="2AAD5824" w:rsidR="00846017" w:rsidRPr="008E0A04" w:rsidRDefault="00846017" w:rsidP="00846017">
      <w:pPr>
        <w:rPr>
          <w:rFonts w:cs="Segoe UI"/>
          <w:szCs w:val="22"/>
        </w:rPr>
      </w:pPr>
    </w:p>
    <w:p w14:paraId="2670807E" w14:textId="3AA70DDD" w:rsidR="00846017" w:rsidRPr="008E0A04" w:rsidRDefault="00846017" w:rsidP="00846017">
      <w:pPr>
        <w:rPr>
          <w:rFonts w:cs="Segoe UI"/>
          <w:szCs w:val="22"/>
        </w:rPr>
      </w:pPr>
      <w:r w:rsidRPr="008E0A04">
        <w:rPr>
          <w:rFonts w:cs="Segoe UI"/>
          <w:szCs w:val="22"/>
        </w:rPr>
        <w:t xml:space="preserve">Half-year sales in </w:t>
      </w:r>
      <w:r w:rsidRPr="008E0A04">
        <w:rPr>
          <w:rFonts w:cs="Segoe UI"/>
          <w:b/>
          <w:bCs/>
          <w:szCs w:val="22"/>
        </w:rPr>
        <w:t>Western Europe</w:t>
      </w:r>
      <w:r w:rsidRPr="008E0A04">
        <w:rPr>
          <w:rFonts w:cs="Segoe UI"/>
          <w:szCs w:val="22"/>
        </w:rPr>
        <w:t xml:space="preserve"> showed a negative organic development of -</w:t>
      </w:r>
      <w:r w:rsidR="00233D04" w:rsidRPr="008E0A04">
        <w:rPr>
          <w:rFonts w:cs="Segoe UI"/>
          <w:szCs w:val="22"/>
        </w:rPr>
        <w:t>8.0</w:t>
      </w:r>
      <w:r w:rsidRPr="008E0A04">
        <w:rPr>
          <w:rFonts w:cs="Segoe UI"/>
          <w:szCs w:val="22"/>
        </w:rPr>
        <w:t xml:space="preserve"> percent (Q2: -</w:t>
      </w:r>
      <w:r w:rsidR="006C33BE" w:rsidRPr="008E0A04">
        <w:rPr>
          <w:rFonts w:cs="Segoe UI"/>
          <w:szCs w:val="22"/>
        </w:rPr>
        <w:t>11.6</w:t>
      </w:r>
      <w:r w:rsidRPr="008E0A04">
        <w:rPr>
          <w:rFonts w:cs="Segoe UI"/>
          <w:szCs w:val="22"/>
        </w:rPr>
        <w:t xml:space="preserve"> percent). </w:t>
      </w:r>
      <w:r w:rsidRPr="008E0A04">
        <w:rPr>
          <w:rFonts w:cs="Segoe UI"/>
          <w:b/>
          <w:bCs/>
          <w:szCs w:val="22"/>
        </w:rPr>
        <w:t>Eastern Europe</w:t>
      </w:r>
      <w:r w:rsidRPr="008E0A04">
        <w:rPr>
          <w:rFonts w:cs="Segoe UI"/>
          <w:szCs w:val="22"/>
        </w:rPr>
        <w:t xml:space="preserve"> achieved organic growth of </w:t>
      </w:r>
      <w:r w:rsidR="00233D04" w:rsidRPr="008E0A04">
        <w:rPr>
          <w:rFonts w:cs="Segoe UI"/>
          <w:szCs w:val="22"/>
        </w:rPr>
        <w:t>3.1</w:t>
      </w:r>
      <w:r w:rsidRPr="008E0A04">
        <w:rPr>
          <w:rFonts w:cs="Segoe UI"/>
          <w:szCs w:val="22"/>
        </w:rPr>
        <w:t xml:space="preserve"> percent (Q2: </w:t>
      </w:r>
      <w:r w:rsidR="006C33BE" w:rsidRPr="008E0A04">
        <w:rPr>
          <w:rFonts w:cs="Segoe UI"/>
          <w:szCs w:val="22"/>
        </w:rPr>
        <w:t>-3.8</w:t>
      </w:r>
      <w:r w:rsidRPr="008E0A04">
        <w:rPr>
          <w:rFonts w:cs="Segoe UI"/>
          <w:szCs w:val="22"/>
        </w:rPr>
        <w:t xml:space="preserve"> percent).</w:t>
      </w:r>
      <w:r w:rsidRPr="00846017">
        <w:rPr>
          <w:rFonts w:cs="Segoe UI"/>
          <w:szCs w:val="22"/>
        </w:rPr>
        <w:t xml:space="preserve"> </w:t>
      </w:r>
      <w:r w:rsidRPr="008E0A04">
        <w:rPr>
          <w:rFonts w:cs="Segoe UI"/>
          <w:szCs w:val="22"/>
        </w:rPr>
        <w:t xml:space="preserve">In </w:t>
      </w:r>
      <w:r w:rsidRPr="008E0A04">
        <w:rPr>
          <w:rFonts w:cs="Segoe UI"/>
          <w:b/>
          <w:bCs/>
          <w:szCs w:val="22"/>
        </w:rPr>
        <w:t>Africa/Middle East</w:t>
      </w:r>
      <w:r w:rsidRPr="008E0A04">
        <w:rPr>
          <w:rFonts w:cs="Segoe UI"/>
          <w:szCs w:val="22"/>
        </w:rPr>
        <w:t xml:space="preserve">, sales grew organically by </w:t>
      </w:r>
      <w:r w:rsidR="00233D04" w:rsidRPr="008E0A04">
        <w:rPr>
          <w:rFonts w:cs="Segoe UI"/>
          <w:szCs w:val="22"/>
        </w:rPr>
        <w:t>4.2</w:t>
      </w:r>
      <w:r w:rsidRPr="008E0A04">
        <w:rPr>
          <w:rFonts w:cs="Segoe UI"/>
          <w:szCs w:val="22"/>
        </w:rPr>
        <w:t xml:space="preserve"> percent (Q2: </w:t>
      </w:r>
      <w:r w:rsidR="006C33BE" w:rsidRPr="008E0A04">
        <w:rPr>
          <w:rFonts w:cs="Segoe UI"/>
          <w:szCs w:val="22"/>
        </w:rPr>
        <w:t>1.4</w:t>
      </w:r>
      <w:r w:rsidRPr="008E0A04">
        <w:rPr>
          <w:rFonts w:cs="Segoe UI"/>
          <w:szCs w:val="22"/>
        </w:rPr>
        <w:t xml:space="preserve"> percent). </w:t>
      </w:r>
      <w:r w:rsidRPr="008E0A04">
        <w:rPr>
          <w:rFonts w:cs="Segoe UI"/>
          <w:b/>
          <w:bCs/>
          <w:szCs w:val="22"/>
        </w:rPr>
        <w:t>North America</w:t>
      </w:r>
      <w:r w:rsidRPr="008E0A04">
        <w:rPr>
          <w:rFonts w:cs="Segoe UI"/>
          <w:szCs w:val="22"/>
        </w:rPr>
        <w:t xml:space="preserve"> </w:t>
      </w:r>
      <w:r w:rsidRPr="008E0A04">
        <w:rPr>
          <w:rFonts w:cs="Segoe UI"/>
          <w:szCs w:val="22"/>
        </w:rPr>
        <w:lastRenderedPageBreak/>
        <w:t>recorded organic sales development of -</w:t>
      </w:r>
      <w:r w:rsidR="00233D04" w:rsidRPr="008E0A04">
        <w:rPr>
          <w:rFonts w:cs="Segoe UI"/>
          <w:szCs w:val="22"/>
        </w:rPr>
        <w:t>6</w:t>
      </w:r>
      <w:r w:rsidRPr="008E0A04">
        <w:rPr>
          <w:rFonts w:cs="Segoe UI"/>
          <w:szCs w:val="22"/>
        </w:rPr>
        <w:t>.</w:t>
      </w:r>
      <w:r w:rsidR="00233D04" w:rsidRPr="008E0A04">
        <w:rPr>
          <w:rFonts w:cs="Segoe UI"/>
          <w:szCs w:val="22"/>
        </w:rPr>
        <w:t>4</w:t>
      </w:r>
      <w:r w:rsidRPr="008E0A04">
        <w:rPr>
          <w:rFonts w:cs="Segoe UI"/>
          <w:szCs w:val="22"/>
        </w:rPr>
        <w:t xml:space="preserve"> percent (Q2: -</w:t>
      </w:r>
      <w:r w:rsidR="006C33BE" w:rsidRPr="008E0A04">
        <w:rPr>
          <w:rFonts w:cs="Segoe UI"/>
          <w:szCs w:val="22"/>
        </w:rPr>
        <w:t>10.9</w:t>
      </w:r>
      <w:r w:rsidRPr="008E0A04">
        <w:rPr>
          <w:rFonts w:cs="Segoe UI"/>
          <w:szCs w:val="22"/>
        </w:rPr>
        <w:t xml:space="preserve"> percent). </w:t>
      </w:r>
      <w:r w:rsidRPr="008E0A04">
        <w:rPr>
          <w:rFonts w:cs="Segoe UI"/>
          <w:b/>
          <w:bCs/>
          <w:szCs w:val="22"/>
        </w:rPr>
        <w:t>Latin America</w:t>
      </w:r>
      <w:r w:rsidRPr="008E0A04">
        <w:rPr>
          <w:rFonts w:cs="Segoe UI"/>
          <w:szCs w:val="22"/>
        </w:rPr>
        <w:t xml:space="preserve"> </w:t>
      </w:r>
      <w:r w:rsidR="00233D04" w:rsidRPr="008E0A04">
        <w:rPr>
          <w:rFonts w:cs="Segoe UI"/>
          <w:szCs w:val="22"/>
        </w:rPr>
        <w:t>registered an</w:t>
      </w:r>
      <w:r w:rsidRPr="008E0A04">
        <w:rPr>
          <w:rFonts w:cs="Segoe UI"/>
          <w:szCs w:val="22"/>
        </w:rPr>
        <w:t xml:space="preserve"> organic </w:t>
      </w:r>
      <w:r w:rsidR="00233D04" w:rsidRPr="008E0A04">
        <w:rPr>
          <w:rFonts w:cs="Segoe UI"/>
          <w:szCs w:val="22"/>
        </w:rPr>
        <w:t xml:space="preserve">sales development </w:t>
      </w:r>
      <w:r w:rsidRPr="008E0A04">
        <w:rPr>
          <w:rFonts w:cs="Segoe UI"/>
          <w:szCs w:val="22"/>
        </w:rPr>
        <w:t>of -</w:t>
      </w:r>
      <w:r w:rsidR="00233D04" w:rsidRPr="008E0A04">
        <w:rPr>
          <w:rFonts w:cs="Segoe UI"/>
          <w:szCs w:val="22"/>
        </w:rPr>
        <w:t>11.4</w:t>
      </w:r>
      <w:r w:rsidRPr="008E0A04">
        <w:rPr>
          <w:rFonts w:cs="Segoe UI"/>
          <w:szCs w:val="22"/>
        </w:rPr>
        <w:t xml:space="preserve"> percent (Q2: </w:t>
      </w:r>
      <w:r w:rsidR="006C33BE" w:rsidRPr="008E0A04">
        <w:rPr>
          <w:rFonts w:cs="Segoe UI"/>
          <w:szCs w:val="22"/>
        </w:rPr>
        <w:t>-20.1</w:t>
      </w:r>
      <w:r w:rsidRPr="008E0A04">
        <w:rPr>
          <w:rFonts w:cs="Segoe UI"/>
          <w:szCs w:val="22"/>
        </w:rPr>
        <w:t xml:space="preserve"> percent). In the </w:t>
      </w:r>
      <w:r w:rsidRPr="008E0A04">
        <w:rPr>
          <w:rFonts w:cs="Segoe UI"/>
          <w:b/>
          <w:bCs/>
          <w:szCs w:val="22"/>
        </w:rPr>
        <w:t>Asia-Pacific</w:t>
      </w:r>
      <w:r w:rsidRPr="008E0A04">
        <w:rPr>
          <w:rFonts w:cs="Segoe UI"/>
          <w:szCs w:val="22"/>
        </w:rPr>
        <w:t xml:space="preserve"> region, sales decreased organically by -</w:t>
      </w:r>
      <w:r w:rsidR="00233D04" w:rsidRPr="008E0A04">
        <w:rPr>
          <w:rFonts w:cs="Segoe UI"/>
          <w:szCs w:val="22"/>
        </w:rPr>
        <w:t>6</w:t>
      </w:r>
      <w:r w:rsidRPr="008E0A04">
        <w:rPr>
          <w:rFonts w:cs="Segoe UI"/>
          <w:szCs w:val="22"/>
        </w:rPr>
        <w:t>.</w:t>
      </w:r>
      <w:r w:rsidR="00233D04" w:rsidRPr="008E0A04">
        <w:rPr>
          <w:rFonts w:cs="Segoe UI"/>
          <w:szCs w:val="22"/>
        </w:rPr>
        <w:t>4</w:t>
      </w:r>
      <w:r w:rsidRPr="008E0A04">
        <w:rPr>
          <w:rFonts w:cs="Segoe UI"/>
          <w:szCs w:val="22"/>
        </w:rPr>
        <w:t xml:space="preserve"> percent (Q2: </w:t>
      </w:r>
      <w:r w:rsidR="006C33BE" w:rsidRPr="008E0A04">
        <w:rPr>
          <w:rFonts w:cs="Segoe UI"/>
          <w:szCs w:val="22"/>
        </w:rPr>
        <w:t>-7.2</w:t>
      </w:r>
      <w:r w:rsidRPr="008E0A04">
        <w:rPr>
          <w:rFonts w:cs="Segoe UI"/>
          <w:szCs w:val="22"/>
        </w:rPr>
        <w:t xml:space="preserve"> percent).</w:t>
      </w:r>
    </w:p>
    <w:p w14:paraId="3715CFDC" w14:textId="77777777" w:rsidR="00D92179" w:rsidRPr="008E0A04" w:rsidRDefault="00D92179" w:rsidP="00846017">
      <w:pPr>
        <w:rPr>
          <w:rFonts w:cs="Segoe UI"/>
          <w:b/>
          <w:bCs/>
          <w:szCs w:val="22"/>
        </w:rPr>
      </w:pPr>
    </w:p>
    <w:p w14:paraId="644275BF" w14:textId="37B1331C" w:rsidR="00846017" w:rsidRPr="008E0A04" w:rsidRDefault="00846017" w:rsidP="00846017">
      <w:pPr>
        <w:rPr>
          <w:rFonts w:cs="Segoe UI"/>
          <w:szCs w:val="22"/>
        </w:rPr>
      </w:pPr>
      <w:r w:rsidRPr="008E0A04">
        <w:rPr>
          <w:rFonts w:cs="Segoe UI"/>
          <w:b/>
          <w:bCs/>
          <w:szCs w:val="22"/>
        </w:rPr>
        <w:t>Adjusted operating profit (</w:t>
      </w:r>
      <w:r w:rsidR="00A05F11">
        <w:rPr>
          <w:rFonts w:cs="Segoe UI"/>
          <w:b/>
          <w:bCs/>
          <w:szCs w:val="22"/>
        </w:rPr>
        <w:t>a</w:t>
      </w:r>
      <w:r w:rsidR="00A60529" w:rsidRPr="008E0A04">
        <w:rPr>
          <w:rFonts w:cs="Segoe UI"/>
          <w:b/>
          <w:bCs/>
          <w:szCs w:val="22"/>
        </w:rPr>
        <w:t xml:space="preserve">djusted </w:t>
      </w:r>
      <w:r w:rsidRPr="008E0A04">
        <w:rPr>
          <w:rFonts w:cs="Segoe UI"/>
          <w:b/>
          <w:bCs/>
          <w:szCs w:val="22"/>
        </w:rPr>
        <w:t>EBIT)</w:t>
      </w:r>
      <w:r w:rsidRPr="008E0A04">
        <w:rPr>
          <w:rFonts w:cs="Segoe UI"/>
          <w:szCs w:val="22"/>
        </w:rPr>
        <w:t xml:space="preserve"> decreased by -</w:t>
      </w:r>
      <w:r w:rsidR="007B58C6" w:rsidRPr="008E0A04">
        <w:rPr>
          <w:rFonts w:cs="Segoe UI"/>
          <w:szCs w:val="22"/>
        </w:rPr>
        <w:t>27.</w:t>
      </w:r>
      <w:r w:rsidR="005E3FBB" w:rsidRPr="008E0A04">
        <w:rPr>
          <w:rFonts w:cs="Segoe UI"/>
          <w:szCs w:val="22"/>
        </w:rPr>
        <w:t xml:space="preserve">5 </w:t>
      </w:r>
      <w:r w:rsidRPr="008E0A04">
        <w:rPr>
          <w:rFonts w:cs="Segoe UI"/>
          <w:szCs w:val="22"/>
        </w:rPr>
        <w:t xml:space="preserve">percent from 1,641 million euros in </w:t>
      </w:r>
      <w:r w:rsidR="00832633">
        <w:rPr>
          <w:rFonts w:cs="Segoe UI"/>
          <w:szCs w:val="22"/>
        </w:rPr>
        <w:t xml:space="preserve">the </w:t>
      </w:r>
      <w:r w:rsidRPr="008E0A04">
        <w:rPr>
          <w:rFonts w:cs="Segoe UI"/>
          <w:szCs w:val="22"/>
        </w:rPr>
        <w:t xml:space="preserve">first half of the previous year to </w:t>
      </w:r>
      <w:r w:rsidR="00233D04" w:rsidRPr="008E0A04">
        <w:rPr>
          <w:rFonts w:cs="Segoe UI"/>
          <w:szCs w:val="22"/>
        </w:rPr>
        <w:t>1,1</w:t>
      </w:r>
      <w:r w:rsidR="00126C65" w:rsidRPr="008E0A04">
        <w:rPr>
          <w:rFonts w:cs="Segoe UI"/>
          <w:szCs w:val="22"/>
        </w:rPr>
        <w:t>91</w:t>
      </w:r>
      <w:r w:rsidRPr="008E0A04">
        <w:rPr>
          <w:rFonts w:cs="Segoe UI"/>
          <w:szCs w:val="22"/>
        </w:rPr>
        <w:t xml:space="preserve"> million euros in 2020.</w:t>
      </w:r>
    </w:p>
    <w:p w14:paraId="64AC0311" w14:textId="77777777" w:rsidR="00846017" w:rsidRPr="008E0A04" w:rsidRDefault="00846017" w:rsidP="00846017">
      <w:pPr>
        <w:rPr>
          <w:rFonts w:cs="Segoe UI"/>
          <w:szCs w:val="22"/>
        </w:rPr>
      </w:pPr>
    </w:p>
    <w:p w14:paraId="35FE857C" w14:textId="642E80AF" w:rsidR="00846017" w:rsidRPr="00846017" w:rsidRDefault="00846017" w:rsidP="00846017">
      <w:pPr>
        <w:rPr>
          <w:rFonts w:cs="Segoe UI"/>
          <w:szCs w:val="22"/>
        </w:rPr>
      </w:pPr>
      <w:r w:rsidRPr="008E0A04">
        <w:rPr>
          <w:rFonts w:cs="Segoe UI"/>
          <w:b/>
          <w:bCs/>
          <w:szCs w:val="22"/>
        </w:rPr>
        <w:t>Adjusted return on sales (</w:t>
      </w:r>
      <w:r w:rsidR="00A05F11">
        <w:rPr>
          <w:rFonts w:cs="Segoe UI"/>
          <w:b/>
          <w:bCs/>
          <w:szCs w:val="22"/>
        </w:rPr>
        <w:t>a</w:t>
      </w:r>
      <w:r w:rsidR="00A60529" w:rsidRPr="008E0A04">
        <w:rPr>
          <w:rFonts w:cs="Segoe UI"/>
          <w:b/>
          <w:bCs/>
          <w:szCs w:val="22"/>
        </w:rPr>
        <w:t xml:space="preserve">djusted </w:t>
      </w:r>
      <w:r w:rsidRPr="008E0A04">
        <w:rPr>
          <w:rFonts w:cs="Segoe UI"/>
          <w:b/>
          <w:bCs/>
          <w:szCs w:val="22"/>
        </w:rPr>
        <w:t>EBIT</w:t>
      </w:r>
      <w:r w:rsidR="00A60529" w:rsidRPr="008E0A04">
        <w:rPr>
          <w:rFonts w:cs="Segoe UI"/>
          <w:b/>
          <w:bCs/>
          <w:szCs w:val="22"/>
        </w:rPr>
        <w:t xml:space="preserve"> margin</w:t>
      </w:r>
      <w:r w:rsidRPr="008E0A04">
        <w:rPr>
          <w:rFonts w:cs="Segoe UI"/>
          <w:b/>
          <w:bCs/>
          <w:szCs w:val="22"/>
        </w:rPr>
        <w:t>)</w:t>
      </w:r>
      <w:r w:rsidRPr="008E0A04">
        <w:rPr>
          <w:rFonts w:cs="Segoe UI"/>
          <w:szCs w:val="22"/>
        </w:rPr>
        <w:t xml:space="preserve"> in the first six months reached </w:t>
      </w:r>
      <w:r w:rsidR="00233D04" w:rsidRPr="008E0A04">
        <w:rPr>
          <w:rFonts w:cs="Segoe UI"/>
          <w:szCs w:val="22"/>
        </w:rPr>
        <w:t>12.</w:t>
      </w:r>
      <w:r w:rsidR="00E60ECA" w:rsidRPr="008E0A04">
        <w:rPr>
          <w:rFonts w:cs="Segoe UI"/>
          <w:szCs w:val="22"/>
        </w:rPr>
        <w:t>6</w:t>
      </w:r>
      <w:r w:rsidRPr="008E0A04">
        <w:rPr>
          <w:rFonts w:cs="Segoe UI"/>
          <w:szCs w:val="22"/>
        </w:rPr>
        <w:t xml:space="preserve"> percent, -</w:t>
      </w:r>
      <w:r w:rsidR="00233D04" w:rsidRPr="008E0A04">
        <w:rPr>
          <w:rFonts w:cs="Segoe UI"/>
          <w:szCs w:val="22"/>
        </w:rPr>
        <w:t>3.</w:t>
      </w:r>
      <w:r w:rsidR="00E60ECA" w:rsidRPr="008E0A04">
        <w:rPr>
          <w:rFonts w:cs="Segoe UI"/>
          <w:szCs w:val="22"/>
        </w:rPr>
        <w:t>7</w:t>
      </w:r>
      <w:r w:rsidRPr="008E0A04">
        <w:rPr>
          <w:rFonts w:cs="Segoe UI"/>
          <w:szCs w:val="22"/>
        </w:rPr>
        <w:t xml:space="preserve"> percentage points below the prior</w:t>
      </w:r>
      <w:r w:rsidR="005E3FBB" w:rsidRPr="008E0A04">
        <w:rPr>
          <w:rFonts w:cs="Segoe UI"/>
          <w:szCs w:val="22"/>
        </w:rPr>
        <w:t xml:space="preserve"> </w:t>
      </w:r>
      <w:r w:rsidRPr="008E0A04">
        <w:rPr>
          <w:rFonts w:cs="Segoe UI"/>
          <w:szCs w:val="22"/>
        </w:rPr>
        <w:t>year.</w:t>
      </w:r>
    </w:p>
    <w:p w14:paraId="0053A584" w14:textId="77777777" w:rsidR="00846017" w:rsidRPr="00846017" w:rsidRDefault="00846017" w:rsidP="00846017">
      <w:pPr>
        <w:rPr>
          <w:rFonts w:cs="Segoe UI"/>
          <w:szCs w:val="22"/>
        </w:rPr>
      </w:pPr>
    </w:p>
    <w:p w14:paraId="240166A9" w14:textId="6DB481C4" w:rsidR="00846017" w:rsidRPr="00846017" w:rsidRDefault="00846017" w:rsidP="00846017">
      <w:pPr>
        <w:rPr>
          <w:rFonts w:cs="Segoe UI"/>
          <w:szCs w:val="22"/>
        </w:rPr>
      </w:pPr>
      <w:r w:rsidRPr="00846017">
        <w:rPr>
          <w:rFonts w:cs="Segoe UI"/>
          <w:b/>
          <w:bCs/>
          <w:szCs w:val="22"/>
        </w:rPr>
        <w:t>Adjusted earnings per preferred share</w:t>
      </w:r>
      <w:r w:rsidRPr="00846017">
        <w:rPr>
          <w:rFonts w:cs="Segoe UI"/>
          <w:szCs w:val="22"/>
        </w:rPr>
        <w:t xml:space="preserve"> decreased by -</w:t>
      </w:r>
      <w:r w:rsidR="00E60ECA">
        <w:rPr>
          <w:rFonts w:cs="Segoe UI"/>
          <w:szCs w:val="22"/>
        </w:rPr>
        <w:t>29.2</w:t>
      </w:r>
      <w:r w:rsidRPr="00846017">
        <w:rPr>
          <w:rFonts w:cs="Segoe UI"/>
          <w:szCs w:val="22"/>
        </w:rPr>
        <w:t xml:space="preserve"> percent from 2.77 euros in the first half of 2019 to </w:t>
      </w:r>
      <w:r w:rsidR="00233D04">
        <w:rPr>
          <w:rFonts w:cs="Segoe UI"/>
          <w:szCs w:val="22"/>
        </w:rPr>
        <w:t>1.9</w:t>
      </w:r>
      <w:r w:rsidR="00E60ECA">
        <w:rPr>
          <w:rFonts w:cs="Segoe UI"/>
          <w:szCs w:val="22"/>
        </w:rPr>
        <w:t>6</w:t>
      </w:r>
      <w:r w:rsidRPr="00846017">
        <w:rPr>
          <w:rFonts w:cs="Segoe UI"/>
          <w:szCs w:val="22"/>
        </w:rPr>
        <w:t xml:space="preserve"> euros. At constant exchange rates, adjusted earnings per preferred share decreased by -</w:t>
      </w:r>
      <w:r w:rsidR="00233D04">
        <w:rPr>
          <w:rFonts w:cs="Segoe UI"/>
          <w:szCs w:val="22"/>
        </w:rPr>
        <w:t>28.</w:t>
      </w:r>
      <w:r w:rsidR="005E3FBB">
        <w:rPr>
          <w:rFonts w:cs="Segoe UI"/>
          <w:szCs w:val="22"/>
        </w:rPr>
        <w:t>2</w:t>
      </w:r>
      <w:r w:rsidR="005E3FBB" w:rsidRPr="00846017">
        <w:rPr>
          <w:rFonts w:cs="Segoe UI"/>
          <w:szCs w:val="22"/>
        </w:rPr>
        <w:t xml:space="preserve"> </w:t>
      </w:r>
      <w:r w:rsidRPr="00846017">
        <w:rPr>
          <w:rFonts w:cs="Segoe UI"/>
          <w:szCs w:val="22"/>
        </w:rPr>
        <w:t>percent.</w:t>
      </w:r>
    </w:p>
    <w:p w14:paraId="64CC3397" w14:textId="77777777" w:rsidR="00846017" w:rsidRPr="00846017" w:rsidRDefault="00846017" w:rsidP="00846017">
      <w:pPr>
        <w:rPr>
          <w:rFonts w:cs="Segoe UI"/>
          <w:szCs w:val="22"/>
        </w:rPr>
      </w:pPr>
    </w:p>
    <w:p w14:paraId="08E41A0D" w14:textId="7E60EC8F" w:rsidR="00846017" w:rsidRPr="00846017" w:rsidRDefault="005463C3" w:rsidP="00846017">
      <w:pPr>
        <w:rPr>
          <w:rFonts w:cs="Segoe UI"/>
          <w:szCs w:val="22"/>
        </w:rPr>
      </w:pPr>
      <w:r w:rsidRPr="005463C3">
        <w:rPr>
          <w:rFonts w:cs="Segoe UI"/>
          <w:b/>
          <w:bCs/>
          <w:szCs w:val="22"/>
        </w:rPr>
        <w:t>N</w:t>
      </w:r>
      <w:r w:rsidR="00E547FE" w:rsidRPr="00846017">
        <w:rPr>
          <w:rFonts w:cs="Segoe UI"/>
          <w:b/>
          <w:bCs/>
          <w:szCs w:val="22"/>
        </w:rPr>
        <w:t>et working capital</w:t>
      </w:r>
      <w:r w:rsidR="00E547FE" w:rsidRPr="00846017">
        <w:rPr>
          <w:rFonts w:cs="Segoe UI"/>
          <w:szCs w:val="22"/>
        </w:rPr>
        <w:t xml:space="preserve"> </w:t>
      </w:r>
      <w:r w:rsidR="00E547FE">
        <w:rPr>
          <w:rFonts w:cs="Segoe UI"/>
          <w:szCs w:val="22"/>
        </w:rPr>
        <w:t>further improved</w:t>
      </w:r>
      <w:r>
        <w:rPr>
          <w:rFonts w:cs="Segoe UI"/>
          <w:szCs w:val="22"/>
        </w:rPr>
        <w:t xml:space="preserve"> to </w:t>
      </w:r>
      <w:r w:rsidR="00126C65">
        <w:rPr>
          <w:rFonts w:cs="Segoe UI"/>
          <w:szCs w:val="22"/>
        </w:rPr>
        <w:t>4.</w:t>
      </w:r>
      <w:r w:rsidR="005E3FBB">
        <w:rPr>
          <w:rFonts w:cs="Segoe UI"/>
          <w:szCs w:val="22"/>
        </w:rPr>
        <w:t>4</w:t>
      </w:r>
      <w:r w:rsidR="005E3FBB" w:rsidRPr="00846017">
        <w:rPr>
          <w:rFonts w:cs="Segoe UI"/>
          <w:szCs w:val="22"/>
        </w:rPr>
        <w:t xml:space="preserve"> </w:t>
      </w:r>
      <w:r w:rsidR="00846017" w:rsidRPr="00846017">
        <w:rPr>
          <w:rFonts w:cs="Segoe UI"/>
          <w:szCs w:val="22"/>
        </w:rPr>
        <w:t>percent</w:t>
      </w:r>
      <w:r w:rsidR="00E547FE">
        <w:rPr>
          <w:rFonts w:cs="Segoe UI"/>
          <w:szCs w:val="22"/>
        </w:rPr>
        <w:t xml:space="preserve"> </w:t>
      </w:r>
      <w:r w:rsidR="00846017" w:rsidRPr="00846017">
        <w:rPr>
          <w:rFonts w:cs="Segoe UI"/>
          <w:szCs w:val="22"/>
        </w:rPr>
        <w:t>of sales</w:t>
      </w:r>
      <w:r w:rsidR="00E547FE">
        <w:rPr>
          <w:rFonts w:cs="Segoe UI"/>
          <w:szCs w:val="22"/>
        </w:rPr>
        <w:t xml:space="preserve">, </w:t>
      </w:r>
      <w:r w:rsidR="00126C65">
        <w:rPr>
          <w:rFonts w:cs="Segoe UI"/>
          <w:szCs w:val="22"/>
        </w:rPr>
        <w:t xml:space="preserve">significantly </w:t>
      </w:r>
      <w:r w:rsidR="00126C65" w:rsidRPr="00576BDA">
        <w:rPr>
          <w:rFonts w:cs="Segoe UI"/>
          <w:szCs w:val="22"/>
        </w:rPr>
        <w:t xml:space="preserve">below </w:t>
      </w:r>
      <w:r w:rsidR="00846017" w:rsidRPr="00576BDA">
        <w:rPr>
          <w:rFonts w:cs="Segoe UI"/>
          <w:szCs w:val="22"/>
        </w:rPr>
        <w:t xml:space="preserve">the </w:t>
      </w:r>
      <w:r w:rsidR="002D74CF">
        <w:rPr>
          <w:rFonts w:cs="Segoe UI"/>
          <w:szCs w:val="22"/>
        </w:rPr>
        <w:br/>
      </w:r>
      <w:r w:rsidR="002005F5" w:rsidRPr="00576BDA">
        <w:rPr>
          <w:rFonts w:cs="Segoe UI"/>
          <w:szCs w:val="22"/>
        </w:rPr>
        <w:t>prior-year period</w:t>
      </w:r>
      <w:r w:rsidR="00846017" w:rsidRPr="00576BDA">
        <w:rPr>
          <w:rFonts w:cs="Segoe UI"/>
          <w:szCs w:val="22"/>
        </w:rPr>
        <w:t xml:space="preserve"> (6.7 percent).</w:t>
      </w:r>
    </w:p>
    <w:p w14:paraId="31C8114E" w14:textId="77777777" w:rsidR="00846017" w:rsidRPr="00846017" w:rsidRDefault="00846017" w:rsidP="00846017">
      <w:pPr>
        <w:rPr>
          <w:rFonts w:cs="Segoe UI"/>
          <w:szCs w:val="22"/>
        </w:rPr>
      </w:pPr>
    </w:p>
    <w:p w14:paraId="634CBA18" w14:textId="240283CD" w:rsidR="00846017" w:rsidRPr="00846017" w:rsidRDefault="00126C65" w:rsidP="00846017">
      <w:pPr>
        <w:autoSpaceDE w:val="0"/>
        <w:autoSpaceDN w:val="0"/>
        <w:adjustRightInd w:val="0"/>
        <w:rPr>
          <w:rFonts w:cs="Segoe UI"/>
          <w:szCs w:val="22"/>
        </w:rPr>
      </w:pPr>
      <w:r>
        <w:rPr>
          <w:rFonts w:cs="Segoe UI"/>
          <w:b/>
          <w:szCs w:val="22"/>
        </w:rPr>
        <w:t>F</w:t>
      </w:r>
      <w:r w:rsidR="00846017" w:rsidRPr="00846017">
        <w:rPr>
          <w:rFonts w:cs="Segoe UI"/>
          <w:b/>
          <w:szCs w:val="22"/>
        </w:rPr>
        <w:t>ree cash flow</w:t>
      </w:r>
      <w:r w:rsidR="00846017" w:rsidRPr="00846017">
        <w:rPr>
          <w:rFonts w:cs="Segoe UI"/>
          <w:szCs w:val="22"/>
        </w:rPr>
        <w:t xml:space="preserve"> </w:t>
      </w:r>
      <w:r>
        <w:rPr>
          <w:rFonts w:cs="Segoe UI"/>
          <w:szCs w:val="22"/>
        </w:rPr>
        <w:t>remained very strong, reaching 93</w:t>
      </w:r>
      <w:r w:rsidR="00DF7BD0">
        <w:rPr>
          <w:rFonts w:cs="Segoe UI"/>
          <w:szCs w:val="22"/>
        </w:rPr>
        <w:t>8</w:t>
      </w:r>
      <w:r>
        <w:rPr>
          <w:rFonts w:cs="Segoe UI"/>
          <w:szCs w:val="22"/>
        </w:rPr>
        <w:t xml:space="preserve"> </w:t>
      </w:r>
      <w:r w:rsidRPr="00846017">
        <w:rPr>
          <w:rFonts w:cs="Segoe UI"/>
          <w:szCs w:val="22"/>
        </w:rPr>
        <w:t xml:space="preserve">million euros </w:t>
      </w:r>
      <w:r w:rsidR="00846017" w:rsidRPr="00846017">
        <w:rPr>
          <w:rFonts w:cs="Segoe UI"/>
          <w:szCs w:val="22"/>
        </w:rPr>
        <w:t>in the first half of 2020</w:t>
      </w:r>
      <w:r>
        <w:rPr>
          <w:rFonts w:cs="Segoe UI"/>
          <w:szCs w:val="22"/>
        </w:rPr>
        <w:t xml:space="preserve"> (First half </w:t>
      </w:r>
      <w:r w:rsidR="005E3FBB">
        <w:rPr>
          <w:rFonts w:cs="Segoe UI"/>
          <w:szCs w:val="22"/>
        </w:rPr>
        <w:t>2019</w:t>
      </w:r>
      <w:r>
        <w:rPr>
          <w:rFonts w:cs="Segoe UI"/>
          <w:szCs w:val="22"/>
        </w:rPr>
        <w:t xml:space="preserve">: </w:t>
      </w:r>
      <w:r w:rsidR="00846017" w:rsidRPr="00846017">
        <w:rPr>
          <w:rFonts w:cs="Segoe UI"/>
          <w:szCs w:val="22"/>
        </w:rPr>
        <w:t>990 million euros).</w:t>
      </w:r>
    </w:p>
    <w:p w14:paraId="118C25FB" w14:textId="77777777" w:rsidR="00846017" w:rsidRPr="00846017" w:rsidRDefault="00846017" w:rsidP="00846017">
      <w:pPr>
        <w:rPr>
          <w:rFonts w:cs="Segoe UI"/>
          <w:szCs w:val="22"/>
        </w:rPr>
      </w:pPr>
    </w:p>
    <w:p w14:paraId="4899B9F1" w14:textId="6E3F1A53" w:rsidR="00846017" w:rsidRPr="00846017" w:rsidRDefault="00846017" w:rsidP="00846017">
      <w:pPr>
        <w:rPr>
          <w:rFonts w:cs="Segoe UI"/>
          <w:szCs w:val="22"/>
        </w:rPr>
      </w:pPr>
      <w:r w:rsidRPr="00846017">
        <w:rPr>
          <w:rFonts w:cs="Segoe UI"/>
          <w:szCs w:val="22"/>
        </w:rPr>
        <w:t xml:space="preserve">Effective June 30, 2020, Henkel’s </w:t>
      </w:r>
      <w:r w:rsidRPr="00846017">
        <w:rPr>
          <w:rFonts w:cs="Segoe UI"/>
          <w:b/>
          <w:bCs/>
          <w:szCs w:val="22"/>
        </w:rPr>
        <w:t>net financial position</w:t>
      </w:r>
      <w:r w:rsidRPr="00846017">
        <w:rPr>
          <w:rFonts w:cs="Segoe UI"/>
          <w:szCs w:val="22"/>
        </w:rPr>
        <w:t xml:space="preserve"> </w:t>
      </w:r>
      <w:r w:rsidR="005463C3">
        <w:rPr>
          <w:rFonts w:cs="Segoe UI"/>
          <w:szCs w:val="22"/>
        </w:rPr>
        <w:t>improved to</w:t>
      </w:r>
      <w:r w:rsidRPr="00846017">
        <w:rPr>
          <w:rFonts w:cs="Segoe UI"/>
          <w:szCs w:val="22"/>
        </w:rPr>
        <w:t xml:space="preserve"> </w:t>
      </w:r>
      <w:r w:rsidRPr="00846017">
        <w:rPr>
          <w:rFonts w:cs="Segoe UI"/>
          <w:szCs w:val="22"/>
        </w:rPr>
        <w:br/>
        <w:t>-</w:t>
      </w:r>
      <w:r w:rsidR="004D0E64">
        <w:rPr>
          <w:rFonts w:cs="Segoe UI"/>
          <w:szCs w:val="22"/>
        </w:rPr>
        <w:t>1,951</w:t>
      </w:r>
      <w:r w:rsidRPr="00846017">
        <w:rPr>
          <w:rFonts w:cs="Segoe UI"/>
          <w:szCs w:val="22"/>
        </w:rPr>
        <w:t xml:space="preserve"> million euros (December 31, 2019: -2,</w:t>
      </w:r>
      <w:r w:rsidR="005E3FBB" w:rsidRPr="00846017">
        <w:rPr>
          <w:rFonts w:cs="Segoe UI"/>
          <w:szCs w:val="22"/>
        </w:rPr>
        <w:t>04</w:t>
      </w:r>
      <w:r w:rsidR="005E3FBB">
        <w:rPr>
          <w:rFonts w:cs="Segoe UI"/>
          <w:szCs w:val="22"/>
        </w:rPr>
        <w:t>7</w:t>
      </w:r>
      <w:r w:rsidR="005E3FBB" w:rsidRPr="00846017">
        <w:rPr>
          <w:rFonts w:cs="Segoe UI"/>
          <w:szCs w:val="22"/>
        </w:rPr>
        <w:t xml:space="preserve"> </w:t>
      </w:r>
      <w:r w:rsidRPr="00846017">
        <w:rPr>
          <w:rFonts w:cs="Segoe UI"/>
          <w:szCs w:val="22"/>
        </w:rPr>
        <w:t>million euros) – despite the payout of a dividend of around 800 million euros in the second quarter.</w:t>
      </w:r>
    </w:p>
    <w:p w14:paraId="4C7F2F63" w14:textId="77777777" w:rsidR="00846017" w:rsidRPr="00846017" w:rsidRDefault="00846017" w:rsidP="00846017">
      <w:pPr>
        <w:rPr>
          <w:rFonts w:cs="Segoe UI"/>
          <w:szCs w:val="22"/>
        </w:rPr>
      </w:pPr>
    </w:p>
    <w:p w14:paraId="4649C4D4" w14:textId="77777777" w:rsidR="00846017" w:rsidRPr="00846017" w:rsidRDefault="00846017" w:rsidP="00846017">
      <w:pPr>
        <w:spacing w:after="120"/>
        <w:rPr>
          <w:rFonts w:cs="Segoe UI"/>
          <w:b/>
          <w:bCs/>
          <w:szCs w:val="22"/>
          <w:lang w:eastAsia="de-DE"/>
        </w:rPr>
      </w:pPr>
      <w:r w:rsidRPr="00846017">
        <w:rPr>
          <w:rFonts w:cs="Segoe UI"/>
          <w:b/>
          <w:bCs/>
          <w:szCs w:val="22"/>
          <w:lang w:eastAsia="de-DE"/>
        </w:rPr>
        <w:t>Business unit performance in first half of 2020</w:t>
      </w:r>
    </w:p>
    <w:p w14:paraId="79AFC1A9" w14:textId="6659EFC4" w:rsidR="00846017" w:rsidRDefault="00846017" w:rsidP="00846017">
      <w:pPr>
        <w:rPr>
          <w:rFonts w:cs="Segoe UI"/>
          <w:szCs w:val="22"/>
        </w:rPr>
      </w:pPr>
      <w:r w:rsidRPr="008E0A04">
        <w:rPr>
          <w:rFonts w:cs="Segoe UI"/>
          <w:szCs w:val="22"/>
        </w:rPr>
        <w:t xml:space="preserve">In the first half of 2020, </w:t>
      </w:r>
      <w:r w:rsidRPr="008E0A04">
        <w:rPr>
          <w:rFonts w:cs="Segoe UI"/>
          <w:b/>
          <w:bCs/>
          <w:szCs w:val="22"/>
        </w:rPr>
        <w:t>sales</w:t>
      </w:r>
      <w:r w:rsidRPr="008E0A04">
        <w:rPr>
          <w:rFonts w:cs="Segoe UI"/>
          <w:szCs w:val="22"/>
        </w:rPr>
        <w:t xml:space="preserve"> in the </w:t>
      </w:r>
      <w:r w:rsidRPr="008E0A04">
        <w:rPr>
          <w:rFonts w:cs="Segoe UI"/>
          <w:b/>
          <w:bCs/>
          <w:szCs w:val="22"/>
        </w:rPr>
        <w:t>Adhesive Technologies</w:t>
      </w:r>
      <w:r w:rsidRPr="008E0A04">
        <w:rPr>
          <w:rFonts w:cs="Segoe UI"/>
          <w:szCs w:val="22"/>
        </w:rPr>
        <w:t xml:space="preserve"> business unit were nominally </w:t>
      </w:r>
      <w:r w:rsidR="00233D04" w:rsidRPr="008E0A04">
        <w:rPr>
          <w:rFonts w:cs="Segoe UI"/>
          <w:szCs w:val="22"/>
        </w:rPr>
        <w:br/>
      </w:r>
      <w:r w:rsidRPr="008E0A04">
        <w:rPr>
          <w:rFonts w:cs="Segoe UI"/>
          <w:szCs w:val="22"/>
        </w:rPr>
        <w:t>-</w:t>
      </w:r>
      <w:r w:rsidR="00233D04" w:rsidRPr="008E0A04">
        <w:rPr>
          <w:rFonts w:cs="Segoe UI"/>
          <w:szCs w:val="22"/>
        </w:rPr>
        <w:t>12.2</w:t>
      </w:r>
      <w:r w:rsidRPr="008E0A04">
        <w:rPr>
          <w:rFonts w:cs="Segoe UI"/>
          <w:szCs w:val="22"/>
        </w:rPr>
        <w:t xml:space="preserve"> percent below prior-year level, reaching </w:t>
      </w:r>
      <w:r w:rsidR="00233D04" w:rsidRPr="008E0A04">
        <w:rPr>
          <w:rFonts w:cs="Segoe UI"/>
          <w:szCs w:val="22"/>
        </w:rPr>
        <w:t>4,153</w:t>
      </w:r>
      <w:r w:rsidRPr="008E0A04">
        <w:rPr>
          <w:rFonts w:cs="Segoe UI"/>
          <w:szCs w:val="22"/>
        </w:rPr>
        <w:t xml:space="preserve"> million euros (Q2: </w:t>
      </w:r>
      <w:r w:rsidR="0040386D" w:rsidRPr="008E0A04">
        <w:rPr>
          <w:rFonts w:cs="Segoe UI"/>
          <w:szCs w:val="22"/>
        </w:rPr>
        <w:t>1,944</w:t>
      </w:r>
      <w:r w:rsidRPr="008E0A04">
        <w:rPr>
          <w:rFonts w:cs="Segoe UI"/>
          <w:szCs w:val="22"/>
        </w:rPr>
        <w:t xml:space="preserve"> million euros, </w:t>
      </w:r>
      <w:r w:rsidR="0040386D" w:rsidRPr="008E0A04">
        <w:rPr>
          <w:rFonts w:cs="Segoe UI"/>
          <w:szCs w:val="22"/>
        </w:rPr>
        <w:br/>
      </w:r>
      <w:r w:rsidRPr="008E0A04">
        <w:rPr>
          <w:rFonts w:cs="Segoe UI"/>
          <w:szCs w:val="22"/>
        </w:rPr>
        <w:t>-</w:t>
      </w:r>
      <w:r w:rsidR="006C33BE" w:rsidRPr="008E0A04">
        <w:rPr>
          <w:rFonts w:cs="Segoe UI"/>
          <w:szCs w:val="22"/>
        </w:rPr>
        <w:t>19.7</w:t>
      </w:r>
      <w:r w:rsidRPr="008E0A04">
        <w:rPr>
          <w:rFonts w:cs="Segoe UI"/>
          <w:szCs w:val="22"/>
        </w:rPr>
        <w:t xml:space="preserve"> percent). </w:t>
      </w:r>
      <w:r w:rsidRPr="008E0A04">
        <w:rPr>
          <w:rFonts w:cs="Segoe UI"/>
          <w:b/>
          <w:bCs/>
          <w:szCs w:val="22"/>
        </w:rPr>
        <w:t>Organically</w:t>
      </w:r>
      <w:r w:rsidRPr="008E0A04">
        <w:rPr>
          <w:rFonts w:cs="Segoe UI"/>
          <w:szCs w:val="22"/>
        </w:rPr>
        <w:t>, sales development was -</w:t>
      </w:r>
      <w:r w:rsidR="00233D04" w:rsidRPr="008E0A04">
        <w:rPr>
          <w:rFonts w:cs="Segoe UI"/>
          <w:szCs w:val="22"/>
        </w:rPr>
        <w:t>10.9</w:t>
      </w:r>
      <w:r w:rsidRPr="008E0A04">
        <w:rPr>
          <w:rFonts w:cs="Segoe UI"/>
          <w:szCs w:val="22"/>
        </w:rPr>
        <w:t xml:space="preserve"> percent (Q2: -</w:t>
      </w:r>
      <w:r w:rsidR="00126C65" w:rsidRPr="008E0A04">
        <w:rPr>
          <w:rFonts w:cs="Segoe UI"/>
          <w:szCs w:val="22"/>
        </w:rPr>
        <w:t>17.4</w:t>
      </w:r>
      <w:r w:rsidRPr="008E0A04">
        <w:rPr>
          <w:rFonts w:cs="Segoe UI"/>
          <w:szCs w:val="22"/>
        </w:rPr>
        <w:t xml:space="preserve"> percent). </w:t>
      </w:r>
      <w:r w:rsidR="007B58C6" w:rsidRPr="008E0A04">
        <w:rPr>
          <w:rFonts w:cs="Segoe UI"/>
          <w:szCs w:val="22"/>
        </w:rPr>
        <w:t xml:space="preserve">The development in the first half year and particularly in the second quarter was impacted by a significant decline in industrial and automotive production as a result of the COVID-19 pandemic. </w:t>
      </w:r>
      <w:r w:rsidRPr="008E0A04">
        <w:rPr>
          <w:rFonts w:cs="Segoe UI"/>
          <w:b/>
          <w:bCs/>
          <w:szCs w:val="22"/>
        </w:rPr>
        <w:t>Adjusted operating profit</w:t>
      </w:r>
      <w:r w:rsidRPr="008E0A04">
        <w:rPr>
          <w:rFonts w:cs="Segoe UI"/>
          <w:szCs w:val="22"/>
        </w:rPr>
        <w:t xml:space="preserve"> decreased by </w:t>
      </w:r>
      <w:r w:rsidR="00444A70" w:rsidRPr="008E0A04">
        <w:rPr>
          <w:rFonts w:cs="Segoe UI"/>
          <w:szCs w:val="22"/>
        </w:rPr>
        <w:t>36.6</w:t>
      </w:r>
      <w:r w:rsidRPr="008E0A04">
        <w:rPr>
          <w:rFonts w:cs="Segoe UI"/>
          <w:szCs w:val="22"/>
        </w:rPr>
        <w:t xml:space="preserve"> percent and reached </w:t>
      </w:r>
      <w:r w:rsidR="00444A70" w:rsidRPr="008E0A04">
        <w:rPr>
          <w:rFonts w:cs="Segoe UI"/>
          <w:szCs w:val="22"/>
        </w:rPr>
        <w:t>543</w:t>
      </w:r>
      <w:r w:rsidRPr="008E0A04">
        <w:rPr>
          <w:rFonts w:cs="Segoe UI"/>
          <w:szCs w:val="22"/>
        </w:rPr>
        <w:t xml:space="preserve"> million euros. At </w:t>
      </w:r>
      <w:r w:rsidR="00444A70" w:rsidRPr="008E0A04">
        <w:rPr>
          <w:rFonts w:cs="Segoe UI"/>
          <w:szCs w:val="22"/>
        </w:rPr>
        <w:t>13</w:t>
      </w:r>
      <w:r w:rsidRPr="008E0A04">
        <w:rPr>
          <w:rFonts w:cs="Segoe UI"/>
          <w:szCs w:val="22"/>
        </w:rPr>
        <w:t>.</w:t>
      </w:r>
      <w:r w:rsidR="00444A70" w:rsidRPr="008E0A04">
        <w:rPr>
          <w:rFonts w:cs="Segoe UI"/>
          <w:szCs w:val="22"/>
        </w:rPr>
        <w:t>1</w:t>
      </w:r>
      <w:r w:rsidRPr="008E0A04">
        <w:rPr>
          <w:rFonts w:cs="Segoe UI"/>
          <w:szCs w:val="22"/>
        </w:rPr>
        <w:t xml:space="preserve"> percent, </w:t>
      </w:r>
      <w:r w:rsidRPr="008E0A04">
        <w:rPr>
          <w:rFonts w:cs="Segoe UI"/>
          <w:b/>
          <w:bCs/>
          <w:szCs w:val="22"/>
        </w:rPr>
        <w:t>adjusted return on sales</w:t>
      </w:r>
      <w:r w:rsidRPr="008E0A04">
        <w:rPr>
          <w:rFonts w:cs="Segoe UI"/>
          <w:szCs w:val="22"/>
        </w:rPr>
        <w:t xml:space="preserve"> was below the level of the first half of 2019. </w:t>
      </w:r>
      <w:r w:rsidR="00006A45" w:rsidRPr="008E0A04">
        <w:rPr>
          <w:rFonts w:cs="Segoe UI"/>
          <w:szCs w:val="22"/>
        </w:rPr>
        <w:t xml:space="preserve">The margin decline was due </w:t>
      </w:r>
      <w:proofErr w:type="gramStart"/>
      <w:r w:rsidR="00006A45" w:rsidRPr="008E0A04">
        <w:rPr>
          <w:rFonts w:cs="Segoe UI"/>
          <w:szCs w:val="22"/>
        </w:rPr>
        <w:t>in particular to</w:t>
      </w:r>
      <w:proofErr w:type="gramEnd"/>
      <w:r w:rsidR="00006A45" w:rsidRPr="008E0A04">
        <w:rPr>
          <w:rFonts w:cs="Segoe UI"/>
          <w:szCs w:val="22"/>
        </w:rPr>
        <w:t xml:space="preserve"> the significantly lower sales volume as a result of the pandemic.</w:t>
      </w:r>
    </w:p>
    <w:p w14:paraId="70B642A8" w14:textId="77777777" w:rsidR="00846017" w:rsidRPr="00846017" w:rsidRDefault="00846017" w:rsidP="00846017">
      <w:pPr>
        <w:rPr>
          <w:rFonts w:cs="Segoe UI"/>
          <w:szCs w:val="22"/>
        </w:rPr>
      </w:pPr>
    </w:p>
    <w:p w14:paraId="73A3F1EA" w14:textId="240410FD" w:rsidR="00846017" w:rsidRPr="008E0A04" w:rsidRDefault="00846017" w:rsidP="00846017">
      <w:pPr>
        <w:rPr>
          <w:rFonts w:cs="Segoe UI"/>
          <w:szCs w:val="22"/>
        </w:rPr>
      </w:pPr>
      <w:r w:rsidRPr="008E0A04">
        <w:rPr>
          <w:rFonts w:cs="Segoe UI"/>
          <w:szCs w:val="22"/>
        </w:rPr>
        <w:t xml:space="preserve">In the </w:t>
      </w:r>
      <w:r w:rsidRPr="008E0A04">
        <w:rPr>
          <w:rFonts w:cs="Segoe UI"/>
          <w:b/>
          <w:bCs/>
          <w:szCs w:val="22"/>
        </w:rPr>
        <w:t>Beauty Care</w:t>
      </w:r>
      <w:r w:rsidRPr="008E0A04">
        <w:rPr>
          <w:rFonts w:cs="Segoe UI"/>
          <w:szCs w:val="22"/>
        </w:rPr>
        <w:t xml:space="preserve"> business unit, </w:t>
      </w:r>
      <w:r w:rsidRPr="008E0A04">
        <w:rPr>
          <w:rFonts w:cs="Segoe UI"/>
          <w:b/>
          <w:bCs/>
          <w:szCs w:val="22"/>
        </w:rPr>
        <w:t>sales</w:t>
      </w:r>
      <w:r w:rsidRPr="008E0A04">
        <w:rPr>
          <w:rFonts w:cs="Segoe UI"/>
          <w:szCs w:val="22"/>
        </w:rPr>
        <w:t xml:space="preserve"> in the first half of 2020 showed an </w:t>
      </w:r>
      <w:r w:rsidRPr="008E0A04">
        <w:rPr>
          <w:rFonts w:cs="Segoe UI"/>
          <w:b/>
          <w:szCs w:val="22"/>
        </w:rPr>
        <w:t>organic</w:t>
      </w:r>
      <w:r w:rsidRPr="008E0A04">
        <w:rPr>
          <w:rFonts w:cs="Segoe UI"/>
          <w:szCs w:val="22"/>
        </w:rPr>
        <w:t xml:space="preserve"> development of -</w:t>
      </w:r>
      <w:r w:rsidR="005B2CD2" w:rsidRPr="008E0A04">
        <w:rPr>
          <w:rFonts w:cs="Segoe UI"/>
          <w:szCs w:val="22"/>
        </w:rPr>
        <w:t>8.5</w:t>
      </w:r>
      <w:r w:rsidRPr="008E0A04">
        <w:rPr>
          <w:rFonts w:cs="Segoe UI"/>
          <w:szCs w:val="22"/>
        </w:rPr>
        <w:t xml:space="preserve"> percent (Q2: -</w:t>
      </w:r>
      <w:r w:rsidR="00126C65" w:rsidRPr="008E0A04">
        <w:rPr>
          <w:rFonts w:cs="Segoe UI"/>
          <w:szCs w:val="22"/>
        </w:rPr>
        <w:t>12.8</w:t>
      </w:r>
      <w:r w:rsidRPr="008E0A04">
        <w:rPr>
          <w:rFonts w:cs="Segoe UI"/>
          <w:szCs w:val="22"/>
        </w:rPr>
        <w:t xml:space="preserve"> percent). Nominally, sales were </w:t>
      </w:r>
      <w:r w:rsidR="005B2CD2" w:rsidRPr="008E0A04">
        <w:rPr>
          <w:rFonts w:cs="Segoe UI"/>
          <w:szCs w:val="22"/>
        </w:rPr>
        <w:t>-7.4</w:t>
      </w:r>
      <w:r w:rsidRPr="008E0A04">
        <w:rPr>
          <w:rFonts w:cs="Segoe UI"/>
          <w:szCs w:val="22"/>
        </w:rPr>
        <w:t xml:space="preserve"> percent below prior-year level, reaching </w:t>
      </w:r>
      <w:r w:rsidR="005B2CD2" w:rsidRPr="008E0A04">
        <w:rPr>
          <w:rFonts w:cs="Segoe UI"/>
          <w:szCs w:val="22"/>
        </w:rPr>
        <w:t>1,818</w:t>
      </w:r>
      <w:r w:rsidRPr="008E0A04">
        <w:rPr>
          <w:rFonts w:cs="Segoe UI"/>
          <w:szCs w:val="22"/>
        </w:rPr>
        <w:t xml:space="preserve"> million euros (Q2: </w:t>
      </w:r>
      <w:r w:rsidR="006C33BE" w:rsidRPr="008E0A04">
        <w:rPr>
          <w:rFonts w:cs="Segoe UI"/>
          <w:szCs w:val="22"/>
        </w:rPr>
        <w:t>883</w:t>
      </w:r>
      <w:r w:rsidRPr="008E0A04">
        <w:rPr>
          <w:rFonts w:cs="Segoe UI"/>
          <w:szCs w:val="22"/>
        </w:rPr>
        <w:t xml:space="preserve"> million euros</w:t>
      </w:r>
      <w:r w:rsidR="006C33BE" w:rsidRPr="008E0A04">
        <w:rPr>
          <w:rFonts w:cs="Segoe UI"/>
          <w:szCs w:val="22"/>
        </w:rPr>
        <w:t>, -11.9 percent</w:t>
      </w:r>
      <w:r w:rsidRPr="008E0A04">
        <w:rPr>
          <w:rFonts w:cs="Segoe UI"/>
          <w:szCs w:val="22"/>
        </w:rPr>
        <w:t xml:space="preserve">). </w:t>
      </w:r>
      <w:r w:rsidR="007B58C6" w:rsidRPr="008E0A04">
        <w:rPr>
          <w:rFonts w:cs="Segoe UI"/>
          <w:szCs w:val="22"/>
        </w:rPr>
        <w:t xml:space="preserve">The development is </w:t>
      </w:r>
      <w:r w:rsidR="007B58C6" w:rsidRPr="008E0A04">
        <w:rPr>
          <w:rFonts w:cs="Segoe UI"/>
          <w:szCs w:val="22"/>
        </w:rPr>
        <w:lastRenderedPageBreak/>
        <w:t xml:space="preserve">particularly due to the negative impacts of the COVID-19 pandemic on the Hair Salon business. </w:t>
      </w:r>
      <w:r w:rsidRPr="008E0A04">
        <w:rPr>
          <w:rFonts w:cs="Segoe UI"/>
          <w:b/>
          <w:bCs/>
          <w:szCs w:val="22"/>
        </w:rPr>
        <w:t>Adjusted operating profit</w:t>
      </w:r>
      <w:r w:rsidRPr="008E0A04">
        <w:rPr>
          <w:rFonts w:cs="Segoe UI"/>
          <w:szCs w:val="22"/>
        </w:rPr>
        <w:t xml:space="preserve"> reached </w:t>
      </w:r>
      <w:r w:rsidR="005B2CD2" w:rsidRPr="008E0A04">
        <w:rPr>
          <w:rFonts w:cs="Segoe UI"/>
          <w:szCs w:val="22"/>
        </w:rPr>
        <w:t>172</w:t>
      </w:r>
      <w:r w:rsidRPr="008E0A04">
        <w:rPr>
          <w:rFonts w:cs="Segoe UI"/>
          <w:szCs w:val="22"/>
        </w:rPr>
        <w:t xml:space="preserve"> million euros and was -</w:t>
      </w:r>
      <w:r w:rsidR="005B2CD2" w:rsidRPr="008E0A04">
        <w:rPr>
          <w:rFonts w:cs="Segoe UI"/>
          <w:szCs w:val="22"/>
        </w:rPr>
        <w:t>35</w:t>
      </w:r>
      <w:r w:rsidRPr="008E0A04">
        <w:rPr>
          <w:rFonts w:cs="Segoe UI"/>
          <w:szCs w:val="22"/>
        </w:rPr>
        <w:t>.</w:t>
      </w:r>
      <w:r w:rsidR="005B2CD2" w:rsidRPr="008E0A04">
        <w:rPr>
          <w:rFonts w:cs="Segoe UI"/>
          <w:szCs w:val="22"/>
        </w:rPr>
        <w:t>4</w:t>
      </w:r>
      <w:r w:rsidRPr="008E0A04">
        <w:rPr>
          <w:rFonts w:cs="Segoe UI"/>
          <w:szCs w:val="22"/>
        </w:rPr>
        <w:t xml:space="preserve"> percent below the level of the first half of 2019. </w:t>
      </w:r>
      <w:r w:rsidRPr="008E0A04">
        <w:rPr>
          <w:rFonts w:cs="Segoe UI"/>
          <w:b/>
          <w:bCs/>
          <w:szCs w:val="22"/>
        </w:rPr>
        <w:t>Adjusted return on sales</w:t>
      </w:r>
      <w:r w:rsidRPr="008E0A04">
        <w:rPr>
          <w:rFonts w:cs="Segoe UI"/>
          <w:szCs w:val="22"/>
        </w:rPr>
        <w:t xml:space="preserve"> showed a negative development and reached </w:t>
      </w:r>
      <w:r w:rsidR="005B2CD2" w:rsidRPr="008E0A04">
        <w:rPr>
          <w:rFonts w:cs="Segoe UI"/>
          <w:szCs w:val="22"/>
        </w:rPr>
        <w:t>9.4</w:t>
      </w:r>
      <w:r w:rsidRPr="008E0A04">
        <w:rPr>
          <w:rFonts w:cs="Segoe UI"/>
          <w:szCs w:val="22"/>
        </w:rPr>
        <w:t xml:space="preserve"> percent</w:t>
      </w:r>
      <w:r w:rsidR="00006A45" w:rsidRPr="008E0A04">
        <w:rPr>
          <w:rFonts w:cs="Segoe UI"/>
          <w:szCs w:val="22"/>
        </w:rPr>
        <w:t>,</w:t>
      </w:r>
      <w:r w:rsidR="00006A45" w:rsidRPr="008E0A04">
        <w:t xml:space="preserve"> </w:t>
      </w:r>
      <w:r w:rsidR="00006A45" w:rsidRPr="008E0A04">
        <w:rPr>
          <w:rFonts w:cs="Segoe UI"/>
          <w:szCs w:val="22"/>
        </w:rPr>
        <w:t xml:space="preserve">particularly impacted by the declining sales volume in </w:t>
      </w:r>
      <w:r w:rsidR="00C44489">
        <w:rPr>
          <w:rFonts w:cs="Segoe UI"/>
          <w:szCs w:val="22"/>
        </w:rPr>
        <w:t xml:space="preserve">the </w:t>
      </w:r>
      <w:r w:rsidR="00006A45" w:rsidRPr="008E0A04">
        <w:rPr>
          <w:rFonts w:cs="Segoe UI"/>
          <w:szCs w:val="22"/>
        </w:rPr>
        <w:t>Hair Salon business.</w:t>
      </w:r>
    </w:p>
    <w:p w14:paraId="138AF5B8" w14:textId="77777777" w:rsidR="00D92179" w:rsidRPr="008E0A04" w:rsidRDefault="00D92179" w:rsidP="00846017">
      <w:pPr>
        <w:rPr>
          <w:rFonts w:cs="Segoe UI"/>
          <w:szCs w:val="22"/>
        </w:rPr>
      </w:pPr>
    </w:p>
    <w:p w14:paraId="3DCB1C93" w14:textId="05E1E668" w:rsidR="00846017" w:rsidRPr="00846017" w:rsidRDefault="00846017" w:rsidP="00846017">
      <w:pPr>
        <w:rPr>
          <w:rFonts w:cs="Segoe UI"/>
          <w:szCs w:val="22"/>
        </w:rPr>
      </w:pPr>
      <w:r w:rsidRPr="008E0A04">
        <w:rPr>
          <w:rFonts w:cs="Segoe UI"/>
          <w:szCs w:val="22"/>
        </w:rPr>
        <w:t xml:space="preserve">The </w:t>
      </w:r>
      <w:r w:rsidRPr="008E0A04">
        <w:rPr>
          <w:rFonts w:cs="Segoe UI"/>
          <w:b/>
          <w:bCs/>
          <w:szCs w:val="22"/>
        </w:rPr>
        <w:t>Laundry &amp; Home Care</w:t>
      </w:r>
      <w:r w:rsidRPr="008E0A04">
        <w:rPr>
          <w:rFonts w:cs="Segoe UI"/>
          <w:szCs w:val="22"/>
        </w:rPr>
        <w:t xml:space="preserve"> business unit generated </w:t>
      </w:r>
      <w:r w:rsidRPr="008E0A04">
        <w:rPr>
          <w:rFonts w:cs="Segoe UI"/>
          <w:b/>
          <w:bCs/>
          <w:szCs w:val="22"/>
        </w:rPr>
        <w:t>organic sales</w:t>
      </w:r>
      <w:r w:rsidRPr="008E0A04">
        <w:rPr>
          <w:rFonts w:cs="Segoe UI"/>
          <w:szCs w:val="22"/>
        </w:rPr>
        <w:t xml:space="preserve"> growth of </w:t>
      </w:r>
      <w:r w:rsidR="005B2CD2" w:rsidRPr="008E0A04">
        <w:rPr>
          <w:rFonts w:cs="Segoe UI"/>
          <w:szCs w:val="22"/>
        </w:rPr>
        <w:t>4.9</w:t>
      </w:r>
      <w:r w:rsidRPr="008E0A04">
        <w:rPr>
          <w:rFonts w:cs="Segoe UI"/>
          <w:szCs w:val="22"/>
        </w:rPr>
        <w:t xml:space="preserve"> percent in the first half of 2020 (Q2: </w:t>
      </w:r>
      <w:r w:rsidR="00126C65" w:rsidRPr="008E0A04">
        <w:rPr>
          <w:rFonts w:cs="Segoe UI"/>
          <w:szCs w:val="22"/>
        </w:rPr>
        <w:t>4.4</w:t>
      </w:r>
      <w:r w:rsidRPr="008E0A04">
        <w:rPr>
          <w:rFonts w:cs="Segoe UI"/>
          <w:szCs w:val="22"/>
        </w:rPr>
        <w:t xml:space="preserve"> percent). Nominally, sales increased by </w:t>
      </w:r>
      <w:r w:rsidR="005B2CD2" w:rsidRPr="008E0A04">
        <w:rPr>
          <w:rFonts w:cs="Segoe UI"/>
          <w:szCs w:val="22"/>
        </w:rPr>
        <w:t>3.8</w:t>
      </w:r>
      <w:r w:rsidRPr="008E0A04">
        <w:rPr>
          <w:rFonts w:cs="Segoe UI"/>
          <w:szCs w:val="22"/>
        </w:rPr>
        <w:t xml:space="preserve"> percent to </w:t>
      </w:r>
      <w:r w:rsidR="005B2CD2" w:rsidRPr="008E0A04">
        <w:rPr>
          <w:rFonts w:cs="Segoe UI"/>
          <w:szCs w:val="22"/>
        </w:rPr>
        <w:t>3,460</w:t>
      </w:r>
      <w:r w:rsidRPr="008E0A04">
        <w:rPr>
          <w:rFonts w:cs="Segoe UI"/>
          <w:szCs w:val="22"/>
        </w:rPr>
        <w:t xml:space="preserve"> million euros (Q2: </w:t>
      </w:r>
      <w:r w:rsidR="006C33BE" w:rsidRPr="008E0A04">
        <w:rPr>
          <w:rFonts w:cs="Segoe UI"/>
          <w:szCs w:val="22"/>
        </w:rPr>
        <w:t>1,705</w:t>
      </w:r>
      <w:r w:rsidRPr="008E0A04">
        <w:rPr>
          <w:rFonts w:cs="Segoe UI"/>
          <w:szCs w:val="22"/>
        </w:rPr>
        <w:t xml:space="preserve"> million euros, </w:t>
      </w:r>
      <w:r w:rsidR="006C33BE" w:rsidRPr="008E0A04">
        <w:rPr>
          <w:rFonts w:cs="Segoe UI"/>
          <w:szCs w:val="22"/>
        </w:rPr>
        <w:t>2.3</w:t>
      </w:r>
      <w:r w:rsidRPr="008E0A04">
        <w:rPr>
          <w:rFonts w:cs="Segoe UI"/>
          <w:szCs w:val="22"/>
        </w:rPr>
        <w:t xml:space="preserve"> percent). At </w:t>
      </w:r>
      <w:r w:rsidR="005B2CD2" w:rsidRPr="008E0A04">
        <w:rPr>
          <w:rFonts w:cs="Segoe UI"/>
          <w:szCs w:val="22"/>
        </w:rPr>
        <w:t>531</w:t>
      </w:r>
      <w:r w:rsidRPr="008E0A04">
        <w:rPr>
          <w:rFonts w:cs="Segoe UI"/>
          <w:szCs w:val="22"/>
        </w:rPr>
        <w:t xml:space="preserve"> million euros, </w:t>
      </w:r>
      <w:r w:rsidRPr="008E0A04">
        <w:rPr>
          <w:rFonts w:cs="Segoe UI"/>
          <w:b/>
          <w:bCs/>
          <w:szCs w:val="22"/>
        </w:rPr>
        <w:t>adjusted operating profit</w:t>
      </w:r>
      <w:r w:rsidRPr="008E0A04">
        <w:rPr>
          <w:rFonts w:cs="Segoe UI"/>
          <w:szCs w:val="22"/>
        </w:rPr>
        <w:t xml:space="preserve"> was -</w:t>
      </w:r>
      <w:r w:rsidR="005B2CD2" w:rsidRPr="008E0A04">
        <w:rPr>
          <w:rFonts w:cs="Segoe UI"/>
          <w:szCs w:val="22"/>
        </w:rPr>
        <w:t>6.0</w:t>
      </w:r>
      <w:r w:rsidRPr="008E0A04">
        <w:rPr>
          <w:rFonts w:cs="Segoe UI"/>
          <w:szCs w:val="22"/>
        </w:rPr>
        <w:t xml:space="preserve"> percent below the prior-year period. At </w:t>
      </w:r>
      <w:r w:rsidR="005B2CD2" w:rsidRPr="008E0A04">
        <w:rPr>
          <w:rFonts w:cs="Segoe UI"/>
          <w:szCs w:val="22"/>
        </w:rPr>
        <w:t>15.3</w:t>
      </w:r>
      <w:r w:rsidRPr="008E0A04">
        <w:rPr>
          <w:rFonts w:cs="Segoe UI"/>
          <w:szCs w:val="22"/>
        </w:rPr>
        <w:t xml:space="preserve"> percent, </w:t>
      </w:r>
      <w:r w:rsidRPr="008E0A04">
        <w:rPr>
          <w:rFonts w:cs="Segoe UI"/>
          <w:b/>
          <w:bCs/>
          <w:szCs w:val="22"/>
        </w:rPr>
        <w:t>adjusted return on sales</w:t>
      </w:r>
      <w:r w:rsidRPr="008E0A04">
        <w:rPr>
          <w:rFonts w:cs="Segoe UI"/>
          <w:szCs w:val="22"/>
        </w:rPr>
        <w:t xml:space="preserve"> was below the level of the first half of 2019</w:t>
      </w:r>
      <w:r w:rsidR="00006A45" w:rsidRPr="008E0A04">
        <w:rPr>
          <w:rFonts w:cs="Segoe UI"/>
          <w:szCs w:val="22"/>
        </w:rPr>
        <w:t xml:space="preserve">, especially due to the higher investments </w:t>
      </w:r>
      <w:r w:rsidR="00006A45" w:rsidRPr="008E0A04">
        <w:rPr>
          <w:rFonts w:cs="Segoe UI"/>
          <w:bCs/>
          <w:szCs w:val="22"/>
        </w:rPr>
        <w:t>in marketing and advertising as well as digital and IT</w:t>
      </w:r>
      <w:bookmarkStart w:id="1" w:name="_Hlk46226936"/>
      <w:r w:rsidR="00006A45" w:rsidRPr="008E0A04">
        <w:rPr>
          <w:rFonts w:cs="Segoe UI"/>
          <w:bCs/>
          <w:szCs w:val="22"/>
        </w:rPr>
        <w:t>.</w:t>
      </w:r>
    </w:p>
    <w:bookmarkEnd w:id="1"/>
    <w:p w14:paraId="34140740" w14:textId="77777777" w:rsidR="00846017" w:rsidRPr="00846017" w:rsidRDefault="00846017" w:rsidP="00846017">
      <w:pPr>
        <w:rPr>
          <w:rFonts w:cs="Segoe UI"/>
          <w:b/>
          <w:szCs w:val="22"/>
        </w:rPr>
      </w:pPr>
    </w:p>
    <w:p w14:paraId="7F66DF8A" w14:textId="77777777" w:rsidR="00846017" w:rsidRPr="00846017" w:rsidRDefault="00846017" w:rsidP="00846017">
      <w:pPr>
        <w:spacing w:after="120"/>
        <w:rPr>
          <w:rFonts w:cs="Segoe UI"/>
          <w:szCs w:val="22"/>
        </w:rPr>
      </w:pPr>
      <w:r w:rsidRPr="00846017">
        <w:rPr>
          <w:rFonts w:cs="Segoe UI"/>
          <w:b/>
          <w:szCs w:val="22"/>
        </w:rPr>
        <w:t>Purposeful growth agenda: Implementation of new strategic framework</w:t>
      </w:r>
    </w:p>
    <w:p w14:paraId="289AA14D" w14:textId="5DA734C6" w:rsidR="00846017" w:rsidRPr="00846017" w:rsidRDefault="00846017" w:rsidP="00846017">
      <w:pPr>
        <w:autoSpaceDE w:val="0"/>
        <w:autoSpaceDN w:val="0"/>
        <w:adjustRightInd w:val="0"/>
        <w:rPr>
          <w:rFonts w:cs="Segoe UI"/>
          <w:bCs/>
          <w:szCs w:val="22"/>
        </w:rPr>
      </w:pPr>
      <w:r w:rsidRPr="00846017">
        <w:rPr>
          <w:rFonts w:cs="Segoe UI"/>
          <w:szCs w:val="22"/>
        </w:rPr>
        <w:t>At the beginning of March 2020, Henkel presented the company</w:t>
      </w:r>
      <w:r w:rsidR="00832633" w:rsidRPr="00846017">
        <w:rPr>
          <w:rFonts w:cs="Segoe UI"/>
          <w:bCs/>
          <w:szCs w:val="22"/>
        </w:rPr>
        <w:t>’</w:t>
      </w:r>
      <w:r w:rsidRPr="00846017">
        <w:rPr>
          <w:rFonts w:cs="Segoe UI"/>
          <w:szCs w:val="22"/>
        </w:rPr>
        <w:t xml:space="preserve">s growth agenda for the coming years. </w:t>
      </w:r>
      <w:r w:rsidRPr="00846017">
        <w:rPr>
          <w:rFonts w:cs="Segoe UI"/>
          <w:szCs w:val="22"/>
          <w:lang w:eastAsia="de-DE"/>
        </w:rPr>
        <w:t>Henkel has developed a clear strategic framework. It includes: a winning portfolio, competitive edge, particularly in the areas of innovation, sustainability, digitalization, a future-ready operating model as well as a strong corporate culture. “</w:t>
      </w:r>
      <w:r w:rsidRPr="00846017">
        <w:rPr>
          <w:rFonts w:cs="Segoe UI"/>
          <w:bCs/>
          <w:szCs w:val="22"/>
        </w:rPr>
        <w:t xml:space="preserve">This </w:t>
      </w:r>
      <w:r w:rsidR="00E34666">
        <w:rPr>
          <w:rFonts w:cs="Segoe UI"/>
          <w:bCs/>
          <w:szCs w:val="22"/>
        </w:rPr>
        <w:t xml:space="preserve">strategic </w:t>
      </w:r>
      <w:r w:rsidRPr="00846017">
        <w:rPr>
          <w:rFonts w:cs="Segoe UI"/>
          <w:bCs/>
          <w:szCs w:val="22"/>
        </w:rPr>
        <w:t>framework will help us to win the 20s for Henkel with a clear focus on purposeful growth,” Carsten Knobel explained. “</w:t>
      </w:r>
      <w:r w:rsidR="00E34666">
        <w:rPr>
          <w:rFonts w:cs="Segoe UI"/>
          <w:bCs/>
          <w:szCs w:val="22"/>
        </w:rPr>
        <w:t>Since the announcement in March w</w:t>
      </w:r>
      <w:r w:rsidRPr="00846017">
        <w:rPr>
          <w:rFonts w:cs="Segoe UI"/>
          <w:bCs/>
          <w:szCs w:val="22"/>
        </w:rPr>
        <w:t xml:space="preserve">e already made </w:t>
      </w:r>
      <w:r w:rsidR="00914B5B">
        <w:rPr>
          <w:rFonts w:cs="Segoe UI"/>
          <w:bCs/>
          <w:szCs w:val="22"/>
        </w:rPr>
        <w:t xml:space="preserve">good </w:t>
      </w:r>
      <w:r w:rsidRPr="00846017">
        <w:rPr>
          <w:rFonts w:cs="Segoe UI"/>
          <w:bCs/>
          <w:szCs w:val="22"/>
        </w:rPr>
        <w:t>progress in initiating first actions and implementing measures.”</w:t>
      </w:r>
    </w:p>
    <w:p w14:paraId="4F2ADDAA" w14:textId="77777777" w:rsidR="00846017" w:rsidRPr="00846017" w:rsidRDefault="00846017" w:rsidP="00846017">
      <w:pPr>
        <w:rPr>
          <w:rFonts w:cs="Segoe UI"/>
          <w:szCs w:val="22"/>
          <w:lang w:eastAsia="de-DE"/>
        </w:rPr>
      </w:pPr>
    </w:p>
    <w:p w14:paraId="5ED18437" w14:textId="0E13EAE9" w:rsidR="00EC0E64" w:rsidRDefault="00846017" w:rsidP="009918DD">
      <w:pPr>
        <w:autoSpaceDE w:val="0"/>
        <w:autoSpaceDN w:val="0"/>
        <w:adjustRightInd w:val="0"/>
        <w:rPr>
          <w:rFonts w:cs="Segoe UI"/>
          <w:bCs/>
          <w:szCs w:val="22"/>
        </w:rPr>
      </w:pPr>
      <w:r w:rsidRPr="00846017">
        <w:rPr>
          <w:rFonts w:cs="Segoe UI"/>
          <w:bCs/>
          <w:szCs w:val="22"/>
        </w:rPr>
        <w:t xml:space="preserve">A key element of Henkel’s future direction is an </w:t>
      </w:r>
      <w:r w:rsidRPr="00846017">
        <w:rPr>
          <w:rFonts w:cs="Segoe UI"/>
          <w:b/>
          <w:szCs w:val="22"/>
        </w:rPr>
        <w:t xml:space="preserve">active portfolio management. </w:t>
      </w:r>
      <w:r w:rsidRPr="00846017">
        <w:rPr>
          <w:rFonts w:cs="Segoe UI"/>
          <w:bCs/>
          <w:szCs w:val="22"/>
        </w:rPr>
        <w:t xml:space="preserve">Henkel has identified brands and categories with a total sales volume of more than one billion euros, predominantly in its consumer businesses, of which around 50 percent are marked to be divested or discontinued by </w:t>
      </w:r>
      <w:r w:rsidR="0040386D">
        <w:rPr>
          <w:rFonts w:cs="Segoe UI"/>
          <w:bCs/>
          <w:szCs w:val="22"/>
        </w:rPr>
        <w:t xml:space="preserve">the end of </w:t>
      </w:r>
      <w:r w:rsidRPr="00846017">
        <w:rPr>
          <w:rFonts w:cs="Segoe UI"/>
          <w:bCs/>
          <w:szCs w:val="22"/>
        </w:rPr>
        <w:t xml:space="preserve">2021. </w:t>
      </w:r>
      <w:r w:rsidR="00E547FE">
        <w:rPr>
          <w:rFonts w:cs="Segoe UI"/>
          <w:bCs/>
          <w:szCs w:val="22"/>
        </w:rPr>
        <w:t xml:space="preserve">Despite the current market uncertainties, Henkel reconfirmed the </w:t>
      </w:r>
      <w:r w:rsidR="00E547FE" w:rsidRPr="00E547FE">
        <w:rPr>
          <w:rFonts w:cs="Segoe UI"/>
          <w:bCs/>
          <w:szCs w:val="22"/>
        </w:rPr>
        <w:t xml:space="preserve">portfolio measures </w:t>
      </w:r>
      <w:r w:rsidR="00E547FE">
        <w:rPr>
          <w:rFonts w:cs="Segoe UI"/>
          <w:bCs/>
          <w:szCs w:val="22"/>
        </w:rPr>
        <w:t xml:space="preserve">to be executed </w:t>
      </w:r>
      <w:r w:rsidR="00E547FE" w:rsidRPr="00E547FE">
        <w:rPr>
          <w:rFonts w:cs="Segoe UI"/>
          <w:bCs/>
          <w:szCs w:val="22"/>
        </w:rPr>
        <w:t xml:space="preserve">in the </w:t>
      </w:r>
      <w:r w:rsidR="00E547FE">
        <w:rPr>
          <w:rFonts w:cs="Segoe UI"/>
          <w:bCs/>
          <w:szCs w:val="22"/>
        </w:rPr>
        <w:t>announced</w:t>
      </w:r>
      <w:r w:rsidR="00E547FE" w:rsidRPr="00E547FE">
        <w:rPr>
          <w:rFonts w:cs="Segoe UI"/>
          <w:bCs/>
          <w:szCs w:val="22"/>
        </w:rPr>
        <w:t xml:space="preserve"> timeframe. </w:t>
      </w:r>
      <w:proofErr w:type="gramStart"/>
      <w:r w:rsidR="00E547FE">
        <w:rPr>
          <w:rFonts w:cs="Segoe UI"/>
          <w:bCs/>
          <w:szCs w:val="22"/>
        </w:rPr>
        <w:t>In the course of</w:t>
      </w:r>
      <w:proofErr w:type="gramEnd"/>
      <w:r w:rsidR="00E547FE">
        <w:rPr>
          <w:rFonts w:cs="Segoe UI"/>
          <w:bCs/>
          <w:szCs w:val="22"/>
        </w:rPr>
        <w:t xml:space="preserve"> this </w:t>
      </w:r>
      <w:r w:rsidR="0040386D">
        <w:rPr>
          <w:rFonts w:cs="Segoe UI"/>
          <w:bCs/>
          <w:szCs w:val="22"/>
        </w:rPr>
        <w:t xml:space="preserve">year, </w:t>
      </w:r>
      <w:r w:rsidRPr="00846017">
        <w:rPr>
          <w:rFonts w:cs="Segoe UI"/>
          <w:bCs/>
          <w:szCs w:val="22"/>
        </w:rPr>
        <w:t>Henkel already discontinued business</w:t>
      </w:r>
      <w:r w:rsidR="005E3FBB">
        <w:rPr>
          <w:rFonts w:cs="Segoe UI"/>
          <w:bCs/>
          <w:szCs w:val="22"/>
        </w:rPr>
        <w:t>es</w:t>
      </w:r>
      <w:r w:rsidRPr="00846017">
        <w:rPr>
          <w:rFonts w:cs="Segoe UI"/>
          <w:bCs/>
          <w:szCs w:val="22"/>
        </w:rPr>
        <w:t xml:space="preserve"> and signed divestments with a total sales volume of around 80 million euros</w:t>
      </w:r>
      <w:r w:rsidR="00EC0E64">
        <w:rPr>
          <w:rFonts w:cs="Segoe UI"/>
          <w:bCs/>
          <w:szCs w:val="22"/>
        </w:rPr>
        <w:t xml:space="preserve">, mainly in </w:t>
      </w:r>
      <w:r w:rsidR="00E41985">
        <w:rPr>
          <w:rFonts w:cs="Segoe UI"/>
          <w:bCs/>
          <w:szCs w:val="22"/>
        </w:rPr>
        <w:t xml:space="preserve">the </w:t>
      </w:r>
      <w:r w:rsidRPr="00846017">
        <w:rPr>
          <w:rFonts w:cs="Segoe UI"/>
          <w:bCs/>
          <w:szCs w:val="22"/>
        </w:rPr>
        <w:t>Adhesive Technologies</w:t>
      </w:r>
      <w:r w:rsidR="00E41985">
        <w:rPr>
          <w:rFonts w:cs="Segoe UI"/>
          <w:bCs/>
          <w:szCs w:val="22"/>
        </w:rPr>
        <w:t xml:space="preserve"> business unit</w:t>
      </w:r>
      <w:r w:rsidRPr="00846017">
        <w:rPr>
          <w:rFonts w:cs="Segoe UI"/>
          <w:bCs/>
          <w:szCs w:val="22"/>
        </w:rPr>
        <w:t>.</w:t>
      </w:r>
    </w:p>
    <w:p w14:paraId="333C660B" w14:textId="77777777" w:rsidR="00EC0E64" w:rsidRDefault="00EC0E64" w:rsidP="009918DD">
      <w:pPr>
        <w:autoSpaceDE w:val="0"/>
        <w:autoSpaceDN w:val="0"/>
        <w:adjustRightInd w:val="0"/>
        <w:rPr>
          <w:rFonts w:cs="Segoe UI"/>
          <w:bCs/>
          <w:szCs w:val="22"/>
        </w:rPr>
      </w:pPr>
    </w:p>
    <w:p w14:paraId="1B4484CE" w14:textId="3B02D125" w:rsidR="0086088F" w:rsidRPr="00846017" w:rsidRDefault="00236491" w:rsidP="0086088F">
      <w:pPr>
        <w:autoSpaceDE w:val="0"/>
        <w:autoSpaceDN w:val="0"/>
        <w:adjustRightInd w:val="0"/>
        <w:rPr>
          <w:rFonts w:cs="Segoe UI"/>
          <w:bCs/>
          <w:szCs w:val="22"/>
        </w:rPr>
      </w:pPr>
      <w:r w:rsidRPr="00B34F1F">
        <w:rPr>
          <w:rFonts w:asciiTheme="majorHAnsi" w:hAnsiTheme="majorHAnsi" w:cstheme="majorHAnsi"/>
          <w:b/>
          <w:bCs/>
          <w:noProof/>
          <w:sz w:val="24"/>
        </w:rPr>
        <mc:AlternateContent>
          <mc:Choice Requires="wps">
            <w:drawing>
              <wp:anchor distT="45720" distB="45720" distL="114300" distR="114300" simplePos="0" relativeHeight="251661312" behindDoc="0" locked="0" layoutInCell="1" allowOverlap="1" wp14:anchorId="62656C22" wp14:editId="47CD727D">
                <wp:simplePos x="0" y="0"/>
                <wp:positionH relativeFrom="margin">
                  <wp:align>right</wp:align>
                </wp:positionH>
                <wp:positionV relativeFrom="paragraph">
                  <wp:posOffset>2603650</wp:posOffset>
                </wp:positionV>
                <wp:extent cx="5851102" cy="273133"/>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102" cy="273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D0ED5" w14:textId="6A52EFD0" w:rsidR="00236491" w:rsidRPr="009504AB" w:rsidRDefault="00236491" w:rsidP="00236491">
                            <w:pPr>
                              <w:autoSpaceDE w:val="0"/>
                              <w:autoSpaceDN w:val="0"/>
                              <w:adjustRightInd w:val="0"/>
                              <w:spacing w:line="360" w:lineRule="auto"/>
                              <w:rPr>
                                <w:sz w:val="16"/>
                                <w:szCs w:val="16"/>
                              </w:rPr>
                            </w:pPr>
                            <w:r w:rsidRPr="00236491">
                              <w:rPr>
                                <w:sz w:val="14"/>
                                <w:szCs w:val="14"/>
                              </w:rPr>
                              <w:t xml:space="preserve">* </w:t>
                            </w:r>
                            <w:r w:rsidRPr="009504AB">
                              <w:rPr>
                                <w:sz w:val="16"/>
                                <w:szCs w:val="16"/>
                              </w:rPr>
                              <w:t>GE is a trademark of General Electric Company, used under license.</w:t>
                            </w:r>
                          </w:p>
                          <w:p w14:paraId="3B7EC6B0" w14:textId="77777777" w:rsidR="00236491" w:rsidRPr="00236491" w:rsidRDefault="00236491" w:rsidP="00236491">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56C22" id="Textfeld 7" o:spid="_x0000_s1027" type="#_x0000_t202" style="position:absolute;left:0;text-align:left;margin-left:409.5pt;margin-top:205pt;width:460.7pt;height:2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" stroked="f">
                <v:textbox>
                  <w:txbxContent>
                    <w:p w14:paraId="218D0ED5" w14:textId="6A52EFD0" w:rsidR="00236491" w:rsidRPr="009504AB" w:rsidRDefault="00236491" w:rsidP="00236491">
                      <w:pPr>
                        <w:autoSpaceDE w:val="0"/>
                        <w:autoSpaceDN w:val="0"/>
                        <w:adjustRightInd w:val="0"/>
                        <w:spacing w:line="360" w:lineRule="auto"/>
                        <w:rPr>
                          <w:sz w:val="16"/>
                          <w:szCs w:val="16"/>
                        </w:rPr>
                      </w:pPr>
                      <w:r w:rsidRPr="00236491">
                        <w:rPr>
                          <w:sz w:val="14"/>
                          <w:szCs w:val="14"/>
                        </w:rPr>
                        <w:t xml:space="preserve">* </w:t>
                      </w:r>
                      <w:r w:rsidRPr="009504AB">
                        <w:rPr>
                          <w:sz w:val="16"/>
                          <w:szCs w:val="16"/>
                        </w:rPr>
                        <w:t>GE is a trademark of</w:t>
                      </w:r>
                      <w:r w:rsidRPr="009504AB">
                        <w:rPr>
                          <w:sz w:val="16"/>
                          <w:szCs w:val="16"/>
                        </w:rPr>
                        <w:t xml:space="preserve"> </w:t>
                      </w:r>
                      <w:r w:rsidRPr="009504AB">
                        <w:rPr>
                          <w:sz w:val="16"/>
                          <w:szCs w:val="16"/>
                        </w:rPr>
                        <w:t>General Electric Company,</w:t>
                      </w:r>
                      <w:r w:rsidRPr="009504AB">
                        <w:rPr>
                          <w:sz w:val="16"/>
                          <w:szCs w:val="16"/>
                        </w:rPr>
                        <w:t xml:space="preserve"> </w:t>
                      </w:r>
                      <w:r w:rsidRPr="009504AB">
                        <w:rPr>
                          <w:sz w:val="16"/>
                          <w:szCs w:val="16"/>
                        </w:rPr>
                        <w:t>used under license.</w:t>
                      </w:r>
                    </w:p>
                    <w:p w14:paraId="3B7EC6B0" w14:textId="77777777" w:rsidR="00236491" w:rsidRPr="00236491" w:rsidRDefault="00236491" w:rsidP="00236491">
                      <w:pPr>
                        <w:rPr>
                          <w:sz w:val="14"/>
                          <w:szCs w:val="14"/>
                        </w:rPr>
                      </w:pPr>
                    </w:p>
                  </w:txbxContent>
                </v:textbox>
                <w10:wrap anchorx="margin"/>
              </v:shape>
            </w:pict>
          </mc:Fallback>
        </mc:AlternateContent>
      </w:r>
      <w:r w:rsidR="006E1FA9" w:rsidRPr="006E1FA9">
        <w:rPr>
          <w:rFonts w:cs="Segoe UI"/>
          <w:bCs/>
          <w:szCs w:val="22"/>
        </w:rPr>
        <w:t xml:space="preserve">Along with active portfolio management, </w:t>
      </w:r>
      <w:r w:rsidR="00E34666">
        <w:rPr>
          <w:rFonts w:cs="Segoe UI"/>
          <w:bCs/>
          <w:szCs w:val="22"/>
        </w:rPr>
        <w:t>acquisitions</w:t>
      </w:r>
      <w:r w:rsidR="006E1FA9" w:rsidRPr="006E1FA9">
        <w:rPr>
          <w:rFonts w:cs="Segoe UI"/>
          <w:bCs/>
          <w:szCs w:val="22"/>
        </w:rPr>
        <w:t xml:space="preserve"> </w:t>
      </w:r>
      <w:r w:rsidR="006E1FA9">
        <w:rPr>
          <w:rFonts w:cs="Segoe UI"/>
          <w:bCs/>
          <w:szCs w:val="22"/>
        </w:rPr>
        <w:t xml:space="preserve">remain </w:t>
      </w:r>
      <w:r w:rsidR="006E1FA9" w:rsidRPr="006E1FA9">
        <w:rPr>
          <w:rFonts w:cs="Segoe UI"/>
          <w:bCs/>
          <w:szCs w:val="22"/>
        </w:rPr>
        <w:t xml:space="preserve">an integral part of </w:t>
      </w:r>
      <w:r w:rsidR="006E1FA9">
        <w:rPr>
          <w:rFonts w:cs="Segoe UI"/>
          <w:bCs/>
          <w:szCs w:val="22"/>
        </w:rPr>
        <w:t>Henkel’s</w:t>
      </w:r>
      <w:r w:rsidR="006E1FA9" w:rsidRPr="006E1FA9">
        <w:rPr>
          <w:rFonts w:cs="Segoe UI"/>
          <w:bCs/>
          <w:szCs w:val="22"/>
        </w:rPr>
        <w:t xml:space="preserve"> strategy. </w:t>
      </w:r>
      <w:r w:rsidR="00EC0E64">
        <w:rPr>
          <w:rFonts w:cs="Segoe UI"/>
          <w:bCs/>
          <w:szCs w:val="22"/>
        </w:rPr>
        <w:t xml:space="preserve">Recently, </w:t>
      </w:r>
      <w:r w:rsidR="007D62A4">
        <w:rPr>
          <w:rFonts w:cs="Segoe UI"/>
          <w:bCs/>
          <w:szCs w:val="22"/>
        </w:rPr>
        <w:t>Henkel</w:t>
      </w:r>
      <w:r w:rsidR="006E1FA9" w:rsidRPr="006E1FA9">
        <w:rPr>
          <w:rFonts w:cs="Segoe UI"/>
          <w:bCs/>
          <w:szCs w:val="22"/>
        </w:rPr>
        <w:t xml:space="preserve"> signed two </w:t>
      </w:r>
      <w:r w:rsidR="00E34666">
        <w:rPr>
          <w:rFonts w:cs="Segoe UI"/>
          <w:bCs/>
          <w:szCs w:val="22"/>
        </w:rPr>
        <w:t>transaction</w:t>
      </w:r>
      <w:r w:rsidR="006E1FA9" w:rsidRPr="006E1FA9">
        <w:rPr>
          <w:rFonts w:cs="Segoe UI"/>
          <w:bCs/>
          <w:szCs w:val="22"/>
        </w:rPr>
        <w:t>s</w:t>
      </w:r>
      <w:r w:rsidR="00EC0E64">
        <w:rPr>
          <w:rFonts w:cs="Segoe UI"/>
          <w:bCs/>
          <w:szCs w:val="22"/>
        </w:rPr>
        <w:t xml:space="preserve"> with a </w:t>
      </w:r>
      <w:r w:rsidR="008E0A04">
        <w:rPr>
          <w:rFonts w:cs="Segoe UI"/>
          <w:bCs/>
          <w:szCs w:val="22"/>
        </w:rPr>
        <w:t>combined</w:t>
      </w:r>
      <w:r w:rsidR="00EC0E64">
        <w:rPr>
          <w:rFonts w:cs="Segoe UI"/>
          <w:bCs/>
          <w:szCs w:val="22"/>
        </w:rPr>
        <w:t xml:space="preserve"> </w:t>
      </w:r>
      <w:r w:rsidR="00006A45">
        <w:rPr>
          <w:rFonts w:cs="Segoe UI"/>
          <w:bCs/>
          <w:szCs w:val="22"/>
        </w:rPr>
        <w:t xml:space="preserve">purchase price </w:t>
      </w:r>
      <w:r w:rsidR="00EC0E64">
        <w:rPr>
          <w:rFonts w:cs="Segoe UI"/>
          <w:bCs/>
          <w:szCs w:val="22"/>
        </w:rPr>
        <w:t xml:space="preserve">of around 500 million euros. </w:t>
      </w:r>
      <w:r w:rsidR="007D62A4">
        <w:rPr>
          <w:rFonts w:cs="Segoe UI"/>
          <w:bCs/>
          <w:szCs w:val="22"/>
        </w:rPr>
        <w:t xml:space="preserve">In the Beauty Care </w:t>
      </w:r>
      <w:r w:rsidR="009918DD">
        <w:rPr>
          <w:rFonts w:cs="Segoe UI"/>
          <w:bCs/>
          <w:szCs w:val="22"/>
        </w:rPr>
        <w:t xml:space="preserve">business unit, Henkel expands its </w:t>
      </w:r>
      <w:r w:rsidR="009918DD" w:rsidRPr="009918DD">
        <w:rPr>
          <w:rFonts w:cs="Segoe UI"/>
          <w:bCs/>
          <w:szCs w:val="22"/>
        </w:rPr>
        <w:t xml:space="preserve">digital </w:t>
      </w:r>
      <w:r w:rsidR="00D5611E">
        <w:rPr>
          <w:rFonts w:cs="Segoe UI"/>
          <w:bCs/>
          <w:szCs w:val="22"/>
        </w:rPr>
        <w:t>direct-to-consumer (D2C) activities</w:t>
      </w:r>
      <w:r w:rsidR="009918DD" w:rsidRPr="009918DD">
        <w:rPr>
          <w:rFonts w:cs="Segoe UI"/>
          <w:bCs/>
          <w:szCs w:val="22"/>
        </w:rPr>
        <w:t xml:space="preserve"> </w:t>
      </w:r>
      <w:r w:rsidR="00D5611E">
        <w:rPr>
          <w:rFonts w:cs="Segoe UI"/>
          <w:bCs/>
          <w:szCs w:val="22"/>
        </w:rPr>
        <w:t xml:space="preserve">through the acquisition of a majority stake in a business comprising </w:t>
      </w:r>
      <w:r w:rsidR="009918DD" w:rsidRPr="009918DD">
        <w:rPr>
          <w:rFonts w:cs="Segoe UI"/>
          <w:bCs/>
          <w:szCs w:val="22"/>
        </w:rPr>
        <w:t>three fast</w:t>
      </w:r>
      <w:r w:rsidR="00D5611E">
        <w:rPr>
          <w:rFonts w:cs="Segoe UI"/>
          <w:bCs/>
          <w:szCs w:val="22"/>
        </w:rPr>
        <w:t>-</w:t>
      </w:r>
      <w:r w:rsidR="009918DD" w:rsidRPr="009918DD">
        <w:rPr>
          <w:rFonts w:cs="Segoe UI"/>
          <w:bCs/>
          <w:szCs w:val="22"/>
        </w:rPr>
        <w:t xml:space="preserve">growing premium </w:t>
      </w:r>
      <w:r w:rsidR="00D5611E">
        <w:rPr>
          <w:rFonts w:cs="Segoe UI"/>
          <w:bCs/>
          <w:szCs w:val="22"/>
        </w:rPr>
        <w:t>b</w:t>
      </w:r>
      <w:r w:rsidR="009918DD" w:rsidRPr="009918DD">
        <w:rPr>
          <w:rFonts w:cs="Segoe UI"/>
          <w:bCs/>
          <w:szCs w:val="22"/>
        </w:rPr>
        <w:t>eauty brands</w:t>
      </w:r>
      <w:r w:rsidR="009918DD">
        <w:rPr>
          <w:rFonts w:cs="Segoe UI"/>
          <w:bCs/>
          <w:szCs w:val="22"/>
        </w:rPr>
        <w:t xml:space="preserve">. </w:t>
      </w:r>
      <w:r w:rsidR="00EC0E64">
        <w:rPr>
          <w:rFonts w:cs="Segoe UI"/>
          <w:bCs/>
          <w:szCs w:val="22"/>
        </w:rPr>
        <w:t>In the Adhesive</w:t>
      </w:r>
      <w:r w:rsidR="00D5611E">
        <w:rPr>
          <w:rFonts w:cs="Segoe UI"/>
          <w:bCs/>
          <w:szCs w:val="22"/>
        </w:rPr>
        <w:t xml:space="preserve"> Technologie</w:t>
      </w:r>
      <w:r w:rsidR="00EC0E64">
        <w:rPr>
          <w:rFonts w:cs="Segoe UI"/>
          <w:bCs/>
          <w:szCs w:val="22"/>
        </w:rPr>
        <w:t xml:space="preserve">s </w:t>
      </w:r>
      <w:r w:rsidR="00E41985">
        <w:rPr>
          <w:rFonts w:cs="Segoe UI"/>
          <w:bCs/>
          <w:szCs w:val="22"/>
        </w:rPr>
        <w:t xml:space="preserve">business, </w:t>
      </w:r>
      <w:r w:rsidR="009918DD">
        <w:rPr>
          <w:rFonts w:cs="Segoe UI"/>
          <w:bCs/>
          <w:szCs w:val="22"/>
        </w:rPr>
        <w:t xml:space="preserve">Henkel </w:t>
      </w:r>
      <w:r w:rsidR="00C677C9">
        <w:rPr>
          <w:rFonts w:cs="Segoe UI"/>
          <w:bCs/>
          <w:szCs w:val="22"/>
        </w:rPr>
        <w:t xml:space="preserve">will </w:t>
      </w:r>
      <w:r w:rsidR="00D5611E">
        <w:rPr>
          <w:rFonts w:cs="Segoe UI"/>
          <w:bCs/>
          <w:szCs w:val="22"/>
        </w:rPr>
        <w:t xml:space="preserve">expand </w:t>
      </w:r>
      <w:r w:rsidR="009918DD">
        <w:rPr>
          <w:rFonts w:cs="Segoe UI"/>
          <w:bCs/>
          <w:szCs w:val="22"/>
        </w:rPr>
        <w:t xml:space="preserve">its position in </w:t>
      </w:r>
      <w:r w:rsidR="00D5611E">
        <w:rPr>
          <w:rFonts w:cs="Segoe UI"/>
          <w:bCs/>
          <w:szCs w:val="22"/>
        </w:rPr>
        <w:t xml:space="preserve">adhesives and </w:t>
      </w:r>
      <w:r w:rsidR="009918DD" w:rsidRPr="009918DD">
        <w:rPr>
          <w:rFonts w:cs="Segoe UI"/>
          <w:bCs/>
          <w:szCs w:val="22"/>
        </w:rPr>
        <w:t xml:space="preserve">sealants </w:t>
      </w:r>
      <w:r w:rsidR="00D5611E">
        <w:rPr>
          <w:rFonts w:cs="Segoe UI"/>
          <w:bCs/>
          <w:szCs w:val="22"/>
        </w:rPr>
        <w:t xml:space="preserve">for consumers and craftsmen </w:t>
      </w:r>
      <w:r w:rsidR="009918DD">
        <w:rPr>
          <w:rFonts w:cs="Segoe UI"/>
          <w:bCs/>
          <w:szCs w:val="22"/>
        </w:rPr>
        <w:t>in North America</w:t>
      </w:r>
      <w:r w:rsidR="00006A45">
        <w:rPr>
          <w:rFonts w:cs="Segoe UI"/>
          <w:bCs/>
          <w:szCs w:val="22"/>
        </w:rPr>
        <w:t xml:space="preserve"> with the acquisition of </w:t>
      </w:r>
      <w:r w:rsidR="00C677C9">
        <w:rPr>
          <w:rFonts w:cs="Segoe UI"/>
          <w:bCs/>
          <w:szCs w:val="22"/>
        </w:rPr>
        <w:t>a</w:t>
      </w:r>
      <w:r w:rsidR="00D5611E">
        <w:rPr>
          <w:rFonts w:cs="Segoe UI"/>
          <w:bCs/>
          <w:szCs w:val="22"/>
        </w:rPr>
        <w:t>n</w:t>
      </w:r>
      <w:r w:rsidR="00D5611E" w:rsidRPr="00D5611E">
        <w:rPr>
          <w:rFonts w:cs="Segoe UI"/>
          <w:bCs/>
          <w:szCs w:val="22"/>
        </w:rPr>
        <w:t xml:space="preserve"> attractive consumer sealant</w:t>
      </w:r>
      <w:r w:rsidR="00D5611E">
        <w:rPr>
          <w:rFonts w:cs="Segoe UI"/>
          <w:bCs/>
          <w:szCs w:val="22"/>
        </w:rPr>
        <w:t xml:space="preserve">s portfolio </w:t>
      </w:r>
      <w:r w:rsidR="00D5611E" w:rsidRPr="00D5611E">
        <w:rPr>
          <w:rFonts w:cs="Segoe UI"/>
          <w:bCs/>
          <w:szCs w:val="22"/>
        </w:rPr>
        <w:t>marketed under the GE brand</w:t>
      </w:r>
      <w:r>
        <w:rPr>
          <w:rFonts w:cs="Segoe UI"/>
          <w:bCs/>
          <w:szCs w:val="22"/>
        </w:rPr>
        <w:t>*</w:t>
      </w:r>
      <w:r w:rsidR="00006A45">
        <w:rPr>
          <w:rFonts w:cs="Segoe UI"/>
          <w:bCs/>
          <w:szCs w:val="22"/>
        </w:rPr>
        <w:t>.</w:t>
      </w:r>
      <w:r w:rsidR="0086088F">
        <w:rPr>
          <w:rFonts w:cs="Segoe UI"/>
          <w:bCs/>
          <w:szCs w:val="22"/>
        </w:rPr>
        <w:t xml:space="preserve"> </w:t>
      </w:r>
      <w:r w:rsidR="0086088F" w:rsidRPr="00DB59E8">
        <w:rPr>
          <w:rFonts w:cs="Segoe UI"/>
          <w:bCs/>
          <w:szCs w:val="22"/>
        </w:rPr>
        <w:t xml:space="preserve">The acquired business comprises a range of silicone sealants for </w:t>
      </w:r>
      <w:r w:rsidR="00873416" w:rsidRPr="00DB59E8">
        <w:rPr>
          <w:rFonts w:cs="Segoe UI"/>
          <w:bCs/>
          <w:szCs w:val="22"/>
        </w:rPr>
        <w:t xml:space="preserve">various </w:t>
      </w:r>
      <w:r w:rsidR="00BB2D73" w:rsidRPr="00DB59E8">
        <w:rPr>
          <w:rFonts w:cs="Segoe UI"/>
          <w:bCs/>
          <w:szCs w:val="22"/>
        </w:rPr>
        <w:t>applications</w:t>
      </w:r>
      <w:r w:rsidR="0086088F" w:rsidRPr="00DB59E8">
        <w:rPr>
          <w:rFonts w:cs="Segoe UI"/>
          <w:bCs/>
          <w:szCs w:val="22"/>
        </w:rPr>
        <w:t>.</w:t>
      </w:r>
    </w:p>
    <w:p w14:paraId="6E663303" w14:textId="77777777" w:rsidR="00846017" w:rsidRPr="00846017" w:rsidRDefault="00846017" w:rsidP="00846017">
      <w:pPr>
        <w:autoSpaceDE w:val="0"/>
        <w:autoSpaceDN w:val="0"/>
        <w:adjustRightInd w:val="0"/>
        <w:rPr>
          <w:rFonts w:cs="Segoe UI"/>
          <w:bCs/>
          <w:szCs w:val="22"/>
        </w:rPr>
      </w:pPr>
      <w:r w:rsidRPr="00846017">
        <w:rPr>
          <w:rFonts w:cs="Segoe UI"/>
          <w:bCs/>
          <w:szCs w:val="22"/>
        </w:rPr>
        <w:lastRenderedPageBreak/>
        <w:t xml:space="preserve">In order to further strengthen its </w:t>
      </w:r>
      <w:r w:rsidRPr="00846017">
        <w:rPr>
          <w:rFonts w:cs="Segoe UI"/>
          <w:b/>
          <w:szCs w:val="22"/>
        </w:rPr>
        <w:t>competitive edge</w:t>
      </w:r>
      <w:r w:rsidRPr="00A05F11">
        <w:rPr>
          <w:rFonts w:cs="Segoe UI"/>
          <w:bCs/>
          <w:szCs w:val="22"/>
        </w:rPr>
        <w:t>,</w:t>
      </w:r>
      <w:r w:rsidRPr="00846017">
        <w:rPr>
          <w:rFonts w:cs="Segoe UI"/>
          <w:bCs/>
          <w:szCs w:val="22"/>
        </w:rPr>
        <w:t xml:space="preserve"> Henkel will focus on accelerating impactful </w:t>
      </w:r>
      <w:r w:rsidRPr="00846017">
        <w:rPr>
          <w:rFonts w:cs="Segoe UI"/>
          <w:b/>
          <w:szCs w:val="22"/>
        </w:rPr>
        <w:t>innovations</w:t>
      </w:r>
      <w:r w:rsidRPr="00846017">
        <w:rPr>
          <w:rFonts w:cs="Segoe UI"/>
          <w:bCs/>
          <w:szCs w:val="22"/>
        </w:rPr>
        <w:t xml:space="preserve">, boosting </w:t>
      </w:r>
      <w:r w:rsidRPr="00846017">
        <w:rPr>
          <w:rFonts w:cs="Segoe UI"/>
          <w:b/>
          <w:szCs w:val="22"/>
        </w:rPr>
        <w:t>sustainability</w:t>
      </w:r>
      <w:r w:rsidRPr="00846017">
        <w:rPr>
          <w:rFonts w:cs="Segoe UI"/>
          <w:bCs/>
          <w:szCs w:val="22"/>
        </w:rPr>
        <w:t xml:space="preserve"> as a differentiating factor and transforming </w:t>
      </w:r>
      <w:r w:rsidRPr="00846017">
        <w:rPr>
          <w:rFonts w:cs="Segoe UI"/>
          <w:b/>
          <w:szCs w:val="22"/>
        </w:rPr>
        <w:t>digital</w:t>
      </w:r>
      <w:r w:rsidRPr="00846017">
        <w:rPr>
          <w:rFonts w:cs="Segoe UI"/>
          <w:bCs/>
          <w:szCs w:val="22"/>
        </w:rPr>
        <w:t xml:space="preserve"> into a customer and consumer value creator.</w:t>
      </w:r>
    </w:p>
    <w:p w14:paraId="61BFDB7F" w14:textId="77777777" w:rsidR="00846017" w:rsidRPr="00846017" w:rsidRDefault="00846017" w:rsidP="00846017">
      <w:pPr>
        <w:autoSpaceDE w:val="0"/>
        <w:autoSpaceDN w:val="0"/>
        <w:adjustRightInd w:val="0"/>
        <w:rPr>
          <w:rFonts w:cs="Segoe UI"/>
          <w:bCs/>
          <w:szCs w:val="22"/>
        </w:rPr>
      </w:pPr>
    </w:p>
    <w:p w14:paraId="4A2BCD76" w14:textId="2368E996" w:rsidR="00A61481" w:rsidRPr="00A61481" w:rsidRDefault="00846017" w:rsidP="00A61481">
      <w:pPr>
        <w:autoSpaceDE w:val="0"/>
        <w:autoSpaceDN w:val="0"/>
        <w:adjustRightInd w:val="0"/>
        <w:rPr>
          <w:rFonts w:cs="Segoe UI"/>
          <w:bCs/>
          <w:szCs w:val="22"/>
        </w:rPr>
      </w:pPr>
      <w:r w:rsidRPr="00846017">
        <w:rPr>
          <w:rFonts w:cs="Segoe UI"/>
          <w:bCs/>
          <w:szCs w:val="22"/>
        </w:rPr>
        <w:t xml:space="preserve">Henkel aims to accelerate impactful </w:t>
      </w:r>
      <w:r w:rsidRPr="00846017">
        <w:rPr>
          <w:rFonts w:cs="Segoe UI"/>
          <w:b/>
          <w:szCs w:val="22"/>
        </w:rPr>
        <w:t>innovations</w:t>
      </w:r>
      <w:r w:rsidRPr="00846017">
        <w:rPr>
          <w:rFonts w:cs="Segoe UI"/>
          <w:bCs/>
          <w:szCs w:val="22"/>
        </w:rPr>
        <w:t xml:space="preserve">, supported by increased investments. This includes an enhanced </w:t>
      </w:r>
      <w:r w:rsidRPr="00846017">
        <w:rPr>
          <w:rFonts w:cs="Segoe UI"/>
          <w:b/>
          <w:szCs w:val="22"/>
        </w:rPr>
        <w:t>innovation approach</w:t>
      </w:r>
      <w:r w:rsidRPr="00846017">
        <w:rPr>
          <w:rFonts w:cs="Segoe UI"/>
          <w:bCs/>
          <w:szCs w:val="22"/>
        </w:rPr>
        <w:t xml:space="preserve">. Innovations and brands will be supported with </w:t>
      </w:r>
      <w:r w:rsidRPr="00846017">
        <w:rPr>
          <w:rFonts w:cs="Segoe UI"/>
          <w:szCs w:val="22"/>
        </w:rPr>
        <w:t>consistent investments in core categor</w:t>
      </w:r>
      <w:r w:rsidRPr="00846017">
        <w:rPr>
          <w:rFonts w:cs="Segoe UI"/>
          <w:bCs/>
          <w:szCs w:val="22"/>
        </w:rPr>
        <w:t xml:space="preserve">ies and regions. Therefore, Henkel is committed to further </w:t>
      </w:r>
      <w:r w:rsidRPr="00846017">
        <w:rPr>
          <w:rFonts w:cs="Segoe UI"/>
          <w:b/>
          <w:szCs w:val="22"/>
        </w:rPr>
        <w:t>step up growth investments</w:t>
      </w:r>
      <w:r w:rsidRPr="00846017">
        <w:rPr>
          <w:rFonts w:cs="Segoe UI"/>
          <w:bCs/>
          <w:szCs w:val="22"/>
        </w:rPr>
        <w:t xml:space="preserve"> in advertising, digital and IT</w:t>
      </w:r>
      <w:r w:rsidR="00006A45">
        <w:rPr>
          <w:rFonts w:cs="Segoe UI"/>
          <w:bCs/>
          <w:szCs w:val="22"/>
        </w:rPr>
        <w:t xml:space="preserve">. </w:t>
      </w:r>
      <w:r w:rsidR="00A61481" w:rsidRPr="00A61481">
        <w:rPr>
          <w:rFonts w:cs="Segoe UI"/>
          <w:bCs/>
          <w:szCs w:val="22"/>
        </w:rPr>
        <w:t>In the first six months of th</w:t>
      </w:r>
      <w:r w:rsidR="00A61481">
        <w:rPr>
          <w:rFonts w:cs="Segoe UI"/>
          <w:bCs/>
          <w:szCs w:val="22"/>
        </w:rPr>
        <w:t>is</w:t>
      </w:r>
      <w:r w:rsidR="00A61481" w:rsidRPr="00A61481">
        <w:rPr>
          <w:rFonts w:cs="Segoe UI"/>
          <w:bCs/>
          <w:szCs w:val="22"/>
        </w:rPr>
        <w:t xml:space="preserve"> year, and despite the macroeconomic challenges, Henkel step</w:t>
      </w:r>
      <w:r w:rsidR="00006A45">
        <w:rPr>
          <w:rFonts w:cs="Segoe UI"/>
          <w:bCs/>
          <w:szCs w:val="22"/>
        </w:rPr>
        <w:t>ped</w:t>
      </w:r>
      <w:r w:rsidR="00A61481" w:rsidRPr="00A61481">
        <w:rPr>
          <w:rFonts w:cs="Segoe UI"/>
          <w:bCs/>
          <w:szCs w:val="22"/>
        </w:rPr>
        <w:t xml:space="preserve"> up </w:t>
      </w:r>
      <w:r w:rsidR="00A61481">
        <w:rPr>
          <w:rFonts w:cs="Segoe UI"/>
          <w:bCs/>
          <w:szCs w:val="22"/>
        </w:rPr>
        <w:t>these</w:t>
      </w:r>
      <w:r w:rsidR="00A61481" w:rsidRPr="00A61481">
        <w:rPr>
          <w:rFonts w:cs="Segoe UI"/>
          <w:bCs/>
          <w:szCs w:val="22"/>
        </w:rPr>
        <w:t xml:space="preserve"> investments by a high double-digit million-euro amount</w:t>
      </w:r>
      <w:r w:rsidR="00A61481">
        <w:rPr>
          <w:rFonts w:cs="Segoe UI"/>
          <w:bCs/>
          <w:szCs w:val="22"/>
        </w:rPr>
        <w:t>.</w:t>
      </w:r>
    </w:p>
    <w:p w14:paraId="7B426FB2" w14:textId="77777777" w:rsidR="00846017" w:rsidRPr="00846017" w:rsidRDefault="00846017" w:rsidP="00846017">
      <w:pPr>
        <w:autoSpaceDE w:val="0"/>
        <w:autoSpaceDN w:val="0"/>
        <w:adjustRightInd w:val="0"/>
        <w:rPr>
          <w:rFonts w:cs="Segoe UI"/>
          <w:bCs/>
          <w:szCs w:val="22"/>
        </w:rPr>
      </w:pPr>
    </w:p>
    <w:p w14:paraId="4A1B6798" w14:textId="1098EA23" w:rsidR="00385438" w:rsidRDefault="00846017" w:rsidP="00846017">
      <w:pPr>
        <w:autoSpaceDE w:val="0"/>
        <w:autoSpaceDN w:val="0"/>
        <w:adjustRightInd w:val="0"/>
        <w:rPr>
          <w:rFonts w:cs="Segoe UI"/>
          <w:bCs/>
          <w:szCs w:val="22"/>
        </w:rPr>
      </w:pPr>
      <w:r w:rsidRPr="00846017">
        <w:rPr>
          <w:rFonts w:cs="Segoe UI"/>
          <w:bCs/>
          <w:szCs w:val="22"/>
        </w:rPr>
        <w:t xml:space="preserve">In Adhesive Technologies, Henkel continued its investments into </w:t>
      </w:r>
      <w:r w:rsidR="00006A45">
        <w:rPr>
          <w:rFonts w:cs="Segoe UI"/>
          <w:bCs/>
          <w:szCs w:val="22"/>
        </w:rPr>
        <w:t xml:space="preserve">its </w:t>
      </w:r>
      <w:r w:rsidRPr="00846017">
        <w:rPr>
          <w:rFonts w:cs="Segoe UI"/>
          <w:bCs/>
          <w:szCs w:val="22"/>
        </w:rPr>
        <w:t xml:space="preserve">state-of-the-art innovation center in Düsseldorf. In </w:t>
      </w:r>
      <w:r w:rsidR="008712FE">
        <w:rPr>
          <w:rFonts w:cs="Segoe UI"/>
          <w:bCs/>
          <w:szCs w:val="22"/>
        </w:rPr>
        <w:t>its consumer businesses</w:t>
      </w:r>
      <w:r w:rsidRPr="00846017">
        <w:rPr>
          <w:rFonts w:cs="Segoe UI"/>
          <w:bCs/>
          <w:szCs w:val="22"/>
        </w:rPr>
        <w:t>, Henkel quickly ramped</w:t>
      </w:r>
      <w:r w:rsidR="00832633">
        <w:rPr>
          <w:rFonts w:cs="Segoe UI"/>
          <w:bCs/>
          <w:szCs w:val="22"/>
        </w:rPr>
        <w:t xml:space="preserve"> </w:t>
      </w:r>
      <w:r w:rsidRPr="00846017">
        <w:rPr>
          <w:rFonts w:cs="Segoe UI"/>
          <w:bCs/>
          <w:szCs w:val="22"/>
        </w:rPr>
        <w:t xml:space="preserve">up </w:t>
      </w:r>
      <w:r w:rsidR="00A05F11">
        <w:rPr>
          <w:rFonts w:cs="Segoe UI"/>
          <w:bCs/>
          <w:szCs w:val="22"/>
        </w:rPr>
        <w:t xml:space="preserve">an </w:t>
      </w:r>
      <w:r w:rsidRPr="00846017">
        <w:rPr>
          <w:rFonts w:cs="Segoe UI"/>
          <w:bCs/>
          <w:szCs w:val="22"/>
        </w:rPr>
        <w:t xml:space="preserve">additional hygiene portfolio </w:t>
      </w:r>
      <w:r w:rsidR="00E663B6">
        <w:rPr>
          <w:rFonts w:cs="Segoe UI"/>
          <w:bCs/>
          <w:szCs w:val="22"/>
        </w:rPr>
        <w:t xml:space="preserve">and </w:t>
      </w:r>
      <w:r w:rsidRPr="00846017">
        <w:rPr>
          <w:rFonts w:cs="Segoe UI"/>
          <w:bCs/>
          <w:szCs w:val="22"/>
        </w:rPr>
        <w:t xml:space="preserve">production capacities </w:t>
      </w:r>
      <w:r w:rsidR="00C44489">
        <w:rPr>
          <w:rFonts w:cs="Segoe UI"/>
          <w:bCs/>
          <w:szCs w:val="22"/>
        </w:rPr>
        <w:t xml:space="preserve">for </w:t>
      </w:r>
      <w:r w:rsidRPr="00846017">
        <w:rPr>
          <w:rFonts w:cs="Segoe UI"/>
          <w:bCs/>
          <w:szCs w:val="22"/>
        </w:rPr>
        <w:t xml:space="preserve">new hand sanitizers </w:t>
      </w:r>
      <w:r w:rsidR="00E663B6">
        <w:rPr>
          <w:rFonts w:cs="Segoe UI"/>
          <w:bCs/>
          <w:szCs w:val="22"/>
        </w:rPr>
        <w:t xml:space="preserve">and cleaning products </w:t>
      </w:r>
      <w:r w:rsidRPr="00846017">
        <w:rPr>
          <w:rFonts w:cs="Segoe UI"/>
          <w:bCs/>
          <w:szCs w:val="22"/>
        </w:rPr>
        <w:t>across different regions.</w:t>
      </w:r>
    </w:p>
    <w:p w14:paraId="022267E5" w14:textId="77777777" w:rsidR="00385438" w:rsidRDefault="00385438" w:rsidP="00846017">
      <w:pPr>
        <w:autoSpaceDE w:val="0"/>
        <w:autoSpaceDN w:val="0"/>
        <w:adjustRightInd w:val="0"/>
        <w:rPr>
          <w:rFonts w:cs="Segoe UI"/>
          <w:bCs/>
          <w:szCs w:val="22"/>
        </w:rPr>
      </w:pPr>
    </w:p>
    <w:p w14:paraId="3EC3F3BA" w14:textId="510C986D" w:rsidR="00846017" w:rsidRPr="00846017" w:rsidRDefault="004F5AD9" w:rsidP="00846017">
      <w:pPr>
        <w:autoSpaceDE w:val="0"/>
        <w:autoSpaceDN w:val="0"/>
        <w:adjustRightInd w:val="0"/>
        <w:rPr>
          <w:rFonts w:cs="Segoe UI"/>
          <w:bCs/>
          <w:szCs w:val="22"/>
        </w:rPr>
      </w:pPr>
      <w:r>
        <w:rPr>
          <w:rFonts w:cs="Segoe UI"/>
          <w:bCs/>
          <w:szCs w:val="22"/>
        </w:rPr>
        <w:t xml:space="preserve">A </w:t>
      </w:r>
      <w:r w:rsidRPr="004F5AD9">
        <w:rPr>
          <w:rFonts w:cs="Segoe UI"/>
          <w:bCs/>
          <w:szCs w:val="22"/>
        </w:rPr>
        <w:t xml:space="preserve">key pillar of </w:t>
      </w:r>
      <w:r>
        <w:rPr>
          <w:rFonts w:cs="Segoe UI"/>
          <w:bCs/>
          <w:szCs w:val="22"/>
        </w:rPr>
        <w:t>Henkel’s</w:t>
      </w:r>
      <w:r w:rsidRPr="004F5AD9">
        <w:rPr>
          <w:rFonts w:cs="Segoe UI"/>
          <w:bCs/>
          <w:szCs w:val="22"/>
        </w:rPr>
        <w:t xml:space="preserve"> competitive edge strategy </w:t>
      </w:r>
      <w:r>
        <w:rPr>
          <w:rFonts w:cs="Segoe UI"/>
          <w:bCs/>
          <w:szCs w:val="22"/>
        </w:rPr>
        <w:t xml:space="preserve">is </w:t>
      </w:r>
      <w:r w:rsidRPr="004F5AD9">
        <w:rPr>
          <w:rFonts w:cs="Segoe UI"/>
          <w:bCs/>
          <w:szCs w:val="22"/>
        </w:rPr>
        <w:t xml:space="preserve">clear differentiation in the market through impactful innovations. In Adhesive Technologies, </w:t>
      </w:r>
      <w:r>
        <w:rPr>
          <w:rFonts w:cs="Segoe UI"/>
          <w:bCs/>
          <w:szCs w:val="22"/>
        </w:rPr>
        <w:t xml:space="preserve">Henkel used its </w:t>
      </w:r>
      <w:r w:rsidRPr="004F5AD9">
        <w:rPr>
          <w:rFonts w:cs="Segoe UI"/>
          <w:bCs/>
          <w:szCs w:val="22"/>
        </w:rPr>
        <w:t>broad industry portfolio for sealing and impregnation technology solutions</w:t>
      </w:r>
      <w:r>
        <w:rPr>
          <w:rFonts w:cs="Segoe UI"/>
          <w:bCs/>
          <w:szCs w:val="22"/>
        </w:rPr>
        <w:t xml:space="preserve"> to launch </w:t>
      </w:r>
      <w:r w:rsidRPr="004F5AD9">
        <w:rPr>
          <w:rFonts w:cs="Segoe UI"/>
          <w:bCs/>
          <w:szCs w:val="22"/>
        </w:rPr>
        <w:t xml:space="preserve">a new product line to increase the water resistance of high-end smartphones. </w:t>
      </w:r>
      <w:r>
        <w:rPr>
          <w:rFonts w:cs="Segoe UI"/>
          <w:bCs/>
          <w:szCs w:val="22"/>
        </w:rPr>
        <w:t>This was a</w:t>
      </w:r>
      <w:r w:rsidRPr="004F5AD9">
        <w:rPr>
          <w:rFonts w:cs="Segoe UI"/>
          <w:bCs/>
          <w:szCs w:val="22"/>
        </w:rPr>
        <w:t xml:space="preserve"> collaboration with one of the major smartphone brands in the world</w:t>
      </w:r>
      <w:r>
        <w:rPr>
          <w:rFonts w:cs="Segoe UI"/>
          <w:bCs/>
          <w:szCs w:val="22"/>
        </w:rPr>
        <w:t xml:space="preserve">. </w:t>
      </w:r>
      <w:r w:rsidRPr="004F5AD9">
        <w:rPr>
          <w:rFonts w:cs="Segoe UI"/>
          <w:bCs/>
          <w:szCs w:val="22"/>
        </w:rPr>
        <w:t>Beauty Care launch</w:t>
      </w:r>
      <w:r>
        <w:rPr>
          <w:rFonts w:cs="Segoe UI"/>
          <w:bCs/>
          <w:szCs w:val="22"/>
        </w:rPr>
        <w:t xml:space="preserve">ed </w:t>
      </w:r>
      <w:r w:rsidR="00384F62">
        <w:rPr>
          <w:rFonts w:cs="Segoe UI"/>
          <w:bCs/>
          <w:szCs w:val="22"/>
        </w:rPr>
        <w:t>the</w:t>
      </w:r>
      <w:r>
        <w:rPr>
          <w:rFonts w:cs="Segoe UI"/>
          <w:bCs/>
          <w:szCs w:val="22"/>
        </w:rPr>
        <w:t xml:space="preserve"> </w:t>
      </w:r>
      <w:r w:rsidRPr="004F5AD9">
        <w:rPr>
          <w:rFonts w:cs="Segoe UI"/>
          <w:bCs/>
          <w:szCs w:val="22"/>
        </w:rPr>
        <w:t xml:space="preserve">new Schwarzkopf brand </w:t>
      </w:r>
      <w:r w:rsidR="00384F62">
        <w:rPr>
          <w:rFonts w:cs="Segoe UI"/>
          <w:bCs/>
          <w:szCs w:val="22"/>
        </w:rPr>
        <w:t>Simply Color</w:t>
      </w:r>
      <w:r w:rsidR="00FB3846">
        <w:rPr>
          <w:rFonts w:cs="Segoe UI"/>
          <w:bCs/>
          <w:szCs w:val="22"/>
        </w:rPr>
        <w:t xml:space="preserve">, </w:t>
      </w:r>
      <w:r w:rsidRPr="004F5AD9">
        <w:rPr>
          <w:rFonts w:cs="Segoe UI"/>
          <w:bCs/>
          <w:szCs w:val="22"/>
        </w:rPr>
        <w:t xml:space="preserve">based on the natural trends in the more “technological” category of hair coloration. </w:t>
      </w:r>
      <w:r w:rsidR="00846017" w:rsidRPr="00846017">
        <w:rPr>
          <w:rFonts w:cs="Segoe UI"/>
          <w:bCs/>
          <w:szCs w:val="22"/>
        </w:rPr>
        <w:t xml:space="preserve">The Laundry &amp; Home Care business unit further rolled out Persil 4in1 </w:t>
      </w:r>
      <w:r w:rsidR="007845AC">
        <w:rPr>
          <w:rFonts w:cs="Segoe UI"/>
          <w:bCs/>
          <w:szCs w:val="22"/>
        </w:rPr>
        <w:t>D</w:t>
      </w:r>
      <w:r w:rsidR="00846017" w:rsidRPr="00846017">
        <w:rPr>
          <w:rFonts w:cs="Segoe UI"/>
          <w:bCs/>
          <w:szCs w:val="22"/>
        </w:rPr>
        <w:t>iscs</w:t>
      </w:r>
      <w:r w:rsidR="00FB3846">
        <w:rPr>
          <w:rFonts w:cs="Segoe UI"/>
          <w:bCs/>
          <w:szCs w:val="22"/>
        </w:rPr>
        <w:t xml:space="preserve">. </w:t>
      </w:r>
      <w:r w:rsidR="00FB3846" w:rsidRPr="00FB3846">
        <w:rPr>
          <w:rFonts w:cs="Segoe UI"/>
          <w:bCs/>
          <w:szCs w:val="22"/>
        </w:rPr>
        <w:t xml:space="preserve">Persil </w:t>
      </w:r>
      <w:r w:rsidR="007845AC">
        <w:rPr>
          <w:rFonts w:cs="Segoe UI"/>
          <w:bCs/>
          <w:szCs w:val="22"/>
        </w:rPr>
        <w:t>D</w:t>
      </w:r>
      <w:r w:rsidR="00FB3846">
        <w:rPr>
          <w:rFonts w:cs="Segoe UI"/>
          <w:bCs/>
          <w:szCs w:val="22"/>
        </w:rPr>
        <w:t xml:space="preserve">iscs </w:t>
      </w:r>
      <w:r w:rsidR="00FB3846" w:rsidRPr="00FB3846">
        <w:rPr>
          <w:rFonts w:cs="Segoe UI"/>
          <w:bCs/>
          <w:szCs w:val="22"/>
        </w:rPr>
        <w:t>are by now making up almost 10</w:t>
      </w:r>
      <w:r w:rsidR="00FB3846">
        <w:rPr>
          <w:rFonts w:cs="Segoe UI"/>
          <w:bCs/>
          <w:szCs w:val="22"/>
        </w:rPr>
        <w:t xml:space="preserve"> percent </w:t>
      </w:r>
      <w:r w:rsidR="00FB3846" w:rsidRPr="00FB3846">
        <w:rPr>
          <w:rFonts w:cs="Segoe UI"/>
          <w:bCs/>
          <w:szCs w:val="22"/>
        </w:rPr>
        <w:t xml:space="preserve">of </w:t>
      </w:r>
      <w:r w:rsidR="00FB3846">
        <w:rPr>
          <w:rFonts w:cs="Segoe UI"/>
          <w:bCs/>
          <w:szCs w:val="22"/>
        </w:rPr>
        <w:t>the</w:t>
      </w:r>
      <w:r w:rsidR="00FB3846" w:rsidRPr="00FB3846">
        <w:rPr>
          <w:rFonts w:cs="Segoe UI"/>
          <w:bCs/>
          <w:szCs w:val="22"/>
        </w:rPr>
        <w:t xml:space="preserve"> overall sales under the Persil brand</w:t>
      </w:r>
      <w:r w:rsidR="00FB3846">
        <w:rPr>
          <w:rFonts w:cs="Segoe UI"/>
          <w:bCs/>
          <w:szCs w:val="22"/>
        </w:rPr>
        <w:t xml:space="preserve">. </w:t>
      </w:r>
    </w:p>
    <w:p w14:paraId="7E6A0E58" w14:textId="77777777" w:rsidR="00846017" w:rsidRPr="00846017" w:rsidRDefault="00846017" w:rsidP="00846017">
      <w:pPr>
        <w:autoSpaceDE w:val="0"/>
        <w:autoSpaceDN w:val="0"/>
        <w:adjustRightInd w:val="0"/>
        <w:rPr>
          <w:rFonts w:cs="Segoe UI"/>
          <w:bCs/>
          <w:szCs w:val="22"/>
        </w:rPr>
      </w:pPr>
    </w:p>
    <w:p w14:paraId="501652FD" w14:textId="0831CA6E" w:rsidR="00364F7E" w:rsidRDefault="00846017" w:rsidP="00F46B50">
      <w:pPr>
        <w:rPr>
          <w:rFonts w:cs="Segoe UI"/>
          <w:bCs/>
          <w:szCs w:val="22"/>
        </w:rPr>
      </w:pPr>
      <w:r w:rsidRPr="00846017">
        <w:rPr>
          <w:rFonts w:cs="Segoe UI"/>
          <w:b/>
          <w:szCs w:val="22"/>
        </w:rPr>
        <w:t>Sustainability</w:t>
      </w:r>
      <w:r w:rsidRPr="00846017">
        <w:rPr>
          <w:rFonts w:cs="Segoe UI"/>
          <w:bCs/>
          <w:szCs w:val="22"/>
        </w:rPr>
        <w:t xml:space="preserve"> is one of Henkel’s great strengths. The company has a leading role that is regularly confirmed in ratings and rankings. Therefore, Henkel aims to further strengthen its leading position in sustainability as a clear competitive edge. In order to further accelerate its efforts, Henkel has defined the next milestones and specific targets. One element is to become a climate-positive company by 2040.</w:t>
      </w:r>
    </w:p>
    <w:p w14:paraId="121533F9" w14:textId="62AFAE80" w:rsidR="00364F7E" w:rsidRDefault="00364F7E" w:rsidP="00F46B50">
      <w:pPr>
        <w:rPr>
          <w:rFonts w:cs="Segoe UI"/>
          <w:bCs/>
          <w:szCs w:val="22"/>
        </w:rPr>
      </w:pPr>
    </w:p>
    <w:p w14:paraId="403D7868" w14:textId="6535A84D" w:rsidR="00ED3A18" w:rsidRPr="00ED3A18" w:rsidRDefault="00ED3A18" w:rsidP="00ED3A18">
      <w:pPr>
        <w:autoSpaceDE w:val="0"/>
        <w:autoSpaceDN w:val="0"/>
        <w:adjustRightInd w:val="0"/>
        <w:rPr>
          <w:rFonts w:cs="Segoe UI"/>
          <w:bCs/>
          <w:szCs w:val="22"/>
        </w:rPr>
      </w:pPr>
      <w:r w:rsidRPr="00ED3A18">
        <w:rPr>
          <w:rFonts w:cs="Segoe UI"/>
          <w:bCs/>
          <w:szCs w:val="22"/>
        </w:rPr>
        <w:t xml:space="preserve">As the first company globally, Henkel placed a plastic waste reduction bond in June 2020. By that, Henkel took another step in combining attractive corporate finance instruments with progress in sustainability. The proceeds from this bond with a total volume of </w:t>
      </w:r>
      <w:r w:rsidR="005463C3" w:rsidRPr="00BB2D73">
        <w:rPr>
          <w:rFonts w:cs="Segoe UI"/>
          <w:bCs/>
          <w:szCs w:val="22"/>
        </w:rPr>
        <w:t>around 100</w:t>
      </w:r>
      <w:r w:rsidRPr="00ED3A18">
        <w:rPr>
          <w:rFonts w:cs="Segoe UI"/>
          <w:bCs/>
          <w:szCs w:val="22"/>
        </w:rPr>
        <w:t xml:space="preserve"> million euros will be specifically allocated to projects and expenditures related to Henkel’s activities to reduce plastic waste. The bond underlines Henkel’s commitment to </w:t>
      </w:r>
      <w:hyperlink r:id="rId12" w:tgtFrame="_blank" w:history="1">
        <w:r w:rsidRPr="00ED3A18">
          <w:rPr>
            <w:rFonts w:cs="Segoe UI"/>
            <w:bCs/>
            <w:szCs w:val="22"/>
          </w:rPr>
          <w:t>foster a circular economy and reduce plastic waste</w:t>
        </w:r>
      </w:hyperlink>
      <w:r w:rsidRPr="00ED3A18">
        <w:rPr>
          <w:rFonts w:cs="Segoe UI"/>
          <w:bCs/>
          <w:szCs w:val="22"/>
        </w:rPr>
        <w:t xml:space="preserve"> a</w:t>
      </w:r>
      <w:r w:rsidR="002A460D">
        <w:rPr>
          <w:rFonts w:cs="Segoe UI"/>
          <w:bCs/>
          <w:szCs w:val="22"/>
        </w:rPr>
        <w:t>s well as</w:t>
      </w:r>
      <w:r w:rsidRPr="00ED3A18">
        <w:rPr>
          <w:rFonts w:cs="Segoe UI"/>
          <w:bCs/>
          <w:szCs w:val="22"/>
        </w:rPr>
        <w:t xml:space="preserve"> to Sustainable Finance. </w:t>
      </w:r>
    </w:p>
    <w:p w14:paraId="08C65E7D" w14:textId="77777777" w:rsidR="00ED3A18" w:rsidRDefault="00ED3A18" w:rsidP="00F46B50">
      <w:pPr>
        <w:rPr>
          <w:rFonts w:cs="Segoe UI"/>
          <w:bCs/>
          <w:szCs w:val="22"/>
        </w:rPr>
      </w:pPr>
    </w:p>
    <w:p w14:paraId="1634A93E" w14:textId="01903FF8" w:rsidR="00364F7E" w:rsidRDefault="00846017" w:rsidP="00F46B50">
      <w:pPr>
        <w:rPr>
          <w:rFonts w:cs="Segoe UI"/>
          <w:bCs/>
          <w:szCs w:val="22"/>
        </w:rPr>
      </w:pPr>
      <w:r w:rsidRPr="00846017">
        <w:rPr>
          <w:rFonts w:cs="Segoe UI"/>
          <w:bCs/>
          <w:szCs w:val="22"/>
        </w:rPr>
        <w:lastRenderedPageBreak/>
        <w:t xml:space="preserve">Henkel also expanded its Design for Recycling tool </w:t>
      </w:r>
      <w:r w:rsidR="00376FFC">
        <w:rPr>
          <w:rFonts w:cs="Segoe UI"/>
          <w:bCs/>
          <w:szCs w:val="22"/>
        </w:rPr>
        <w:t>“</w:t>
      </w:r>
      <w:r w:rsidRPr="00846017">
        <w:rPr>
          <w:rFonts w:cs="Segoe UI"/>
          <w:bCs/>
          <w:szCs w:val="22"/>
        </w:rPr>
        <w:t>EasyD4R</w:t>
      </w:r>
      <w:r w:rsidR="00376FFC">
        <w:rPr>
          <w:rFonts w:cs="Segoe UI"/>
          <w:bCs/>
          <w:szCs w:val="22"/>
        </w:rPr>
        <w:t>”</w:t>
      </w:r>
      <w:r w:rsidRPr="00846017">
        <w:rPr>
          <w:rFonts w:cs="Segoe UI"/>
          <w:bCs/>
          <w:szCs w:val="22"/>
        </w:rPr>
        <w:t>, which allows to quickly and reliably assess the recyclability of packaging at an early stage in the development process. The software, which has been made available for other companies and organizations, now covers not only different types of plastic packaging but also materials such as paper, glass or aluminum.</w:t>
      </w:r>
      <w:r w:rsidR="00F46B50">
        <w:rPr>
          <w:rFonts w:cs="Segoe UI"/>
          <w:bCs/>
          <w:szCs w:val="22"/>
        </w:rPr>
        <w:t xml:space="preserve"> </w:t>
      </w:r>
    </w:p>
    <w:p w14:paraId="1D434F85" w14:textId="77777777" w:rsidR="00364F7E" w:rsidRDefault="00364F7E" w:rsidP="00F46B50">
      <w:pPr>
        <w:rPr>
          <w:rFonts w:cs="Segoe UI"/>
          <w:bCs/>
          <w:szCs w:val="22"/>
        </w:rPr>
      </w:pPr>
    </w:p>
    <w:p w14:paraId="53DC53FA" w14:textId="65E7C797" w:rsidR="00846017" w:rsidRPr="00846017" w:rsidRDefault="00364F7E" w:rsidP="00846017">
      <w:pPr>
        <w:rPr>
          <w:rFonts w:cs="Segoe UI"/>
          <w:bCs/>
          <w:szCs w:val="22"/>
        </w:rPr>
      </w:pPr>
      <w:r>
        <w:rPr>
          <w:rFonts w:cs="Segoe UI"/>
          <w:bCs/>
          <w:szCs w:val="22"/>
        </w:rPr>
        <w:t>H</w:t>
      </w:r>
      <w:r w:rsidR="00F46B50">
        <w:rPr>
          <w:rFonts w:cs="Segoe UI"/>
          <w:bCs/>
          <w:szCs w:val="22"/>
        </w:rPr>
        <w:t>enkel</w:t>
      </w:r>
      <w:r w:rsidR="00376FFC">
        <w:rPr>
          <w:rFonts w:cs="Segoe UI"/>
          <w:bCs/>
          <w:szCs w:val="22"/>
        </w:rPr>
        <w:t>’s progress in the area of sustainability is also reflected</w:t>
      </w:r>
      <w:r w:rsidR="00F46B50">
        <w:rPr>
          <w:rFonts w:cs="Segoe UI"/>
          <w:bCs/>
          <w:szCs w:val="22"/>
        </w:rPr>
        <w:t xml:space="preserve"> </w:t>
      </w:r>
      <w:r w:rsidR="00376FFC">
        <w:rPr>
          <w:rFonts w:cs="Segoe UI"/>
          <w:bCs/>
          <w:szCs w:val="22"/>
        </w:rPr>
        <w:t xml:space="preserve">in products for consumers and industrial customers. </w:t>
      </w:r>
      <w:r w:rsidR="00E14758">
        <w:rPr>
          <w:rFonts w:cs="Segoe UI"/>
          <w:bCs/>
          <w:szCs w:val="22"/>
        </w:rPr>
        <w:t>For example, in the Laundry &amp; Home Care business</w:t>
      </w:r>
      <w:r w:rsidR="008712FE">
        <w:rPr>
          <w:rFonts w:cs="Segoe UI"/>
          <w:bCs/>
          <w:szCs w:val="22"/>
        </w:rPr>
        <w:t>,</w:t>
      </w:r>
      <w:r w:rsidR="00F46B50">
        <w:rPr>
          <w:rFonts w:cs="Segoe UI"/>
          <w:bCs/>
          <w:szCs w:val="22"/>
        </w:rPr>
        <w:t xml:space="preserve"> the </w:t>
      </w:r>
      <w:r w:rsidR="00F46B50" w:rsidRPr="00F46B50">
        <w:rPr>
          <w:rFonts w:cs="Segoe UI"/>
          <w:bCs/>
          <w:szCs w:val="22"/>
        </w:rPr>
        <w:t xml:space="preserve">Pro Nature range </w:t>
      </w:r>
      <w:r w:rsidR="00E14758">
        <w:rPr>
          <w:rFonts w:cs="Segoe UI"/>
          <w:bCs/>
          <w:szCs w:val="22"/>
        </w:rPr>
        <w:t xml:space="preserve">has been expanded </w:t>
      </w:r>
      <w:r w:rsidR="00F46B50" w:rsidRPr="00F46B50">
        <w:rPr>
          <w:rFonts w:cs="Segoe UI"/>
          <w:bCs/>
          <w:szCs w:val="22"/>
        </w:rPr>
        <w:t>by launching Somat and Bref Pro</w:t>
      </w:r>
      <w:r w:rsidR="00A05F11">
        <w:rPr>
          <w:rFonts w:cs="Segoe UI"/>
          <w:bCs/>
          <w:szCs w:val="22"/>
        </w:rPr>
        <w:t xml:space="preserve"> </w:t>
      </w:r>
      <w:r w:rsidR="00F46B50" w:rsidRPr="00F46B50">
        <w:rPr>
          <w:rFonts w:cs="Segoe UI"/>
          <w:bCs/>
          <w:szCs w:val="22"/>
        </w:rPr>
        <w:t>Nature. Pro</w:t>
      </w:r>
      <w:r w:rsidR="00A05F11">
        <w:rPr>
          <w:rFonts w:cs="Segoe UI"/>
          <w:bCs/>
          <w:szCs w:val="22"/>
        </w:rPr>
        <w:t xml:space="preserve"> </w:t>
      </w:r>
      <w:r w:rsidR="00F46B50" w:rsidRPr="00F46B50">
        <w:rPr>
          <w:rFonts w:cs="Segoe UI"/>
          <w:bCs/>
          <w:szCs w:val="22"/>
        </w:rPr>
        <w:t xml:space="preserve">Nature products meanwhile are available in 30 countries and include up to 99.9% natural ingredients and </w:t>
      </w:r>
      <w:r w:rsidR="00A05F11">
        <w:rPr>
          <w:rFonts w:cs="Segoe UI"/>
          <w:bCs/>
          <w:szCs w:val="22"/>
        </w:rPr>
        <w:t xml:space="preserve">use </w:t>
      </w:r>
      <w:r w:rsidR="00A05F11" w:rsidRPr="00F46B50">
        <w:rPr>
          <w:rFonts w:cs="Segoe UI"/>
          <w:bCs/>
          <w:szCs w:val="22"/>
        </w:rPr>
        <w:t xml:space="preserve">packaging </w:t>
      </w:r>
      <w:r w:rsidR="00A05F11">
        <w:rPr>
          <w:rFonts w:cs="Segoe UI"/>
          <w:bCs/>
          <w:szCs w:val="22"/>
        </w:rPr>
        <w:t xml:space="preserve">with </w:t>
      </w:r>
      <w:r w:rsidR="00F46B50" w:rsidRPr="00F46B50">
        <w:rPr>
          <w:rFonts w:cs="Segoe UI"/>
          <w:bCs/>
          <w:szCs w:val="22"/>
        </w:rPr>
        <w:t xml:space="preserve">up to 100% recycled plastic. Beauty Care launched solid shampoo, body and face bars under </w:t>
      </w:r>
      <w:r w:rsidR="00A05F11">
        <w:rPr>
          <w:rFonts w:cs="Segoe UI"/>
          <w:bCs/>
          <w:szCs w:val="22"/>
        </w:rPr>
        <w:t xml:space="preserve">the </w:t>
      </w:r>
      <w:r w:rsidR="00F46B50" w:rsidRPr="00F46B50">
        <w:rPr>
          <w:rFonts w:cs="Segoe UI"/>
          <w:bCs/>
          <w:szCs w:val="22"/>
        </w:rPr>
        <w:t>brands Nature Box and N.A.E. – with</w:t>
      </w:r>
      <w:r w:rsidR="00A05F11">
        <w:rPr>
          <w:rFonts w:cs="Segoe UI"/>
          <w:bCs/>
          <w:szCs w:val="22"/>
        </w:rPr>
        <w:t xml:space="preserve">out </w:t>
      </w:r>
      <w:r w:rsidR="00F46B50" w:rsidRPr="00F46B50">
        <w:rPr>
          <w:rFonts w:cs="Segoe UI"/>
          <w:bCs/>
          <w:szCs w:val="22"/>
        </w:rPr>
        <w:t>plastic</w:t>
      </w:r>
      <w:r w:rsidR="00A05F11">
        <w:rPr>
          <w:rFonts w:cs="Segoe UI"/>
          <w:bCs/>
          <w:szCs w:val="22"/>
        </w:rPr>
        <w:t xml:space="preserve"> packaging</w:t>
      </w:r>
      <w:r w:rsidR="00F46B50" w:rsidRPr="00F46B50">
        <w:rPr>
          <w:rFonts w:cs="Segoe UI"/>
          <w:bCs/>
          <w:szCs w:val="22"/>
        </w:rPr>
        <w:t>.</w:t>
      </w:r>
      <w:r w:rsidR="00F46B50">
        <w:rPr>
          <w:rFonts w:cs="Segoe UI"/>
          <w:bCs/>
          <w:szCs w:val="22"/>
        </w:rPr>
        <w:t xml:space="preserve"> </w:t>
      </w:r>
      <w:r w:rsidR="00F46B50" w:rsidRPr="00F46B50">
        <w:rPr>
          <w:rFonts w:cs="Segoe UI"/>
          <w:bCs/>
          <w:szCs w:val="22"/>
        </w:rPr>
        <w:t>With L</w:t>
      </w:r>
      <w:r w:rsidR="002518A2">
        <w:rPr>
          <w:rFonts w:cs="Segoe UI"/>
          <w:bCs/>
          <w:szCs w:val="22"/>
        </w:rPr>
        <w:t>octite</w:t>
      </w:r>
      <w:r w:rsidR="00F46B50" w:rsidRPr="00F46B50">
        <w:rPr>
          <w:rFonts w:cs="Segoe UI"/>
          <w:bCs/>
          <w:szCs w:val="22"/>
        </w:rPr>
        <w:t xml:space="preserve"> L</w:t>
      </w:r>
      <w:r w:rsidR="002518A2">
        <w:rPr>
          <w:rFonts w:cs="Segoe UI"/>
          <w:bCs/>
          <w:szCs w:val="22"/>
        </w:rPr>
        <w:t>iofol</w:t>
      </w:r>
      <w:r w:rsidR="00F46B50" w:rsidRPr="00F46B50">
        <w:rPr>
          <w:rFonts w:cs="Segoe UI"/>
          <w:bCs/>
          <w:szCs w:val="22"/>
        </w:rPr>
        <w:t>, Adhesive Technologies introduced a certified recyclable heat and cold seal coating into the market, which enables the replacement of polyethylene with paper, suitable for a wide range of food and non-food packaging.</w:t>
      </w:r>
    </w:p>
    <w:p w14:paraId="1792FB5C" w14:textId="77777777" w:rsidR="00E41985" w:rsidRDefault="00E41985" w:rsidP="00846017">
      <w:pPr>
        <w:rPr>
          <w:rFonts w:cs="Segoe UI"/>
          <w:szCs w:val="22"/>
          <w:lang w:eastAsia="de-DE"/>
        </w:rPr>
      </w:pPr>
    </w:p>
    <w:p w14:paraId="468E8B5E" w14:textId="66399A98" w:rsidR="00846017" w:rsidRPr="00846017" w:rsidRDefault="00846017" w:rsidP="009F610E">
      <w:pPr>
        <w:rPr>
          <w:rFonts w:cs="Segoe UI"/>
          <w:szCs w:val="22"/>
          <w:lang w:eastAsia="de-DE"/>
        </w:rPr>
      </w:pPr>
      <w:r w:rsidRPr="00846017">
        <w:rPr>
          <w:rFonts w:cs="Segoe UI"/>
          <w:szCs w:val="22"/>
          <w:lang w:eastAsia="de-DE"/>
        </w:rPr>
        <w:t xml:space="preserve">Next to innovation and sustainability, Henkel has defined </w:t>
      </w:r>
      <w:r w:rsidRPr="00846017">
        <w:rPr>
          <w:rFonts w:cs="Segoe UI"/>
          <w:b/>
          <w:bCs/>
          <w:szCs w:val="22"/>
          <w:lang w:eastAsia="de-DE"/>
        </w:rPr>
        <w:t>digitalization</w:t>
      </w:r>
      <w:r w:rsidRPr="00846017">
        <w:rPr>
          <w:rFonts w:cs="Segoe UI"/>
          <w:szCs w:val="22"/>
          <w:lang w:eastAsia="de-DE"/>
        </w:rPr>
        <w:t xml:space="preserve"> as </w:t>
      </w:r>
      <w:r w:rsidR="004A144D">
        <w:rPr>
          <w:rFonts w:cs="Segoe UI"/>
          <w:szCs w:val="22"/>
          <w:lang w:eastAsia="de-DE"/>
        </w:rPr>
        <w:t xml:space="preserve">a </w:t>
      </w:r>
      <w:r w:rsidRPr="00846017">
        <w:rPr>
          <w:rFonts w:cs="Segoe UI"/>
          <w:szCs w:val="22"/>
          <w:lang w:eastAsia="de-DE"/>
        </w:rPr>
        <w:t xml:space="preserve">key lever to strengthen its competitiveness. </w:t>
      </w:r>
      <w:r w:rsidR="009F610E">
        <w:rPr>
          <w:rFonts w:cs="Segoe UI"/>
          <w:szCs w:val="22"/>
        </w:rPr>
        <w:t>I</w:t>
      </w:r>
      <w:r w:rsidR="009F610E" w:rsidRPr="009F610E">
        <w:rPr>
          <w:rFonts w:cs="Segoe UI"/>
          <w:szCs w:val="22"/>
        </w:rPr>
        <w:t xml:space="preserve">n the first half year, </w:t>
      </w:r>
      <w:r w:rsidR="009F610E">
        <w:rPr>
          <w:rFonts w:cs="Segoe UI"/>
          <w:szCs w:val="22"/>
        </w:rPr>
        <w:t xml:space="preserve">Henkel </w:t>
      </w:r>
      <w:r w:rsidR="009F610E" w:rsidRPr="009F610E">
        <w:rPr>
          <w:rFonts w:cs="Segoe UI"/>
          <w:szCs w:val="22"/>
        </w:rPr>
        <w:t>recorded a strong increase in digital sales of more than 60</w:t>
      </w:r>
      <w:r w:rsidR="009F610E">
        <w:rPr>
          <w:rFonts w:cs="Segoe UI"/>
          <w:szCs w:val="22"/>
        </w:rPr>
        <w:t xml:space="preserve"> percent</w:t>
      </w:r>
      <w:r w:rsidR="009F610E" w:rsidRPr="009F610E">
        <w:rPr>
          <w:rFonts w:cs="Segoe UI"/>
          <w:szCs w:val="22"/>
        </w:rPr>
        <w:t xml:space="preserve"> in Beauty Care and Laundry &amp; Home Care combined. For the Group, the digital share in overall sales is approaching the mid-teens</w:t>
      </w:r>
      <w:r w:rsidR="009F610E">
        <w:rPr>
          <w:rFonts w:cs="Segoe UI"/>
          <w:szCs w:val="22"/>
        </w:rPr>
        <w:t xml:space="preserve"> percentage range.</w:t>
      </w:r>
      <w:r w:rsidR="00BB2D73" w:rsidRPr="00BB2D73">
        <w:rPr>
          <w:rFonts w:cs="Segoe UI"/>
          <w:szCs w:val="22"/>
          <w:lang w:eastAsia="de-DE"/>
        </w:rPr>
        <w:t xml:space="preserve"> </w:t>
      </w:r>
      <w:r w:rsidR="00BB2D73" w:rsidRPr="00846017">
        <w:rPr>
          <w:rFonts w:cs="Segoe UI"/>
          <w:szCs w:val="22"/>
          <w:lang w:eastAsia="de-DE"/>
        </w:rPr>
        <w:t xml:space="preserve">With its new </w:t>
      </w:r>
      <w:r w:rsidR="00BB2D73" w:rsidRPr="00846017">
        <w:rPr>
          <w:rFonts w:cs="Segoe UI"/>
          <w:szCs w:val="22"/>
        </w:rPr>
        <w:t>unit “Digital Business”</w:t>
      </w:r>
      <w:r w:rsidR="00BB2D73" w:rsidRPr="00846017">
        <w:rPr>
          <w:rFonts w:cs="Segoe UI"/>
          <w:szCs w:val="22"/>
          <w:lang w:eastAsia="de-DE"/>
        </w:rPr>
        <w:t xml:space="preserve">, Henkel wants </w:t>
      </w:r>
      <w:r w:rsidR="00BB2D73" w:rsidRPr="00846017">
        <w:rPr>
          <w:rFonts w:cs="Segoe UI"/>
          <w:szCs w:val="22"/>
        </w:rPr>
        <w:t xml:space="preserve">to become the digital business leader in its industries and </w:t>
      </w:r>
      <w:r w:rsidR="00BB2D73">
        <w:rPr>
          <w:rFonts w:cs="Segoe UI"/>
          <w:szCs w:val="22"/>
        </w:rPr>
        <w:t>generate tangible value for its customers.</w:t>
      </w:r>
      <w:r w:rsidR="00BB2D73" w:rsidRPr="00BB2D73">
        <w:rPr>
          <w:rFonts w:cs="Segoe UI"/>
          <w:szCs w:val="22"/>
          <w:lang w:eastAsia="de-DE"/>
        </w:rPr>
        <w:t xml:space="preserve"> </w:t>
      </w:r>
      <w:r w:rsidR="00BB2D73" w:rsidRPr="008712FE">
        <w:rPr>
          <w:rFonts w:cs="Segoe UI"/>
          <w:szCs w:val="22"/>
          <w:lang w:eastAsia="de-DE"/>
        </w:rPr>
        <w:t>Therefore, at the end of June</w:t>
      </w:r>
      <w:r w:rsidR="00A05F11">
        <w:rPr>
          <w:rFonts w:cs="Segoe UI"/>
          <w:szCs w:val="22"/>
          <w:lang w:eastAsia="de-DE"/>
        </w:rPr>
        <w:t>,</w:t>
      </w:r>
      <w:r w:rsidR="00BB2D73" w:rsidRPr="008712FE">
        <w:rPr>
          <w:rFonts w:cs="Segoe UI"/>
          <w:szCs w:val="22"/>
          <w:lang w:eastAsia="de-DE"/>
        </w:rPr>
        <w:t xml:space="preserve"> Henkel introduced a new operating model for its digital and IT activities and brought together IT teams, digital business experts, business process owners and HenkelX Ventures</w:t>
      </w:r>
      <w:r w:rsidR="00BB2D73">
        <w:rPr>
          <w:rFonts w:cs="Segoe UI"/>
          <w:szCs w:val="22"/>
          <w:lang w:eastAsia="de-DE"/>
        </w:rPr>
        <w:t xml:space="preserve">, led by </w:t>
      </w:r>
      <w:r w:rsidR="00BB2D73" w:rsidRPr="008712FE">
        <w:rPr>
          <w:rFonts w:cs="Segoe UI"/>
          <w:szCs w:val="22"/>
          <w:lang w:eastAsia="de-DE"/>
        </w:rPr>
        <w:t>Henkel’s Chief Digital &amp; Information Officer (CDIO).</w:t>
      </w:r>
    </w:p>
    <w:p w14:paraId="65855E0D" w14:textId="77777777" w:rsidR="00846017" w:rsidRPr="00846017" w:rsidRDefault="00846017" w:rsidP="00846017">
      <w:pPr>
        <w:rPr>
          <w:rFonts w:cs="Segoe UI"/>
          <w:szCs w:val="22"/>
          <w:lang w:eastAsia="de-DE"/>
        </w:rPr>
      </w:pPr>
    </w:p>
    <w:p w14:paraId="48760ECF" w14:textId="4AECAC88" w:rsidR="00846017" w:rsidRPr="00846017" w:rsidRDefault="00607094" w:rsidP="00846017">
      <w:pPr>
        <w:rPr>
          <w:rFonts w:cs="Segoe UI"/>
          <w:szCs w:val="22"/>
          <w:lang w:eastAsia="de-DE"/>
        </w:rPr>
      </w:pPr>
      <w:r>
        <w:rPr>
          <w:rFonts w:cs="Segoe UI"/>
          <w:szCs w:val="22"/>
          <w:lang w:eastAsia="de-DE"/>
        </w:rPr>
        <w:t>L</w:t>
      </w:r>
      <w:r w:rsidR="00846017" w:rsidRPr="00846017">
        <w:rPr>
          <w:rFonts w:cs="Segoe UI"/>
          <w:szCs w:val="22"/>
          <w:lang w:eastAsia="de-DE"/>
        </w:rPr>
        <w:t xml:space="preserve">ean, fast and future-ready </w:t>
      </w:r>
      <w:r w:rsidR="00846017" w:rsidRPr="00846017">
        <w:rPr>
          <w:rFonts w:cs="Segoe UI"/>
          <w:b/>
          <w:bCs/>
          <w:szCs w:val="22"/>
          <w:lang w:eastAsia="de-DE"/>
        </w:rPr>
        <w:t>business processes</w:t>
      </w:r>
      <w:r w:rsidR="00846017" w:rsidRPr="00846017">
        <w:rPr>
          <w:rFonts w:cs="Segoe UI"/>
          <w:szCs w:val="22"/>
          <w:lang w:eastAsia="de-DE"/>
        </w:rPr>
        <w:t xml:space="preserve"> are another important element of Henkel’s strategic framework. The company regularly reviews its business processes and structures, assessing if they are lean, fast and simple, </w:t>
      </w:r>
      <w:r w:rsidR="00846017" w:rsidRPr="00364F7E">
        <w:rPr>
          <w:rFonts w:cs="Segoe UI"/>
          <w:szCs w:val="22"/>
          <w:lang w:eastAsia="de-DE"/>
        </w:rPr>
        <w:t xml:space="preserve">and adapts them to changing market </w:t>
      </w:r>
      <w:r w:rsidR="00364F7E" w:rsidRPr="00364F7E">
        <w:rPr>
          <w:rFonts w:cs="Segoe UI"/>
          <w:szCs w:val="22"/>
          <w:lang w:eastAsia="de-DE"/>
        </w:rPr>
        <w:t>developments and trends</w:t>
      </w:r>
      <w:r w:rsidR="00846017" w:rsidRPr="00364F7E">
        <w:rPr>
          <w:rFonts w:cs="Segoe UI"/>
          <w:szCs w:val="22"/>
          <w:lang w:eastAsia="de-DE"/>
        </w:rPr>
        <w:t>.</w:t>
      </w:r>
      <w:r w:rsidR="00846017" w:rsidRPr="00846017">
        <w:rPr>
          <w:rFonts w:cs="Segoe UI"/>
          <w:szCs w:val="22"/>
          <w:lang w:eastAsia="de-DE"/>
        </w:rPr>
        <w:t xml:space="preserve"> In addition, new business models will be developed with the focus on ensuring proximity to customers and consumers.</w:t>
      </w:r>
      <w:r w:rsidR="008712FE" w:rsidRPr="008712FE">
        <w:t xml:space="preserve"> </w:t>
      </w:r>
      <w:r w:rsidR="00BB2D73">
        <w:t xml:space="preserve">Henkel successfully implemented new operating models in Adhesive Technologies and its purchasing organization. </w:t>
      </w:r>
      <w:r w:rsidR="004A144D">
        <w:t>In Laundry &amp; Home Care and Beauty Care</w:t>
      </w:r>
      <w:r w:rsidR="00A05F11">
        <w:t>,</w:t>
      </w:r>
      <w:r w:rsidR="004A144D">
        <w:t xml:space="preserve"> the organizational changes to enhance regional focus and drive customer and consumer proximity are well on track.</w:t>
      </w:r>
    </w:p>
    <w:p w14:paraId="3CBA60E1" w14:textId="77777777" w:rsidR="00B634AB" w:rsidRDefault="00B634AB" w:rsidP="00846017">
      <w:pPr>
        <w:rPr>
          <w:rFonts w:cs="Segoe UI"/>
          <w:szCs w:val="22"/>
          <w:lang w:eastAsia="de-DE"/>
        </w:rPr>
      </w:pPr>
    </w:p>
    <w:p w14:paraId="7DA640B7" w14:textId="466F73CD" w:rsidR="00846017" w:rsidRPr="00846017" w:rsidRDefault="00BE2D0A" w:rsidP="00846017">
      <w:pPr>
        <w:rPr>
          <w:rFonts w:cs="Segoe UI"/>
          <w:szCs w:val="22"/>
          <w:lang w:eastAsia="de-DE"/>
        </w:rPr>
      </w:pPr>
      <w:r>
        <w:rPr>
          <w:rFonts w:cs="Segoe UI"/>
          <w:szCs w:val="22"/>
          <w:lang w:eastAsia="de-DE"/>
        </w:rPr>
        <w:t>F</w:t>
      </w:r>
      <w:r w:rsidR="00846017" w:rsidRPr="00846017">
        <w:rPr>
          <w:rFonts w:cs="Segoe UI"/>
          <w:szCs w:val="22"/>
          <w:lang w:eastAsia="de-DE"/>
        </w:rPr>
        <w:t>urther develop</w:t>
      </w:r>
      <w:r>
        <w:rPr>
          <w:rFonts w:cs="Segoe UI"/>
          <w:szCs w:val="22"/>
          <w:lang w:eastAsia="de-DE"/>
        </w:rPr>
        <w:t>ing</w:t>
      </w:r>
      <w:r w:rsidR="00846017" w:rsidRPr="00846017">
        <w:rPr>
          <w:rFonts w:cs="Segoe UI"/>
          <w:szCs w:val="22"/>
          <w:lang w:eastAsia="de-DE"/>
        </w:rPr>
        <w:t xml:space="preserve"> Henkel’s corporate culture and accelerat</w:t>
      </w:r>
      <w:r>
        <w:rPr>
          <w:rFonts w:cs="Segoe UI"/>
          <w:szCs w:val="22"/>
          <w:lang w:eastAsia="de-DE"/>
        </w:rPr>
        <w:t>ing</w:t>
      </w:r>
      <w:r w:rsidR="00846017" w:rsidRPr="00846017">
        <w:rPr>
          <w:rFonts w:cs="Segoe UI"/>
          <w:szCs w:val="22"/>
          <w:lang w:eastAsia="de-DE"/>
        </w:rPr>
        <w:t xml:space="preserve"> the </w:t>
      </w:r>
      <w:r w:rsidR="00846017" w:rsidRPr="00846017">
        <w:rPr>
          <w:rFonts w:cs="Segoe UI"/>
          <w:b/>
          <w:bCs/>
          <w:szCs w:val="22"/>
          <w:lang w:eastAsia="de-DE"/>
        </w:rPr>
        <w:t>cultural transformation</w:t>
      </w:r>
      <w:r w:rsidR="00846017" w:rsidRPr="00846017">
        <w:rPr>
          <w:rFonts w:cs="Segoe UI"/>
          <w:szCs w:val="22"/>
          <w:lang w:eastAsia="de-DE"/>
        </w:rPr>
        <w:t xml:space="preserve"> are other key elements of the company’s way forward. The aspiration is to </w:t>
      </w:r>
      <w:r w:rsidR="002A460D">
        <w:rPr>
          <w:rFonts w:cs="Segoe UI"/>
          <w:szCs w:val="22"/>
          <w:lang w:eastAsia="de-DE"/>
        </w:rPr>
        <w:t>foster</w:t>
      </w:r>
      <w:r w:rsidR="00846017" w:rsidRPr="00846017">
        <w:rPr>
          <w:rFonts w:cs="Segoe UI"/>
          <w:szCs w:val="22"/>
          <w:lang w:eastAsia="de-DE"/>
        </w:rPr>
        <w:t xml:space="preserve"> a collaborative culture with empowered people and with the company’s leadership commitments at the core. </w:t>
      </w:r>
      <w:r w:rsidR="00846017" w:rsidRPr="00846017">
        <w:rPr>
          <w:rFonts w:cs="Segoe UI"/>
          <w:szCs w:val="22"/>
          <w:lang w:eastAsia="de-DE"/>
        </w:rPr>
        <w:lastRenderedPageBreak/>
        <w:t xml:space="preserve">For Henkel, it is key that employees continuously develop their professional and personal skills. In the first half of 2020, the company has therefore rolled out specifically designed training and upskilling projects, for example in the fields of leadership, digitalization and innovation. The current corona crisis has also proven the strong corporate culture of Henkel and the resilience and dedication of its employees worldwide. </w:t>
      </w:r>
    </w:p>
    <w:p w14:paraId="6AF0818E" w14:textId="77777777" w:rsidR="00385438" w:rsidRDefault="00385438" w:rsidP="00846017">
      <w:pPr>
        <w:spacing w:after="120"/>
        <w:rPr>
          <w:rFonts w:cs="Segoe UI"/>
          <w:b/>
          <w:szCs w:val="22"/>
        </w:rPr>
      </w:pPr>
    </w:p>
    <w:p w14:paraId="1A1A3031" w14:textId="108C2191" w:rsidR="00846017" w:rsidRPr="00846017" w:rsidRDefault="00846017" w:rsidP="00846017">
      <w:pPr>
        <w:spacing w:after="120"/>
        <w:rPr>
          <w:rFonts w:cs="Segoe UI"/>
          <w:b/>
          <w:szCs w:val="22"/>
        </w:rPr>
      </w:pPr>
      <w:r w:rsidRPr="00846017">
        <w:rPr>
          <w:rFonts w:cs="Segoe UI"/>
          <w:b/>
          <w:szCs w:val="22"/>
        </w:rPr>
        <w:t xml:space="preserve">Measures </w:t>
      </w:r>
      <w:r w:rsidR="00BE2D0A">
        <w:rPr>
          <w:rFonts w:cs="Segoe UI"/>
          <w:b/>
          <w:szCs w:val="22"/>
        </w:rPr>
        <w:t>addressing</w:t>
      </w:r>
      <w:r w:rsidR="00BE2D0A" w:rsidRPr="00846017">
        <w:rPr>
          <w:rFonts w:cs="Segoe UI"/>
          <w:b/>
          <w:szCs w:val="22"/>
        </w:rPr>
        <w:t xml:space="preserve"> </w:t>
      </w:r>
      <w:r w:rsidRPr="00846017">
        <w:rPr>
          <w:rFonts w:cs="Segoe UI"/>
          <w:b/>
          <w:szCs w:val="22"/>
        </w:rPr>
        <w:t>COVID-19 pandemic</w:t>
      </w:r>
    </w:p>
    <w:p w14:paraId="388383F6" w14:textId="6A6757E8" w:rsidR="00F317B5" w:rsidRPr="00F317B5" w:rsidRDefault="00846017" w:rsidP="00F317B5">
      <w:pPr>
        <w:rPr>
          <w:rFonts w:cs="Segoe UI"/>
          <w:szCs w:val="22"/>
          <w:lang w:eastAsia="de-DE"/>
        </w:rPr>
      </w:pPr>
      <w:r w:rsidRPr="00846017">
        <w:rPr>
          <w:rFonts w:cs="Segoe UI"/>
          <w:szCs w:val="22"/>
          <w:lang w:eastAsia="de-DE"/>
        </w:rPr>
        <w:t xml:space="preserve">The COVID-19 pandemic has affected all areas of life and has </w:t>
      </w:r>
      <w:r w:rsidR="00BE2D0A">
        <w:rPr>
          <w:rFonts w:cs="Segoe UI"/>
          <w:szCs w:val="22"/>
          <w:lang w:eastAsia="de-DE"/>
        </w:rPr>
        <w:t xml:space="preserve">severely </w:t>
      </w:r>
      <w:r w:rsidRPr="00846017">
        <w:rPr>
          <w:rFonts w:cs="Segoe UI"/>
          <w:szCs w:val="22"/>
          <w:lang w:eastAsia="de-DE"/>
        </w:rPr>
        <w:t xml:space="preserve">impacted the global economy. In this crisis, the health and safety of the employees, customers and business partners are of the highest priority for Henkel. The company has introduced a broad range of protective measures at an early stage. At the same time, Henkel has made great efforts to continue its business activities and to serve customers and consumers around the world. In addition, Henkel launched a global solidarity program including financial donations, for example to the </w:t>
      </w:r>
      <w:r w:rsidR="00BE2D0A">
        <w:rPr>
          <w:rFonts w:cs="Segoe UI"/>
          <w:szCs w:val="22"/>
          <w:lang w:eastAsia="de-DE"/>
        </w:rPr>
        <w:br/>
      </w:r>
      <w:r w:rsidRPr="00846017">
        <w:rPr>
          <w:rFonts w:cs="Segoe UI"/>
          <w:szCs w:val="22"/>
          <w:lang w:eastAsia="de-DE"/>
        </w:rPr>
        <w:t>COVID-19 Solidarity Response Fund of the World Health Organization</w:t>
      </w:r>
      <w:r w:rsidR="00BE2D0A">
        <w:rPr>
          <w:rFonts w:cs="Segoe UI"/>
          <w:szCs w:val="22"/>
          <w:lang w:eastAsia="de-DE"/>
        </w:rPr>
        <w:t xml:space="preserve"> (WHO) and the United Nations (UN) Foundation</w:t>
      </w:r>
      <w:r w:rsidRPr="00846017">
        <w:rPr>
          <w:rFonts w:cs="Segoe UI"/>
          <w:szCs w:val="22"/>
          <w:lang w:eastAsia="de-DE"/>
        </w:rPr>
        <w:t xml:space="preserve"> and other selected organizations around the world. Furthermore, Henkel has donated </w:t>
      </w:r>
      <w:r w:rsidR="00F317B5" w:rsidRPr="00F317B5">
        <w:rPr>
          <w:rFonts w:cs="Segoe UI"/>
          <w:szCs w:val="22"/>
          <w:lang w:eastAsia="de-DE"/>
        </w:rPr>
        <w:t>more than 5 million products for personal and household hygiene and has produced disinfectants at its sites. Globally, Henkel has produced and donated more than 111,000 liters of disinfectant to support health authorities and hospitals. So far</w:t>
      </w:r>
      <w:r w:rsidR="00A05F11">
        <w:rPr>
          <w:rFonts w:cs="Segoe UI"/>
          <w:szCs w:val="22"/>
          <w:lang w:eastAsia="de-DE"/>
        </w:rPr>
        <w:t>,</w:t>
      </w:r>
      <w:r w:rsidR="00F317B5" w:rsidRPr="00F317B5">
        <w:rPr>
          <w:rFonts w:cs="Segoe UI"/>
          <w:szCs w:val="22"/>
          <w:lang w:eastAsia="de-DE"/>
        </w:rPr>
        <w:t xml:space="preserve"> Henkel supported almost 500 COVID-19</w:t>
      </w:r>
      <w:r w:rsidR="00A05F11">
        <w:rPr>
          <w:rFonts w:cs="Segoe UI"/>
          <w:szCs w:val="22"/>
          <w:lang w:eastAsia="de-DE"/>
        </w:rPr>
        <w:t>-</w:t>
      </w:r>
      <w:r w:rsidR="00F317B5" w:rsidRPr="00F317B5">
        <w:rPr>
          <w:rFonts w:cs="Segoe UI"/>
          <w:szCs w:val="22"/>
          <w:lang w:eastAsia="de-DE"/>
        </w:rPr>
        <w:t>related projects in more than 40 countries worldwide helping almost 5 million people who have been in need through COVID-19.</w:t>
      </w:r>
    </w:p>
    <w:p w14:paraId="0FAD9CB5" w14:textId="77777777" w:rsidR="00846017" w:rsidRPr="00846017" w:rsidRDefault="00846017" w:rsidP="00846017">
      <w:pPr>
        <w:rPr>
          <w:rFonts w:cs="Segoe UI"/>
          <w:szCs w:val="22"/>
          <w:lang w:eastAsia="de-DE"/>
        </w:rPr>
      </w:pPr>
    </w:p>
    <w:p w14:paraId="12619436" w14:textId="47837768" w:rsidR="00846017" w:rsidRPr="00846017" w:rsidRDefault="00846017" w:rsidP="00846017">
      <w:pPr>
        <w:rPr>
          <w:rFonts w:cs="Segoe UI"/>
          <w:szCs w:val="22"/>
        </w:rPr>
      </w:pPr>
      <w:r w:rsidRPr="00846017">
        <w:rPr>
          <w:rFonts w:cs="Segoe UI"/>
          <w:szCs w:val="22"/>
          <w:lang w:eastAsia="de-DE"/>
        </w:rPr>
        <w:t xml:space="preserve">“We will need to constantly adapt as the crisis evolves. We will react flexibly and quickly to the </w:t>
      </w:r>
      <w:r w:rsidR="009F610E">
        <w:rPr>
          <w:rFonts w:cs="Segoe UI"/>
          <w:szCs w:val="22"/>
          <w:lang w:eastAsia="de-DE"/>
        </w:rPr>
        <w:t>disruptions</w:t>
      </w:r>
      <w:r w:rsidRPr="00846017">
        <w:rPr>
          <w:rFonts w:cs="Segoe UI"/>
          <w:szCs w:val="22"/>
          <w:lang w:eastAsia="de-DE"/>
        </w:rPr>
        <w:t xml:space="preserve"> in our markets. Actively shap</w:t>
      </w:r>
      <w:r w:rsidR="009F610E">
        <w:rPr>
          <w:rFonts w:cs="Segoe UI"/>
          <w:szCs w:val="22"/>
          <w:lang w:eastAsia="de-DE"/>
        </w:rPr>
        <w:t>ing</w:t>
      </w:r>
      <w:r w:rsidRPr="00846017">
        <w:rPr>
          <w:rFonts w:cs="Segoe UI"/>
          <w:szCs w:val="22"/>
          <w:lang w:eastAsia="de-DE"/>
        </w:rPr>
        <w:t xml:space="preserve"> change</w:t>
      </w:r>
      <w:r w:rsidR="009F610E">
        <w:rPr>
          <w:rFonts w:cs="Segoe UI"/>
          <w:szCs w:val="22"/>
          <w:lang w:eastAsia="de-DE"/>
        </w:rPr>
        <w:t xml:space="preserve"> and </w:t>
      </w:r>
      <w:r w:rsidRPr="00846017">
        <w:rPr>
          <w:rFonts w:cs="Segoe UI"/>
          <w:szCs w:val="22"/>
          <w:lang w:eastAsia="de-DE"/>
        </w:rPr>
        <w:t>break</w:t>
      </w:r>
      <w:r w:rsidR="009F610E">
        <w:rPr>
          <w:rFonts w:cs="Segoe UI"/>
          <w:szCs w:val="22"/>
          <w:lang w:eastAsia="de-DE"/>
        </w:rPr>
        <w:t>ing</w:t>
      </w:r>
      <w:r w:rsidRPr="00846017">
        <w:rPr>
          <w:rFonts w:cs="Segoe UI"/>
          <w:szCs w:val="22"/>
          <w:lang w:eastAsia="de-DE"/>
        </w:rPr>
        <w:t xml:space="preserve"> new ground,” Carsten Knobel summarized</w:t>
      </w:r>
      <w:bookmarkStart w:id="2" w:name="_Hlk1487071"/>
      <w:r w:rsidRPr="00846017">
        <w:rPr>
          <w:rFonts w:cs="Segoe UI"/>
          <w:szCs w:val="22"/>
          <w:lang w:eastAsia="de-DE"/>
        </w:rPr>
        <w:t>. “</w:t>
      </w:r>
      <w:r w:rsidRPr="00846017">
        <w:rPr>
          <w:rFonts w:cs="Segoe UI"/>
          <w:szCs w:val="22"/>
        </w:rPr>
        <w:t>I am convinced that with our dedicated global team, our new strategic framework focusing on purposeful growth, our strong balance sheet</w:t>
      </w:r>
      <w:r w:rsidR="00D92179">
        <w:rPr>
          <w:rFonts w:cs="Segoe UI"/>
          <w:szCs w:val="22"/>
        </w:rPr>
        <w:t xml:space="preserve"> </w:t>
      </w:r>
      <w:r w:rsidR="00D92179" w:rsidRPr="009178AA">
        <w:rPr>
          <w:rFonts w:cs="Segoe UI"/>
          <w:szCs w:val="22"/>
        </w:rPr>
        <w:t>and financial flexibility as well as our ability to generate strong cash flow</w:t>
      </w:r>
      <w:r w:rsidRPr="009178AA">
        <w:rPr>
          <w:rFonts w:cs="Segoe UI"/>
          <w:szCs w:val="22"/>
        </w:rPr>
        <w:t>,</w:t>
      </w:r>
      <w:r w:rsidRPr="00846017">
        <w:rPr>
          <w:rFonts w:cs="Segoe UI"/>
          <w:szCs w:val="22"/>
        </w:rPr>
        <w:t xml:space="preserve"> we are well positioned to deal with this difficult situation and that we will emerge stronger from the crisis.”</w:t>
      </w:r>
    </w:p>
    <w:bookmarkEnd w:id="2"/>
    <w:p w14:paraId="429055EA" w14:textId="4629C6E8" w:rsidR="00846017" w:rsidRDefault="00846017" w:rsidP="00846017">
      <w:pPr>
        <w:rPr>
          <w:rFonts w:asciiTheme="majorHAnsi" w:hAnsiTheme="majorHAnsi" w:cstheme="majorHAnsi"/>
          <w:szCs w:val="22"/>
        </w:rPr>
      </w:pPr>
    </w:p>
    <w:p w14:paraId="4BC08E41" w14:textId="77777777" w:rsidR="0013569C" w:rsidRPr="00846017" w:rsidRDefault="0013569C" w:rsidP="00846017">
      <w:pPr>
        <w:rPr>
          <w:rFonts w:asciiTheme="majorHAnsi" w:hAnsiTheme="majorHAnsi" w:cstheme="majorHAnsi"/>
          <w:szCs w:val="22"/>
        </w:rPr>
      </w:pPr>
    </w:p>
    <w:p w14:paraId="1C4447C6" w14:textId="77777777" w:rsidR="00E24632" w:rsidRDefault="00E24632" w:rsidP="00D06825">
      <w:pPr>
        <w:rPr>
          <w:rStyle w:val="AboutandContactHeadline"/>
        </w:rPr>
      </w:pPr>
    </w:p>
    <w:p w14:paraId="59874816" w14:textId="77777777" w:rsidR="00E24632" w:rsidRDefault="00E24632" w:rsidP="00D06825">
      <w:pPr>
        <w:rPr>
          <w:rStyle w:val="AboutandContactHeadline"/>
        </w:rPr>
      </w:pPr>
    </w:p>
    <w:p w14:paraId="3A7A3AF3" w14:textId="77777777" w:rsidR="00E24632" w:rsidRDefault="00E24632" w:rsidP="00D06825">
      <w:pPr>
        <w:rPr>
          <w:rStyle w:val="AboutandContactHeadline"/>
        </w:rPr>
      </w:pPr>
    </w:p>
    <w:p w14:paraId="37320195" w14:textId="77777777" w:rsidR="00E24632" w:rsidRDefault="00E24632" w:rsidP="00D06825">
      <w:pPr>
        <w:rPr>
          <w:rStyle w:val="AboutandContactHeadline"/>
        </w:rPr>
      </w:pPr>
    </w:p>
    <w:p w14:paraId="2E652C40" w14:textId="77777777" w:rsidR="00E24632" w:rsidRDefault="00E24632" w:rsidP="00D06825">
      <w:pPr>
        <w:rPr>
          <w:rStyle w:val="AboutandContactHeadline"/>
        </w:rPr>
      </w:pPr>
    </w:p>
    <w:p w14:paraId="3FB35DE3" w14:textId="77777777" w:rsidR="00DB59E8" w:rsidRDefault="00DB59E8">
      <w:pPr>
        <w:spacing w:line="240" w:lineRule="auto"/>
        <w:jc w:val="left"/>
        <w:rPr>
          <w:rStyle w:val="AboutandContactHeadline"/>
        </w:rPr>
      </w:pPr>
      <w:r>
        <w:rPr>
          <w:rStyle w:val="AboutandContactHeadline"/>
        </w:rPr>
        <w:br w:type="page"/>
      </w:r>
    </w:p>
    <w:p w14:paraId="3411FCC1" w14:textId="60628C75" w:rsidR="00D06825" w:rsidRPr="004C6B79" w:rsidRDefault="00D06825" w:rsidP="00D06825">
      <w:pPr>
        <w:rPr>
          <w:rStyle w:val="AboutandContactHeadline"/>
        </w:rPr>
      </w:pPr>
      <w:r w:rsidRPr="004C6B79">
        <w:rPr>
          <w:rStyle w:val="AboutandContactHeadline"/>
        </w:rPr>
        <w:lastRenderedPageBreak/>
        <w:t xml:space="preserve">About </w:t>
      </w:r>
      <w:r w:rsidRPr="00C97260">
        <w:rPr>
          <w:rStyle w:val="AboutandContactHeadline"/>
        </w:rPr>
        <w:t>Henkel</w:t>
      </w:r>
    </w:p>
    <w:p w14:paraId="5A0EAC14" w14:textId="38AE0F9E" w:rsidR="00D06825" w:rsidRPr="004C6B79" w:rsidRDefault="00682643" w:rsidP="00BB5D0B">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2019, Henkel reported sales of more than 20 billion euros and adjusted operating profit of more than 3.2 billion euros. Henkel employs more than 52,000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3" w:history="1">
        <w:r w:rsidRPr="00682643">
          <w:rPr>
            <w:rStyle w:val="Hyperlink"/>
            <w:szCs w:val="24"/>
          </w:rPr>
          <w:t>www.henkel.com</w:t>
        </w:r>
      </w:hyperlink>
      <w:r w:rsidRPr="00682643">
        <w:rPr>
          <w:rStyle w:val="AboutandContactBody"/>
        </w:rPr>
        <w:t>.</w:t>
      </w:r>
    </w:p>
    <w:p w14:paraId="23DB05BB" w14:textId="77777777" w:rsidR="00F27440" w:rsidRDefault="00F27440">
      <w:pPr>
        <w:spacing w:line="240" w:lineRule="auto"/>
        <w:jc w:val="left"/>
        <w:rPr>
          <w:rFonts w:asciiTheme="majorHAnsi" w:hAnsiTheme="majorHAnsi" w:cstheme="majorHAnsi"/>
          <w:bCs/>
          <w:sz w:val="14"/>
          <w:szCs w:val="14"/>
        </w:rPr>
      </w:pPr>
    </w:p>
    <w:p w14:paraId="06DCFD5C" w14:textId="6A3F13D9" w:rsidR="00E30D26" w:rsidRPr="00CF2487" w:rsidRDefault="00E30D26" w:rsidP="00E30D26">
      <w:pPr>
        <w:rPr>
          <w:rFonts w:asciiTheme="majorHAnsi" w:hAnsiTheme="majorHAnsi" w:cstheme="majorHAnsi"/>
        </w:rPr>
      </w:pPr>
      <w:r w:rsidRPr="00CF2487">
        <w:rPr>
          <w:rFonts w:asciiTheme="majorHAnsi" w:hAnsiTheme="majorHAnsi" w:cstheme="majorHAnsi"/>
          <w:bCs/>
          <w:sz w:val="14"/>
          <w:szCs w:val="14"/>
        </w:rPr>
        <w:t xml:space="preserve">This information contains forward-looking statements which are based on current estimates and assumptions made by the corporate management of Henkel AG &amp; Co. KGaA. Statements with respect to the future are characterized </w:t>
      </w:r>
      <w:proofErr w:type="gramStart"/>
      <w:r w:rsidRPr="00CF2487">
        <w:rPr>
          <w:rFonts w:asciiTheme="majorHAnsi" w:hAnsiTheme="majorHAnsi" w:cstheme="majorHAnsi"/>
          <w:bCs/>
          <w:sz w:val="14"/>
          <w:szCs w:val="14"/>
        </w:rPr>
        <w:t>by the use of</w:t>
      </w:r>
      <w:proofErr w:type="gramEnd"/>
      <w:r w:rsidRPr="00CF2487">
        <w:rPr>
          <w:rFonts w:asciiTheme="majorHAnsi" w:hAnsiTheme="majorHAnsi" w:cstheme="majorHAnsi"/>
          <w:bCs/>
          <w:sz w:val="14"/>
          <w:szCs w:val="14"/>
        </w:rPr>
        <w:t xml:space="preserve"> words such as “expect”, “intend”, “plan”, “anticipate”, “believe”, “estimate”, and similar terms. Such statements are not to be understood as in any way guaranteeing that those expectations will turn out to be accurate. Future performance and results </w:t>
      </w:r>
      <w:proofErr w:type="gramStart"/>
      <w:r w:rsidRPr="00CF2487">
        <w:rPr>
          <w:rFonts w:asciiTheme="majorHAnsi" w:hAnsiTheme="majorHAnsi" w:cstheme="majorHAnsi"/>
          <w:bCs/>
          <w:sz w:val="14"/>
          <w:szCs w:val="14"/>
        </w:rPr>
        <w:t>actually achieved</w:t>
      </w:r>
      <w:proofErr w:type="gramEnd"/>
      <w:r w:rsidRPr="00CF2487">
        <w:rPr>
          <w:rFonts w:asciiTheme="majorHAnsi" w:hAnsiTheme="majorHAnsi" w:cstheme="majorHAnsi"/>
          <w:bCs/>
          <w:sz w:val="14"/>
          <w:szCs w:val="14"/>
        </w:rPr>
        <w:t xml:space="preserve"> by Henkel AG &amp; Co. KGaA and its affiliated companies depend on a number of risks and uncertainties and may therefore differ materially from the forward-looking statements. Many of these factors are outside Henkel’s control and cannot be accurately estimated in advance, such as the future economic environment and the actions of competitors and others involved in the marketplace. Henkel neither plans nor undertakes to update any forward-looking statements. </w:t>
      </w:r>
    </w:p>
    <w:p w14:paraId="66F0667F" w14:textId="77777777" w:rsidR="00E30D26" w:rsidRPr="00CF2487" w:rsidRDefault="00E30D26" w:rsidP="00E30D26">
      <w:pPr>
        <w:rPr>
          <w:rFonts w:asciiTheme="majorHAnsi" w:hAnsiTheme="majorHAnsi" w:cstheme="majorHAnsi"/>
          <w:bCs/>
          <w:sz w:val="14"/>
          <w:szCs w:val="14"/>
        </w:rPr>
      </w:pPr>
    </w:p>
    <w:p w14:paraId="2F98F931" w14:textId="77777777" w:rsidR="00E30D26" w:rsidRPr="00CF2487" w:rsidRDefault="00E30D26" w:rsidP="00E30D26">
      <w:pPr>
        <w:rPr>
          <w:rFonts w:asciiTheme="majorHAnsi" w:hAnsiTheme="majorHAnsi" w:cstheme="majorHAnsi"/>
          <w:bCs/>
          <w:sz w:val="14"/>
          <w:szCs w:val="14"/>
        </w:rPr>
      </w:pPr>
      <w:r w:rsidRPr="00CF2487">
        <w:rPr>
          <w:rFonts w:asciiTheme="majorHAnsi" w:hAnsiTheme="majorHAnsi" w:cstheme="majorHAnsi"/>
          <w:bCs/>
          <w:sz w:val="14"/>
          <w:szCs w:val="14"/>
        </w:rPr>
        <w:t>This document includes – in the applicable financial reporting framework not clearly defined – supplemental financial measures that are or may be alternative performance measures (non-GAAP-measures). These supplemental financial measures should not be viewed in isolation or as alternatives to measures of Henkel’s net assets and financial positions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1A9CAB96" w14:textId="77777777" w:rsidR="00E30D26" w:rsidRPr="00CF2487" w:rsidRDefault="00E30D26" w:rsidP="00E30D26">
      <w:pPr>
        <w:rPr>
          <w:rFonts w:asciiTheme="majorHAnsi" w:hAnsiTheme="majorHAnsi" w:cstheme="majorHAnsi"/>
          <w:bCs/>
          <w:sz w:val="14"/>
          <w:szCs w:val="14"/>
        </w:rPr>
      </w:pPr>
    </w:p>
    <w:p w14:paraId="076F6AB8" w14:textId="77777777" w:rsidR="00E30D26" w:rsidRPr="00CF2487" w:rsidRDefault="00E30D26" w:rsidP="00E30D26">
      <w:pPr>
        <w:rPr>
          <w:rFonts w:asciiTheme="majorHAnsi" w:hAnsiTheme="majorHAnsi" w:cstheme="majorHAnsi"/>
          <w:b/>
          <w:szCs w:val="20"/>
          <w:lang w:eastAsia="de-DE"/>
        </w:rPr>
      </w:pPr>
      <w:r w:rsidRPr="00CF2487">
        <w:rPr>
          <w:rFonts w:asciiTheme="majorHAnsi" w:hAnsiTheme="majorHAnsi" w:cstheme="majorHAnsi"/>
          <w:bCs/>
          <w:sz w:val="14"/>
          <w:szCs w:val="14"/>
        </w:rPr>
        <w:t>This document has been issued for information purposes only and is not intended to constitute an investment advice or an offer to sell, or a solicitation of an offer to buy, any securities.</w:t>
      </w:r>
    </w:p>
    <w:p w14:paraId="2A474A70" w14:textId="77777777" w:rsidR="00BF6E82" w:rsidRPr="00493327" w:rsidRDefault="00BF6E82" w:rsidP="00BF6E82">
      <w:pPr>
        <w:rPr>
          <w:rStyle w:val="AboutandContactBody"/>
        </w:rPr>
      </w:pPr>
    </w:p>
    <w:p w14:paraId="0BFF6B34" w14:textId="77777777" w:rsidR="00BF6E82" w:rsidRPr="00493327" w:rsidRDefault="00BF6E82" w:rsidP="00BF6E82">
      <w:pPr>
        <w:rPr>
          <w:rStyle w:val="AboutandContactBody"/>
        </w:rPr>
      </w:pPr>
    </w:p>
    <w:p w14:paraId="18E93883" w14:textId="1E11D4A9" w:rsidR="0013569C" w:rsidRDefault="0013569C">
      <w:pPr>
        <w:spacing w:line="240" w:lineRule="auto"/>
        <w:jc w:val="left"/>
        <w:rPr>
          <w:rStyle w:val="AboutandContactBody"/>
          <w:rFonts w:asciiTheme="majorHAnsi" w:hAnsiTheme="majorHAnsi" w:cstheme="majorHAnsi"/>
          <w:b/>
          <w:szCs w:val="18"/>
        </w:rPr>
      </w:pPr>
    </w:p>
    <w:p w14:paraId="67B07FF7" w14:textId="080091E2" w:rsidR="00E30D26" w:rsidRPr="00E30D26" w:rsidRDefault="00E30D26" w:rsidP="00E30D26">
      <w:pPr>
        <w:tabs>
          <w:tab w:val="left" w:pos="1080"/>
          <w:tab w:val="left" w:pos="4500"/>
        </w:tabs>
        <w:rPr>
          <w:rStyle w:val="AboutandContactBody"/>
          <w:rFonts w:asciiTheme="majorHAnsi" w:hAnsiTheme="majorHAnsi" w:cstheme="majorHAnsi"/>
          <w:b/>
          <w:szCs w:val="18"/>
        </w:rPr>
      </w:pPr>
      <w:r w:rsidRPr="00E30D26">
        <w:rPr>
          <w:rStyle w:val="AboutandContactBody"/>
          <w:rFonts w:asciiTheme="majorHAnsi" w:hAnsiTheme="majorHAnsi" w:cstheme="majorHAnsi"/>
          <w:b/>
          <w:szCs w:val="18"/>
        </w:rPr>
        <w:t>Contacts</w:t>
      </w:r>
    </w:p>
    <w:p w14:paraId="792A0AC2" w14:textId="77777777" w:rsidR="00E30D26" w:rsidRPr="00E30D26" w:rsidRDefault="00E30D26" w:rsidP="00E30D26">
      <w:pPr>
        <w:tabs>
          <w:tab w:val="left" w:pos="1080"/>
          <w:tab w:val="left" w:pos="4500"/>
        </w:tabs>
        <w:rPr>
          <w:rStyle w:val="AboutandContactBody"/>
          <w:rFonts w:asciiTheme="majorHAnsi" w:hAnsiTheme="majorHAnsi" w:cstheme="majorHAnsi"/>
          <w:b/>
          <w:szCs w:val="18"/>
        </w:rPr>
      </w:pPr>
    </w:p>
    <w:p w14:paraId="5CEBA11F" w14:textId="77777777" w:rsidR="00E30D26" w:rsidRPr="00E30D26" w:rsidRDefault="00E30D26" w:rsidP="00E30D26">
      <w:pPr>
        <w:tabs>
          <w:tab w:val="left" w:pos="1080"/>
          <w:tab w:val="left" w:pos="4500"/>
        </w:tabs>
        <w:rPr>
          <w:rStyle w:val="AboutandContactBody"/>
          <w:rFonts w:asciiTheme="majorHAnsi" w:hAnsiTheme="majorHAnsi" w:cstheme="majorHAnsi"/>
          <w:b/>
          <w:szCs w:val="18"/>
        </w:rPr>
      </w:pPr>
      <w:r w:rsidRPr="00E30D26">
        <w:rPr>
          <w:rStyle w:val="AboutandContactBody"/>
          <w:rFonts w:asciiTheme="majorHAnsi" w:hAnsiTheme="majorHAnsi" w:cstheme="majorHAnsi"/>
          <w:b/>
          <w:szCs w:val="18"/>
        </w:rPr>
        <w:t>Investors &amp; Analysts</w:t>
      </w:r>
      <w:r w:rsidRPr="00E30D26">
        <w:rPr>
          <w:rStyle w:val="AboutandContactBody"/>
          <w:rFonts w:asciiTheme="majorHAnsi" w:hAnsiTheme="majorHAnsi" w:cstheme="majorHAnsi"/>
          <w:szCs w:val="18"/>
        </w:rPr>
        <w:tab/>
      </w:r>
      <w:r w:rsidRPr="00E30D26">
        <w:rPr>
          <w:rStyle w:val="AboutandContactBody"/>
          <w:rFonts w:asciiTheme="majorHAnsi" w:hAnsiTheme="majorHAnsi" w:cstheme="majorHAnsi"/>
          <w:b/>
          <w:szCs w:val="18"/>
        </w:rPr>
        <w:t>Press &amp; Media</w:t>
      </w:r>
    </w:p>
    <w:p w14:paraId="56910AC9" w14:textId="77777777" w:rsidR="00E30D26" w:rsidRPr="00E30D26" w:rsidRDefault="00E30D26" w:rsidP="00E30D26">
      <w:pPr>
        <w:tabs>
          <w:tab w:val="left" w:pos="1080"/>
          <w:tab w:val="left" w:pos="4500"/>
        </w:tabs>
        <w:rPr>
          <w:rStyle w:val="AboutandContactBody"/>
          <w:rFonts w:asciiTheme="majorHAnsi" w:hAnsiTheme="majorHAnsi" w:cstheme="majorHAnsi"/>
          <w:szCs w:val="18"/>
        </w:rPr>
      </w:pPr>
    </w:p>
    <w:p w14:paraId="1557A9C6" w14:textId="77777777" w:rsidR="00E30D26" w:rsidRPr="00E30D26" w:rsidRDefault="00E30D26" w:rsidP="00E30D26">
      <w:pPr>
        <w:tabs>
          <w:tab w:val="left" w:pos="1080"/>
          <w:tab w:val="left" w:pos="4500"/>
        </w:tabs>
        <w:rPr>
          <w:rStyle w:val="AboutandContactBody"/>
          <w:rFonts w:asciiTheme="majorHAnsi" w:hAnsiTheme="majorHAnsi" w:cstheme="majorHAnsi"/>
          <w:b/>
          <w:szCs w:val="18"/>
        </w:rPr>
      </w:pPr>
      <w:r w:rsidRPr="00E30D26">
        <w:rPr>
          <w:rStyle w:val="AboutandContactBody"/>
          <w:rFonts w:asciiTheme="majorHAnsi" w:hAnsiTheme="majorHAnsi" w:cstheme="majorHAnsi"/>
          <w:b/>
          <w:szCs w:val="18"/>
        </w:rPr>
        <w:t>Lars Korinth</w:t>
      </w:r>
      <w:r w:rsidRPr="00E30D26">
        <w:rPr>
          <w:rStyle w:val="AboutandContactBody"/>
          <w:rFonts w:asciiTheme="majorHAnsi" w:hAnsiTheme="majorHAnsi" w:cstheme="majorHAnsi"/>
          <w:szCs w:val="18"/>
        </w:rPr>
        <w:tab/>
      </w:r>
      <w:r w:rsidRPr="00E30D26">
        <w:rPr>
          <w:rStyle w:val="AboutandContactBody"/>
          <w:rFonts w:asciiTheme="majorHAnsi" w:hAnsiTheme="majorHAnsi" w:cstheme="majorHAnsi"/>
          <w:szCs w:val="18"/>
        </w:rPr>
        <w:tab/>
      </w:r>
      <w:r w:rsidRPr="00E30D26">
        <w:rPr>
          <w:rStyle w:val="AboutandContactBody"/>
          <w:rFonts w:asciiTheme="majorHAnsi" w:hAnsiTheme="majorHAnsi" w:cstheme="majorHAnsi"/>
          <w:b/>
          <w:szCs w:val="18"/>
        </w:rPr>
        <w:t>Lars Witteck</w:t>
      </w:r>
    </w:p>
    <w:p w14:paraId="5F18C1DB" w14:textId="77777777" w:rsidR="00E30D26" w:rsidRPr="00FC7B66" w:rsidRDefault="00E30D26" w:rsidP="00E30D26">
      <w:pPr>
        <w:tabs>
          <w:tab w:val="left" w:pos="709"/>
          <w:tab w:val="left" w:pos="4500"/>
          <w:tab w:val="left" w:pos="5245"/>
        </w:tabs>
        <w:rPr>
          <w:rStyle w:val="AboutandContactBody"/>
          <w:rFonts w:asciiTheme="majorHAnsi" w:hAnsiTheme="majorHAnsi" w:cstheme="majorHAnsi"/>
          <w:szCs w:val="18"/>
        </w:rPr>
      </w:pPr>
      <w:r w:rsidRPr="00FC7B66">
        <w:rPr>
          <w:rStyle w:val="AboutandContactBody"/>
          <w:rFonts w:asciiTheme="majorHAnsi" w:hAnsiTheme="majorHAnsi" w:cstheme="majorHAnsi"/>
          <w:szCs w:val="18"/>
        </w:rPr>
        <w:t>Phone:</w:t>
      </w:r>
      <w:r w:rsidRPr="00FC7B66">
        <w:rPr>
          <w:rStyle w:val="AboutandContactBody"/>
          <w:rFonts w:asciiTheme="majorHAnsi" w:hAnsiTheme="majorHAnsi" w:cstheme="majorHAnsi"/>
          <w:szCs w:val="18"/>
        </w:rPr>
        <w:tab/>
        <w:t>+49 211 797 - 1631</w:t>
      </w:r>
      <w:r w:rsidRPr="00FC7B66">
        <w:rPr>
          <w:rStyle w:val="AboutandContactBody"/>
          <w:rFonts w:asciiTheme="majorHAnsi" w:hAnsiTheme="majorHAnsi" w:cstheme="majorHAnsi"/>
          <w:szCs w:val="18"/>
        </w:rPr>
        <w:tab/>
        <w:t xml:space="preserve">Phone: </w:t>
      </w:r>
      <w:r w:rsidRPr="00FC7B66">
        <w:rPr>
          <w:rStyle w:val="AboutandContactBody"/>
          <w:rFonts w:asciiTheme="majorHAnsi" w:hAnsiTheme="majorHAnsi" w:cstheme="majorHAnsi"/>
          <w:szCs w:val="18"/>
        </w:rPr>
        <w:tab/>
        <w:t>+49 211 797 - 2606</w:t>
      </w:r>
    </w:p>
    <w:p w14:paraId="53D1DFD9" w14:textId="77777777" w:rsidR="00E30D26" w:rsidRPr="00FC7B66" w:rsidRDefault="00E30D26" w:rsidP="00E30D26">
      <w:pPr>
        <w:tabs>
          <w:tab w:val="left" w:pos="709"/>
          <w:tab w:val="left" w:pos="4500"/>
          <w:tab w:val="left" w:pos="5245"/>
        </w:tabs>
        <w:rPr>
          <w:rStyle w:val="AboutandContactBody"/>
          <w:rFonts w:asciiTheme="majorHAnsi" w:hAnsiTheme="majorHAnsi" w:cstheme="majorHAnsi"/>
          <w:szCs w:val="18"/>
        </w:rPr>
      </w:pPr>
      <w:r w:rsidRPr="00FC7B66">
        <w:rPr>
          <w:rStyle w:val="AboutandContactBody"/>
          <w:rFonts w:asciiTheme="majorHAnsi" w:hAnsiTheme="majorHAnsi" w:cstheme="majorHAnsi"/>
          <w:szCs w:val="18"/>
        </w:rPr>
        <w:t xml:space="preserve">Email: </w:t>
      </w:r>
      <w:r w:rsidRPr="00FC7B66">
        <w:rPr>
          <w:rStyle w:val="AboutandContactBody"/>
          <w:rFonts w:asciiTheme="majorHAnsi" w:hAnsiTheme="majorHAnsi" w:cstheme="majorHAnsi"/>
          <w:szCs w:val="18"/>
        </w:rPr>
        <w:tab/>
      </w:r>
      <w:hyperlink r:id="rId14" w:history="1">
        <w:r w:rsidRPr="00FC7B66">
          <w:rPr>
            <w:rStyle w:val="Hyperlink"/>
            <w:rFonts w:asciiTheme="majorHAnsi" w:hAnsiTheme="majorHAnsi" w:cstheme="majorHAnsi"/>
          </w:rPr>
          <w:t>lars.korinth@henkel.com</w:t>
        </w:r>
      </w:hyperlink>
      <w:r w:rsidRPr="00FC7B66">
        <w:rPr>
          <w:rStyle w:val="AboutandContactBody"/>
          <w:rFonts w:asciiTheme="majorHAnsi" w:hAnsiTheme="majorHAnsi" w:cstheme="majorHAnsi"/>
          <w:szCs w:val="18"/>
        </w:rPr>
        <w:tab/>
        <w:t>Email:</w:t>
      </w:r>
      <w:r w:rsidRPr="00FC7B66">
        <w:rPr>
          <w:rStyle w:val="AboutandContactBody"/>
          <w:rFonts w:asciiTheme="majorHAnsi" w:hAnsiTheme="majorHAnsi" w:cstheme="majorHAnsi"/>
          <w:szCs w:val="18"/>
        </w:rPr>
        <w:tab/>
      </w:r>
      <w:hyperlink r:id="rId15" w:history="1">
        <w:r w:rsidRPr="00FC7B66">
          <w:rPr>
            <w:rStyle w:val="Hyperlink"/>
            <w:rFonts w:asciiTheme="majorHAnsi" w:hAnsiTheme="majorHAnsi" w:cstheme="majorHAnsi"/>
          </w:rPr>
          <w:t>lars.witteck@henkel.com</w:t>
        </w:r>
      </w:hyperlink>
    </w:p>
    <w:p w14:paraId="35857A40" w14:textId="77777777" w:rsidR="00E30D26" w:rsidRPr="00FC7B66" w:rsidRDefault="00E30D26" w:rsidP="00E30D26">
      <w:pPr>
        <w:tabs>
          <w:tab w:val="left" w:pos="1080"/>
          <w:tab w:val="left" w:pos="4500"/>
        </w:tabs>
        <w:rPr>
          <w:rStyle w:val="AboutandContactBody"/>
          <w:rFonts w:asciiTheme="majorHAnsi" w:hAnsiTheme="majorHAnsi" w:cstheme="majorHAnsi"/>
          <w:szCs w:val="18"/>
        </w:rPr>
      </w:pPr>
    </w:p>
    <w:p w14:paraId="5CAFAABC" w14:textId="77777777" w:rsidR="00E30D26" w:rsidRPr="00FC7B66" w:rsidRDefault="00E30D26" w:rsidP="00E30D26">
      <w:pPr>
        <w:tabs>
          <w:tab w:val="left" w:pos="1080"/>
          <w:tab w:val="left" w:pos="4500"/>
        </w:tabs>
        <w:rPr>
          <w:rStyle w:val="AboutandContactBody"/>
          <w:rFonts w:asciiTheme="majorHAnsi" w:hAnsiTheme="majorHAnsi" w:cstheme="majorHAnsi"/>
          <w:szCs w:val="18"/>
        </w:rPr>
      </w:pPr>
      <w:r w:rsidRPr="00FC7B66">
        <w:rPr>
          <w:rStyle w:val="AboutandContactBody"/>
          <w:rFonts w:asciiTheme="majorHAnsi" w:hAnsiTheme="majorHAnsi" w:cstheme="majorHAnsi"/>
          <w:b/>
          <w:szCs w:val="18"/>
        </w:rPr>
        <w:t>Mona Niermann</w:t>
      </w:r>
      <w:r w:rsidRPr="00FC7B66">
        <w:rPr>
          <w:rStyle w:val="AboutandContactBody"/>
          <w:rFonts w:asciiTheme="majorHAnsi" w:hAnsiTheme="majorHAnsi" w:cstheme="majorHAnsi"/>
          <w:szCs w:val="18"/>
        </w:rPr>
        <w:tab/>
      </w:r>
      <w:r w:rsidRPr="00FC7B66">
        <w:rPr>
          <w:rStyle w:val="AboutandContactBody"/>
          <w:rFonts w:asciiTheme="majorHAnsi" w:hAnsiTheme="majorHAnsi" w:cstheme="majorHAnsi"/>
          <w:b/>
          <w:szCs w:val="18"/>
        </w:rPr>
        <w:t>Wulf Klüppelholz</w:t>
      </w:r>
    </w:p>
    <w:p w14:paraId="5A35E50F" w14:textId="77777777" w:rsidR="00E30D26" w:rsidRPr="00FC7B66" w:rsidRDefault="00E30D26" w:rsidP="00E30D26">
      <w:pPr>
        <w:tabs>
          <w:tab w:val="left" w:pos="709"/>
          <w:tab w:val="left" w:pos="4500"/>
          <w:tab w:val="left" w:pos="5245"/>
        </w:tabs>
        <w:rPr>
          <w:rStyle w:val="AboutandContactBody"/>
          <w:rFonts w:asciiTheme="majorHAnsi" w:hAnsiTheme="majorHAnsi" w:cstheme="majorHAnsi"/>
          <w:szCs w:val="18"/>
        </w:rPr>
      </w:pPr>
      <w:r w:rsidRPr="00FC7B66">
        <w:rPr>
          <w:rStyle w:val="AboutandContactBody"/>
          <w:rFonts w:asciiTheme="majorHAnsi" w:hAnsiTheme="majorHAnsi" w:cstheme="majorHAnsi"/>
          <w:szCs w:val="18"/>
        </w:rPr>
        <w:t>Phone:</w:t>
      </w:r>
      <w:r w:rsidRPr="00FC7B66">
        <w:rPr>
          <w:rStyle w:val="AboutandContactBody"/>
          <w:rFonts w:asciiTheme="majorHAnsi" w:hAnsiTheme="majorHAnsi" w:cstheme="majorHAnsi"/>
          <w:szCs w:val="18"/>
        </w:rPr>
        <w:tab/>
        <w:t>+49 211 797 - 7151</w:t>
      </w:r>
      <w:r w:rsidRPr="00FC7B66">
        <w:rPr>
          <w:rStyle w:val="AboutandContactBody"/>
          <w:rFonts w:asciiTheme="majorHAnsi" w:hAnsiTheme="majorHAnsi" w:cstheme="majorHAnsi"/>
          <w:szCs w:val="18"/>
        </w:rPr>
        <w:tab/>
        <w:t xml:space="preserve">Phone: </w:t>
      </w:r>
      <w:r w:rsidRPr="00FC7B66">
        <w:rPr>
          <w:rStyle w:val="AboutandContactBody"/>
          <w:rFonts w:asciiTheme="majorHAnsi" w:hAnsiTheme="majorHAnsi" w:cstheme="majorHAnsi"/>
          <w:szCs w:val="18"/>
        </w:rPr>
        <w:tab/>
        <w:t>+49 211 797 - 1875</w:t>
      </w:r>
    </w:p>
    <w:p w14:paraId="60A14677" w14:textId="77777777" w:rsidR="00E30D26" w:rsidRPr="00FC7B66" w:rsidRDefault="00E30D26" w:rsidP="00E30D26">
      <w:pPr>
        <w:tabs>
          <w:tab w:val="left" w:pos="709"/>
          <w:tab w:val="left" w:pos="4500"/>
          <w:tab w:val="left" w:pos="5245"/>
        </w:tabs>
        <w:rPr>
          <w:rStyle w:val="AboutandContactBody"/>
          <w:rFonts w:asciiTheme="majorHAnsi" w:hAnsiTheme="majorHAnsi" w:cstheme="majorHAnsi"/>
          <w:szCs w:val="18"/>
        </w:rPr>
      </w:pPr>
      <w:r w:rsidRPr="00FC7B66">
        <w:rPr>
          <w:rStyle w:val="AboutandContactBody"/>
          <w:rFonts w:asciiTheme="majorHAnsi" w:hAnsiTheme="majorHAnsi" w:cstheme="majorHAnsi"/>
          <w:szCs w:val="18"/>
        </w:rPr>
        <w:t xml:space="preserve">Email: </w:t>
      </w:r>
      <w:r w:rsidRPr="00FC7B66">
        <w:rPr>
          <w:rStyle w:val="AboutandContactBody"/>
          <w:rFonts w:asciiTheme="majorHAnsi" w:hAnsiTheme="majorHAnsi" w:cstheme="majorHAnsi"/>
          <w:szCs w:val="18"/>
        </w:rPr>
        <w:tab/>
      </w:r>
      <w:hyperlink r:id="rId16" w:history="1">
        <w:r w:rsidRPr="00FC7B66">
          <w:rPr>
            <w:rStyle w:val="Hyperlink"/>
            <w:rFonts w:asciiTheme="majorHAnsi" w:hAnsiTheme="majorHAnsi" w:cstheme="majorHAnsi"/>
          </w:rPr>
          <w:t>mona.niermann@henkel.com</w:t>
        </w:r>
      </w:hyperlink>
      <w:r w:rsidRPr="00FC7B66">
        <w:rPr>
          <w:rStyle w:val="AboutandContactBody"/>
          <w:rFonts w:asciiTheme="majorHAnsi" w:hAnsiTheme="majorHAnsi" w:cstheme="majorHAnsi"/>
          <w:szCs w:val="18"/>
        </w:rPr>
        <w:tab/>
        <w:t>Email:</w:t>
      </w:r>
      <w:r w:rsidRPr="00FC7B66">
        <w:rPr>
          <w:rStyle w:val="AboutandContactBody"/>
          <w:rFonts w:asciiTheme="majorHAnsi" w:hAnsiTheme="majorHAnsi" w:cstheme="majorHAnsi"/>
          <w:szCs w:val="18"/>
        </w:rPr>
        <w:tab/>
      </w:r>
      <w:hyperlink r:id="rId17" w:history="1">
        <w:r w:rsidRPr="00FC7B66">
          <w:rPr>
            <w:rStyle w:val="Hyperlink"/>
            <w:rFonts w:asciiTheme="majorHAnsi" w:hAnsiTheme="majorHAnsi" w:cstheme="majorHAnsi"/>
          </w:rPr>
          <w:t>wulf.klueppelholz@henkel.com</w:t>
        </w:r>
      </w:hyperlink>
    </w:p>
    <w:p w14:paraId="26193127" w14:textId="77777777" w:rsidR="00E30D26" w:rsidRPr="00FC7B66" w:rsidRDefault="00E30D26" w:rsidP="00E30D26">
      <w:pPr>
        <w:tabs>
          <w:tab w:val="left" w:pos="1080"/>
          <w:tab w:val="left" w:pos="4500"/>
        </w:tabs>
        <w:rPr>
          <w:rStyle w:val="AboutandContactBody"/>
          <w:rFonts w:asciiTheme="majorHAnsi" w:hAnsiTheme="majorHAnsi" w:cstheme="majorHAnsi"/>
          <w:szCs w:val="18"/>
        </w:rPr>
      </w:pPr>
    </w:p>
    <w:p w14:paraId="2F7F6A8E" w14:textId="77777777" w:rsidR="00E30D26" w:rsidRPr="00FC7B66" w:rsidRDefault="00E30D26" w:rsidP="00E30D26">
      <w:pPr>
        <w:tabs>
          <w:tab w:val="left" w:pos="1080"/>
          <w:tab w:val="left" w:pos="4500"/>
        </w:tabs>
        <w:rPr>
          <w:rStyle w:val="AboutandContactBody"/>
          <w:rFonts w:asciiTheme="majorHAnsi" w:hAnsiTheme="majorHAnsi" w:cstheme="majorHAnsi"/>
          <w:b/>
          <w:szCs w:val="18"/>
        </w:rPr>
      </w:pPr>
      <w:r w:rsidRPr="00FC7B66">
        <w:rPr>
          <w:rStyle w:val="AboutandContactBody"/>
          <w:rFonts w:asciiTheme="majorHAnsi" w:hAnsiTheme="majorHAnsi" w:cstheme="majorHAnsi"/>
          <w:b/>
          <w:szCs w:val="18"/>
        </w:rPr>
        <w:t>Dorothee Brinkmann</w:t>
      </w:r>
      <w:r w:rsidRPr="00FC7B66">
        <w:rPr>
          <w:rStyle w:val="AboutandContactBody"/>
          <w:rFonts w:asciiTheme="majorHAnsi" w:hAnsiTheme="majorHAnsi" w:cstheme="majorHAnsi"/>
          <w:szCs w:val="18"/>
        </w:rPr>
        <w:t xml:space="preserve"> </w:t>
      </w:r>
      <w:r w:rsidRPr="00FC7B66">
        <w:rPr>
          <w:rStyle w:val="AboutandContactBody"/>
          <w:rFonts w:asciiTheme="majorHAnsi" w:hAnsiTheme="majorHAnsi" w:cstheme="majorHAnsi"/>
          <w:szCs w:val="18"/>
        </w:rPr>
        <w:tab/>
      </w:r>
      <w:r w:rsidRPr="00FC7B66">
        <w:rPr>
          <w:rStyle w:val="AboutandContactBody"/>
          <w:rFonts w:asciiTheme="majorHAnsi" w:hAnsiTheme="majorHAnsi" w:cstheme="majorHAnsi"/>
          <w:b/>
          <w:szCs w:val="18"/>
        </w:rPr>
        <w:t>Jennifer Ott</w:t>
      </w:r>
    </w:p>
    <w:p w14:paraId="462784B4" w14:textId="77777777" w:rsidR="00E30D26" w:rsidRPr="00391539" w:rsidRDefault="00E30D26" w:rsidP="00E30D26">
      <w:pPr>
        <w:tabs>
          <w:tab w:val="left" w:pos="709"/>
          <w:tab w:val="left" w:pos="4500"/>
          <w:tab w:val="left" w:pos="5245"/>
        </w:tabs>
        <w:rPr>
          <w:rStyle w:val="AboutandContactBody"/>
          <w:rFonts w:asciiTheme="majorHAnsi" w:hAnsiTheme="majorHAnsi" w:cstheme="majorHAnsi"/>
          <w:szCs w:val="18"/>
          <w:lang w:val="fr-FR"/>
        </w:rPr>
      </w:pPr>
      <w:proofErr w:type="gramStart"/>
      <w:r w:rsidRPr="00391539">
        <w:rPr>
          <w:rStyle w:val="AboutandContactBody"/>
          <w:rFonts w:asciiTheme="majorHAnsi" w:hAnsiTheme="majorHAnsi" w:cstheme="majorHAnsi"/>
          <w:szCs w:val="18"/>
          <w:lang w:val="fr-FR"/>
        </w:rPr>
        <w:t>Phone:</w:t>
      </w:r>
      <w:proofErr w:type="gramEnd"/>
      <w:r w:rsidRPr="00391539">
        <w:rPr>
          <w:rStyle w:val="AboutandContactBody"/>
          <w:rFonts w:asciiTheme="majorHAnsi" w:hAnsiTheme="majorHAnsi" w:cstheme="majorHAnsi"/>
          <w:szCs w:val="18"/>
          <w:lang w:val="fr-FR"/>
        </w:rPr>
        <w:tab/>
        <w:t xml:space="preserve">+49 211 797 - 5299 </w:t>
      </w:r>
      <w:r w:rsidRPr="00391539">
        <w:rPr>
          <w:rStyle w:val="AboutandContactBody"/>
          <w:rFonts w:asciiTheme="majorHAnsi" w:hAnsiTheme="majorHAnsi" w:cstheme="majorHAnsi"/>
          <w:szCs w:val="18"/>
          <w:lang w:val="fr-FR"/>
        </w:rPr>
        <w:tab/>
        <w:t>Phone:</w:t>
      </w:r>
      <w:r w:rsidRPr="00391539">
        <w:rPr>
          <w:rStyle w:val="AboutandContactBody"/>
          <w:rFonts w:asciiTheme="majorHAnsi" w:hAnsiTheme="majorHAnsi" w:cstheme="majorHAnsi"/>
          <w:szCs w:val="18"/>
          <w:lang w:val="fr-FR"/>
        </w:rPr>
        <w:tab/>
        <w:t>+49 211 797 - 2756</w:t>
      </w:r>
    </w:p>
    <w:p w14:paraId="751AD34A" w14:textId="77777777" w:rsidR="00E30D26" w:rsidRPr="00391539" w:rsidRDefault="00E30D26" w:rsidP="00E30D26">
      <w:pPr>
        <w:tabs>
          <w:tab w:val="left" w:pos="709"/>
          <w:tab w:val="left" w:pos="4500"/>
          <w:tab w:val="left" w:pos="5245"/>
        </w:tabs>
        <w:rPr>
          <w:rStyle w:val="AboutandContactBody"/>
          <w:rFonts w:asciiTheme="majorHAnsi" w:hAnsiTheme="majorHAnsi" w:cstheme="majorHAnsi"/>
          <w:szCs w:val="18"/>
          <w:lang w:val="fr-FR"/>
        </w:rPr>
      </w:pPr>
      <w:proofErr w:type="gramStart"/>
      <w:r w:rsidRPr="00391539">
        <w:rPr>
          <w:rStyle w:val="AboutandContactBody"/>
          <w:rFonts w:asciiTheme="majorHAnsi" w:hAnsiTheme="majorHAnsi" w:cstheme="majorHAnsi"/>
          <w:szCs w:val="18"/>
          <w:lang w:val="fr-FR"/>
        </w:rPr>
        <w:t>Email:</w:t>
      </w:r>
      <w:proofErr w:type="gramEnd"/>
      <w:r w:rsidRPr="00391539">
        <w:rPr>
          <w:rStyle w:val="AboutandContactBody"/>
          <w:rFonts w:asciiTheme="majorHAnsi" w:hAnsiTheme="majorHAnsi" w:cstheme="majorHAnsi"/>
          <w:szCs w:val="18"/>
          <w:lang w:val="fr-FR"/>
        </w:rPr>
        <w:t xml:space="preserve"> </w:t>
      </w:r>
      <w:r w:rsidRPr="00391539">
        <w:rPr>
          <w:rStyle w:val="AboutandContactBody"/>
          <w:rFonts w:asciiTheme="majorHAnsi" w:hAnsiTheme="majorHAnsi" w:cstheme="majorHAnsi"/>
          <w:szCs w:val="18"/>
          <w:lang w:val="fr-FR"/>
        </w:rPr>
        <w:tab/>
      </w:r>
      <w:hyperlink r:id="rId18" w:history="1">
        <w:r w:rsidRPr="00391539">
          <w:rPr>
            <w:rStyle w:val="Hyperlink"/>
            <w:rFonts w:asciiTheme="majorHAnsi" w:hAnsiTheme="majorHAnsi" w:cstheme="majorHAnsi"/>
            <w:lang w:val="fr-FR"/>
          </w:rPr>
          <w:t>dorothee.brinkmann@henkel.com</w:t>
        </w:r>
      </w:hyperlink>
      <w:r w:rsidRPr="00391539">
        <w:rPr>
          <w:rStyle w:val="AboutandContactBody"/>
          <w:rFonts w:asciiTheme="majorHAnsi" w:hAnsiTheme="majorHAnsi" w:cstheme="majorHAnsi"/>
          <w:szCs w:val="18"/>
          <w:lang w:val="fr-FR"/>
        </w:rPr>
        <w:t xml:space="preserve"> </w:t>
      </w:r>
      <w:r w:rsidRPr="00391539">
        <w:rPr>
          <w:rStyle w:val="AboutandContactBody"/>
          <w:rFonts w:asciiTheme="majorHAnsi" w:hAnsiTheme="majorHAnsi" w:cstheme="majorHAnsi"/>
          <w:szCs w:val="18"/>
          <w:lang w:val="fr-FR"/>
        </w:rPr>
        <w:tab/>
        <w:t>Email:</w:t>
      </w:r>
      <w:r w:rsidRPr="00391539">
        <w:rPr>
          <w:rStyle w:val="AboutandContactBody"/>
          <w:rFonts w:asciiTheme="majorHAnsi" w:hAnsiTheme="majorHAnsi" w:cstheme="majorHAnsi"/>
          <w:szCs w:val="18"/>
          <w:lang w:val="fr-FR"/>
        </w:rPr>
        <w:tab/>
      </w:r>
      <w:hyperlink r:id="rId19" w:history="1">
        <w:r w:rsidRPr="00391539">
          <w:rPr>
            <w:rStyle w:val="Hyperlink"/>
            <w:rFonts w:asciiTheme="majorHAnsi" w:hAnsiTheme="majorHAnsi" w:cstheme="majorHAnsi"/>
            <w:lang w:val="fr-FR"/>
          </w:rPr>
          <w:t>jennifer.ott@henkel.com</w:t>
        </w:r>
      </w:hyperlink>
    </w:p>
    <w:p w14:paraId="2128BF49" w14:textId="77777777" w:rsidR="00E30D26" w:rsidRPr="00391539" w:rsidRDefault="00E30D26" w:rsidP="00E30D26">
      <w:pPr>
        <w:tabs>
          <w:tab w:val="left" w:pos="1080"/>
          <w:tab w:val="left" w:pos="4500"/>
        </w:tabs>
        <w:rPr>
          <w:rStyle w:val="AboutandContactBody"/>
          <w:rFonts w:asciiTheme="majorHAnsi" w:hAnsiTheme="majorHAnsi" w:cstheme="majorHAnsi"/>
          <w:szCs w:val="18"/>
          <w:lang w:val="fr-FR"/>
        </w:rPr>
      </w:pPr>
    </w:p>
    <w:p w14:paraId="71849A06" w14:textId="11FF82A6" w:rsidR="000425ED" w:rsidRDefault="00AE0468" w:rsidP="000425ED">
      <w:pPr>
        <w:tabs>
          <w:tab w:val="left" w:pos="1080"/>
          <w:tab w:val="left" w:pos="4500"/>
        </w:tabs>
        <w:rPr>
          <w:rStyle w:val="Hyperlink"/>
          <w:rFonts w:asciiTheme="majorHAnsi" w:hAnsiTheme="majorHAnsi" w:cstheme="majorHAnsi"/>
          <w:lang w:val="fr-FR"/>
        </w:rPr>
      </w:pPr>
      <w:hyperlink r:id="rId20" w:history="1">
        <w:r w:rsidR="000425ED" w:rsidRPr="00391539">
          <w:rPr>
            <w:rStyle w:val="Hyperlink"/>
            <w:rFonts w:asciiTheme="majorHAnsi" w:hAnsiTheme="majorHAnsi" w:cstheme="majorHAnsi"/>
            <w:lang w:val="fr-FR"/>
          </w:rPr>
          <w:t>www.henkel.com/press</w:t>
        </w:r>
      </w:hyperlink>
    </w:p>
    <w:p w14:paraId="1CAE75D3" w14:textId="78A0ACF7" w:rsidR="00112A28" w:rsidRPr="00857408" w:rsidRDefault="00AE0468" w:rsidP="000425ED">
      <w:pPr>
        <w:tabs>
          <w:tab w:val="left" w:pos="1080"/>
          <w:tab w:val="left" w:pos="4500"/>
        </w:tabs>
        <w:rPr>
          <w:rStyle w:val="AboutandContactBody"/>
          <w:rFonts w:asciiTheme="majorHAnsi" w:hAnsiTheme="majorHAnsi" w:cstheme="majorHAnsi"/>
          <w:color w:val="0000FF"/>
          <w:szCs w:val="18"/>
          <w:u w:val="single"/>
          <w:lang w:val="fr-FR"/>
        </w:rPr>
      </w:pPr>
      <w:hyperlink r:id="rId21" w:history="1">
        <w:r w:rsidR="00857408" w:rsidRPr="00F05FE3">
          <w:rPr>
            <w:rStyle w:val="Hyperlink"/>
            <w:rFonts w:asciiTheme="majorHAnsi" w:hAnsiTheme="majorHAnsi" w:cstheme="majorHAnsi"/>
            <w:lang w:val="fr-FR"/>
          </w:rPr>
          <w:t>www.henkel.com/ir</w:t>
        </w:r>
      </w:hyperlink>
    </w:p>
    <w:sectPr w:rsidR="00112A28" w:rsidRPr="00857408" w:rsidSect="00DC2465">
      <w:headerReference w:type="even" r:id="rId22"/>
      <w:footerReference w:type="default" r:id="rId23"/>
      <w:headerReference w:type="first" r:id="rId24"/>
      <w:footerReference w:type="first" r:id="rId2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0AFC7" w14:textId="77777777" w:rsidR="00D57D8E" w:rsidRDefault="00D57D8E">
      <w:r>
        <w:separator/>
      </w:r>
    </w:p>
  </w:endnote>
  <w:endnote w:type="continuationSeparator" w:id="0">
    <w:p w14:paraId="5546868E" w14:textId="77777777" w:rsidR="00D57D8E" w:rsidRDefault="00D5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AE0468">
      <w:fldChar w:fldCharType="begin"/>
    </w:r>
    <w:r w:rsidR="00AE0468">
      <w:instrText xml:space="preserve"> NUMPAGES  \* Arabic  \* MERGEFORMAT </w:instrText>
    </w:r>
    <w:r w:rsidR="00AE0468">
      <w:fldChar w:fldCharType="separate"/>
    </w:r>
    <w:r>
      <w:t>2</w:t>
    </w:r>
    <w:r w:rsidR="00AE046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Footer"/>
    </w:pPr>
    <w:bookmarkStart w:id="3"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8EE99" w14:textId="77777777" w:rsidR="00D57D8E" w:rsidRDefault="00D57D8E">
      <w:r>
        <w:separator/>
      </w:r>
    </w:p>
  </w:footnote>
  <w:footnote w:type="continuationSeparator" w:id="0">
    <w:p w14:paraId="2017BADE" w14:textId="77777777" w:rsidR="00D57D8E" w:rsidRDefault="00D57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05DAD93D"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3CC5F56"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5E3FBB">
      <w:rPr>
        <w:noProof/>
      </w:rPr>
      <w:t>News</w:t>
    </w:r>
    <w:r w:rsidR="005E3FBB"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069EB"/>
    <w:rsid w:val="00006A45"/>
    <w:rsid w:val="00021C67"/>
    <w:rsid w:val="000301F0"/>
    <w:rsid w:val="00030557"/>
    <w:rsid w:val="00030F51"/>
    <w:rsid w:val="00035A84"/>
    <w:rsid w:val="00040CC9"/>
    <w:rsid w:val="000425ED"/>
    <w:rsid w:val="000510FC"/>
    <w:rsid w:val="00051E86"/>
    <w:rsid w:val="000575F9"/>
    <w:rsid w:val="000618FC"/>
    <w:rsid w:val="00067071"/>
    <w:rsid w:val="00080D10"/>
    <w:rsid w:val="0008357F"/>
    <w:rsid w:val="0008406B"/>
    <w:rsid w:val="000B5D2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C65"/>
    <w:rsid w:val="00126D4A"/>
    <w:rsid w:val="00132DA9"/>
    <w:rsid w:val="0013305B"/>
    <w:rsid w:val="00133B99"/>
    <w:rsid w:val="0013569C"/>
    <w:rsid w:val="001443BD"/>
    <w:rsid w:val="001577E9"/>
    <w:rsid w:val="0016138C"/>
    <w:rsid w:val="001731CE"/>
    <w:rsid w:val="001B7C20"/>
    <w:rsid w:val="001C0B32"/>
    <w:rsid w:val="001C4BE1"/>
    <w:rsid w:val="001D7ADF"/>
    <w:rsid w:val="001E0F71"/>
    <w:rsid w:val="001E6D05"/>
    <w:rsid w:val="001E73E8"/>
    <w:rsid w:val="001E7C28"/>
    <w:rsid w:val="001F1BDF"/>
    <w:rsid w:val="001F7110"/>
    <w:rsid w:val="001F7E96"/>
    <w:rsid w:val="002005F5"/>
    <w:rsid w:val="00202284"/>
    <w:rsid w:val="0020528D"/>
    <w:rsid w:val="00212488"/>
    <w:rsid w:val="002129A6"/>
    <w:rsid w:val="00220628"/>
    <w:rsid w:val="002260C7"/>
    <w:rsid w:val="002304D2"/>
    <w:rsid w:val="00233D04"/>
    <w:rsid w:val="00234ABD"/>
    <w:rsid w:val="00236491"/>
    <w:rsid w:val="00236E2A"/>
    <w:rsid w:val="00237F62"/>
    <w:rsid w:val="0024586A"/>
    <w:rsid w:val="002518A2"/>
    <w:rsid w:val="00256F0C"/>
    <w:rsid w:val="00262C05"/>
    <w:rsid w:val="00281D14"/>
    <w:rsid w:val="00282C13"/>
    <w:rsid w:val="002A0DF7"/>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4F7E"/>
    <w:rsid w:val="00365E44"/>
    <w:rsid w:val="003662B1"/>
    <w:rsid w:val="00367AA1"/>
    <w:rsid w:val="00370A5B"/>
    <w:rsid w:val="00372E36"/>
    <w:rsid w:val="00376EE9"/>
    <w:rsid w:val="00376FFC"/>
    <w:rsid w:val="00377CBB"/>
    <w:rsid w:val="00384F62"/>
    <w:rsid w:val="00385438"/>
    <w:rsid w:val="003877B6"/>
    <w:rsid w:val="00391539"/>
    <w:rsid w:val="00393887"/>
    <w:rsid w:val="00394C6B"/>
    <w:rsid w:val="003A4E62"/>
    <w:rsid w:val="003B1069"/>
    <w:rsid w:val="003B390A"/>
    <w:rsid w:val="003C15DE"/>
    <w:rsid w:val="003C2889"/>
    <w:rsid w:val="003C4EB2"/>
    <w:rsid w:val="003F1AF3"/>
    <w:rsid w:val="003F4D8D"/>
    <w:rsid w:val="0040386D"/>
    <w:rsid w:val="004313E7"/>
    <w:rsid w:val="00444A70"/>
    <w:rsid w:val="0044763B"/>
    <w:rsid w:val="00456A53"/>
    <w:rsid w:val="0046266D"/>
    <w:rsid w:val="004629B3"/>
    <w:rsid w:val="0046376E"/>
    <w:rsid w:val="0046690F"/>
    <w:rsid w:val="00472FEC"/>
    <w:rsid w:val="00490A03"/>
    <w:rsid w:val="00493327"/>
    <w:rsid w:val="00494DBE"/>
    <w:rsid w:val="00495CE6"/>
    <w:rsid w:val="004A144D"/>
    <w:rsid w:val="004A323C"/>
    <w:rsid w:val="004B54E8"/>
    <w:rsid w:val="004C4FEB"/>
    <w:rsid w:val="004C6B79"/>
    <w:rsid w:val="004D059B"/>
    <w:rsid w:val="004D0E64"/>
    <w:rsid w:val="004D48A8"/>
    <w:rsid w:val="004D4CB6"/>
    <w:rsid w:val="004E3341"/>
    <w:rsid w:val="004F10C1"/>
    <w:rsid w:val="004F5AD9"/>
    <w:rsid w:val="00502E62"/>
    <w:rsid w:val="00506B8A"/>
    <w:rsid w:val="0052212B"/>
    <w:rsid w:val="005266EA"/>
    <w:rsid w:val="00534B46"/>
    <w:rsid w:val="00540358"/>
    <w:rsid w:val="00540D47"/>
    <w:rsid w:val="005463C3"/>
    <w:rsid w:val="00550864"/>
    <w:rsid w:val="0055571E"/>
    <w:rsid w:val="00556F67"/>
    <w:rsid w:val="005652E8"/>
    <w:rsid w:val="00576BDA"/>
    <w:rsid w:val="005833F0"/>
    <w:rsid w:val="00586CAF"/>
    <w:rsid w:val="005873E9"/>
    <w:rsid w:val="00591180"/>
    <w:rsid w:val="0059722C"/>
    <w:rsid w:val="00597D07"/>
    <w:rsid w:val="005A3846"/>
    <w:rsid w:val="005B2CD2"/>
    <w:rsid w:val="005B6A58"/>
    <w:rsid w:val="005C7112"/>
    <w:rsid w:val="005D0561"/>
    <w:rsid w:val="005D0AD9"/>
    <w:rsid w:val="005D22F6"/>
    <w:rsid w:val="005E0C30"/>
    <w:rsid w:val="005E3FBB"/>
    <w:rsid w:val="005E69D9"/>
    <w:rsid w:val="005F27F4"/>
    <w:rsid w:val="005F3239"/>
    <w:rsid w:val="005F6567"/>
    <w:rsid w:val="00607094"/>
    <w:rsid w:val="00607256"/>
    <w:rsid w:val="006144B1"/>
    <w:rsid w:val="006335F1"/>
    <w:rsid w:val="006345B6"/>
    <w:rsid w:val="00635616"/>
    <w:rsid w:val="00635712"/>
    <w:rsid w:val="006368FF"/>
    <w:rsid w:val="0064107F"/>
    <w:rsid w:val="00643D8A"/>
    <w:rsid w:val="00652229"/>
    <w:rsid w:val="00652793"/>
    <w:rsid w:val="006626CA"/>
    <w:rsid w:val="00663487"/>
    <w:rsid w:val="00672382"/>
    <w:rsid w:val="00682643"/>
    <w:rsid w:val="00682EB9"/>
    <w:rsid w:val="0068441A"/>
    <w:rsid w:val="00690B19"/>
    <w:rsid w:val="006A0A3C"/>
    <w:rsid w:val="006A79F0"/>
    <w:rsid w:val="006B47EE"/>
    <w:rsid w:val="006B499F"/>
    <w:rsid w:val="006C33BE"/>
    <w:rsid w:val="006C7E78"/>
    <w:rsid w:val="006D098F"/>
    <w:rsid w:val="006D4996"/>
    <w:rsid w:val="006D54AB"/>
    <w:rsid w:val="006E1FA9"/>
    <w:rsid w:val="006E3006"/>
    <w:rsid w:val="006E5032"/>
    <w:rsid w:val="006E5BDA"/>
    <w:rsid w:val="006F0FC7"/>
    <w:rsid w:val="006F39A9"/>
    <w:rsid w:val="006F670F"/>
    <w:rsid w:val="00702921"/>
    <w:rsid w:val="00703272"/>
    <w:rsid w:val="0070733C"/>
    <w:rsid w:val="00710C5D"/>
    <w:rsid w:val="0071348C"/>
    <w:rsid w:val="00717273"/>
    <w:rsid w:val="00720FD4"/>
    <w:rsid w:val="00724AF2"/>
    <w:rsid w:val="0073096C"/>
    <w:rsid w:val="00733A46"/>
    <w:rsid w:val="00742398"/>
    <w:rsid w:val="007432A9"/>
    <w:rsid w:val="007507B5"/>
    <w:rsid w:val="0075091D"/>
    <w:rsid w:val="00753A24"/>
    <w:rsid w:val="0075430D"/>
    <w:rsid w:val="00772188"/>
    <w:rsid w:val="0077222A"/>
    <w:rsid w:val="007813D0"/>
    <w:rsid w:val="007845AC"/>
    <w:rsid w:val="00785993"/>
    <w:rsid w:val="007866E2"/>
    <w:rsid w:val="00786BA3"/>
    <w:rsid w:val="0079202F"/>
    <w:rsid w:val="00795AF2"/>
    <w:rsid w:val="007A2AAD"/>
    <w:rsid w:val="007A4432"/>
    <w:rsid w:val="007A784E"/>
    <w:rsid w:val="007B499C"/>
    <w:rsid w:val="007B4D4B"/>
    <w:rsid w:val="007B58C6"/>
    <w:rsid w:val="007D2A02"/>
    <w:rsid w:val="007D62A4"/>
    <w:rsid w:val="007E6EA1"/>
    <w:rsid w:val="007F0F63"/>
    <w:rsid w:val="007F2B1E"/>
    <w:rsid w:val="007F62B4"/>
    <w:rsid w:val="00801517"/>
    <w:rsid w:val="00813492"/>
    <w:rsid w:val="00817AE8"/>
    <w:rsid w:val="00817DE8"/>
    <w:rsid w:val="008229F5"/>
    <w:rsid w:val="0082699A"/>
    <w:rsid w:val="00832633"/>
    <w:rsid w:val="00833CEB"/>
    <w:rsid w:val="008372D2"/>
    <w:rsid w:val="008377BC"/>
    <w:rsid w:val="00844C17"/>
    <w:rsid w:val="00846017"/>
    <w:rsid w:val="00847726"/>
    <w:rsid w:val="00852511"/>
    <w:rsid w:val="00857408"/>
    <w:rsid w:val="008578A9"/>
    <w:rsid w:val="0086072A"/>
    <w:rsid w:val="0086088F"/>
    <w:rsid w:val="008614F1"/>
    <w:rsid w:val="008639B3"/>
    <w:rsid w:val="00863C1A"/>
    <w:rsid w:val="008712FE"/>
    <w:rsid w:val="0087142D"/>
    <w:rsid w:val="00873416"/>
    <w:rsid w:val="00873956"/>
    <w:rsid w:val="00880E72"/>
    <w:rsid w:val="008825EE"/>
    <w:rsid w:val="0088596E"/>
    <w:rsid w:val="0089796A"/>
    <w:rsid w:val="008A2375"/>
    <w:rsid w:val="008D76C5"/>
    <w:rsid w:val="008E0A04"/>
    <w:rsid w:val="008E0AFA"/>
    <w:rsid w:val="008E75D3"/>
    <w:rsid w:val="008F0CE4"/>
    <w:rsid w:val="008F125E"/>
    <w:rsid w:val="008F4D2F"/>
    <w:rsid w:val="00906292"/>
    <w:rsid w:val="00914B5B"/>
    <w:rsid w:val="00917162"/>
    <w:rsid w:val="009178AA"/>
    <w:rsid w:val="009251CC"/>
    <w:rsid w:val="0092714E"/>
    <w:rsid w:val="00942002"/>
    <w:rsid w:val="00947885"/>
    <w:rsid w:val="009504AB"/>
    <w:rsid w:val="00952168"/>
    <w:rsid w:val="009527FE"/>
    <w:rsid w:val="009529B2"/>
    <w:rsid w:val="009739A0"/>
    <w:rsid w:val="00974F84"/>
    <w:rsid w:val="009767C7"/>
    <w:rsid w:val="0098579A"/>
    <w:rsid w:val="009918DD"/>
    <w:rsid w:val="0099195A"/>
    <w:rsid w:val="00992A11"/>
    <w:rsid w:val="00994681"/>
    <w:rsid w:val="0099486A"/>
    <w:rsid w:val="009A0E26"/>
    <w:rsid w:val="009A16EC"/>
    <w:rsid w:val="009A22C2"/>
    <w:rsid w:val="009B29B7"/>
    <w:rsid w:val="009B3B37"/>
    <w:rsid w:val="009B7D1F"/>
    <w:rsid w:val="009C088E"/>
    <w:rsid w:val="009C4D35"/>
    <w:rsid w:val="009D1522"/>
    <w:rsid w:val="009D7252"/>
    <w:rsid w:val="009E5EB4"/>
    <w:rsid w:val="009F610E"/>
    <w:rsid w:val="00A044D6"/>
    <w:rsid w:val="00A04ADB"/>
    <w:rsid w:val="00A05F11"/>
    <w:rsid w:val="00A11E0F"/>
    <w:rsid w:val="00A26CB6"/>
    <w:rsid w:val="00A32F82"/>
    <w:rsid w:val="00A32F8B"/>
    <w:rsid w:val="00A3756F"/>
    <w:rsid w:val="00A42D6F"/>
    <w:rsid w:val="00A45A62"/>
    <w:rsid w:val="00A54AC5"/>
    <w:rsid w:val="00A55DC3"/>
    <w:rsid w:val="00A56D41"/>
    <w:rsid w:val="00A60529"/>
    <w:rsid w:val="00A61353"/>
    <w:rsid w:val="00A61481"/>
    <w:rsid w:val="00A66DB1"/>
    <w:rsid w:val="00A67A92"/>
    <w:rsid w:val="00A87870"/>
    <w:rsid w:val="00A91A70"/>
    <w:rsid w:val="00A97316"/>
    <w:rsid w:val="00AA1B85"/>
    <w:rsid w:val="00AB1CB6"/>
    <w:rsid w:val="00AB1D9A"/>
    <w:rsid w:val="00AD0C22"/>
    <w:rsid w:val="00AD35D6"/>
    <w:rsid w:val="00AD442C"/>
    <w:rsid w:val="00AD44FE"/>
    <w:rsid w:val="00AD5A37"/>
    <w:rsid w:val="00AE0468"/>
    <w:rsid w:val="00AE400C"/>
    <w:rsid w:val="00AE49F1"/>
    <w:rsid w:val="00AE5532"/>
    <w:rsid w:val="00B05CCA"/>
    <w:rsid w:val="00B14271"/>
    <w:rsid w:val="00B16270"/>
    <w:rsid w:val="00B2685D"/>
    <w:rsid w:val="00B30351"/>
    <w:rsid w:val="00B33C2A"/>
    <w:rsid w:val="00B35967"/>
    <w:rsid w:val="00B422EC"/>
    <w:rsid w:val="00B54885"/>
    <w:rsid w:val="00B634AB"/>
    <w:rsid w:val="00B726D4"/>
    <w:rsid w:val="00B8214F"/>
    <w:rsid w:val="00B82B48"/>
    <w:rsid w:val="00B86A4F"/>
    <w:rsid w:val="00B93035"/>
    <w:rsid w:val="00B958E8"/>
    <w:rsid w:val="00B97E4A"/>
    <w:rsid w:val="00BA09B2"/>
    <w:rsid w:val="00BA465D"/>
    <w:rsid w:val="00BA5B46"/>
    <w:rsid w:val="00BB2D73"/>
    <w:rsid w:val="00BB45BA"/>
    <w:rsid w:val="00BB5D0B"/>
    <w:rsid w:val="00BC0995"/>
    <w:rsid w:val="00BE2D0A"/>
    <w:rsid w:val="00BE47D4"/>
    <w:rsid w:val="00BE793A"/>
    <w:rsid w:val="00BF2B82"/>
    <w:rsid w:val="00BF432A"/>
    <w:rsid w:val="00BF6E82"/>
    <w:rsid w:val="00C060C7"/>
    <w:rsid w:val="00C24C17"/>
    <w:rsid w:val="00C3758F"/>
    <w:rsid w:val="00C40B88"/>
    <w:rsid w:val="00C44489"/>
    <w:rsid w:val="00C47D87"/>
    <w:rsid w:val="00C5376E"/>
    <w:rsid w:val="00C5701B"/>
    <w:rsid w:val="00C66218"/>
    <w:rsid w:val="00C677C9"/>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E3B"/>
    <w:rsid w:val="00D2306F"/>
    <w:rsid w:val="00D23C09"/>
    <w:rsid w:val="00D23CED"/>
    <w:rsid w:val="00D24BD2"/>
    <w:rsid w:val="00D2573D"/>
    <w:rsid w:val="00D260A2"/>
    <w:rsid w:val="00D30CC6"/>
    <w:rsid w:val="00D3260C"/>
    <w:rsid w:val="00D35790"/>
    <w:rsid w:val="00D5611E"/>
    <w:rsid w:val="00D5653B"/>
    <w:rsid w:val="00D57D8E"/>
    <w:rsid w:val="00D62EF1"/>
    <w:rsid w:val="00D6309D"/>
    <w:rsid w:val="00D644CA"/>
    <w:rsid w:val="00D64EA0"/>
    <w:rsid w:val="00D66FC2"/>
    <w:rsid w:val="00D7044E"/>
    <w:rsid w:val="00D76C7E"/>
    <w:rsid w:val="00D771DE"/>
    <w:rsid w:val="00D7776D"/>
    <w:rsid w:val="00D92179"/>
    <w:rsid w:val="00D922C6"/>
    <w:rsid w:val="00D9293F"/>
    <w:rsid w:val="00D93598"/>
    <w:rsid w:val="00DA1E18"/>
    <w:rsid w:val="00DA2009"/>
    <w:rsid w:val="00DB05B1"/>
    <w:rsid w:val="00DB3786"/>
    <w:rsid w:val="00DB59E8"/>
    <w:rsid w:val="00DB5A79"/>
    <w:rsid w:val="00DC2465"/>
    <w:rsid w:val="00DC7D48"/>
    <w:rsid w:val="00DD512E"/>
    <w:rsid w:val="00DE1177"/>
    <w:rsid w:val="00DE2CEA"/>
    <w:rsid w:val="00DE6A3C"/>
    <w:rsid w:val="00DE74F4"/>
    <w:rsid w:val="00DE7F97"/>
    <w:rsid w:val="00DF1010"/>
    <w:rsid w:val="00DF5AEA"/>
    <w:rsid w:val="00DF63F6"/>
    <w:rsid w:val="00DF7BD0"/>
    <w:rsid w:val="00E13747"/>
    <w:rsid w:val="00E14758"/>
    <w:rsid w:val="00E21088"/>
    <w:rsid w:val="00E24632"/>
    <w:rsid w:val="00E25AEA"/>
    <w:rsid w:val="00E30D26"/>
    <w:rsid w:val="00E30DEF"/>
    <w:rsid w:val="00E30ED2"/>
    <w:rsid w:val="00E31276"/>
    <w:rsid w:val="00E34666"/>
    <w:rsid w:val="00E37F70"/>
    <w:rsid w:val="00E41377"/>
    <w:rsid w:val="00E41985"/>
    <w:rsid w:val="00E446C1"/>
    <w:rsid w:val="00E545D7"/>
    <w:rsid w:val="00E547FE"/>
    <w:rsid w:val="00E60ECA"/>
    <w:rsid w:val="00E663B6"/>
    <w:rsid w:val="00E758B9"/>
    <w:rsid w:val="00E85569"/>
    <w:rsid w:val="00E856AF"/>
    <w:rsid w:val="00E86B83"/>
    <w:rsid w:val="00E87C64"/>
    <w:rsid w:val="00E93A01"/>
    <w:rsid w:val="00E93FF8"/>
    <w:rsid w:val="00E96EAF"/>
    <w:rsid w:val="00EA1752"/>
    <w:rsid w:val="00EA5A89"/>
    <w:rsid w:val="00EA5BDB"/>
    <w:rsid w:val="00EB46D9"/>
    <w:rsid w:val="00EC0E64"/>
    <w:rsid w:val="00EC142D"/>
    <w:rsid w:val="00EC1E16"/>
    <w:rsid w:val="00EC2DD1"/>
    <w:rsid w:val="00ED0024"/>
    <w:rsid w:val="00ED0F85"/>
    <w:rsid w:val="00ED2B5C"/>
    <w:rsid w:val="00ED3269"/>
    <w:rsid w:val="00ED3A18"/>
    <w:rsid w:val="00EE1A8C"/>
    <w:rsid w:val="00EE4643"/>
    <w:rsid w:val="00EF1330"/>
    <w:rsid w:val="00EF15FF"/>
    <w:rsid w:val="00EF7111"/>
    <w:rsid w:val="00EF7D1A"/>
    <w:rsid w:val="00F0448F"/>
    <w:rsid w:val="00F0716C"/>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35FC"/>
    <w:rsid w:val="00F63D03"/>
    <w:rsid w:val="00F65E2F"/>
    <w:rsid w:val="00F67DF1"/>
    <w:rsid w:val="00F8309B"/>
    <w:rsid w:val="00F833C9"/>
    <w:rsid w:val="00F90064"/>
    <w:rsid w:val="00F9586C"/>
    <w:rsid w:val="00F96AFD"/>
    <w:rsid w:val="00FA1398"/>
    <w:rsid w:val="00FA2E19"/>
    <w:rsid w:val="00FA697F"/>
    <w:rsid w:val="00FB3846"/>
    <w:rsid w:val="00FB5521"/>
    <w:rsid w:val="00FB610D"/>
    <w:rsid w:val="00FC4477"/>
    <w:rsid w:val="00FC46FB"/>
    <w:rsid w:val="00FC7B66"/>
    <w:rsid w:val="00FD2BD3"/>
    <w:rsid w:val="00FD4CCA"/>
    <w:rsid w:val="00FE2A9E"/>
    <w:rsid w:val="00FE34B3"/>
    <w:rsid w:val="00FE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hyperlink" Target="mailto:dorothee.brinkmann@henke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nkel.com/ir" TargetMode="External"/><Relationship Id="rId7" Type="http://schemas.openxmlformats.org/officeDocument/2006/relationships/styles" Target="styles.xml"/><Relationship Id="rId12" Type="http://schemas.openxmlformats.org/officeDocument/2006/relationships/hyperlink" Target="https://www.henkel.com/spotlight/features/driving-progress-toward-a-circular-economy" TargetMode="External"/><Relationship Id="rId17" Type="http://schemas.openxmlformats.org/officeDocument/2006/relationships/hyperlink" Target="mailto:wulf.klueppelholz@henke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mona.niermann@henkel.com" TargetMode="External"/><Relationship Id="rId20" Type="http://schemas.openxmlformats.org/officeDocument/2006/relationships/hyperlink" Target="http://www.henkel.com/pr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lars.witteck@henkel.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jennifer.ott@henk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rs.korinth@henkel.com"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44FF5720-12B3-4510-BE03-AB1B6F03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8</Pages>
  <Words>3129</Words>
  <Characters>18178</Characters>
  <Application>Microsoft Office Word</Application>
  <DocSecurity>0</DocSecurity>
  <Lines>151</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21265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Tong</cp:lastModifiedBy>
  <cp:revision>11</cp:revision>
  <cp:lastPrinted>2020-08-05T16:24:00Z</cp:lastPrinted>
  <dcterms:created xsi:type="dcterms:W3CDTF">2020-08-05T10:26:00Z</dcterms:created>
  <dcterms:modified xsi:type="dcterms:W3CDTF">2020-08-13T02:21:00Z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