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6A6A7445" w:rsidR="00B422EC" w:rsidRPr="007E7A47" w:rsidRDefault="00240662" w:rsidP="00E41377">
      <w:pPr>
        <w:pStyle w:val="MonthDayYear"/>
        <w:tabs>
          <w:tab w:val="left" w:pos="7513"/>
        </w:tabs>
        <w:jc w:val="left"/>
        <w:rPr>
          <w:lang w:val="sr-Latn-RS"/>
        </w:rPr>
      </w:pPr>
      <w:r>
        <w:rPr>
          <w:lang w:val="sr-Latn-RS"/>
        </w:rPr>
        <w:t xml:space="preserve">                                                                                                                 </w:t>
      </w:r>
      <w:r w:rsidR="00635616" w:rsidRPr="007E7A47">
        <w:rPr>
          <w:lang w:val="sr-Latn-RS"/>
        </w:rPr>
        <w:t>6</w:t>
      </w:r>
      <w:r w:rsidR="007E7A47" w:rsidRPr="007E7A47">
        <w:rPr>
          <w:lang w:val="sr-Latn-RS"/>
        </w:rPr>
        <w:t>. avgust</w:t>
      </w:r>
      <w:r w:rsidR="00BF6E82" w:rsidRPr="007E7A47">
        <w:rPr>
          <w:lang w:val="sr-Latn-RS"/>
        </w:rPr>
        <w:t>, 20</w:t>
      </w:r>
      <w:r w:rsidR="00F635FC" w:rsidRPr="007E7A47">
        <w:rPr>
          <w:lang w:val="sr-Latn-RS"/>
        </w:rPr>
        <w:t>20</w:t>
      </w:r>
      <w:r w:rsidR="007E7A47" w:rsidRPr="007E7A47">
        <w:rPr>
          <w:lang w:val="sr-Latn-RS"/>
        </w:rPr>
        <w:t>.</w:t>
      </w:r>
      <w:r>
        <w:rPr>
          <w:lang w:val="sr-Latn-RS"/>
        </w:rPr>
        <w:t xml:space="preserve"> godine</w:t>
      </w:r>
    </w:p>
    <w:p w14:paraId="09896324" w14:textId="782271A3" w:rsidR="007F0F63" w:rsidRPr="007E7A47" w:rsidRDefault="00635616" w:rsidP="007E7A47">
      <w:pPr>
        <w:pStyle w:val="Topline"/>
        <w:spacing w:after="360"/>
        <w:rPr>
          <w:rFonts w:asciiTheme="majorHAnsi" w:hAnsiTheme="majorHAnsi" w:cstheme="majorHAnsi"/>
          <w:lang w:val="sr-Latn-RS"/>
        </w:rPr>
      </w:pPr>
      <w:r w:rsidRPr="007E7A47">
        <w:rPr>
          <w:rFonts w:asciiTheme="majorHAnsi" w:hAnsiTheme="majorHAnsi" w:cstheme="majorHAnsi"/>
          <w:lang w:val="sr-Latn-RS"/>
        </w:rPr>
        <w:t xml:space="preserve">Henkel </w:t>
      </w:r>
      <w:r w:rsidR="007E7A47">
        <w:rPr>
          <w:rFonts w:asciiTheme="majorHAnsi" w:hAnsiTheme="majorHAnsi" w:cstheme="majorHAnsi"/>
          <w:lang w:val="sr-Latn-RS"/>
        </w:rPr>
        <w:t xml:space="preserve">objavio rezultate </w:t>
      </w:r>
      <w:r w:rsidR="00474B0A">
        <w:rPr>
          <w:rFonts w:asciiTheme="majorHAnsi" w:hAnsiTheme="majorHAnsi" w:cstheme="majorHAnsi"/>
          <w:lang w:val="sr-Latn-RS"/>
        </w:rPr>
        <w:t>za prvu polovinu</w:t>
      </w:r>
      <w:r w:rsidR="007E7A47">
        <w:rPr>
          <w:rFonts w:asciiTheme="majorHAnsi" w:hAnsiTheme="majorHAnsi" w:cstheme="majorHAnsi"/>
          <w:lang w:val="sr-Latn-RS"/>
        </w:rPr>
        <w:t xml:space="preserve"> 2020. godine</w:t>
      </w:r>
    </w:p>
    <w:p w14:paraId="76AD0789" w14:textId="1D6A0298" w:rsidR="007F0F63" w:rsidRPr="007E7A47" w:rsidRDefault="00C66218" w:rsidP="007E7A47">
      <w:pPr>
        <w:jc w:val="left"/>
        <w:rPr>
          <w:rStyle w:val="Headline"/>
          <w:rFonts w:asciiTheme="majorHAnsi" w:hAnsiTheme="majorHAnsi" w:cstheme="majorHAnsi"/>
          <w:lang w:val="sr-Latn-RS"/>
        </w:rPr>
      </w:pPr>
      <w:r w:rsidRPr="007E7A47">
        <w:rPr>
          <w:rStyle w:val="Headline"/>
          <w:rFonts w:asciiTheme="majorHAnsi" w:hAnsiTheme="majorHAnsi" w:cstheme="majorHAnsi"/>
          <w:lang w:val="sr-Latn-RS"/>
        </w:rPr>
        <w:t xml:space="preserve">Henkel </w:t>
      </w:r>
      <w:r w:rsidR="007E7A47">
        <w:rPr>
          <w:rStyle w:val="Headline"/>
          <w:rFonts w:asciiTheme="majorHAnsi" w:hAnsiTheme="majorHAnsi" w:cstheme="majorHAnsi"/>
          <w:lang w:val="sr-Latn-RS"/>
        </w:rPr>
        <w:t xml:space="preserve">ostvario </w:t>
      </w:r>
      <w:r w:rsidR="00240662">
        <w:rPr>
          <w:rStyle w:val="Headline"/>
          <w:rFonts w:asciiTheme="majorHAnsi" w:hAnsiTheme="majorHAnsi" w:cstheme="majorHAnsi"/>
          <w:lang w:val="sr-Latn-RS"/>
        </w:rPr>
        <w:t>snažan</w:t>
      </w:r>
      <w:r w:rsidR="007E7A47">
        <w:rPr>
          <w:rStyle w:val="Headline"/>
          <w:rFonts w:asciiTheme="majorHAnsi" w:hAnsiTheme="majorHAnsi" w:cstheme="majorHAnsi"/>
          <w:lang w:val="sr-Latn-RS"/>
        </w:rPr>
        <w:t xml:space="preserve"> </w:t>
      </w:r>
      <w:r w:rsidR="002C26DA">
        <w:rPr>
          <w:rStyle w:val="Headline"/>
          <w:rFonts w:asciiTheme="majorHAnsi" w:hAnsiTheme="majorHAnsi" w:cstheme="majorHAnsi"/>
          <w:lang w:val="sr-Latn-RS"/>
        </w:rPr>
        <w:t xml:space="preserve">sveukupni </w:t>
      </w:r>
      <w:r w:rsidR="007E7A47">
        <w:rPr>
          <w:rStyle w:val="Headline"/>
          <w:rFonts w:asciiTheme="majorHAnsi" w:hAnsiTheme="majorHAnsi" w:cstheme="majorHAnsi"/>
          <w:lang w:val="sr-Latn-RS"/>
        </w:rPr>
        <w:t>poslovn</w:t>
      </w:r>
      <w:r w:rsidR="002C26DA">
        <w:rPr>
          <w:rStyle w:val="Headline"/>
          <w:rFonts w:asciiTheme="majorHAnsi" w:hAnsiTheme="majorHAnsi" w:cstheme="majorHAnsi"/>
          <w:lang w:val="sr-Latn-RS"/>
        </w:rPr>
        <w:t>i</w:t>
      </w:r>
      <w:r w:rsidR="007E7A47">
        <w:rPr>
          <w:rStyle w:val="Headline"/>
          <w:rFonts w:asciiTheme="majorHAnsi" w:hAnsiTheme="majorHAnsi" w:cstheme="majorHAnsi"/>
          <w:lang w:val="sr-Latn-RS"/>
        </w:rPr>
        <w:t xml:space="preserve"> rezultat uprkos značajnim uticajima pandemije COVID-19</w:t>
      </w:r>
    </w:p>
    <w:p w14:paraId="6706FA18" w14:textId="77777777" w:rsidR="00852511" w:rsidRPr="007E7A47" w:rsidRDefault="00852511" w:rsidP="00365E44">
      <w:pPr>
        <w:rPr>
          <w:lang w:val="sr-Latn-RS"/>
        </w:rPr>
      </w:pPr>
    </w:p>
    <w:p w14:paraId="63D72995" w14:textId="42D8EE95" w:rsidR="00635616" w:rsidRPr="007E7A47" w:rsidRDefault="00635616" w:rsidP="007E7A47">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bookmarkStart w:id="0" w:name="_Hlk43712519"/>
      <w:r w:rsidRPr="007E7A47">
        <w:rPr>
          <w:rFonts w:asciiTheme="majorHAnsi" w:hAnsiTheme="majorHAnsi" w:cstheme="majorHAnsi"/>
          <w:b/>
          <w:szCs w:val="22"/>
          <w:lang w:val="sr-Latn-RS"/>
        </w:rPr>
        <w:t>Fo</w:t>
      </w:r>
      <w:r w:rsidR="007E7A47">
        <w:rPr>
          <w:rFonts w:asciiTheme="majorHAnsi" w:hAnsiTheme="majorHAnsi" w:cstheme="majorHAnsi"/>
          <w:b/>
          <w:szCs w:val="22"/>
          <w:lang w:val="sr-Latn-RS"/>
        </w:rPr>
        <w:t>k</w:t>
      </w:r>
      <w:r w:rsidRPr="007E7A47">
        <w:rPr>
          <w:rFonts w:asciiTheme="majorHAnsi" w:hAnsiTheme="majorHAnsi" w:cstheme="majorHAnsi"/>
          <w:b/>
          <w:szCs w:val="22"/>
          <w:lang w:val="sr-Latn-RS"/>
        </w:rPr>
        <w:t>us</w:t>
      </w:r>
      <w:r w:rsidR="007E7A47">
        <w:rPr>
          <w:rFonts w:asciiTheme="majorHAnsi" w:hAnsiTheme="majorHAnsi" w:cstheme="majorHAnsi"/>
          <w:b/>
          <w:szCs w:val="22"/>
          <w:lang w:val="sr-Latn-RS"/>
        </w:rPr>
        <w:t xml:space="preserve"> na bezbednosti </w:t>
      </w:r>
      <w:r w:rsidR="00240662">
        <w:rPr>
          <w:rFonts w:asciiTheme="majorHAnsi" w:hAnsiTheme="majorHAnsi" w:cstheme="majorHAnsi"/>
          <w:b/>
          <w:szCs w:val="22"/>
          <w:lang w:val="sr-Latn-RS"/>
        </w:rPr>
        <w:t>zaposlenih</w:t>
      </w:r>
      <w:r w:rsidR="007E7A47">
        <w:rPr>
          <w:rFonts w:asciiTheme="majorHAnsi" w:hAnsiTheme="majorHAnsi" w:cstheme="majorHAnsi"/>
          <w:b/>
          <w:szCs w:val="22"/>
          <w:lang w:val="sr-Latn-RS"/>
        </w:rPr>
        <w:t>, snabdevanju k</w:t>
      </w:r>
      <w:r w:rsidR="00240662">
        <w:rPr>
          <w:rFonts w:asciiTheme="majorHAnsi" w:hAnsiTheme="majorHAnsi" w:cstheme="majorHAnsi"/>
          <w:b/>
          <w:szCs w:val="22"/>
          <w:lang w:val="sr-Latn-RS"/>
        </w:rPr>
        <w:t xml:space="preserve">upaca </w:t>
      </w:r>
      <w:r w:rsidR="007E7A47">
        <w:rPr>
          <w:rFonts w:asciiTheme="majorHAnsi" w:hAnsiTheme="majorHAnsi" w:cstheme="majorHAnsi"/>
          <w:b/>
          <w:szCs w:val="22"/>
          <w:lang w:val="sr-Latn-RS"/>
        </w:rPr>
        <w:t>i podržavanju zajednica</w:t>
      </w:r>
    </w:p>
    <w:p w14:paraId="095A5688" w14:textId="02A830DE" w:rsidR="007E7A47" w:rsidRDefault="007E7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 xml:space="preserve">Polugodišnja prodaja </w:t>
      </w:r>
      <w:r w:rsidR="00240662">
        <w:rPr>
          <w:rFonts w:asciiTheme="majorHAnsi" w:hAnsiTheme="majorHAnsi" w:cstheme="majorHAnsi"/>
          <w:b/>
          <w:szCs w:val="22"/>
          <w:lang w:val="sr-Latn-RS"/>
        </w:rPr>
        <w:t>G</w:t>
      </w:r>
      <w:r>
        <w:rPr>
          <w:rFonts w:asciiTheme="majorHAnsi" w:hAnsiTheme="majorHAnsi" w:cstheme="majorHAnsi"/>
          <w:b/>
          <w:szCs w:val="22"/>
          <w:lang w:val="sr-Latn-RS"/>
        </w:rPr>
        <w:t>rupe je dostigla 9.485 mil</w:t>
      </w:r>
      <w:r w:rsidR="00240662">
        <w:rPr>
          <w:rFonts w:asciiTheme="majorHAnsi" w:hAnsiTheme="majorHAnsi" w:cstheme="majorHAnsi"/>
          <w:b/>
          <w:szCs w:val="22"/>
          <w:lang w:val="sr-Latn-RS"/>
        </w:rPr>
        <w:t>ijardi</w:t>
      </w:r>
      <w:r>
        <w:rPr>
          <w:rFonts w:asciiTheme="majorHAnsi" w:hAnsiTheme="majorHAnsi" w:cstheme="majorHAnsi"/>
          <w:b/>
          <w:szCs w:val="22"/>
          <w:lang w:val="sr-Latn-RS"/>
        </w:rPr>
        <w:t xml:space="preserve"> </w:t>
      </w:r>
      <w:r w:rsidR="00240662">
        <w:rPr>
          <w:rFonts w:asciiTheme="majorHAnsi" w:hAnsiTheme="majorHAnsi" w:cstheme="majorHAnsi"/>
          <w:b/>
          <w:szCs w:val="22"/>
          <w:lang w:val="sr-Latn-RS"/>
        </w:rPr>
        <w:t>evra</w:t>
      </w:r>
      <w:r>
        <w:rPr>
          <w:rFonts w:asciiTheme="majorHAnsi" w:hAnsiTheme="majorHAnsi" w:cstheme="majorHAnsi"/>
          <w:b/>
          <w:szCs w:val="22"/>
          <w:lang w:val="sr-Latn-RS"/>
        </w:rPr>
        <w:t>, nominalno: -6,0</w:t>
      </w:r>
      <w:r w:rsidR="00240662">
        <w:rPr>
          <w:rFonts w:asciiTheme="majorHAnsi" w:hAnsiTheme="majorHAnsi" w:cstheme="majorHAnsi"/>
          <w:b/>
          <w:szCs w:val="22"/>
          <w:lang w:val="sr-Latn-RS"/>
        </w:rPr>
        <w:t xml:space="preserve"> odsto</w:t>
      </w:r>
      <w:r>
        <w:rPr>
          <w:rFonts w:asciiTheme="majorHAnsi" w:hAnsiTheme="majorHAnsi" w:cstheme="majorHAnsi"/>
          <w:b/>
          <w:szCs w:val="22"/>
          <w:lang w:val="sr-Latn-RS"/>
        </w:rPr>
        <w:t>, organski :-5,</w:t>
      </w:r>
      <w:r w:rsidR="00240662">
        <w:rPr>
          <w:rFonts w:asciiTheme="majorHAnsi" w:hAnsiTheme="majorHAnsi" w:cstheme="majorHAnsi"/>
          <w:b/>
          <w:szCs w:val="22"/>
          <w:lang w:val="sr-Latn-RS"/>
        </w:rPr>
        <w:t>2 odsto</w:t>
      </w:r>
    </w:p>
    <w:bookmarkEnd w:id="0"/>
    <w:p w14:paraId="513632D6" w14:textId="4FF0FCCB" w:rsidR="007E7A47" w:rsidRDefault="007E7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Operativna dobit</w:t>
      </w:r>
      <w:r w:rsidRPr="007E7A47">
        <w:rPr>
          <w:rFonts w:asciiTheme="majorHAnsi" w:hAnsiTheme="majorHAnsi" w:cstheme="majorHAnsi"/>
          <w:b/>
          <w:szCs w:val="22"/>
          <w:vertAlign w:val="superscript"/>
          <w:lang w:val="sr-Latn-RS"/>
        </w:rPr>
        <w:t>*</w:t>
      </w:r>
      <w:r>
        <w:rPr>
          <w:rFonts w:asciiTheme="majorHAnsi" w:hAnsiTheme="majorHAnsi" w:cstheme="majorHAnsi"/>
          <w:b/>
          <w:szCs w:val="22"/>
          <w:lang w:val="sr-Latn-RS"/>
        </w:rPr>
        <w:t xml:space="preserve"> iznosi 1.191 mi</w:t>
      </w:r>
      <w:r w:rsidR="00240662">
        <w:rPr>
          <w:rFonts w:asciiTheme="majorHAnsi" w:hAnsiTheme="majorHAnsi" w:cstheme="majorHAnsi"/>
          <w:b/>
          <w:szCs w:val="22"/>
          <w:lang w:val="sr-Latn-RS"/>
        </w:rPr>
        <w:t>lijardu</w:t>
      </w:r>
      <w:r>
        <w:rPr>
          <w:rFonts w:asciiTheme="majorHAnsi" w:hAnsiTheme="majorHAnsi" w:cstheme="majorHAnsi"/>
          <w:b/>
          <w:szCs w:val="22"/>
          <w:lang w:val="sr-Latn-RS"/>
        </w:rPr>
        <w:t xml:space="preserve"> </w:t>
      </w:r>
      <w:r w:rsidR="00240662">
        <w:rPr>
          <w:rFonts w:asciiTheme="majorHAnsi" w:hAnsiTheme="majorHAnsi" w:cstheme="majorHAnsi"/>
          <w:b/>
          <w:szCs w:val="22"/>
          <w:lang w:val="sr-Latn-RS"/>
        </w:rPr>
        <w:t>evra</w:t>
      </w:r>
      <w:r>
        <w:rPr>
          <w:rFonts w:asciiTheme="majorHAnsi" w:hAnsiTheme="majorHAnsi" w:cstheme="majorHAnsi"/>
          <w:b/>
          <w:szCs w:val="22"/>
          <w:lang w:val="sr-Latn-RS"/>
        </w:rPr>
        <w:t>, -27,5</w:t>
      </w:r>
      <w:r w:rsidR="00240662">
        <w:rPr>
          <w:rFonts w:asciiTheme="majorHAnsi" w:hAnsiTheme="majorHAnsi" w:cstheme="majorHAnsi"/>
          <w:b/>
          <w:szCs w:val="22"/>
          <w:lang w:val="sr-Latn-RS"/>
        </w:rPr>
        <w:t xml:space="preserve"> odsto</w:t>
      </w:r>
    </w:p>
    <w:p w14:paraId="2F15CBE5" w14:textId="71BB84B3" w:rsidR="00635616" w:rsidRPr="007E7A47" w:rsidRDefault="00635616"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sidRPr="007E7A47">
        <w:rPr>
          <w:rFonts w:asciiTheme="majorHAnsi" w:hAnsiTheme="majorHAnsi" w:cstheme="majorHAnsi"/>
          <w:b/>
          <w:szCs w:val="22"/>
          <w:lang w:val="sr-Latn-RS"/>
        </w:rPr>
        <w:t>EBIT mar</w:t>
      </w:r>
      <w:r w:rsidR="007E7A47">
        <w:rPr>
          <w:rFonts w:asciiTheme="majorHAnsi" w:hAnsiTheme="majorHAnsi" w:cstheme="majorHAnsi"/>
          <w:b/>
          <w:szCs w:val="22"/>
          <w:lang w:val="sr-Latn-RS"/>
        </w:rPr>
        <w:t>ža</w:t>
      </w:r>
      <w:r w:rsidRPr="007E7A47">
        <w:rPr>
          <w:rFonts w:asciiTheme="majorHAnsi" w:hAnsiTheme="majorHAnsi" w:cstheme="majorHAnsi"/>
          <w:b/>
          <w:szCs w:val="22"/>
          <w:vertAlign w:val="superscript"/>
          <w:lang w:val="sr-Latn-RS"/>
        </w:rPr>
        <w:t>*</w:t>
      </w:r>
      <w:r w:rsidRPr="007E7A47">
        <w:rPr>
          <w:rFonts w:asciiTheme="majorHAnsi" w:hAnsiTheme="majorHAnsi" w:cstheme="majorHAnsi"/>
          <w:b/>
          <w:szCs w:val="22"/>
          <w:lang w:val="sr-Latn-RS"/>
        </w:rPr>
        <w:t xml:space="preserve"> </w:t>
      </w:r>
      <w:r w:rsidR="007E7A47">
        <w:rPr>
          <w:rFonts w:asciiTheme="majorHAnsi" w:hAnsiTheme="majorHAnsi" w:cstheme="majorHAnsi"/>
          <w:b/>
          <w:szCs w:val="22"/>
          <w:lang w:val="sr-Latn-RS"/>
        </w:rPr>
        <w:t>iznosi</w:t>
      </w:r>
      <w:r w:rsidRPr="007E7A47">
        <w:rPr>
          <w:rFonts w:asciiTheme="majorHAnsi" w:hAnsiTheme="majorHAnsi" w:cstheme="majorHAnsi"/>
          <w:b/>
          <w:szCs w:val="22"/>
          <w:lang w:val="sr-Latn-RS"/>
        </w:rPr>
        <w:t xml:space="preserve"> </w:t>
      </w:r>
      <w:r w:rsidR="00F9586C" w:rsidRPr="007E7A47">
        <w:rPr>
          <w:rFonts w:asciiTheme="majorHAnsi" w:hAnsiTheme="majorHAnsi" w:cstheme="majorHAnsi"/>
          <w:b/>
          <w:szCs w:val="22"/>
          <w:lang w:val="sr-Latn-RS"/>
        </w:rPr>
        <w:t>12</w:t>
      </w:r>
      <w:r w:rsidR="007E7A47">
        <w:rPr>
          <w:rFonts w:asciiTheme="majorHAnsi" w:hAnsiTheme="majorHAnsi" w:cstheme="majorHAnsi"/>
          <w:b/>
          <w:szCs w:val="22"/>
          <w:lang w:val="sr-Latn-RS"/>
        </w:rPr>
        <w:t>,</w:t>
      </w:r>
      <w:r w:rsidR="00B35967" w:rsidRPr="007E7A47">
        <w:rPr>
          <w:rFonts w:asciiTheme="majorHAnsi" w:hAnsiTheme="majorHAnsi" w:cstheme="majorHAnsi"/>
          <w:b/>
          <w:szCs w:val="22"/>
          <w:lang w:val="sr-Latn-RS"/>
        </w:rPr>
        <w:t>6</w:t>
      </w:r>
      <w:r w:rsidR="00240662">
        <w:rPr>
          <w:rFonts w:asciiTheme="majorHAnsi" w:hAnsiTheme="majorHAnsi" w:cstheme="majorHAnsi"/>
          <w:b/>
          <w:szCs w:val="22"/>
          <w:lang w:val="sr-Latn-RS"/>
        </w:rPr>
        <w:t xml:space="preserve"> odsto</w:t>
      </w:r>
      <w:r w:rsidRPr="007E7A47">
        <w:rPr>
          <w:rFonts w:asciiTheme="majorHAnsi" w:hAnsiTheme="majorHAnsi" w:cstheme="majorHAnsi"/>
          <w:b/>
          <w:szCs w:val="22"/>
          <w:lang w:val="sr-Latn-RS"/>
        </w:rPr>
        <w:t>, -</w:t>
      </w:r>
      <w:r w:rsidR="00F9586C" w:rsidRPr="007E7A47">
        <w:rPr>
          <w:rFonts w:asciiTheme="majorHAnsi" w:hAnsiTheme="majorHAnsi" w:cstheme="majorHAnsi"/>
          <w:b/>
          <w:szCs w:val="22"/>
          <w:lang w:val="sr-Latn-RS"/>
        </w:rPr>
        <w:t>3</w:t>
      </w:r>
      <w:r w:rsidR="00B35967" w:rsidRPr="007E7A47">
        <w:rPr>
          <w:rFonts w:asciiTheme="majorHAnsi" w:hAnsiTheme="majorHAnsi" w:cstheme="majorHAnsi"/>
          <w:b/>
          <w:szCs w:val="22"/>
          <w:lang w:val="sr-Latn-RS"/>
        </w:rPr>
        <w:t>7</w:t>
      </w:r>
      <w:r w:rsidR="00F9586C" w:rsidRPr="007E7A47">
        <w:rPr>
          <w:rFonts w:asciiTheme="majorHAnsi" w:hAnsiTheme="majorHAnsi" w:cstheme="majorHAnsi"/>
          <w:b/>
          <w:szCs w:val="22"/>
          <w:lang w:val="sr-Latn-RS"/>
        </w:rPr>
        <w:t>0</w:t>
      </w:r>
      <w:r w:rsidRPr="007E7A47">
        <w:rPr>
          <w:rFonts w:asciiTheme="majorHAnsi" w:hAnsiTheme="majorHAnsi" w:cstheme="majorHAnsi"/>
          <w:b/>
          <w:szCs w:val="22"/>
          <w:lang w:val="sr-Latn-RS"/>
        </w:rPr>
        <w:t xml:space="preserve"> ba</w:t>
      </w:r>
      <w:r w:rsidR="007E7A47">
        <w:rPr>
          <w:rFonts w:asciiTheme="majorHAnsi" w:hAnsiTheme="majorHAnsi" w:cstheme="majorHAnsi"/>
          <w:b/>
          <w:szCs w:val="22"/>
          <w:lang w:val="sr-Latn-RS"/>
        </w:rPr>
        <w:t>znih poena</w:t>
      </w:r>
    </w:p>
    <w:p w14:paraId="723BE023" w14:textId="6CF05975" w:rsidR="00635616" w:rsidRPr="007E7A47" w:rsidRDefault="00FF0C52" w:rsidP="007E7A47">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Prinos</w:t>
      </w:r>
      <w:r w:rsidR="007E7A47">
        <w:rPr>
          <w:rFonts w:asciiTheme="majorHAnsi" w:hAnsiTheme="majorHAnsi" w:cstheme="majorHAnsi"/>
          <w:b/>
          <w:szCs w:val="22"/>
          <w:lang w:val="sr-Latn-RS"/>
        </w:rPr>
        <w:t xml:space="preserve"> po prioritetnoj akciji (EPS)</w:t>
      </w:r>
      <w:r w:rsidR="007E7A47" w:rsidRPr="007E7A47">
        <w:rPr>
          <w:rFonts w:asciiTheme="majorHAnsi" w:hAnsiTheme="majorHAnsi" w:cstheme="majorHAnsi"/>
          <w:b/>
          <w:szCs w:val="22"/>
          <w:vertAlign w:val="superscript"/>
          <w:lang w:val="sr-Latn-RS"/>
        </w:rPr>
        <w:t>*</w:t>
      </w:r>
      <w:r w:rsidR="007E7A47">
        <w:rPr>
          <w:rFonts w:asciiTheme="majorHAnsi" w:hAnsiTheme="majorHAnsi" w:cstheme="majorHAnsi"/>
          <w:b/>
          <w:szCs w:val="22"/>
          <w:lang w:val="sr-Latn-RS"/>
        </w:rPr>
        <w:t>: -29,2% na 1,96 EUR</w:t>
      </w:r>
      <w:r w:rsidR="00635616" w:rsidRPr="007E7A47">
        <w:rPr>
          <w:rFonts w:asciiTheme="majorHAnsi" w:hAnsiTheme="majorHAnsi" w:cstheme="majorHAnsi"/>
          <w:b/>
          <w:szCs w:val="22"/>
          <w:lang w:val="sr-Latn-RS"/>
        </w:rPr>
        <w:t xml:space="preserve">, </w:t>
      </w:r>
      <w:r w:rsidR="00635616" w:rsidRPr="007E7A47">
        <w:rPr>
          <w:rFonts w:asciiTheme="majorHAnsi" w:hAnsiTheme="majorHAnsi" w:cstheme="majorHAnsi"/>
          <w:b/>
          <w:szCs w:val="22"/>
          <w:lang w:val="sr-Latn-RS"/>
        </w:rPr>
        <w:br/>
        <w:t>-</w:t>
      </w:r>
      <w:r w:rsidR="00F9586C" w:rsidRPr="007E7A47">
        <w:rPr>
          <w:rFonts w:asciiTheme="majorHAnsi" w:hAnsiTheme="majorHAnsi" w:cstheme="majorHAnsi"/>
          <w:b/>
          <w:szCs w:val="22"/>
          <w:lang w:val="sr-Latn-RS"/>
        </w:rPr>
        <w:t>28</w:t>
      </w:r>
      <w:r w:rsidR="007E7A47">
        <w:rPr>
          <w:rFonts w:asciiTheme="majorHAnsi" w:hAnsiTheme="majorHAnsi" w:cstheme="majorHAnsi"/>
          <w:b/>
          <w:szCs w:val="22"/>
          <w:lang w:val="sr-Latn-RS"/>
        </w:rPr>
        <w:t>,</w:t>
      </w:r>
      <w:r w:rsidR="005E3FBB" w:rsidRPr="007E7A47">
        <w:rPr>
          <w:rFonts w:asciiTheme="majorHAnsi" w:hAnsiTheme="majorHAnsi" w:cstheme="majorHAnsi"/>
          <w:b/>
          <w:szCs w:val="22"/>
          <w:lang w:val="sr-Latn-RS"/>
        </w:rPr>
        <w:t>2</w:t>
      </w:r>
      <w:r w:rsidR="00635616" w:rsidRPr="007E7A47">
        <w:rPr>
          <w:rFonts w:asciiTheme="majorHAnsi" w:hAnsiTheme="majorHAnsi" w:cstheme="majorHAnsi"/>
          <w:b/>
          <w:szCs w:val="22"/>
          <w:lang w:val="sr-Latn-RS"/>
        </w:rPr>
        <w:t xml:space="preserve">% </w:t>
      </w:r>
      <w:r w:rsidR="007E7A47">
        <w:rPr>
          <w:rFonts w:asciiTheme="majorHAnsi" w:hAnsiTheme="majorHAnsi" w:cstheme="majorHAnsi"/>
          <w:b/>
          <w:szCs w:val="22"/>
          <w:lang w:val="sr-Latn-RS"/>
        </w:rPr>
        <w:t>pri stalnim kursevima</w:t>
      </w:r>
      <w:r w:rsidR="00635616" w:rsidRPr="007E7A47">
        <w:rPr>
          <w:rFonts w:asciiTheme="majorHAnsi" w:hAnsiTheme="majorHAnsi" w:cstheme="majorHAnsi"/>
          <w:b/>
          <w:szCs w:val="22"/>
          <w:lang w:val="sr-Latn-RS"/>
        </w:rPr>
        <w:t xml:space="preserve"> </w:t>
      </w:r>
    </w:p>
    <w:p w14:paraId="7E1297A5" w14:textId="71814328" w:rsidR="00635616" w:rsidRPr="007E7A47" w:rsidRDefault="007E7A47" w:rsidP="007E7A47">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Slobodni novčani tok iznosi 938 miliona EUR, poboljšana neto finansijska pozicija</w:t>
      </w:r>
    </w:p>
    <w:p w14:paraId="2A509BBD" w14:textId="0373AE83" w:rsidR="00635616" w:rsidRPr="007E7A47" w:rsidRDefault="007E7A47" w:rsidP="002C26DA">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 xml:space="preserve">Bez </w:t>
      </w:r>
      <w:r w:rsidR="002C26DA">
        <w:rPr>
          <w:rFonts w:asciiTheme="majorHAnsi" w:hAnsiTheme="majorHAnsi" w:cstheme="majorHAnsi"/>
          <w:b/>
          <w:szCs w:val="22"/>
          <w:lang w:val="sr-Latn-RS"/>
        </w:rPr>
        <w:t xml:space="preserve">novog godišnjeg </w:t>
      </w:r>
      <w:r w:rsidR="004E6238">
        <w:rPr>
          <w:rFonts w:asciiTheme="majorHAnsi" w:hAnsiTheme="majorHAnsi" w:cstheme="majorHAnsi"/>
          <w:b/>
          <w:szCs w:val="22"/>
          <w:lang w:val="sr-Latn-RS"/>
        </w:rPr>
        <w:t>predviđanja</w:t>
      </w:r>
      <w:r w:rsidR="002C26DA">
        <w:rPr>
          <w:rFonts w:asciiTheme="majorHAnsi" w:hAnsiTheme="majorHAnsi" w:cstheme="majorHAnsi"/>
          <w:b/>
          <w:szCs w:val="22"/>
          <w:lang w:val="sr-Latn-RS"/>
        </w:rPr>
        <w:t xml:space="preserve"> za 2020. zbog aktuelnih nesigurnosti na tržištu</w:t>
      </w:r>
    </w:p>
    <w:p w14:paraId="281BDC66" w14:textId="4468CDE6" w:rsidR="002C26DA" w:rsidRDefault="002C26DA"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Realizacija nove agende za s</w:t>
      </w:r>
      <w:r w:rsidR="00FF0C52">
        <w:rPr>
          <w:rFonts w:asciiTheme="majorHAnsi" w:hAnsiTheme="majorHAnsi" w:cstheme="majorHAnsi"/>
          <w:b/>
          <w:szCs w:val="22"/>
          <w:lang w:val="sr-Latn-RS"/>
        </w:rPr>
        <w:t xml:space="preserve">vrsishodni rast </w:t>
      </w:r>
      <w:r>
        <w:rPr>
          <w:rFonts w:asciiTheme="majorHAnsi" w:hAnsiTheme="majorHAnsi" w:cstheme="majorHAnsi"/>
          <w:b/>
          <w:szCs w:val="22"/>
          <w:lang w:val="sr-Latn-RS"/>
        </w:rPr>
        <w:t>u skladu sa ciljevima</w:t>
      </w:r>
    </w:p>
    <w:p w14:paraId="2BD6A07A" w14:textId="11302DFF" w:rsidR="00635616" w:rsidRPr="007E7A47" w:rsidRDefault="00635616" w:rsidP="00643D8A">
      <w:pPr>
        <w:rPr>
          <w:rFonts w:cs="Segoe UI"/>
          <w:szCs w:val="22"/>
          <w:lang w:val="sr-Latn-RS"/>
        </w:rPr>
      </w:pPr>
    </w:p>
    <w:p w14:paraId="3E1E9A72" w14:textId="15A324AC" w:rsidR="002C26DA" w:rsidRDefault="0046266D" w:rsidP="00643D8A">
      <w:pPr>
        <w:rPr>
          <w:rFonts w:cs="Segoe UI"/>
          <w:b/>
          <w:bCs/>
          <w:szCs w:val="22"/>
          <w:lang w:val="sr-Latn-RS"/>
        </w:rPr>
      </w:pPr>
      <w:r w:rsidRPr="007E7A47">
        <w:rPr>
          <w:rFonts w:asciiTheme="majorHAnsi" w:hAnsiTheme="majorHAnsi" w:cstheme="majorHAnsi"/>
          <w:b/>
          <w:bCs/>
          <w:noProof/>
          <w:sz w:val="24"/>
          <w:lang w:val="en-GB" w:eastAsia="en-GB"/>
        </w:rPr>
        <mc:AlternateContent>
          <mc:Choice Requires="wps">
            <w:drawing>
              <wp:anchor distT="45720" distB="45720" distL="114300" distR="114300" simplePos="0" relativeHeight="251659264" behindDoc="0" locked="0" layoutInCell="1" allowOverlap="1" wp14:anchorId="1E23DD7D" wp14:editId="0B125B64">
                <wp:simplePos x="0" y="0"/>
                <wp:positionH relativeFrom="margin">
                  <wp:posOffset>-19050</wp:posOffset>
                </wp:positionH>
                <wp:positionV relativeFrom="paragraph">
                  <wp:posOffset>3239579</wp:posOffset>
                </wp:positionV>
                <wp:extent cx="4683760" cy="273133"/>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0EF54" w14:textId="306CAB98"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proofErr w:type="spellStart"/>
                            <w:r w:rsidR="00816FCE">
                              <w:rPr>
                                <w:sz w:val="16"/>
                                <w:szCs w:val="16"/>
                              </w:rPr>
                              <w:t>Korigovano</w:t>
                            </w:r>
                            <w:proofErr w:type="spellEnd"/>
                            <w:r w:rsidR="00816FCE">
                              <w:rPr>
                                <w:sz w:val="16"/>
                                <w:szCs w:val="16"/>
                              </w:rPr>
                              <w:t xml:space="preserve"> za </w:t>
                            </w:r>
                            <w:proofErr w:type="spellStart"/>
                            <w:r w:rsidR="00816FCE">
                              <w:rPr>
                                <w:sz w:val="16"/>
                                <w:szCs w:val="16"/>
                              </w:rPr>
                              <w:t>jednokratne</w:t>
                            </w:r>
                            <w:proofErr w:type="spellEnd"/>
                            <w:r w:rsidR="00816FCE">
                              <w:rPr>
                                <w:sz w:val="16"/>
                                <w:szCs w:val="16"/>
                              </w:rPr>
                              <w:t xml:space="preserve"> </w:t>
                            </w:r>
                            <w:proofErr w:type="spellStart"/>
                            <w:r w:rsidR="00816FCE">
                              <w:rPr>
                                <w:sz w:val="16"/>
                                <w:szCs w:val="16"/>
                              </w:rPr>
                              <w:t>troškove</w:t>
                            </w:r>
                            <w:proofErr w:type="spellEnd"/>
                            <w:r w:rsidR="00816FCE">
                              <w:rPr>
                                <w:sz w:val="16"/>
                                <w:szCs w:val="16"/>
                              </w:rPr>
                              <w:t xml:space="preserve"> i </w:t>
                            </w:r>
                            <w:proofErr w:type="spellStart"/>
                            <w:r w:rsidR="00816FCE">
                              <w:rPr>
                                <w:sz w:val="16"/>
                                <w:szCs w:val="16"/>
                              </w:rPr>
                              <w:t>prihod</w:t>
                            </w:r>
                            <w:proofErr w:type="spellEnd"/>
                            <w:r w:rsidR="00816FCE">
                              <w:rPr>
                                <w:sz w:val="16"/>
                                <w:szCs w:val="16"/>
                              </w:rPr>
                              <w:t xml:space="preserve"> i </w:t>
                            </w:r>
                            <w:proofErr w:type="spellStart"/>
                            <w:r w:rsidR="00816FCE">
                              <w:rPr>
                                <w:sz w:val="16"/>
                                <w:szCs w:val="16"/>
                              </w:rPr>
                              <w:t>troškove</w:t>
                            </w:r>
                            <w:proofErr w:type="spellEnd"/>
                            <w:r w:rsidR="00816FCE">
                              <w:rPr>
                                <w:sz w:val="16"/>
                                <w:szCs w:val="16"/>
                              </w:rPr>
                              <w:t xml:space="preserve"> </w:t>
                            </w:r>
                            <w:proofErr w:type="spellStart"/>
                            <w:r w:rsidR="00816FCE">
                              <w:rPr>
                                <w:sz w:val="16"/>
                                <w:szCs w:val="16"/>
                              </w:rPr>
                              <w:t>restrukturiranja</w:t>
                            </w:r>
                            <w:proofErr w:type="spellEnd"/>
                            <w:r>
                              <w:rPr>
                                <w:sz w:val="16"/>
                                <w:szCs w:val="16"/>
                              </w:rPr>
                              <w:t>.</w:t>
                            </w:r>
                          </w:p>
                          <w:p w14:paraId="257A5710" w14:textId="77777777" w:rsidR="00BE47D4" w:rsidRPr="00ED5A2D" w:rsidRDefault="00BE47D4" w:rsidP="00BE47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left:0;text-align:left;margin-left:-1.5pt;margin-top:255.1pt;width:368.8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" stroked="f">
                <v:textbox>
                  <w:txbxContent>
                    <w:p w14:paraId="77D0EF54" w14:textId="306CAB98"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proofErr w:type="spellStart"/>
                      <w:r w:rsidR="00816FCE">
                        <w:rPr>
                          <w:sz w:val="16"/>
                          <w:szCs w:val="16"/>
                        </w:rPr>
                        <w:t>Korigovano</w:t>
                      </w:r>
                      <w:proofErr w:type="spellEnd"/>
                      <w:r w:rsidR="00816FCE">
                        <w:rPr>
                          <w:sz w:val="16"/>
                          <w:szCs w:val="16"/>
                        </w:rPr>
                        <w:t xml:space="preserve"> za </w:t>
                      </w:r>
                      <w:proofErr w:type="spellStart"/>
                      <w:r w:rsidR="00816FCE">
                        <w:rPr>
                          <w:sz w:val="16"/>
                          <w:szCs w:val="16"/>
                        </w:rPr>
                        <w:t>jednokratne</w:t>
                      </w:r>
                      <w:proofErr w:type="spellEnd"/>
                      <w:r w:rsidR="00816FCE">
                        <w:rPr>
                          <w:sz w:val="16"/>
                          <w:szCs w:val="16"/>
                        </w:rPr>
                        <w:t xml:space="preserve"> </w:t>
                      </w:r>
                      <w:proofErr w:type="spellStart"/>
                      <w:r w:rsidR="00816FCE">
                        <w:rPr>
                          <w:sz w:val="16"/>
                          <w:szCs w:val="16"/>
                        </w:rPr>
                        <w:t>troškove</w:t>
                      </w:r>
                      <w:proofErr w:type="spellEnd"/>
                      <w:r w:rsidR="00816FCE">
                        <w:rPr>
                          <w:sz w:val="16"/>
                          <w:szCs w:val="16"/>
                        </w:rPr>
                        <w:t xml:space="preserve"> i </w:t>
                      </w:r>
                      <w:proofErr w:type="spellStart"/>
                      <w:r w:rsidR="00816FCE">
                        <w:rPr>
                          <w:sz w:val="16"/>
                          <w:szCs w:val="16"/>
                        </w:rPr>
                        <w:t>prihod</w:t>
                      </w:r>
                      <w:proofErr w:type="spellEnd"/>
                      <w:r w:rsidR="00816FCE">
                        <w:rPr>
                          <w:sz w:val="16"/>
                          <w:szCs w:val="16"/>
                        </w:rPr>
                        <w:t xml:space="preserve"> i </w:t>
                      </w:r>
                      <w:proofErr w:type="spellStart"/>
                      <w:r w:rsidR="00816FCE">
                        <w:rPr>
                          <w:sz w:val="16"/>
                          <w:szCs w:val="16"/>
                        </w:rPr>
                        <w:t>troškove</w:t>
                      </w:r>
                      <w:proofErr w:type="spellEnd"/>
                      <w:r w:rsidR="00816FCE">
                        <w:rPr>
                          <w:sz w:val="16"/>
                          <w:szCs w:val="16"/>
                        </w:rPr>
                        <w:t xml:space="preserve"> </w:t>
                      </w:r>
                      <w:proofErr w:type="spellStart"/>
                      <w:r w:rsidR="00816FCE">
                        <w:rPr>
                          <w:sz w:val="16"/>
                          <w:szCs w:val="16"/>
                        </w:rPr>
                        <w:t>restrukturiranja</w:t>
                      </w:r>
                      <w:proofErr w:type="spellEnd"/>
                      <w:r>
                        <w:rPr>
                          <w:sz w:val="16"/>
                          <w:szCs w:val="16"/>
                        </w:rPr>
                        <w:t>.</w:t>
                      </w:r>
                    </w:p>
                    <w:p w14:paraId="257A5710" w14:textId="77777777" w:rsidR="00BE47D4" w:rsidRPr="00ED5A2D" w:rsidRDefault="00BE47D4" w:rsidP="00BE47D4"/>
                  </w:txbxContent>
                </v:textbox>
                <w10:wrap anchorx="margin"/>
              </v:shape>
            </w:pict>
          </mc:Fallback>
        </mc:AlternateContent>
      </w:r>
      <w:r w:rsidR="002C26DA">
        <w:rPr>
          <w:rFonts w:cs="Segoe UI"/>
          <w:b/>
          <w:bCs/>
          <w:szCs w:val="22"/>
          <w:lang w:val="sr-Latn-RS"/>
        </w:rPr>
        <w:t>Di</w:t>
      </w:r>
      <w:r w:rsidR="005568FA">
        <w:rPr>
          <w:rFonts w:cs="Segoe UI"/>
          <w:b/>
          <w:bCs/>
          <w:szCs w:val="22"/>
          <w:lang w:val="sr-Latn-RS"/>
        </w:rPr>
        <w:t>s</w:t>
      </w:r>
      <w:r w:rsidR="002C26DA">
        <w:rPr>
          <w:rFonts w:cs="Segoe UI"/>
          <w:b/>
          <w:bCs/>
          <w:szCs w:val="22"/>
          <w:lang w:val="sr-Latn-RS"/>
        </w:rPr>
        <w:t>eldorf</w:t>
      </w:r>
      <w:r w:rsidR="007F0F63" w:rsidRPr="007E7A47">
        <w:rPr>
          <w:rFonts w:cs="Segoe UI"/>
          <w:b/>
          <w:bCs/>
          <w:szCs w:val="22"/>
          <w:lang w:val="sr-Latn-RS"/>
        </w:rPr>
        <w:t xml:space="preserve"> –</w:t>
      </w:r>
      <w:r w:rsidR="007F0F63" w:rsidRPr="007E7A47">
        <w:rPr>
          <w:rFonts w:cs="Segoe UI"/>
          <w:szCs w:val="22"/>
          <w:lang w:val="sr-Latn-RS"/>
        </w:rPr>
        <w:t xml:space="preserve"> </w:t>
      </w:r>
      <w:r w:rsidR="002C26DA">
        <w:rPr>
          <w:rFonts w:cs="Segoe UI"/>
          <w:b/>
          <w:bCs/>
          <w:szCs w:val="22"/>
          <w:lang w:val="sr-Latn-RS"/>
        </w:rPr>
        <w:t xml:space="preserve">„Tokom prve polovine 2020. godine, Henkel je značajno pogođen snažnim globalnim ekonomskim zastojem i oštrim padom potražnje širom mnogih industrija. Tokom ove globalne krize bez presedana, naš fokus je da zaštitimo zaposlene, snabdevemo klijente, osiguramo kontinuitet poslovanja i podržimo zajednice. Zahvaljujući izuzetnom timskom duhu i posvećenosti naših ljudi širom sveta, </w:t>
      </w:r>
      <w:r w:rsidR="004271D4">
        <w:rPr>
          <w:rFonts w:cs="Segoe UI"/>
          <w:b/>
          <w:bCs/>
          <w:szCs w:val="22"/>
          <w:lang w:val="sr-Latn-RS"/>
        </w:rPr>
        <w:t>uspeli smo ovo da</w:t>
      </w:r>
      <w:r w:rsidR="007F015E">
        <w:rPr>
          <w:rFonts w:cs="Segoe UI"/>
          <w:b/>
          <w:bCs/>
          <w:szCs w:val="22"/>
          <w:lang w:val="sr-Latn-RS"/>
        </w:rPr>
        <w:t xml:space="preserve"> </w:t>
      </w:r>
      <w:r w:rsidR="004271D4">
        <w:rPr>
          <w:rFonts w:cs="Segoe UI"/>
          <w:b/>
          <w:bCs/>
          <w:szCs w:val="22"/>
          <w:lang w:val="sr-Latn-RS"/>
        </w:rPr>
        <w:t>postignemo</w:t>
      </w:r>
      <w:r w:rsidR="002C26DA">
        <w:rPr>
          <w:rFonts w:cs="Segoe UI"/>
          <w:b/>
          <w:bCs/>
          <w:szCs w:val="22"/>
          <w:lang w:val="sr-Latn-RS"/>
        </w:rPr>
        <w:t xml:space="preserve"> u prvoj polovini 2020. godine. Širina našeg portfolija u potrošačkom i industrijskom poslovanju nam je pomogla da izbalansiramo uticaj krize na sveukupnu prodaju i prihode: </w:t>
      </w:r>
      <w:r w:rsidR="004271D4">
        <w:rPr>
          <w:rFonts w:cs="Segoe UI"/>
          <w:b/>
          <w:bCs/>
          <w:szCs w:val="22"/>
          <w:lang w:val="sr-Latn-RS"/>
        </w:rPr>
        <w:t>t</w:t>
      </w:r>
      <w:r w:rsidR="002C26DA">
        <w:rPr>
          <w:rFonts w:cs="Segoe UI"/>
          <w:b/>
          <w:bCs/>
          <w:szCs w:val="22"/>
          <w:lang w:val="sr-Latn-RS"/>
        </w:rPr>
        <w:t xml:space="preserve">okom prvih </w:t>
      </w:r>
      <w:r w:rsidR="004271D4">
        <w:rPr>
          <w:rFonts w:cs="Segoe UI"/>
          <w:b/>
          <w:bCs/>
          <w:szCs w:val="22"/>
          <w:lang w:val="sr-Latn-RS"/>
        </w:rPr>
        <w:t>šest</w:t>
      </w:r>
      <w:r w:rsidR="002C26DA">
        <w:rPr>
          <w:rFonts w:cs="Segoe UI"/>
          <w:b/>
          <w:bCs/>
          <w:szCs w:val="22"/>
          <w:lang w:val="sr-Latn-RS"/>
        </w:rPr>
        <w:t xml:space="preserve"> meseci 2020. godine, ostvarili smo prodaju od oko 9,5 milijardi </w:t>
      </w:r>
      <w:r w:rsidR="004271D4">
        <w:rPr>
          <w:rFonts w:cs="Segoe UI"/>
          <w:b/>
          <w:bCs/>
          <w:szCs w:val="22"/>
          <w:lang w:val="sr-Latn-RS"/>
        </w:rPr>
        <w:t>evra</w:t>
      </w:r>
      <w:r w:rsidR="002C26DA">
        <w:rPr>
          <w:rFonts w:cs="Segoe UI"/>
          <w:b/>
          <w:bCs/>
          <w:szCs w:val="22"/>
          <w:lang w:val="sr-Latn-RS"/>
        </w:rPr>
        <w:t xml:space="preserve">, operativnu dobit od 1,2 milijarde </w:t>
      </w:r>
      <w:r w:rsidR="004271D4">
        <w:rPr>
          <w:rFonts w:cs="Segoe UI"/>
          <w:b/>
          <w:bCs/>
          <w:szCs w:val="22"/>
          <w:lang w:val="sr-Latn-RS"/>
        </w:rPr>
        <w:t>evra</w:t>
      </w:r>
      <w:r w:rsidR="002C26DA">
        <w:rPr>
          <w:rFonts w:cs="Segoe UI"/>
          <w:b/>
          <w:bCs/>
          <w:szCs w:val="22"/>
          <w:lang w:val="sr-Latn-RS"/>
        </w:rPr>
        <w:t xml:space="preserve"> i EBIT maržu od 12,6</w:t>
      </w:r>
      <w:r w:rsidR="004271D4">
        <w:rPr>
          <w:rFonts w:cs="Segoe UI"/>
          <w:b/>
          <w:bCs/>
          <w:szCs w:val="22"/>
          <w:lang w:val="sr-Latn-RS"/>
        </w:rPr>
        <w:t xml:space="preserve"> odsto</w:t>
      </w:r>
      <w:r w:rsidR="002C26DA">
        <w:rPr>
          <w:rFonts w:cs="Segoe UI"/>
          <w:b/>
          <w:bCs/>
          <w:szCs w:val="22"/>
          <w:lang w:val="sr-Latn-RS"/>
        </w:rPr>
        <w:t xml:space="preserve">. Isplatili smo punu dividendu za 2019. akcionarima, i uspeli smo da generišemo veoma snažan slobodni novčani tok i dodatno poboljšamo našu neto finansijsku poziciju. Tokom krize, nismo uvodili skraćeno radno vreme, </w:t>
      </w:r>
      <w:r w:rsidR="004271D4">
        <w:rPr>
          <w:rFonts w:cs="Segoe UI"/>
          <w:b/>
          <w:bCs/>
          <w:szCs w:val="22"/>
          <w:lang w:val="sr-Latn-RS"/>
        </w:rPr>
        <w:t xml:space="preserve">nismo se </w:t>
      </w:r>
      <w:r w:rsidR="002C26DA">
        <w:rPr>
          <w:rFonts w:cs="Segoe UI"/>
          <w:b/>
          <w:bCs/>
          <w:szCs w:val="22"/>
          <w:lang w:val="sr-Latn-RS"/>
        </w:rPr>
        <w:t>prijavljali za državnu pomoć</w:t>
      </w:r>
      <w:r w:rsidR="004271D4">
        <w:rPr>
          <w:rFonts w:cs="Segoe UI"/>
          <w:b/>
          <w:bCs/>
          <w:szCs w:val="22"/>
          <w:lang w:val="sr-Latn-RS"/>
        </w:rPr>
        <w:t xml:space="preserve">, niti </w:t>
      </w:r>
      <w:r w:rsidR="004271D4">
        <w:rPr>
          <w:rFonts w:cs="Segoe UI"/>
          <w:b/>
          <w:bCs/>
          <w:szCs w:val="22"/>
          <w:lang w:val="sr-Latn-RS"/>
        </w:rPr>
        <w:lastRenderedPageBreak/>
        <w:t>smo</w:t>
      </w:r>
      <w:r w:rsidR="002C26DA">
        <w:rPr>
          <w:rFonts w:cs="Segoe UI"/>
          <w:b/>
          <w:bCs/>
          <w:szCs w:val="22"/>
          <w:lang w:val="sr-Latn-RS"/>
        </w:rPr>
        <w:t xml:space="preserve"> smanjivali broj zaposlenih </w:t>
      </w:r>
      <w:r w:rsidR="004271D4">
        <w:rPr>
          <w:rFonts w:cs="Segoe UI"/>
          <w:b/>
          <w:bCs/>
          <w:szCs w:val="22"/>
          <w:lang w:val="sr-Latn-RS"/>
        </w:rPr>
        <w:t>usled</w:t>
      </w:r>
      <w:r w:rsidR="002C26DA">
        <w:rPr>
          <w:rFonts w:cs="Segoe UI"/>
          <w:b/>
          <w:bCs/>
          <w:szCs w:val="22"/>
          <w:lang w:val="sr-Latn-RS"/>
        </w:rPr>
        <w:t xml:space="preserve"> pandemije. Ukratko, ostvarili smo </w:t>
      </w:r>
      <w:r w:rsidR="004271D4">
        <w:rPr>
          <w:rFonts w:cs="Segoe UI"/>
          <w:b/>
          <w:bCs/>
          <w:szCs w:val="22"/>
          <w:lang w:val="sr-Latn-RS"/>
        </w:rPr>
        <w:t>snažan</w:t>
      </w:r>
      <w:r w:rsidR="002C26DA">
        <w:rPr>
          <w:rFonts w:cs="Segoe UI"/>
          <w:b/>
          <w:bCs/>
          <w:szCs w:val="22"/>
          <w:lang w:val="sr-Latn-RS"/>
        </w:rPr>
        <w:t xml:space="preserve"> sveukupan poslovni rezultat u izuzetno teškom okruženju“, izjavio je izvršni direktor kompanije Henkel</w:t>
      </w:r>
      <w:r w:rsidR="004271D4">
        <w:rPr>
          <w:rFonts w:cs="Segoe UI"/>
          <w:b/>
          <w:bCs/>
          <w:szCs w:val="22"/>
          <w:lang w:val="sr-Latn-RS"/>
        </w:rPr>
        <w:t>,</w:t>
      </w:r>
      <w:r w:rsidR="002C26DA">
        <w:rPr>
          <w:rFonts w:cs="Segoe UI"/>
          <w:b/>
          <w:bCs/>
          <w:szCs w:val="22"/>
          <w:lang w:val="sr-Latn-RS"/>
        </w:rPr>
        <w:t xml:space="preserve"> Karsten Knobel.</w:t>
      </w:r>
    </w:p>
    <w:p w14:paraId="74DCD38C" w14:textId="43CFC8BF" w:rsidR="007F0F63" w:rsidRPr="007E7A47" w:rsidRDefault="007F0F63" w:rsidP="00643D8A">
      <w:pPr>
        <w:rPr>
          <w:rFonts w:cs="Segoe UI"/>
          <w:szCs w:val="22"/>
          <w:lang w:val="sr-Latn-RS"/>
        </w:rPr>
      </w:pPr>
    </w:p>
    <w:p w14:paraId="49AB45FA" w14:textId="6ECFB035" w:rsidR="002C26DA" w:rsidRDefault="00846017" w:rsidP="00846017">
      <w:pPr>
        <w:rPr>
          <w:rFonts w:cs="Segoe UI"/>
          <w:b/>
          <w:bCs/>
          <w:szCs w:val="22"/>
          <w:lang w:val="sr-Latn-RS"/>
        </w:rPr>
      </w:pPr>
      <w:r w:rsidRPr="007E7A47">
        <w:rPr>
          <w:rFonts w:cs="Segoe UI"/>
          <w:b/>
          <w:bCs/>
          <w:szCs w:val="22"/>
          <w:lang w:val="sr-Latn-RS"/>
        </w:rPr>
        <w:t xml:space="preserve">Henkel </w:t>
      </w:r>
      <w:r w:rsidR="002C26DA">
        <w:rPr>
          <w:rFonts w:cs="Segoe UI"/>
          <w:b/>
          <w:bCs/>
          <w:szCs w:val="22"/>
          <w:lang w:val="sr-Latn-RS"/>
        </w:rPr>
        <w:t xml:space="preserve">je zabeležio prodaju u iznosu od </w:t>
      </w:r>
      <w:r w:rsidR="004E6238">
        <w:rPr>
          <w:rFonts w:cs="Segoe UI"/>
          <w:b/>
          <w:bCs/>
          <w:szCs w:val="22"/>
          <w:lang w:val="sr-Latn-RS"/>
        </w:rPr>
        <w:t>9.485 m</w:t>
      </w:r>
      <w:r w:rsidR="004271D4">
        <w:rPr>
          <w:rFonts w:cs="Segoe UI"/>
          <w:b/>
          <w:bCs/>
          <w:szCs w:val="22"/>
          <w:lang w:val="sr-Latn-RS"/>
        </w:rPr>
        <w:t>ilijardi</w:t>
      </w:r>
      <w:r w:rsidR="004E6238">
        <w:rPr>
          <w:rFonts w:cs="Segoe UI"/>
          <w:b/>
          <w:bCs/>
          <w:szCs w:val="22"/>
          <w:lang w:val="sr-Latn-RS"/>
        </w:rPr>
        <w:t xml:space="preserve"> </w:t>
      </w:r>
      <w:r w:rsidR="004271D4">
        <w:rPr>
          <w:rFonts w:cs="Segoe UI"/>
          <w:b/>
          <w:bCs/>
          <w:szCs w:val="22"/>
          <w:lang w:val="sr-Latn-RS"/>
        </w:rPr>
        <w:t>evra</w:t>
      </w:r>
      <w:r w:rsidR="004E6238">
        <w:rPr>
          <w:rFonts w:cs="Segoe UI"/>
          <w:b/>
          <w:bCs/>
          <w:szCs w:val="22"/>
          <w:lang w:val="sr-Latn-RS"/>
        </w:rPr>
        <w:t xml:space="preserve"> tokom prve polovine 2020. Ovo je pad od -6</w:t>
      </w:r>
      <w:r w:rsidR="004271D4">
        <w:rPr>
          <w:rFonts w:cs="Segoe UI"/>
          <w:b/>
          <w:bCs/>
          <w:szCs w:val="22"/>
          <w:lang w:val="sr-Latn-RS"/>
        </w:rPr>
        <w:t xml:space="preserve"> odsto </w:t>
      </w:r>
      <w:r w:rsidR="004E6238">
        <w:rPr>
          <w:rFonts w:cs="Segoe UI"/>
          <w:b/>
          <w:bCs/>
          <w:szCs w:val="22"/>
          <w:lang w:val="sr-Latn-RS"/>
        </w:rPr>
        <w:t>nominalno, i -5,2</w:t>
      </w:r>
      <w:r w:rsidR="004271D4">
        <w:rPr>
          <w:rFonts w:cs="Segoe UI"/>
          <w:b/>
          <w:bCs/>
          <w:szCs w:val="22"/>
          <w:lang w:val="sr-Latn-RS"/>
        </w:rPr>
        <w:t xml:space="preserve"> odsto</w:t>
      </w:r>
      <w:r w:rsidR="004E6238">
        <w:rPr>
          <w:rFonts w:cs="Segoe UI"/>
          <w:b/>
          <w:bCs/>
          <w:szCs w:val="22"/>
          <w:lang w:val="sr-Latn-RS"/>
        </w:rPr>
        <w:t xml:space="preserve"> organski u poređenju sa prvom polovinom prošle godine. Henkel je takođe ostvario </w:t>
      </w:r>
      <w:r w:rsidR="004271D4">
        <w:rPr>
          <w:rFonts w:cs="Segoe UI"/>
          <w:b/>
          <w:bCs/>
          <w:szCs w:val="22"/>
          <w:lang w:val="sr-Latn-RS"/>
        </w:rPr>
        <w:t>korigovanu</w:t>
      </w:r>
      <w:r w:rsidR="004E6238">
        <w:rPr>
          <w:rFonts w:cs="Segoe UI"/>
          <w:b/>
          <w:bCs/>
          <w:szCs w:val="22"/>
          <w:lang w:val="sr-Latn-RS"/>
        </w:rPr>
        <w:t xml:space="preserve"> operativnu dobit u iznosu od 1,191 </w:t>
      </w:r>
      <w:r w:rsidR="004271D4">
        <w:rPr>
          <w:rFonts w:cs="Segoe UI"/>
          <w:b/>
          <w:bCs/>
          <w:szCs w:val="22"/>
          <w:lang w:val="sr-Latn-RS"/>
        </w:rPr>
        <w:t>milijardu</w:t>
      </w:r>
      <w:r w:rsidR="004E6238">
        <w:rPr>
          <w:rFonts w:cs="Segoe UI"/>
          <w:b/>
          <w:bCs/>
          <w:szCs w:val="22"/>
          <w:lang w:val="sr-Latn-RS"/>
        </w:rPr>
        <w:t xml:space="preserve"> </w:t>
      </w:r>
      <w:r w:rsidR="004271D4">
        <w:rPr>
          <w:rFonts w:cs="Segoe UI"/>
          <w:b/>
          <w:bCs/>
          <w:szCs w:val="22"/>
          <w:lang w:val="sr-Latn-RS"/>
        </w:rPr>
        <w:t>evra</w:t>
      </w:r>
      <w:r w:rsidR="004E6238">
        <w:rPr>
          <w:rFonts w:cs="Segoe UI"/>
          <w:b/>
          <w:bCs/>
          <w:szCs w:val="22"/>
          <w:lang w:val="sr-Latn-RS"/>
        </w:rPr>
        <w:t xml:space="preserve"> tokom prvih šest meseci 2020. godine, što je 27,5</w:t>
      </w:r>
      <w:r w:rsidR="004271D4">
        <w:rPr>
          <w:rFonts w:cs="Segoe UI"/>
          <w:b/>
          <w:bCs/>
          <w:szCs w:val="22"/>
          <w:lang w:val="sr-Latn-RS"/>
        </w:rPr>
        <w:t xml:space="preserve"> odsto</w:t>
      </w:r>
      <w:r w:rsidR="004E6238">
        <w:rPr>
          <w:rFonts w:cs="Segoe UI"/>
          <w:b/>
          <w:bCs/>
          <w:szCs w:val="22"/>
          <w:lang w:val="sr-Latn-RS"/>
        </w:rPr>
        <w:t xml:space="preserve"> manje u poređenju sa prošlom godinom.</w:t>
      </w:r>
      <w:r w:rsidR="004271D4">
        <w:rPr>
          <w:rFonts w:cs="Segoe UI"/>
          <w:b/>
          <w:bCs/>
          <w:szCs w:val="22"/>
          <w:lang w:val="sr-Latn-RS"/>
        </w:rPr>
        <w:t xml:space="preserve"> Korigovana </w:t>
      </w:r>
      <w:r w:rsidR="004E6238">
        <w:rPr>
          <w:rFonts w:cs="Segoe UI"/>
          <w:b/>
          <w:bCs/>
          <w:szCs w:val="22"/>
          <w:lang w:val="sr-Latn-RS"/>
        </w:rPr>
        <w:t>EBIT marža iznosila</w:t>
      </w:r>
      <w:r w:rsidR="004271D4">
        <w:rPr>
          <w:rFonts w:cs="Segoe UI"/>
          <w:b/>
          <w:bCs/>
          <w:szCs w:val="22"/>
          <w:lang w:val="sr-Latn-RS"/>
        </w:rPr>
        <w:t xml:space="preserve"> je</w:t>
      </w:r>
      <w:r w:rsidR="004E6238">
        <w:rPr>
          <w:rFonts w:cs="Segoe UI"/>
          <w:b/>
          <w:bCs/>
          <w:szCs w:val="22"/>
          <w:lang w:val="sr-Latn-RS"/>
        </w:rPr>
        <w:t xml:space="preserve"> 12,6</w:t>
      </w:r>
      <w:r w:rsidR="004271D4">
        <w:rPr>
          <w:rFonts w:cs="Segoe UI"/>
          <w:b/>
          <w:bCs/>
          <w:szCs w:val="22"/>
          <w:lang w:val="sr-Latn-RS"/>
        </w:rPr>
        <w:t xml:space="preserve"> odsto</w:t>
      </w:r>
      <w:r w:rsidR="004E6238">
        <w:rPr>
          <w:rFonts w:cs="Segoe UI"/>
          <w:b/>
          <w:bCs/>
          <w:szCs w:val="22"/>
          <w:lang w:val="sr-Latn-RS"/>
        </w:rPr>
        <w:t>, 370 baznih poena manje nego tokom prošlogodišnjeg perioda.</w:t>
      </w:r>
    </w:p>
    <w:p w14:paraId="74F11F3B" w14:textId="0DDA2320" w:rsidR="00846017" w:rsidRPr="007E7A47" w:rsidRDefault="00846017" w:rsidP="00846017">
      <w:pPr>
        <w:rPr>
          <w:rFonts w:cs="Segoe UI"/>
          <w:b/>
          <w:bCs/>
          <w:szCs w:val="22"/>
          <w:lang w:val="sr-Latn-RS"/>
        </w:rPr>
      </w:pPr>
    </w:p>
    <w:p w14:paraId="3E64943C" w14:textId="190F6103" w:rsidR="004E6238" w:rsidRDefault="004E6238" w:rsidP="00846017">
      <w:pPr>
        <w:rPr>
          <w:rFonts w:cs="Segoe UI"/>
          <w:b/>
          <w:bCs/>
          <w:szCs w:val="22"/>
          <w:lang w:val="sr-Latn-RS"/>
        </w:rPr>
      </w:pPr>
      <w:r>
        <w:rPr>
          <w:rFonts w:cs="Segoe UI"/>
          <w:b/>
          <w:bCs/>
          <w:szCs w:val="22"/>
          <w:lang w:val="sr-Latn-RS"/>
        </w:rPr>
        <w:t xml:space="preserve">Tokom prvih šest meseci, </w:t>
      </w:r>
      <w:r w:rsidR="004271D4">
        <w:rPr>
          <w:rFonts w:cs="Segoe UI"/>
          <w:b/>
          <w:bCs/>
          <w:szCs w:val="22"/>
          <w:lang w:val="sr-Latn-RS"/>
        </w:rPr>
        <w:t xml:space="preserve">poslovna jedinica </w:t>
      </w:r>
      <w:r>
        <w:rPr>
          <w:rFonts w:cs="Segoe UI"/>
          <w:b/>
          <w:bCs/>
          <w:szCs w:val="22"/>
          <w:lang w:val="sr-Latn-RS"/>
        </w:rPr>
        <w:t>Adhezivi Tehnologije prvenstveno</w:t>
      </w:r>
      <w:r w:rsidR="004271D4">
        <w:rPr>
          <w:rFonts w:cs="Segoe UI"/>
          <w:b/>
          <w:bCs/>
          <w:szCs w:val="22"/>
          <w:lang w:val="sr-Latn-RS"/>
        </w:rPr>
        <w:t xml:space="preserve"> se</w:t>
      </w:r>
      <w:r>
        <w:rPr>
          <w:rFonts w:cs="Segoe UI"/>
          <w:b/>
          <w:bCs/>
          <w:szCs w:val="22"/>
          <w:lang w:val="sr-Latn-RS"/>
        </w:rPr>
        <w:t xml:space="preserve"> suoči</w:t>
      </w:r>
      <w:r w:rsidR="004271D4">
        <w:rPr>
          <w:rFonts w:cs="Segoe UI"/>
          <w:b/>
          <w:bCs/>
          <w:szCs w:val="22"/>
          <w:lang w:val="sr-Latn-RS"/>
        </w:rPr>
        <w:t>la</w:t>
      </w:r>
      <w:r>
        <w:rPr>
          <w:rFonts w:cs="Segoe UI"/>
          <w:b/>
          <w:bCs/>
          <w:szCs w:val="22"/>
          <w:lang w:val="sr-Latn-RS"/>
        </w:rPr>
        <w:t xml:space="preserve"> sa značajnim opadanjem potražnje </w:t>
      </w:r>
      <w:r w:rsidR="004271D4">
        <w:rPr>
          <w:rFonts w:cs="Segoe UI"/>
          <w:b/>
          <w:bCs/>
          <w:szCs w:val="22"/>
          <w:lang w:val="sr-Latn-RS"/>
        </w:rPr>
        <w:t>od strane ključnih industrija</w:t>
      </w:r>
      <w:r>
        <w:rPr>
          <w:rFonts w:cs="Segoe UI"/>
          <w:b/>
          <w:bCs/>
          <w:szCs w:val="22"/>
          <w:lang w:val="sr-Latn-RS"/>
        </w:rPr>
        <w:t xml:space="preserve">. Rezultati </w:t>
      </w:r>
      <w:r w:rsidR="004271D4">
        <w:rPr>
          <w:rFonts w:cs="Segoe UI"/>
          <w:b/>
          <w:bCs/>
          <w:szCs w:val="22"/>
          <w:lang w:val="sr-Latn-RS"/>
        </w:rPr>
        <w:t>poslovne jedinice</w:t>
      </w:r>
      <w:r>
        <w:rPr>
          <w:rFonts w:cs="Segoe UI"/>
          <w:b/>
          <w:bCs/>
          <w:szCs w:val="22"/>
          <w:lang w:val="sr-Latn-RS"/>
        </w:rPr>
        <w:t xml:space="preserve"> Beauty Care su većinom značajno pogođeni negativnim rezultatima proizvoda za frizerske salone, što je rezultat zatvaranja salona u većini država. </w:t>
      </w:r>
      <w:r w:rsidR="004271D4">
        <w:rPr>
          <w:rFonts w:cs="Segoe UI"/>
          <w:b/>
          <w:bCs/>
          <w:szCs w:val="22"/>
          <w:lang w:val="sr-Latn-RS"/>
        </w:rPr>
        <w:t>Poslovna jedinica Deterdženti i kućna hemija pokaza</w:t>
      </w:r>
      <w:r w:rsidR="007F015E">
        <w:rPr>
          <w:rFonts w:cs="Segoe UI"/>
          <w:b/>
          <w:bCs/>
          <w:szCs w:val="22"/>
          <w:lang w:val="sr-Latn-RS"/>
        </w:rPr>
        <w:t>la</w:t>
      </w:r>
      <w:r w:rsidR="004271D4">
        <w:rPr>
          <w:rFonts w:cs="Segoe UI"/>
          <w:b/>
          <w:bCs/>
          <w:szCs w:val="22"/>
          <w:lang w:val="sr-Latn-RS"/>
        </w:rPr>
        <w:t xml:space="preserve"> je</w:t>
      </w:r>
      <w:r>
        <w:rPr>
          <w:rFonts w:cs="Segoe UI"/>
          <w:b/>
          <w:bCs/>
          <w:szCs w:val="22"/>
          <w:lang w:val="sr-Latn-RS"/>
        </w:rPr>
        <w:t xml:space="preserve"> snažan razvoj, što je i potpomognuto skokom u potražnji za proizvodima za čišćenje.</w:t>
      </w:r>
    </w:p>
    <w:p w14:paraId="25555AFF" w14:textId="2545F4A0" w:rsidR="00846017" w:rsidRPr="007E7A47" w:rsidRDefault="00846017" w:rsidP="00846017">
      <w:pPr>
        <w:rPr>
          <w:rFonts w:cs="Segoe UI"/>
          <w:b/>
          <w:bCs/>
          <w:szCs w:val="22"/>
          <w:lang w:val="sr-Latn-RS"/>
        </w:rPr>
      </w:pPr>
    </w:p>
    <w:p w14:paraId="10C8E282" w14:textId="74BE257A" w:rsidR="004E6238" w:rsidRDefault="004E6238" w:rsidP="0064107F">
      <w:pPr>
        <w:rPr>
          <w:rFonts w:cs="Segoe UI"/>
          <w:b/>
          <w:bCs/>
          <w:szCs w:val="22"/>
          <w:lang w:val="sr-Latn-RS"/>
        </w:rPr>
      </w:pPr>
      <w:r>
        <w:rPr>
          <w:rFonts w:cs="Segoe UI"/>
          <w:b/>
          <w:bCs/>
          <w:szCs w:val="22"/>
          <w:lang w:val="sr-Latn-RS"/>
        </w:rPr>
        <w:t xml:space="preserve">„Zbog aktuelnih nesigurnosti, </w:t>
      </w:r>
      <w:r w:rsidR="00370E6D">
        <w:rPr>
          <w:rFonts w:cs="Segoe UI"/>
          <w:b/>
          <w:bCs/>
          <w:szCs w:val="22"/>
          <w:lang w:val="sr-Latn-RS"/>
        </w:rPr>
        <w:t xml:space="preserve">u ovom trenutku </w:t>
      </w:r>
      <w:r>
        <w:rPr>
          <w:rFonts w:cs="Segoe UI"/>
          <w:b/>
          <w:bCs/>
          <w:szCs w:val="22"/>
          <w:lang w:val="sr-Latn-RS"/>
        </w:rPr>
        <w:t>nismo u mogućnosti da pružimo novo i pouzdano predviđanje za celu godinu,“ rekao je Karsten Knobel.</w:t>
      </w:r>
    </w:p>
    <w:p w14:paraId="0856CCF5" w14:textId="23EFA747" w:rsidR="00846017" w:rsidRPr="007E7A47" w:rsidRDefault="00846017" w:rsidP="00846017">
      <w:pPr>
        <w:rPr>
          <w:rFonts w:cs="Segoe UI"/>
          <w:b/>
          <w:bCs/>
          <w:szCs w:val="22"/>
          <w:lang w:val="sr-Latn-RS"/>
        </w:rPr>
      </w:pPr>
    </w:p>
    <w:p w14:paraId="3E79C6DE" w14:textId="7B5F4D24" w:rsidR="004E6238" w:rsidRDefault="004E6238" w:rsidP="00846017">
      <w:pPr>
        <w:rPr>
          <w:rFonts w:cs="Segoe UI"/>
          <w:b/>
          <w:bCs/>
          <w:szCs w:val="22"/>
          <w:lang w:val="sr-Latn-RS"/>
        </w:rPr>
      </w:pPr>
      <w:r>
        <w:rPr>
          <w:rFonts w:cs="Segoe UI"/>
          <w:b/>
          <w:bCs/>
          <w:szCs w:val="22"/>
          <w:lang w:val="sr-Latn-RS"/>
        </w:rPr>
        <w:t xml:space="preserve">„Dok upravljamo ovom krizom, </w:t>
      </w:r>
      <w:r w:rsidR="00D34FB1">
        <w:rPr>
          <w:rFonts w:cs="Segoe UI"/>
          <w:b/>
          <w:bCs/>
          <w:szCs w:val="22"/>
          <w:lang w:val="sr-Latn-RS"/>
        </w:rPr>
        <w:t>ostajemo potpuno posvećeni našim ambicioznim planovima rasta u narednim godinama. Pokrenuli smo prve inicijative u skladu sa našim novim strateškim okvirom i nastavićemo da aktivno vodimo realizaciju naših planova za s</w:t>
      </w:r>
      <w:r w:rsidR="00370E6D">
        <w:rPr>
          <w:rFonts w:cs="Segoe UI"/>
          <w:b/>
          <w:bCs/>
          <w:szCs w:val="22"/>
          <w:lang w:val="sr-Latn-RS"/>
        </w:rPr>
        <w:t>vrsishodan</w:t>
      </w:r>
      <w:r w:rsidR="00D34FB1">
        <w:rPr>
          <w:rFonts w:cs="Segoe UI"/>
          <w:b/>
          <w:bCs/>
          <w:szCs w:val="22"/>
          <w:lang w:val="sr-Latn-RS"/>
        </w:rPr>
        <w:t xml:space="preserve"> rast“.</w:t>
      </w:r>
    </w:p>
    <w:p w14:paraId="57460F2B" w14:textId="35C0DAA2" w:rsidR="00846017" w:rsidRPr="007E7A47" w:rsidRDefault="00846017" w:rsidP="00846017">
      <w:pPr>
        <w:rPr>
          <w:rFonts w:asciiTheme="majorHAnsi" w:hAnsiTheme="majorHAnsi" w:cstheme="majorHAnsi"/>
          <w:b/>
          <w:bCs/>
          <w:szCs w:val="22"/>
          <w:lang w:val="sr-Latn-RS"/>
        </w:rPr>
      </w:pPr>
    </w:p>
    <w:p w14:paraId="5BD057F8" w14:textId="67EBD931" w:rsidR="006227C7" w:rsidRDefault="006227C7" w:rsidP="00846017">
      <w:pPr>
        <w:spacing w:after="120"/>
        <w:rPr>
          <w:rFonts w:cs="Segoe UI"/>
          <w:b/>
          <w:bCs/>
          <w:szCs w:val="22"/>
          <w:lang w:val="sr-Latn-RS"/>
        </w:rPr>
      </w:pPr>
      <w:r>
        <w:rPr>
          <w:rFonts w:cs="Segoe UI"/>
          <w:b/>
          <w:bCs/>
          <w:szCs w:val="22"/>
          <w:lang w:val="sr-Latn-RS"/>
        </w:rPr>
        <w:t>Prodajni rezultati i prihodi grupe tokom prve polovine 2020. godine</w:t>
      </w:r>
    </w:p>
    <w:p w14:paraId="4C7F2F63" w14:textId="093132AB" w:rsidR="00846017" w:rsidRPr="007E7A47" w:rsidRDefault="006227C7" w:rsidP="00846017">
      <w:pPr>
        <w:rPr>
          <w:rFonts w:cs="Segoe UI"/>
          <w:szCs w:val="22"/>
          <w:lang w:val="sr-Latn-RS"/>
        </w:rPr>
      </w:pPr>
      <w:r>
        <w:rPr>
          <w:rFonts w:cs="Segoe UI"/>
          <w:szCs w:val="22"/>
          <w:lang w:val="sr-Latn-RS"/>
        </w:rPr>
        <w:t xml:space="preserve">Sa 9.485 </w:t>
      </w:r>
      <w:r w:rsidR="00370E6D">
        <w:rPr>
          <w:rFonts w:cs="Segoe UI"/>
          <w:szCs w:val="22"/>
          <w:lang w:val="sr-Latn-RS"/>
        </w:rPr>
        <w:t>milijarde evra</w:t>
      </w:r>
      <w:r>
        <w:rPr>
          <w:rFonts w:cs="Segoe UI"/>
          <w:szCs w:val="22"/>
          <w:lang w:val="sr-Latn-RS"/>
        </w:rPr>
        <w:t xml:space="preserve">, </w:t>
      </w:r>
      <w:r w:rsidRPr="006227C7">
        <w:rPr>
          <w:rFonts w:cs="Segoe UI"/>
          <w:b/>
          <w:bCs/>
          <w:szCs w:val="22"/>
          <w:lang w:val="sr-Latn-RS"/>
        </w:rPr>
        <w:t>prodaj</w:t>
      </w:r>
      <w:r>
        <w:rPr>
          <w:rFonts w:cs="Segoe UI"/>
          <w:b/>
          <w:bCs/>
          <w:szCs w:val="22"/>
          <w:lang w:val="sr-Latn-RS"/>
        </w:rPr>
        <w:t>ni rezultat</w:t>
      </w:r>
      <w:r w:rsidRPr="006227C7">
        <w:rPr>
          <w:rFonts w:cs="Segoe UI"/>
          <w:b/>
          <w:bCs/>
          <w:szCs w:val="22"/>
          <w:lang w:val="sr-Latn-RS"/>
        </w:rPr>
        <w:t xml:space="preserve"> </w:t>
      </w:r>
      <w:r>
        <w:rPr>
          <w:rFonts w:cs="Segoe UI"/>
          <w:szCs w:val="22"/>
          <w:lang w:val="sr-Latn-RS"/>
        </w:rPr>
        <w:t>Henkel</w:t>
      </w:r>
      <w:r w:rsidR="00370E6D">
        <w:rPr>
          <w:rFonts w:cs="Segoe UI"/>
          <w:szCs w:val="22"/>
          <w:lang w:val="sr-Latn-RS"/>
        </w:rPr>
        <w:t xml:space="preserve"> grupe</w:t>
      </w:r>
      <w:r>
        <w:rPr>
          <w:rFonts w:cs="Segoe UI"/>
          <w:szCs w:val="22"/>
          <w:lang w:val="sr-Latn-RS"/>
        </w:rPr>
        <w:t xml:space="preserve"> tokom prve polovine 2020. godine je 6,0</w:t>
      </w:r>
      <w:r w:rsidR="00370E6D">
        <w:rPr>
          <w:rFonts w:cs="Segoe UI"/>
          <w:szCs w:val="22"/>
          <w:lang w:val="sr-Latn-RS"/>
        </w:rPr>
        <w:t xml:space="preserve"> odsto</w:t>
      </w:r>
      <w:r>
        <w:rPr>
          <w:rFonts w:cs="Segoe UI"/>
          <w:szCs w:val="22"/>
          <w:lang w:val="sr-Latn-RS"/>
        </w:rPr>
        <w:t xml:space="preserve"> manji od prošlogodišnjeg (</w:t>
      </w:r>
      <w:r w:rsidR="00370E6D">
        <w:rPr>
          <w:rFonts w:cs="Segoe UI"/>
          <w:szCs w:val="22"/>
          <w:lang w:val="sr-Latn-RS"/>
        </w:rPr>
        <w:t>drugi</w:t>
      </w:r>
      <w:r>
        <w:rPr>
          <w:rFonts w:cs="Segoe UI"/>
          <w:szCs w:val="22"/>
          <w:lang w:val="sr-Latn-RS"/>
        </w:rPr>
        <w:t xml:space="preserve"> kvartal: 4.558 m</w:t>
      </w:r>
      <w:r w:rsidR="00370E6D">
        <w:rPr>
          <w:rFonts w:cs="Segoe UI"/>
          <w:szCs w:val="22"/>
          <w:lang w:val="sr-Latn-RS"/>
        </w:rPr>
        <w:t>ilijardi</w:t>
      </w:r>
      <w:r>
        <w:rPr>
          <w:rFonts w:cs="Segoe UI"/>
          <w:szCs w:val="22"/>
          <w:lang w:val="sr-Latn-RS"/>
        </w:rPr>
        <w:t>; -11,0</w:t>
      </w:r>
      <w:r w:rsidR="00370E6D">
        <w:rPr>
          <w:rFonts w:cs="Segoe UI"/>
          <w:szCs w:val="22"/>
          <w:lang w:val="sr-Latn-RS"/>
        </w:rPr>
        <w:t xml:space="preserve"> odsto</w:t>
      </w:r>
      <w:r>
        <w:rPr>
          <w:rFonts w:cs="Segoe UI"/>
          <w:szCs w:val="22"/>
          <w:lang w:val="sr-Latn-RS"/>
        </w:rPr>
        <w:t xml:space="preserve">). </w:t>
      </w:r>
      <w:r>
        <w:rPr>
          <w:rFonts w:cs="Segoe UI"/>
          <w:b/>
          <w:bCs/>
          <w:szCs w:val="22"/>
          <w:lang w:val="sr-Latn-RS"/>
        </w:rPr>
        <w:t>Organska</w:t>
      </w:r>
      <w:r>
        <w:rPr>
          <w:rFonts w:cs="Segoe UI"/>
          <w:szCs w:val="22"/>
          <w:lang w:val="sr-Latn-RS"/>
        </w:rPr>
        <w:t xml:space="preserve"> prodaja, </w:t>
      </w:r>
      <w:r w:rsidR="00370E6D">
        <w:rPr>
          <w:rFonts w:cs="Segoe UI"/>
          <w:szCs w:val="22"/>
          <w:lang w:val="sr-Latn-RS"/>
        </w:rPr>
        <w:t>bez uticaja</w:t>
      </w:r>
      <w:r>
        <w:rPr>
          <w:rFonts w:cs="Segoe UI"/>
          <w:szCs w:val="22"/>
          <w:lang w:val="sr-Latn-RS"/>
        </w:rPr>
        <w:t xml:space="preserve"> akvizicij</w:t>
      </w:r>
      <w:r w:rsidR="00370E6D">
        <w:rPr>
          <w:rFonts w:cs="Segoe UI"/>
          <w:szCs w:val="22"/>
          <w:lang w:val="sr-Latn-RS"/>
        </w:rPr>
        <w:t>a</w:t>
      </w:r>
      <w:r>
        <w:rPr>
          <w:rFonts w:cs="Segoe UI"/>
          <w:szCs w:val="22"/>
          <w:lang w:val="sr-Latn-RS"/>
        </w:rPr>
        <w:t>/</w:t>
      </w:r>
      <w:r w:rsidR="00370E6D">
        <w:rPr>
          <w:rFonts w:cs="Segoe UI"/>
          <w:szCs w:val="22"/>
          <w:lang w:val="sr-Latn-RS"/>
        </w:rPr>
        <w:t>divesticija</w:t>
      </w:r>
      <w:r>
        <w:rPr>
          <w:rFonts w:cs="Segoe UI"/>
          <w:szCs w:val="22"/>
          <w:lang w:val="sr-Latn-RS"/>
        </w:rPr>
        <w:t>, prikazuje negativni rast od 5,2</w:t>
      </w:r>
      <w:r w:rsidR="00370E6D">
        <w:rPr>
          <w:rFonts w:cs="Segoe UI"/>
          <w:szCs w:val="22"/>
          <w:lang w:val="sr-Latn-RS"/>
        </w:rPr>
        <w:t xml:space="preserve"> odsto</w:t>
      </w:r>
      <w:r>
        <w:rPr>
          <w:rFonts w:cs="Segoe UI"/>
          <w:szCs w:val="22"/>
          <w:lang w:val="sr-Latn-RS"/>
        </w:rPr>
        <w:t xml:space="preserve"> (</w:t>
      </w:r>
      <w:r w:rsidR="00370E6D">
        <w:rPr>
          <w:rFonts w:cs="Segoe UI"/>
          <w:szCs w:val="22"/>
          <w:lang w:val="sr-Latn-RS"/>
        </w:rPr>
        <w:t>drugi</w:t>
      </w:r>
      <w:r>
        <w:rPr>
          <w:rFonts w:cs="Segoe UI"/>
          <w:szCs w:val="22"/>
          <w:lang w:val="sr-Latn-RS"/>
        </w:rPr>
        <w:t xml:space="preserve"> kvartal: -9,4</w:t>
      </w:r>
      <w:r w:rsidR="00370E6D">
        <w:rPr>
          <w:rFonts w:cs="Segoe UI"/>
          <w:szCs w:val="22"/>
          <w:lang w:val="sr-Latn-RS"/>
        </w:rPr>
        <w:t xml:space="preserve"> odsto</w:t>
      </w:r>
      <w:r>
        <w:rPr>
          <w:rFonts w:cs="Segoe UI"/>
          <w:szCs w:val="22"/>
          <w:lang w:val="sr-Latn-RS"/>
        </w:rPr>
        <w:t xml:space="preserve">). Doprinos od akvizicija i </w:t>
      </w:r>
      <w:r w:rsidR="00370E6D">
        <w:rPr>
          <w:rFonts w:cs="Segoe UI"/>
          <w:szCs w:val="22"/>
          <w:lang w:val="sr-Latn-RS"/>
        </w:rPr>
        <w:t>divesticija</w:t>
      </w:r>
      <w:r>
        <w:rPr>
          <w:rFonts w:cs="Segoe UI"/>
          <w:szCs w:val="22"/>
          <w:lang w:val="sr-Latn-RS"/>
        </w:rPr>
        <w:t xml:space="preserve"> iznosio</w:t>
      </w:r>
      <w:r w:rsidR="00370E6D">
        <w:rPr>
          <w:rFonts w:cs="Segoe UI"/>
          <w:szCs w:val="22"/>
          <w:lang w:val="sr-Latn-RS"/>
        </w:rPr>
        <w:t xml:space="preserve"> je</w:t>
      </w:r>
      <w:r>
        <w:rPr>
          <w:rFonts w:cs="Segoe UI"/>
          <w:szCs w:val="22"/>
          <w:lang w:val="sr-Latn-RS"/>
        </w:rPr>
        <w:t xml:space="preserve"> 0,3</w:t>
      </w:r>
      <w:r w:rsidR="00370E6D">
        <w:rPr>
          <w:rFonts w:cs="Segoe UI"/>
          <w:szCs w:val="22"/>
          <w:lang w:val="sr-Latn-RS"/>
        </w:rPr>
        <w:t xml:space="preserve"> odsto</w:t>
      </w:r>
      <w:r>
        <w:rPr>
          <w:rFonts w:cs="Segoe UI"/>
          <w:szCs w:val="22"/>
          <w:lang w:val="sr-Latn-RS"/>
        </w:rPr>
        <w:t xml:space="preserve"> (</w:t>
      </w:r>
      <w:r w:rsidR="00370E6D">
        <w:rPr>
          <w:rFonts w:cs="Segoe UI"/>
          <w:szCs w:val="22"/>
          <w:lang w:val="sr-Latn-RS"/>
        </w:rPr>
        <w:t>drugi</w:t>
      </w:r>
      <w:r>
        <w:rPr>
          <w:rFonts w:cs="Segoe UI"/>
          <w:szCs w:val="22"/>
          <w:lang w:val="sr-Latn-RS"/>
        </w:rPr>
        <w:t xml:space="preserve"> kvartal: 0,2</w:t>
      </w:r>
      <w:r w:rsidR="00370E6D">
        <w:rPr>
          <w:rFonts w:cs="Segoe UI"/>
          <w:szCs w:val="22"/>
          <w:lang w:val="sr-Latn-RS"/>
        </w:rPr>
        <w:t xml:space="preserve"> odsto</w:t>
      </w:r>
      <w:r>
        <w:rPr>
          <w:rFonts w:cs="Segoe UI"/>
          <w:szCs w:val="22"/>
          <w:lang w:val="sr-Latn-RS"/>
        </w:rPr>
        <w:t>). Devizni efekti su imali negativan uticaj od -1,1</w:t>
      </w:r>
      <w:r w:rsidR="00370E6D">
        <w:rPr>
          <w:rFonts w:cs="Segoe UI"/>
          <w:szCs w:val="22"/>
          <w:lang w:val="sr-Latn-RS"/>
        </w:rPr>
        <w:t xml:space="preserve"> odsto</w:t>
      </w:r>
      <w:r>
        <w:rPr>
          <w:rFonts w:cs="Segoe UI"/>
          <w:szCs w:val="22"/>
          <w:lang w:val="sr-Latn-RS"/>
        </w:rPr>
        <w:t xml:space="preserve"> na prodaju (</w:t>
      </w:r>
      <w:r w:rsidR="00370E6D">
        <w:rPr>
          <w:rFonts w:cs="Segoe UI"/>
          <w:szCs w:val="22"/>
          <w:lang w:val="sr-Latn-RS"/>
        </w:rPr>
        <w:t>drugi</w:t>
      </w:r>
      <w:r>
        <w:rPr>
          <w:rFonts w:cs="Segoe UI"/>
          <w:szCs w:val="22"/>
          <w:lang w:val="sr-Latn-RS"/>
        </w:rPr>
        <w:t xml:space="preserve"> kvartal: -1,9%). </w:t>
      </w:r>
      <w:r w:rsidR="00370E6D">
        <w:rPr>
          <w:rFonts w:cs="Segoe UI"/>
          <w:b/>
          <w:bCs/>
          <w:szCs w:val="22"/>
          <w:lang w:val="sr-Latn-RS"/>
        </w:rPr>
        <w:t xml:space="preserve">Korigovani </w:t>
      </w:r>
      <w:r>
        <w:rPr>
          <w:rFonts w:cs="Segoe UI"/>
          <w:b/>
          <w:bCs/>
          <w:szCs w:val="22"/>
          <w:lang w:val="sr-Latn-RS"/>
        </w:rPr>
        <w:t>operativn</w:t>
      </w:r>
      <w:r w:rsidR="00370E6D">
        <w:rPr>
          <w:rFonts w:cs="Segoe UI"/>
          <w:b/>
          <w:bCs/>
          <w:szCs w:val="22"/>
          <w:lang w:val="sr-Latn-RS"/>
        </w:rPr>
        <w:t>i</w:t>
      </w:r>
      <w:r>
        <w:rPr>
          <w:rFonts w:cs="Segoe UI"/>
          <w:b/>
          <w:bCs/>
          <w:szCs w:val="22"/>
          <w:lang w:val="sr-Latn-RS"/>
        </w:rPr>
        <w:t xml:space="preserve"> </w:t>
      </w:r>
      <w:r w:rsidR="00370E6D">
        <w:rPr>
          <w:rFonts w:cs="Segoe UI"/>
          <w:b/>
          <w:bCs/>
          <w:szCs w:val="22"/>
          <w:lang w:val="sr-Latn-RS"/>
        </w:rPr>
        <w:t>profit</w:t>
      </w:r>
      <w:r>
        <w:rPr>
          <w:rFonts w:cs="Segoe UI"/>
          <w:b/>
          <w:bCs/>
          <w:szCs w:val="22"/>
          <w:lang w:val="sr-Latn-RS"/>
        </w:rPr>
        <w:t xml:space="preserve"> (</w:t>
      </w:r>
      <w:r w:rsidR="00370E6D">
        <w:rPr>
          <w:rFonts w:cs="Segoe UI"/>
          <w:b/>
          <w:bCs/>
          <w:szCs w:val="22"/>
          <w:lang w:val="sr-Latn-RS"/>
        </w:rPr>
        <w:t>korigovani</w:t>
      </w:r>
      <w:r>
        <w:rPr>
          <w:rFonts w:cs="Segoe UI"/>
          <w:b/>
          <w:bCs/>
          <w:szCs w:val="22"/>
          <w:lang w:val="sr-Latn-RS"/>
        </w:rPr>
        <w:t xml:space="preserve"> EBIT)</w:t>
      </w:r>
      <w:r>
        <w:rPr>
          <w:rFonts w:cs="Segoe UI"/>
          <w:szCs w:val="22"/>
          <w:lang w:val="sr-Latn-RS"/>
        </w:rPr>
        <w:t xml:space="preserve"> smanji</w:t>
      </w:r>
      <w:r w:rsidR="00370E6D">
        <w:rPr>
          <w:rFonts w:cs="Segoe UI"/>
          <w:szCs w:val="22"/>
          <w:lang w:val="sr-Latn-RS"/>
        </w:rPr>
        <w:t>o se</w:t>
      </w:r>
      <w:r>
        <w:rPr>
          <w:rFonts w:cs="Segoe UI"/>
          <w:szCs w:val="22"/>
          <w:lang w:val="sr-Latn-RS"/>
        </w:rPr>
        <w:t xml:space="preserve"> za -27,5</w:t>
      </w:r>
      <w:r w:rsidR="00370E6D">
        <w:rPr>
          <w:rFonts w:cs="Segoe UI"/>
          <w:szCs w:val="22"/>
          <w:lang w:val="sr-Latn-RS"/>
        </w:rPr>
        <w:t xml:space="preserve"> odsto</w:t>
      </w:r>
      <w:r>
        <w:rPr>
          <w:rFonts w:cs="Segoe UI"/>
          <w:szCs w:val="22"/>
          <w:lang w:val="sr-Latn-RS"/>
        </w:rPr>
        <w:t xml:space="preserve">, sa 1.641 </w:t>
      </w:r>
      <w:r w:rsidR="00370E6D">
        <w:rPr>
          <w:rFonts w:cs="Segoe UI"/>
          <w:szCs w:val="22"/>
          <w:lang w:val="sr-Latn-RS"/>
        </w:rPr>
        <w:t>milijardu</w:t>
      </w:r>
      <w:r>
        <w:rPr>
          <w:rFonts w:cs="Segoe UI"/>
          <w:szCs w:val="22"/>
          <w:lang w:val="sr-Latn-RS"/>
        </w:rPr>
        <w:t xml:space="preserve"> </w:t>
      </w:r>
      <w:r w:rsidR="00370E6D">
        <w:rPr>
          <w:rFonts w:cs="Segoe UI"/>
          <w:szCs w:val="22"/>
          <w:lang w:val="sr-Latn-RS"/>
        </w:rPr>
        <w:t>evra</w:t>
      </w:r>
      <w:r>
        <w:rPr>
          <w:rFonts w:cs="Segoe UI"/>
          <w:szCs w:val="22"/>
          <w:lang w:val="sr-Latn-RS"/>
        </w:rPr>
        <w:t xml:space="preserve"> u prvoj polovini prošle godine na 1.191 m</w:t>
      </w:r>
      <w:r w:rsidR="00370E6D">
        <w:rPr>
          <w:rFonts w:cs="Segoe UI"/>
          <w:szCs w:val="22"/>
          <w:lang w:val="sr-Latn-RS"/>
        </w:rPr>
        <w:t>ilijardu</w:t>
      </w:r>
      <w:r>
        <w:rPr>
          <w:rFonts w:cs="Segoe UI"/>
          <w:szCs w:val="22"/>
          <w:lang w:val="sr-Latn-RS"/>
        </w:rPr>
        <w:t xml:space="preserve"> </w:t>
      </w:r>
      <w:r w:rsidR="00370E6D">
        <w:rPr>
          <w:rFonts w:cs="Segoe UI"/>
          <w:szCs w:val="22"/>
          <w:lang w:val="sr-Latn-RS"/>
        </w:rPr>
        <w:t>evra</w:t>
      </w:r>
      <w:r>
        <w:rPr>
          <w:rFonts w:cs="Segoe UI"/>
          <w:szCs w:val="22"/>
          <w:lang w:val="sr-Latn-RS"/>
        </w:rPr>
        <w:t xml:space="preserve"> u 2020. </w:t>
      </w:r>
      <w:r w:rsidR="00370E6D">
        <w:rPr>
          <w:rFonts w:cs="Segoe UI"/>
          <w:b/>
          <w:bCs/>
          <w:szCs w:val="22"/>
          <w:lang w:val="sr-Latn-RS"/>
        </w:rPr>
        <w:t>Korigovani</w:t>
      </w:r>
      <w:r>
        <w:rPr>
          <w:rFonts w:cs="Segoe UI"/>
          <w:b/>
          <w:bCs/>
          <w:szCs w:val="22"/>
          <w:lang w:val="sr-Latn-RS"/>
        </w:rPr>
        <w:t xml:space="preserve"> prinos od prodaje (</w:t>
      </w:r>
      <w:r w:rsidR="00370E6D">
        <w:rPr>
          <w:rFonts w:cs="Segoe UI"/>
          <w:b/>
          <w:bCs/>
          <w:szCs w:val="22"/>
          <w:lang w:val="sr-Latn-RS"/>
        </w:rPr>
        <w:t>korigovana</w:t>
      </w:r>
      <w:r>
        <w:rPr>
          <w:rFonts w:cs="Segoe UI"/>
          <w:b/>
          <w:bCs/>
          <w:szCs w:val="22"/>
          <w:lang w:val="sr-Latn-RS"/>
        </w:rPr>
        <w:t xml:space="preserve"> EBIT marža)</w:t>
      </w:r>
      <w:r>
        <w:rPr>
          <w:rFonts w:cs="Segoe UI"/>
          <w:szCs w:val="22"/>
          <w:lang w:val="sr-Latn-RS"/>
        </w:rPr>
        <w:t xml:space="preserve"> tokom prvih šest meseci dostig</w:t>
      </w:r>
      <w:r w:rsidR="00370E6D">
        <w:rPr>
          <w:rFonts w:cs="Segoe UI"/>
          <w:szCs w:val="22"/>
          <w:lang w:val="sr-Latn-RS"/>
        </w:rPr>
        <w:t>ao je</w:t>
      </w:r>
      <w:r>
        <w:rPr>
          <w:rFonts w:cs="Segoe UI"/>
          <w:szCs w:val="22"/>
          <w:lang w:val="sr-Latn-RS"/>
        </w:rPr>
        <w:t xml:space="preserve"> 12,6</w:t>
      </w:r>
      <w:r w:rsidR="00370E6D">
        <w:rPr>
          <w:rFonts w:cs="Segoe UI"/>
          <w:szCs w:val="22"/>
          <w:lang w:val="sr-Latn-RS"/>
        </w:rPr>
        <w:t xml:space="preserve"> odsto</w:t>
      </w:r>
      <w:r>
        <w:rPr>
          <w:rFonts w:cs="Segoe UI"/>
          <w:szCs w:val="22"/>
          <w:lang w:val="sr-Latn-RS"/>
        </w:rPr>
        <w:t>, 3,7</w:t>
      </w:r>
      <w:r w:rsidR="00370E6D">
        <w:rPr>
          <w:rFonts w:cs="Segoe UI"/>
          <w:szCs w:val="22"/>
          <w:lang w:val="sr-Latn-RS"/>
        </w:rPr>
        <w:t xml:space="preserve"> odsto</w:t>
      </w:r>
      <w:r>
        <w:rPr>
          <w:rFonts w:cs="Segoe UI"/>
          <w:szCs w:val="22"/>
          <w:lang w:val="sr-Latn-RS"/>
        </w:rPr>
        <w:t xml:space="preserve"> manje od prošle godine. </w:t>
      </w:r>
      <w:r w:rsidR="00370E6D">
        <w:rPr>
          <w:rFonts w:cs="Segoe UI"/>
          <w:b/>
          <w:bCs/>
          <w:szCs w:val="22"/>
          <w:lang w:val="sr-Latn-RS"/>
        </w:rPr>
        <w:t>Korigovani</w:t>
      </w:r>
      <w:r>
        <w:rPr>
          <w:rFonts w:cs="Segoe UI"/>
          <w:b/>
          <w:bCs/>
          <w:szCs w:val="22"/>
          <w:lang w:val="sr-Latn-RS"/>
        </w:rPr>
        <w:t xml:space="preserve"> </w:t>
      </w:r>
      <w:r w:rsidR="00370E6D">
        <w:rPr>
          <w:rFonts w:cs="Segoe UI"/>
          <w:b/>
          <w:bCs/>
          <w:szCs w:val="22"/>
          <w:lang w:val="sr-Latn-RS"/>
        </w:rPr>
        <w:t>prinos</w:t>
      </w:r>
      <w:r>
        <w:rPr>
          <w:rFonts w:cs="Segoe UI"/>
          <w:b/>
          <w:bCs/>
          <w:szCs w:val="22"/>
          <w:lang w:val="sr-Latn-RS"/>
        </w:rPr>
        <w:t xml:space="preserve"> po prioritetnoj akciji</w:t>
      </w:r>
      <w:r w:rsidR="007D3AC4">
        <w:rPr>
          <w:rFonts w:cs="Segoe UI"/>
          <w:szCs w:val="22"/>
          <w:lang w:val="sr-Latn-RS"/>
        </w:rPr>
        <w:t xml:space="preserve"> smanji</w:t>
      </w:r>
      <w:r w:rsidR="00370E6D">
        <w:rPr>
          <w:rFonts w:cs="Segoe UI"/>
          <w:szCs w:val="22"/>
          <w:lang w:val="sr-Latn-RS"/>
        </w:rPr>
        <w:t>o</w:t>
      </w:r>
      <w:r w:rsidR="007D3AC4">
        <w:rPr>
          <w:rFonts w:cs="Segoe UI"/>
          <w:szCs w:val="22"/>
          <w:lang w:val="sr-Latn-RS"/>
        </w:rPr>
        <w:t xml:space="preserve"> </w:t>
      </w:r>
      <w:r w:rsidR="00370E6D">
        <w:rPr>
          <w:rFonts w:cs="Segoe UI"/>
          <w:szCs w:val="22"/>
          <w:lang w:val="sr-Latn-RS"/>
        </w:rPr>
        <w:t xml:space="preserve">se </w:t>
      </w:r>
      <w:r w:rsidR="007D3AC4">
        <w:rPr>
          <w:rFonts w:cs="Segoe UI"/>
          <w:szCs w:val="22"/>
          <w:lang w:val="sr-Latn-RS"/>
        </w:rPr>
        <w:t>za 29,2</w:t>
      </w:r>
      <w:r w:rsidR="00370E6D">
        <w:rPr>
          <w:rFonts w:cs="Segoe UI"/>
          <w:szCs w:val="22"/>
          <w:lang w:val="sr-Latn-RS"/>
        </w:rPr>
        <w:t xml:space="preserve"> odsto</w:t>
      </w:r>
      <w:r w:rsidR="007D3AC4">
        <w:rPr>
          <w:rFonts w:cs="Segoe UI"/>
          <w:szCs w:val="22"/>
          <w:lang w:val="sr-Latn-RS"/>
        </w:rPr>
        <w:t xml:space="preserve">, sa 2,77 </w:t>
      </w:r>
      <w:r w:rsidR="00370E6D">
        <w:rPr>
          <w:rFonts w:cs="Segoe UI"/>
          <w:szCs w:val="22"/>
          <w:lang w:val="sr-Latn-RS"/>
        </w:rPr>
        <w:t>evra</w:t>
      </w:r>
      <w:r w:rsidR="007D3AC4">
        <w:rPr>
          <w:rFonts w:cs="Segoe UI"/>
          <w:szCs w:val="22"/>
          <w:lang w:val="sr-Latn-RS"/>
        </w:rPr>
        <w:t xml:space="preserve"> u prvoj polivini 2019. godine na 1,96 </w:t>
      </w:r>
      <w:r w:rsidR="00370E6D">
        <w:rPr>
          <w:rFonts w:cs="Segoe UI"/>
          <w:szCs w:val="22"/>
          <w:lang w:val="sr-Latn-RS"/>
        </w:rPr>
        <w:t>evra u ovoj godini</w:t>
      </w:r>
      <w:r w:rsidR="007D3AC4">
        <w:rPr>
          <w:rFonts w:cs="Segoe UI"/>
          <w:szCs w:val="22"/>
          <w:lang w:val="sr-Latn-RS"/>
        </w:rPr>
        <w:t xml:space="preserve">. Pri stalnim kursevima, </w:t>
      </w:r>
      <w:r w:rsidR="00370E6D">
        <w:rPr>
          <w:rFonts w:cs="Segoe UI"/>
          <w:szCs w:val="22"/>
          <w:lang w:val="sr-Latn-RS"/>
        </w:rPr>
        <w:t>korigovani prinos</w:t>
      </w:r>
      <w:r w:rsidR="007D3AC4">
        <w:rPr>
          <w:rFonts w:cs="Segoe UI"/>
          <w:szCs w:val="22"/>
          <w:lang w:val="sr-Latn-RS"/>
        </w:rPr>
        <w:t xml:space="preserve"> po prioritetnoj akciji smanji</w:t>
      </w:r>
      <w:r w:rsidR="00370E6D">
        <w:rPr>
          <w:rFonts w:cs="Segoe UI"/>
          <w:szCs w:val="22"/>
          <w:lang w:val="sr-Latn-RS"/>
        </w:rPr>
        <w:t>o se</w:t>
      </w:r>
      <w:r w:rsidR="007D3AC4">
        <w:rPr>
          <w:rFonts w:cs="Segoe UI"/>
          <w:szCs w:val="22"/>
          <w:lang w:val="sr-Latn-RS"/>
        </w:rPr>
        <w:t xml:space="preserve"> za 28,2</w:t>
      </w:r>
      <w:r w:rsidR="00370E6D">
        <w:rPr>
          <w:rFonts w:cs="Segoe UI"/>
          <w:szCs w:val="22"/>
          <w:lang w:val="sr-Latn-RS"/>
        </w:rPr>
        <w:t xml:space="preserve"> odsto</w:t>
      </w:r>
      <w:r w:rsidR="007D3AC4">
        <w:rPr>
          <w:rFonts w:cs="Segoe UI"/>
          <w:szCs w:val="22"/>
          <w:lang w:val="sr-Latn-RS"/>
        </w:rPr>
        <w:t xml:space="preserve">. </w:t>
      </w:r>
      <w:r w:rsidR="007D3AC4">
        <w:rPr>
          <w:rFonts w:cs="Segoe UI"/>
          <w:b/>
          <w:bCs/>
          <w:szCs w:val="22"/>
          <w:lang w:val="sr-Latn-RS"/>
        </w:rPr>
        <w:t>Neto obrtni kapital</w:t>
      </w:r>
      <w:r w:rsidR="007D3AC4">
        <w:rPr>
          <w:rFonts w:cs="Segoe UI"/>
          <w:szCs w:val="22"/>
          <w:lang w:val="sr-Latn-RS"/>
        </w:rPr>
        <w:t xml:space="preserve"> se </w:t>
      </w:r>
      <w:r w:rsidR="007D3AC4">
        <w:rPr>
          <w:rFonts w:cs="Segoe UI"/>
          <w:szCs w:val="22"/>
          <w:lang w:val="sr-Latn-RS"/>
        </w:rPr>
        <w:lastRenderedPageBreak/>
        <w:t>pobošljao, postižući 4,4</w:t>
      </w:r>
      <w:r w:rsidR="00370E6D">
        <w:rPr>
          <w:rFonts w:cs="Segoe UI"/>
          <w:szCs w:val="22"/>
          <w:lang w:val="sr-Latn-RS"/>
        </w:rPr>
        <w:t xml:space="preserve"> odsto </w:t>
      </w:r>
      <w:r w:rsidR="007D3AC4">
        <w:rPr>
          <w:rFonts w:cs="Segoe UI"/>
          <w:szCs w:val="22"/>
          <w:lang w:val="sr-Latn-RS"/>
        </w:rPr>
        <w:t>prodaje, značajno ispod prošlogodišnjeg perioda (6,7</w:t>
      </w:r>
      <w:r w:rsidR="00370E6D">
        <w:rPr>
          <w:rFonts w:cs="Segoe UI"/>
          <w:szCs w:val="22"/>
          <w:lang w:val="sr-Latn-RS"/>
        </w:rPr>
        <w:t xml:space="preserve"> odsto</w:t>
      </w:r>
      <w:r w:rsidR="007D3AC4">
        <w:rPr>
          <w:rFonts w:cs="Segoe UI"/>
          <w:szCs w:val="22"/>
          <w:lang w:val="sr-Latn-RS"/>
        </w:rPr>
        <w:t>).</w:t>
      </w:r>
      <w:r w:rsidR="00370E6D">
        <w:rPr>
          <w:rFonts w:cs="Segoe UI"/>
          <w:szCs w:val="22"/>
          <w:lang w:val="sr-Latn-RS"/>
        </w:rPr>
        <w:t xml:space="preserve"> </w:t>
      </w:r>
      <w:r w:rsidR="007D3AC4">
        <w:rPr>
          <w:rFonts w:cs="Segoe UI"/>
          <w:b/>
          <w:szCs w:val="22"/>
          <w:lang w:val="sr-Latn-RS"/>
        </w:rPr>
        <w:t xml:space="preserve">Slobodni </w:t>
      </w:r>
      <w:r w:rsidR="00370E6D">
        <w:rPr>
          <w:rFonts w:cs="Segoe UI"/>
          <w:b/>
          <w:szCs w:val="22"/>
          <w:lang w:val="sr-Latn-RS"/>
        </w:rPr>
        <w:t>protok novca</w:t>
      </w:r>
      <w:r w:rsidR="007D3AC4">
        <w:rPr>
          <w:rFonts w:cs="Segoe UI"/>
          <w:bCs/>
          <w:szCs w:val="22"/>
          <w:lang w:val="sr-Latn-RS"/>
        </w:rPr>
        <w:t xml:space="preserve"> </w:t>
      </w:r>
      <w:r w:rsidR="00370E6D">
        <w:rPr>
          <w:rFonts w:cs="Segoe UI"/>
          <w:bCs/>
          <w:szCs w:val="22"/>
          <w:lang w:val="sr-Latn-RS"/>
        </w:rPr>
        <w:t>ostao je</w:t>
      </w:r>
      <w:r w:rsidR="007D3AC4">
        <w:rPr>
          <w:rFonts w:cs="Segoe UI"/>
          <w:bCs/>
          <w:szCs w:val="22"/>
          <w:lang w:val="sr-Latn-RS"/>
        </w:rPr>
        <w:t xml:space="preserve"> veoma snažan, dostižući 938 miliona </w:t>
      </w:r>
      <w:r w:rsidR="00370E6D">
        <w:rPr>
          <w:rFonts w:cs="Segoe UI"/>
          <w:bCs/>
          <w:szCs w:val="22"/>
          <w:lang w:val="sr-Latn-RS"/>
        </w:rPr>
        <w:t>evra</w:t>
      </w:r>
      <w:r w:rsidR="007D3AC4">
        <w:rPr>
          <w:rFonts w:cs="Segoe UI"/>
          <w:bCs/>
          <w:szCs w:val="22"/>
          <w:lang w:val="sr-Latn-RS"/>
        </w:rPr>
        <w:t xml:space="preserve"> tokom prve polovine 2020. godine (prva polovina 2019. godine: 990 miliona </w:t>
      </w:r>
      <w:r w:rsidR="00370E6D">
        <w:rPr>
          <w:rFonts w:cs="Segoe UI"/>
          <w:bCs/>
          <w:szCs w:val="22"/>
          <w:lang w:val="sr-Latn-RS"/>
        </w:rPr>
        <w:t>evra</w:t>
      </w:r>
      <w:r w:rsidR="007D3AC4">
        <w:rPr>
          <w:rFonts w:cs="Segoe UI"/>
          <w:bCs/>
          <w:szCs w:val="22"/>
          <w:lang w:val="sr-Latn-RS"/>
        </w:rPr>
        <w:t xml:space="preserve">). Na dan 30. jun 2020. godine, </w:t>
      </w:r>
      <w:r w:rsidR="007D3AC4">
        <w:rPr>
          <w:rFonts w:cs="Segoe UI"/>
          <w:b/>
          <w:szCs w:val="22"/>
          <w:lang w:val="sr-Latn-RS"/>
        </w:rPr>
        <w:t>neto finansijska pozicija</w:t>
      </w:r>
      <w:r w:rsidR="007D3AC4">
        <w:rPr>
          <w:rFonts w:cs="Segoe UI"/>
          <w:bCs/>
          <w:szCs w:val="22"/>
          <w:lang w:val="sr-Latn-RS"/>
        </w:rPr>
        <w:t xml:space="preserve"> Henkel dostigla</w:t>
      </w:r>
      <w:r w:rsidR="004A033F">
        <w:rPr>
          <w:rFonts w:cs="Segoe UI"/>
          <w:bCs/>
          <w:szCs w:val="22"/>
          <w:lang w:val="sr-Latn-RS"/>
        </w:rPr>
        <w:t xml:space="preserve"> </w:t>
      </w:r>
      <w:r w:rsidR="007D3AC4">
        <w:rPr>
          <w:rFonts w:cs="Segoe UI"/>
          <w:bCs/>
          <w:szCs w:val="22"/>
          <w:lang w:val="sr-Latn-RS"/>
        </w:rPr>
        <w:t xml:space="preserve"> -1.951 m</w:t>
      </w:r>
      <w:r w:rsidR="004A033F">
        <w:rPr>
          <w:rFonts w:cs="Segoe UI"/>
          <w:bCs/>
          <w:szCs w:val="22"/>
          <w:lang w:val="sr-Latn-RS"/>
        </w:rPr>
        <w:t>ilijardu</w:t>
      </w:r>
      <w:r w:rsidR="007D3AC4">
        <w:rPr>
          <w:rFonts w:cs="Segoe UI"/>
          <w:bCs/>
          <w:szCs w:val="22"/>
          <w:lang w:val="sr-Latn-RS"/>
        </w:rPr>
        <w:t xml:space="preserve"> </w:t>
      </w:r>
      <w:r w:rsidR="004A033F">
        <w:rPr>
          <w:rFonts w:cs="Segoe UI"/>
          <w:bCs/>
          <w:szCs w:val="22"/>
          <w:lang w:val="sr-Latn-RS"/>
        </w:rPr>
        <w:t>evra</w:t>
      </w:r>
      <w:r w:rsidR="007D3AC4">
        <w:rPr>
          <w:rFonts w:cs="Segoe UI"/>
          <w:bCs/>
          <w:szCs w:val="22"/>
          <w:lang w:val="sr-Latn-RS"/>
        </w:rPr>
        <w:t xml:space="preserve"> (31. decembra 2019. godine: -2.047 mil</w:t>
      </w:r>
      <w:r w:rsidR="004A033F">
        <w:rPr>
          <w:rFonts w:cs="Segoe UI"/>
          <w:bCs/>
          <w:szCs w:val="22"/>
          <w:lang w:val="sr-Latn-RS"/>
        </w:rPr>
        <w:t>ijarde</w:t>
      </w:r>
      <w:r w:rsidR="007D3AC4">
        <w:rPr>
          <w:rFonts w:cs="Segoe UI"/>
          <w:bCs/>
          <w:szCs w:val="22"/>
          <w:lang w:val="sr-Latn-RS"/>
        </w:rPr>
        <w:t xml:space="preserve"> </w:t>
      </w:r>
      <w:r w:rsidR="004A033F">
        <w:rPr>
          <w:rFonts w:cs="Segoe UI"/>
          <w:bCs/>
          <w:szCs w:val="22"/>
          <w:lang w:val="sr-Latn-RS"/>
        </w:rPr>
        <w:t>evra</w:t>
      </w:r>
      <w:r w:rsidR="007D3AC4">
        <w:rPr>
          <w:rFonts w:cs="Segoe UI"/>
          <w:bCs/>
          <w:szCs w:val="22"/>
          <w:lang w:val="sr-Latn-RS"/>
        </w:rPr>
        <w:t xml:space="preserve">) – uprkos isplati dividende od oko 800 miliona </w:t>
      </w:r>
      <w:r w:rsidR="004A033F">
        <w:rPr>
          <w:rFonts w:cs="Segoe UI"/>
          <w:bCs/>
          <w:szCs w:val="22"/>
          <w:lang w:val="sr-Latn-RS"/>
        </w:rPr>
        <w:t>evra</w:t>
      </w:r>
      <w:r w:rsidR="007D3AC4">
        <w:rPr>
          <w:rFonts w:cs="Segoe UI"/>
          <w:bCs/>
          <w:szCs w:val="22"/>
          <w:lang w:val="sr-Latn-RS"/>
        </w:rPr>
        <w:t xml:space="preserve"> tokom drugog kvartala.</w:t>
      </w:r>
    </w:p>
    <w:p w14:paraId="34140740" w14:textId="77777777" w:rsidR="00846017" w:rsidRPr="007E7A47" w:rsidRDefault="00846017" w:rsidP="00846017">
      <w:pPr>
        <w:rPr>
          <w:rFonts w:cs="Segoe UI"/>
          <w:b/>
          <w:szCs w:val="22"/>
          <w:lang w:val="sr-Latn-RS"/>
        </w:rPr>
      </w:pPr>
    </w:p>
    <w:p w14:paraId="7F66DF8A" w14:textId="2AC79362" w:rsidR="00846017" w:rsidRPr="007E7A47" w:rsidRDefault="007D3AC4" w:rsidP="007D3AC4">
      <w:pPr>
        <w:spacing w:after="120"/>
        <w:rPr>
          <w:rFonts w:cs="Segoe UI"/>
          <w:szCs w:val="22"/>
          <w:lang w:val="sr-Latn-RS"/>
        </w:rPr>
      </w:pPr>
      <w:r>
        <w:rPr>
          <w:rFonts w:cs="Segoe UI"/>
          <w:b/>
          <w:szCs w:val="22"/>
          <w:lang w:val="sr-Latn-RS"/>
        </w:rPr>
        <w:t xml:space="preserve">Plan </w:t>
      </w:r>
      <w:r w:rsidR="004A033F">
        <w:rPr>
          <w:rFonts w:cs="Segoe UI"/>
          <w:b/>
          <w:szCs w:val="22"/>
          <w:lang w:val="sr-Latn-RS"/>
        </w:rPr>
        <w:t>svrsishodnog rasta</w:t>
      </w:r>
      <w:r>
        <w:rPr>
          <w:rFonts w:cs="Segoe UI"/>
          <w:b/>
          <w:szCs w:val="22"/>
          <w:lang w:val="sr-Latn-RS"/>
        </w:rPr>
        <w:t>: Implementacija novog strateškog okvira</w:t>
      </w:r>
    </w:p>
    <w:p w14:paraId="272163A3" w14:textId="2AC1BAC8" w:rsidR="007451D3" w:rsidRDefault="007451D3" w:rsidP="00846017">
      <w:pPr>
        <w:autoSpaceDE w:val="0"/>
        <w:autoSpaceDN w:val="0"/>
        <w:adjustRightInd w:val="0"/>
        <w:rPr>
          <w:rFonts w:cs="Segoe UI"/>
          <w:szCs w:val="22"/>
          <w:lang w:val="sr-Latn-RS"/>
        </w:rPr>
      </w:pPr>
      <w:r>
        <w:rPr>
          <w:rFonts w:cs="Segoe UI"/>
          <w:szCs w:val="22"/>
          <w:lang w:val="sr-Latn-RS"/>
        </w:rPr>
        <w:t xml:space="preserve">Početkom marta 2020. godine, Henkel je predstavio plan rasta kompanije za naredne godine. Henkel je razvio jasan strateški okvir. Ovo uključuje: </w:t>
      </w:r>
      <w:r w:rsidR="004A033F" w:rsidRPr="004A033F">
        <w:rPr>
          <w:rFonts w:cs="Segoe UI"/>
          <w:szCs w:val="22"/>
          <w:lang w:val="sr-Latn-RS"/>
        </w:rPr>
        <w:t>pobednički portfolio, konkurentn</w:t>
      </w:r>
      <w:r w:rsidR="004A033F">
        <w:rPr>
          <w:rFonts w:cs="Segoe UI"/>
          <w:szCs w:val="22"/>
          <w:lang w:val="sr-Latn-RS"/>
        </w:rPr>
        <w:t>u</w:t>
      </w:r>
      <w:r w:rsidR="004A033F" w:rsidRPr="004A033F">
        <w:rPr>
          <w:rFonts w:cs="Segoe UI"/>
          <w:szCs w:val="22"/>
          <w:lang w:val="sr-Latn-RS"/>
        </w:rPr>
        <w:t xml:space="preserve"> prednost</w:t>
      </w:r>
      <w:r w:rsidR="004A033F">
        <w:rPr>
          <w:rFonts w:cs="Segoe UI"/>
          <w:szCs w:val="22"/>
          <w:lang w:val="sr-Latn-RS"/>
        </w:rPr>
        <w:t xml:space="preserve"> </w:t>
      </w:r>
      <w:r w:rsidR="004A033F" w:rsidRPr="004A033F">
        <w:rPr>
          <w:rFonts w:cs="Segoe UI"/>
          <w:szCs w:val="22"/>
          <w:lang w:val="sr-Latn-RS"/>
        </w:rPr>
        <w:t>u oblastima inovacija, održivost i digit</w:t>
      </w:r>
      <w:r w:rsidR="004A033F">
        <w:rPr>
          <w:rFonts w:cs="Segoe UI"/>
          <w:szCs w:val="22"/>
          <w:lang w:val="sr-Latn-RS"/>
        </w:rPr>
        <w:t>alizacije</w:t>
      </w:r>
      <w:r w:rsidR="004A033F" w:rsidRPr="004A033F">
        <w:rPr>
          <w:rFonts w:cs="Segoe UI"/>
          <w:szCs w:val="22"/>
          <w:lang w:val="sr-Latn-RS"/>
        </w:rPr>
        <w:t>,</w:t>
      </w:r>
      <w:r w:rsidR="004A033F">
        <w:rPr>
          <w:rFonts w:cs="Segoe UI"/>
          <w:szCs w:val="22"/>
          <w:lang w:val="sr-Latn-RS"/>
        </w:rPr>
        <w:t xml:space="preserve"> </w:t>
      </w:r>
      <w:r w:rsidR="004A033F" w:rsidRPr="004A033F">
        <w:rPr>
          <w:rFonts w:cs="Segoe UI"/>
          <w:szCs w:val="22"/>
          <w:lang w:val="sr-Latn-RS"/>
        </w:rPr>
        <w:t>operativn</w:t>
      </w:r>
      <w:r w:rsidR="004A033F">
        <w:rPr>
          <w:rFonts w:cs="Segoe UI"/>
          <w:szCs w:val="22"/>
          <w:lang w:val="sr-Latn-RS"/>
        </w:rPr>
        <w:t>e</w:t>
      </w:r>
      <w:r w:rsidR="004A033F" w:rsidRPr="004A033F">
        <w:rPr>
          <w:rFonts w:cs="Segoe UI"/>
          <w:szCs w:val="22"/>
          <w:lang w:val="sr-Latn-RS"/>
        </w:rPr>
        <w:t xml:space="preserve"> model</w:t>
      </w:r>
      <w:r w:rsidR="004A033F">
        <w:rPr>
          <w:rFonts w:cs="Segoe UI"/>
          <w:szCs w:val="22"/>
          <w:lang w:val="sr-Latn-RS"/>
        </w:rPr>
        <w:t>e</w:t>
      </w:r>
      <w:r w:rsidR="004A033F" w:rsidRPr="004A033F">
        <w:rPr>
          <w:rFonts w:cs="Segoe UI"/>
          <w:szCs w:val="22"/>
          <w:lang w:val="sr-Latn-RS"/>
        </w:rPr>
        <w:t xml:space="preserve"> spremn</w:t>
      </w:r>
      <w:r w:rsidR="004A033F">
        <w:rPr>
          <w:rFonts w:cs="Segoe UI"/>
          <w:szCs w:val="22"/>
          <w:lang w:val="sr-Latn-RS"/>
        </w:rPr>
        <w:t>e</w:t>
      </w:r>
      <w:r w:rsidR="004A033F" w:rsidRPr="004A033F">
        <w:rPr>
          <w:rFonts w:cs="Segoe UI"/>
          <w:szCs w:val="22"/>
          <w:lang w:val="sr-Latn-RS"/>
        </w:rPr>
        <w:t xml:space="preserve"> za budućnost, </w:t>
      </w:r>
      <w:r w:rsidR="004A033F">
        <w:rPr>
          <w:rFonts w:cs="Segoe UI"/>
          <w:szCs w:val="22"/>
          <w:lang w:val="sr-Latn-RS"/>
        </w:rPr>
        <w:t>kao i snažnu korporativnu kulturu</w:t>
      </w:r>
      <w:r>
        <w:rPr>
          <w:rFonts w:cs="Segoe UI"/>
          <w:szCs w:val="22"/>
          <w:lang w:val="sr-Latn-RS"/>
        </w:rPr>
        <w:t>. „Ovaj strateški okvir će nam pomoći da pobedimo</w:t>
      </w:r>
      <w:r w:rsidR="004A033F">
        <w:rPr>
          <w:rFonts w:cs="Segoe UI"/>
          <w:szCs w:val="22"/>
          <w:lang w:val="sr-Latn-RS"/>
        </w:rPr>
        <w:t xml:space="preserve"> </w:t>
      </w:r>
      <w:r w:rsidR="00046D02">
        <w:rPr>
          <w:rFonts w:cs="Segoe UI"/>
          <w:szCs w:val="22"/>
          <w:lang w:val="sr-Latn-RS"/>
        </w:rPr>
        <w:t xml:space="preserve">ovu </w:t>
      </w:r>
      <w:r w:rsidR="004A033F">
        <w:rPr>
          <w:rFonts w:cs="Segoe UI"/>
          <w:szCs w:val="22"/>
          <w:lang w:val="sr-Latn-RS"/>
        </w:rPr>
        <w:t xml:space="preserve">deceniju </w:t>
      </w:r>
      <w:r w:rsidR="00046D02">
        <w:rPr>
          <w:rFonts w:cs="Segoe UI"/>
          <w:szCs w:val="22"/>
          <w:lang w:val="sr-Latn-RS"/>
        </w:rPr>
        <w:t>za Henkel</w:t>
      </w:r>
      <w:r>
        <w:rPr>
          <w:rFonts w:cs="Segoe UI"/>
          <w:szCs w:val="22"/>
          <w:lang w:val="sr-Latn-RS"/>
        </w:rPr>
        <w:t xml:space="preserve">, sa jasnim fokusom </w:t>
      </w:r>
      <w:r w:rsidR="00046D02">
        <w:rPr>
          <w:rFonts w:cs="Segoe UI"/>
          <w:szCs w:val="22"/>
          <w:lang w:val="sr-Latn-RS"/>
        </w:rPr>
        <w:t>na svrsishodnom rastu</w:t>
      </w:r>
      <w:r>
        <w:rPr>
          <w:rFonts w:cs="Segoe UI"/>
          <w:szCs w:val="22"/>
          <w:lang w:val="sr-Latn-RS"/>
        </w:rPr>
        <w:t xml:space="preserve">,“ objašnjava Karsten Knobel. „Od najave u martu, </w:t>
      </w:r>
      <w:r w:rsidR="00046D02">
        <w:rPr>
          <w:rFonts w:cs="Segoe UI"/>
          <w:szCs w:val="22"/>
          <w:lang w:val="sr-Latn-RS"/>
        </w:rPr>
        <w:t>već smo postigli</w:t>
      </w:r>
      <w:r>
        <w:rPr>
          <w:rFonts w:cs="Segoe UI"/>
          <w:szCs w:val="22"/>
          <w:lang w:val="sr-Latn-RS"/>
        </w:rPr>
        <w:t xml:space="preserve"> napredak u </w:t>
      </w:r>
      <w:r w:rsidR="00046D02">
        <w:rPr>
          <w:rFonts w:cs="Segoe UI"/>
          <w:szCs w:val="22"/>
          <w:lang w:val="sr-Latn-RS"/>
        </w:rPr>
        <w:t>iniciranju</w:t>
      </w:r>
      <w:r>
        <w:rPr>
          <w:rFonts w:cs="Segoe UI"/>
          <w:szCs w:val="22"/>
          <w:lang w:val="sr-Latn-RS"/>
        </w:rPr>
        <w:t xml:space="preserve"> prvih radnji i sprovođenju mera“.</w:t>
      </w:r>
    </w:p>
    <w:p w14:paraId="4F2ADDAA" w14:textId="77777777" w:rsidR="00846017" w:rsidRPr="007E7A47" w:rsidRDefault="00846017" w:rsidP="00846017">
      <w:pPr>
        <w:rPr>
          <w:rFonts w:cs="Segoe UI"/>
          <w:szCs w:val="22"/>
          <w:lang w:val="sr-Latn-RS" w:eastAsia="de-DE"/>
        </w:rPr>
      </w:pPr>
    </w:p>
    <w:p w14:paraId="76602E9F" w14:textId="179BC761" w:rsidR="007451D3" w:rsidRPr="007451D3" w:rsidRDefault="007451D3" w:rsidP="00A61481">
      <w:pPr>
        <w:autoSpaceDE w:val="0"/>
        <w:autoSpaceDN w:val="0"/>
        <w:adjustRightInd w:val="0"/>
        <w:rPr>
          <w:rFonts w:cs="Segoe UI"/>
          <w:bCs/>
          <w:szCs w:val="22"/>
          <w:lang w:val="sr-Latn-RS"/>
        </w:rPr>
      </w:pPr>
      <w:r>
        <w:rPr>
          <w:rFonts w:cs="Segoe UI"/>
          <w:bCs/>
          <w:szCs w:val="22"/>
          <w:lang w:val="sr-Latn-RS"/>
        </w:rPr>
        <w:t xml:space="preserve">Ključni element budućeg </w:t>
      </w:r>
      <w:r w:rsidR="00046D02">
        <w:rPr>
          <w:rFonts w:cs="Segoe UI"/>
          <w:bCs/>
          <w:szCs w:val="22"/>
          <w:lang w:val="sr-Latn-RS"/>
        </w:rPr>
        <w:t>puta</w:t>
      </w:r>
      <w:r>
        <w:rPr>
          <w:rFonts w:cs="Segoe UI"/>
          <w:bCs/>
          <w:szCs w:val="22"/>
          <w:lang w:val="sr-Latn-RS"/>
        </w:rPr>
        <w:t xml:space="preserve"> </w:t>
      </w:r>
      <w:r w:rsidR="00046D02">
        <w:rPr>
          <w:rFonts w:cs="Segoe UI"/>
          <w:bCs/>
          <w:szCs w:val="22"/>
          <w:lang w:val="sr-Latn-RS"/>
        </w:rPr>
        <w:t xml:space="preserve">kompanije </w:t>
      </w:r>
      <w:r>
        <w:rPr>
          <w:rFonts w:cs="Segoe UI"/>
          <w:bCs/>
          <w:szCs w:val="22"/>
          <w:lang w:val="sr-Latn-RS"/>
        </w:rPr>
        <w:t xml:space="preserve">Henkel je </w:t>
      </w:r>
      <w:r>
        <w:rPr>
          <w:rFonts w:cs="Segoe UI"/>
          <w:b/>
          <w:szCs w:val="22"/>
          <w:lang w:val="sr-Latn-RS"/>
        </w:rPr>
        <w:t>aktivno upravljanje portofolijem</w:t>
      </w:r>
      <w:r>
        <w:rPr>
          <w:rFonts w:cs="Segoe UI"/>
          <w:bCs/>
          <w:szCs w:val="22"/>
          <w:lang w:val="sr-Latn-RS"/>
        </w:rPr>
        <w:t>. Henkel je identifikivao b</w:t>
      </w:r>
      <w:r w:rsidR="00E077AB">
        <w:rPr>
          <w:rFonts w:cs="Segoe UI"/>
          <w:bCs/>
          <w:szCs w:val="22"/>
          <w:lang w:val="sr-Latn-RS"/>
        </w:rPr>
        <w:t xml:space="preserve">rendove i kategorije sa ukupnom </w:t>
      </w:r>
      <w:r>
        <w:rPr>
          <w:rFonts w:cs="Segoe UI"/>
          <w:bCs/>
          <w:szCs w:val="22"/>
          <w:lang w:val="sr-Latn-RS"/>
        </w:rPr>
        <w:t>prodaj</w:t>
      </w:r>
      <w:r w:rsidR="00E077AB">
        <w:rPr>
          <w:rFonts w:cs="Segoe UI"/>
          <w:bCs/>
          <w:szCs w:val="22"/>
          <w:lang w:val="sr-Latn-RS"/>
        </w:rPr>
        <w:t>om</w:t>
      </w:r>
      <w:r>
        <w:rPr>
          <w:rFonts w:cs="Segoe UI"/>
          <w:bCs/>
          <w:szCs w:val="22"/>
          <w:lang w:val="sr-Latn-RS"/>
        </w:rPr>
        <w:t xml:space="preserve"> od preko milijardu evra, prve</w:t>
      </w:r>
      <w:r w:rsidR="00D71417">
        <w:rPr>
          <w:rFonts w:cs="Segoe UI"/>
          <w:bCs/>
          <w:szCs w:val="22"/>
          <w:lang w:val="sr-Latn-RS"/>
        </w:rPr>
        <w:t>n</w:t>
      </w:r>
      <w:r>
        <w:rPr>
          <w:rFonts w:cs="Segoe UI"/>
          <w:bCs/>
          <w:szCs w:val="22"/>
          <w:lang w:val="sr-Latn-RS"/>
        </w:rPr>
        <w:t xml:space="preserve">stveno </w:t>
      </w:r>
      <w:r w:rsidR="00046D02">
        <w:rPr>
          <w:rFonts w:cs="Segoe UI"/>
          <w:bCs/>
          <w:szCs w:val="22"/>
          <w:lang w:val="sr-Latn-RS"/>
        </w:rPr>
        <w:t>robi široke potrošnje</w:t>
      </w:r>
      <w:r>
        <w:rPr>
          <w:rFonts w:cs="Segoe UI"/>
          <w:bCs/>
          <w:szCs w:val="22"/>
          <w:lang w:val="sr-Latn-RS"/>
        </w:rPr>
        <w:t>, od čega je oko 50</w:t>
      </w:r>
      <w:r w:rsidR="00046D02">
        <w:rPr>
          <w:rFonts w:cs="Segoe UI"/>
          <w:bCs/>
          <w:szCs w:val="22"/>
          <w:lang w:val="sr-Latn-RS"/>
        </w:rPr>
        <w:t xml:space="preserve"> odsto</w:t>
      </w:r>
      <w:r>
        <w:rPr>
          <w:rFonts w:cs="Segoe UI"/>
          <w:bCs/>
          <w:szCs w:val="22"/>
          <w:lang w:val="sr-Latn-RS"/>
        </w:rPr>
        <w:t xml:space="preserve"> označeno</w:t>
      </w:r>
      <w:r w:rsidR="00D71417">
        <w:rPr>
          <w:rFonts w:cs="Segoe UI"/>
          <w:bCs/>
          <w:szCs w:val="22"/>
          <w:lang w:val="sr-Latn-RS"/>
        </w:rPr>
        <w:t xml:space="preserve"> za prodaju ili obustavu do kraja 2021.</w:t>
      </w:r>
      <w:r w:rsidR="00046D02">
        <w:rPr>
          <w:rFonts w:cs="Segoe UI"/>
          <w:bCs/>
          <w:szCs w:val="22"/>
          <w:lang w:val="sr-Latn-RS"/>
        </w:rPr>
        <w:t xml:space="preserve"> godine</w:t>
      </w:r>
    </w:p>
    <w:p w14:paraId="25FDAC71" w14:textId="77777777" w:rsidR="00C04220" w:rsidRPr="007E7A47" w:rsidRDefault="00C04220" w:rsidP="00A61481">
      <w:pPr>
        <w:autoSpaceDE w:val="0"/>
        <w:autoSpaceDN w:val="0"/>
        <w:adjustRightInd w:val="0"/>
        <w:rPr>
          <w:rFonts w:cs="Segoe UI"/>
          <w:bCs/>
          <w:szCs w:val="22"/>
          <w:lang w:val="sr-Latn-RS"/>
        </w:rPr>
      </w:pPr>
    </w:p>
    <w:p w14:paraId="70147D67" w14:textId="095316E4" w:rsidR="00D71417" w:rsidRPr="00D71417" w:rsidRDefault="00846017" w:rsidP="00A61481">
      <w:pPr>
        <w:autoSpaceDE w:val="0"/>
        <w:autoSpaceDN w:val="0"/>
        <w:adjustRightInd w:val="0"/>
        <w:rPr>
          <w:rFonts w:cs="Segoe UI"/>
          <w:bCs/>
          <w:szCs w:val="22"/>
          <w:lang w:val="sr-Latn-RS"/>
        </w:rPr>
      </w:pPr>
      <w:r w:rsidRPr="007E7A47">
        <w:rPr>
          <w:rFonts w:cs="Segoe UI"/>
          <w:bCs/>
          <w:szCs w:val="22"/>
          <w:lang w:val="sr-Latn-RS"/>
        </w:rPr>
        <w:t xml:space="preserve">Henkel </w:t>
      </w:r>
      <w:r w:rsidR="00D71417">
        <w:rPr>
          <w:rFonts w:cs="Segoe UI"/>
          <w:bCs/>
          <w:szCs w:val="22"/>
          <w:lang w:val="sr-Latn-RS"/>
        </w:rPr>
        <w:t xml:space="preserve">teži ubrzavanju značajnih </w:t>
      </w:r>
      <w:r w:rsidR="00D71417">
        <w:rPr>
          <w:rFonts w:cs="Segoe UI"/>
          <w:b/>
          <w:szCs w:val="22"/>
          <w:lang w:val="sr-Latn-RS"/>
        </w:rPr>
        <w:t>inovacija</w:t>
      </w:r>
      <w:r w:rsidR="00D71417">
        <w:rPr>
          <w:rFonts w:cs="Segoe UI"/>
          <w:bCs/>
          <w:szCs w:val="22"/>
          <w:lang w:val="sr-Latn-RS"/>
        </w:rPr>
        <w:t xml:space="preserve">, podržanih povećanim ulaganjima. Ovo uključuje unapređeni </w:t>
      </w:r>
      <w:r w:rsidR="00D71417">
        <w:rPr>
          <w:rFonts w:cs="Segoe UI"/>
          <w:b/>
          <w:szCs w:val="22"/>
          <w:lang w:val="sr-Latn-RS"/>
        </w:rPr>
        <w:t>pristup inovacij</w:t>
      </w:r>
      <w:r w:rsidR="00046D02">
        <w:rPr>
          <w:rFonts w:cs="Segoe UI"/>
          <w:b/>
          <w:szCs w:val="22"/>
          <w:lang w:val="sr-Latn-RS"/>
        </w:rPr>
        <w:t>ama</w:t>
      </w:r>
      <w:r w:rsidR="00D71417">
        <w:rPr>
          <w:rFonts w:cs="Segoe UI"/>
          <w:bCs/>
          <w:szCs w:val="22"/>
          <w:lang w:val="sr-Latn-RS"/>
        </w:rPr>
        <w:t xml:space="preserve">. Inovacije i brendovi su podržani stalnim ulaganjima u ključne kategorije i regije. Stoga, Henkel je posvećen </w:t>
      </w:r>
      <w:r w:rsidR="00046D02" w:rsidRPr="00046D02">
        <w:rPr>
          <w:rFonts w:cs="Segoe UI"/>
          <w:b/>
          <w:szCs w:val="22"/>
          <w:lang w:val="sr-Latn-RS"/>
        </w:rPr>
        <w:t>sve većim</w:t>
      </w:r>
      <w:r w:rsidR="00D71417">
        <w:rPr>
          <w:rFonts w:cs="Segoe UI"/>
          <w:b/>
          <w:szCs w:val="22"/>
          <w:lang w:val="sr-Latn-RS"/>
        </w:rPr>
        <w:t xml:space="preserve"> </w:t>
      </w:r>
      <w:r w:rsidR="00046D02">
        <w:rPr>
          <w:rFonts w:cs="Segoe UI"/>
          <w:b/>
          <w:szCs w:val="22"/>
          <w:lang w:val="sr-Latn-RS"/>
        </w:rPr>
        <w:t xml:space="preserve">daljim </w:t>
      </w:r>
      <w:r w:rsidR="00D71417">
        <w:rPr>
          <w:rFonts w:cs="Segoe UI"/>
          <w:b/>
          <w:szCs w:val="22"/>
          <w:lang w:val="sr-Latn-RS"/>
        </w:rPr>
        <w:t>ulaganjima</w:t>
      </w:r>
      <w:r w:rsidR="00D71417">
        <w:rPr>
          <w:rFonts w:cs="Segoe UI"/>
          <w:bCs/>
          <w:szCs w:val="22"/>
          <w:lang w:val="sr-Latn-RS"/>
        </w:rPr>
        <w:t xml:space="preserve"> u </w:t>
      </w:r>
      <w:r w:rsidR="00046D02">
        <w:rPr>
          <w:rFonts w:cs="Segoe UI"/>
          <w:bCs/>
          <w:szCs w:val="22"/>
          <w:lang w:val="sr-Latn-RS"/>
        </w:rPr>
        <w:t>oglašavanje</w:t>
      </w:r>
      <w:r w:rsidR="00D71417">
        <w:rPr>
          <w:rFonts w:cs="Segoe UI"/>
          <w:bCs/>
          <w:szCs w:val="22"/>
          <w:lang w:val="sr-Latn-RS"/>
        </w:rPr>
        <w:t>, digitalizaciju i IT. Tokom prvih šest meseci ove godine, i uprkos makroekonomskim izazovima, Henkel je povećao ova ulaganja dvocifrenim milionskim iznosom.</w:t>
      </w:r>
    </w:p>
    <w:p w14:paraId="022267E5" w14:textId="77777777" w:rsidR="00385438" w:rsidRPr="007E7A47" w:rsidRDefault="00385438" w:rsidP="00846017">
      <w:pPr>
        <w:autoSpaceDE w:val="0"/>
        <w:autoSpaceDN w:val="0"/>
        <w:adjustRightInd w:val="0"/>
        <w:rPr>
          <w:rFonts w:cs="Segoe UI"/>
          <w:bCs/>
          <w:szCs w:val="22"/>
          <w:lang w:val="sr-Latn-RS"/>
        </w:rPr>
      </w:pPr>
    </w:p>
    <w:p w14:paraId="3043F6CC" w14:textId="08E669C1" w:rsidR="00D71417" w:rsidRPr="00D71417" w:rsidRDefault="00D71417" w:rsidP="00F46B50">
      <w:pPr>
        <w:rPr>
          <w:rFonts w:cs="Segoe UI"/>
          <w:bCs/>
          <w:szCs w:val="22"/>
          <w:lang w:val="sr-Latn-RS"/>
        </w:rPr>
      </w:pPr>
      <w:r>
        <w:rPr>
          <w:rFonts w:cs="Segoe UI"/>
          <w:b/>
          <w:szCs w:val="22"/>
          <w:lang w:val="sr-Latn-RS"/>
        </w:rPr>
        <w:t>Održivost</w:t>
      </w:r>
      <w:r>
        <w:rPr>
          <w:rFonts w:cs="Segoe UI"/>
          <w:bCs/>
          <w:szCs w:val="22"/>
          <w:lang w:val="sr-Latn-RS"/>
        </w:rPr>
        <w:t xml:space="preserve"> je jedna od </w:t>
      </w:r>
      <w:r w:rsidR="00046D02">
        <w:rPr>
          <w:rFonts w:cs="Segoe UI"/>
          <w:bCs/>
          <w:szCs w:val="22"/>
          <w:lang w:val="sr-Latn-RS"/>
        </w:rPr>
        <w:t>snaga</w:t>
      </w:r>
      <w:r>
        <w:rPr>
          <w:rFonts w:cs="Segoe UI"/>
          <w:bCs/>
          <w:szCs w:val="22"/>
          <w:lang w:val="sr-Latn-RS"/>
        </w:rPr>
        <w:t xml:space="preserve"> kompanije Henkel. </w:t>
      </w:r>
      <w:r w:rsidR="00046D02">
        <w:rPr>
          <w:rFonts w:cs="Segoe UI"/>
          <w:bCs/>
          <w:szCs w:val="22"/>
          <w:lang w:val="sr-Latn-RS"/>
        </w:rPr>
        <w:t>Rejtinzi i rangiranja pokazuju da kompanija ima lidersku ulogu u ovoj oblasti</w:t>
      </w:r>
      <w:r>
        <w:rPr>
          <w:rFonts w:cs="Segoe UI"/>
          <w:bCs/>
          <w:szCs w:val="22"/>
          <w:lang w:val="sr-Latn-RS"/>
        </w:rPr>
        <w:t xml:space="preserve">. Stoga, Henkel teži da dodatno osnaži svoju lidersku poziciju u održivosti kao jasnu konkurentsku prednost. Kako bi dodatno ubrzao svoje napore, Henkel je definisao sledeće </w:t>
      </w:r>
      <w:r w:rsidR="00046D02">
        <w:rPr>
          <w:rFonts w:cs="Segoe UI"/>
          <w:bCs/>
          <w:szCs w:val="22"/>
          <w:lang w:val="sr-Latn-RS"/>
        </w:rPr>
        <w:t>prekretinice</w:t>
      </w:r>
      <w:r>
        <w:rPr>
          <w:rFonts w:cs="Segoe UI"/>
          <w:bCs/>
          <w:szCs w:val="22"/>
          <w:lang w:val="sr-Latn-RS"/>
        </w:rPr>
        <w:t xml:space="preserve"> i jasne ciljeve.  Jedan element je da postane klimatski pozitivna kompanija do 2040. godine.</w:t>
      </w:r>
    </w:p>
    <w:p w14:paraId="121533F9" w14:textId="62AFAE80" w:rsidR="00364F7E" w:rsidRPr="007E7A47" w:rsidRDefault="00364F7E" w:rsidP="00F46B50">
      <w:pPr>
        <w:rPr>
          <w:rFonts w:cs="Segoe UI"/>
          <w:bCs/>
          <w:szCs w:val="22"/>
          <w:lang w:val="sr-Latn-RS"/>
        </w:rPr>
      </w:pPr>
    </w:p>
    <w:p w14:paraId="01340D11" w14:textId="037D3D46" w:rsidR="00D71417" w:rsidRDefault="00D71417" w:rsidP="00ED3A18">
      <w:pPr>
        <w:autoSpaceDE w:val="0"/>
        <w:autoSpaceDN w:val="0"/>
        <w:adjustRightInd w:val="0"/>
        <w:rPr>
          <w:rFonts w:cs="Segoe UI"/>
          <w:bCs/>
          <w:szCs w:val="22"/>
          <w:lang w:val="sr-Latn-RS"/>
        </w:rPr>
      </w:pPr>
      <w:r>
        <w:rPr>
          <w:rFonts w:cs="Segoe UI"/>
          <w:bCs/>
          <w:szCs w:val="22"/>
          <w:lang w:val="sr-Latn-RS"/>
        </w:rPr>
        <w:t>Kao prva kompanija u svetu, Henkel je prvi izdao svoju obveznicu za smanjenje plastičnog otpada u junu 2020.</w:t>
      </w:r>
      <w:r w:rsidR="00046D02">
        <w:rPr>
          <w:rFonts w:cs="Segoe UI"/>
          <w:bCs/>
          <w:szCs w:val="22"/>
          <w:lang w:val="sr-Latn-RS"/>
        </w:rPr>
        <w:t xml:space="preserve"> godine.</w:t>
      </w:r>
      <w:r>
        <w:rPr>
          <w:rFonts w:cs="Segoe UI"/>
          <w:bCs/>
          <w:szCs w:val="22"/>
          <w:lang w:val="sr-Latn-RS"/>
        </w:rPr>
        <w:t xml:space="preserve"> Ovime je Henkel preduzeo još jedan korak u kombinovanju privlačnih korporativnih finansijskih instrumenata sa napretkom u održivosti. Prinosi od ove obveznice sa ukupnim </w:t>
      </w:r>
      <w:r w:rsidR="00E077AB">
        <w:rPr>
          <w:rFonts w:cs="Segoe UI"/>
          <w:bCs/>
          <w:szCs w:val="22"/>
          <w:lang w:val="sr-Latn-RS"/>
        </w:rPr>
        <w:t xml:space="preserve">iznosom </w:t>
      </w:r>
      <w:r>
        <w:rPr>
          <w:rFonts w:cs="Segoe UI"/>
          <w:bCs/>
          <w:szCs w:val="22"/>
          <w:lang w:val="sr-Latn-RS"/>
        </w:rPr>
        <w:t xml:space="preserve">od oko 100 miliona </w:t>
      </w:r>
      <w:r w:rsidR="00046D02">
        <w:rPr>
          <w:rFonts w:cs="Segoe UI"/>
          <w:bCs/>
          <w:szCs w:val="22"/>
          <w:lang w:val="sr-Latn-RS"/>
        </w:rPr>
        <w:t>evra</w:t>
      </w:r>
      <w:r>
        <w:rPr>
          <w:rFonts w:cs="Segoe UI"/>
          <w:bCs/>
          <w:szCs w:val="22"/>
          <w:lang w:val="sr-Latn-RS"/>
        </w:rPr>
        <w:t xml:space="preserve"> će se specifično dodeliti projektima i troškovima </w:t>
      </w:r>
      <w:r w:rsidR="00046D02">
        <w:rPr>
          <w:rFonts w:cs="Segoe UI"/>
          <w:bCs/>
          <w:szCs w:val="22"/>
          <w:lang w:val="sr-Latn-RS"/>
        </w:rPr>
        <w:t xml:space="preserve">u vezi </w:t>
      </w:r>
      <w:r>
        <w:rPr>
          <w:rFonts w:cs="Segoe UI"/>
          <w:bCs/>
          <w:szCs w:val="22"/>
          <w:lang w:val="sr-Latn-RS"/>
        </w:rPr>
        <w:t xml:space="preserve">sa aktivnostima kompanije Henkel </w:t>
      </w:r>
      <w:r w:rsidR="00046D02">
        <w:rPr>
          <w:rFonts w:cs="Segoe UI"/>
          <w:bCs/>
          <w:szCs w:val="22"/>
          <w:lang w:val="sr-Latn-RS"/>
        </w:rPr>
        <w:t>u</w:t>
      </w:r>
      <w:r>
        <w:rPr>
          <w:rFonts w:cs="Segoe UI"/>
          <w:bCs/>
          <w:szCs w:val="22"/>
          <w:lang w:val="sr-Latn-RS"/>
        </w:rPr>
        <w:t xml:space="preserve"> smanj</w:t>
      </w:r>
      <w:r w:rsidR="00046D02">
        <w:rPr>
          <w:rFonts w:cs="Segoe UI"/>
          <w:bCs/>
          <w:szCs w:val="22"/>
          <w:lang w:val="sr-Latn-RS"/>
        </w:rPr>
        <w:t>enju</w:t>
      </w:r>
      <w:r>
        <w:rPr>
          <w:rFonts w:cs="Segoe UI"/>
          <w:bCs/>
          <w:szCs w:val="22"/>
          <w:lang w:val="sr-Latn-RS"/>
        </w:rPr>
        <w:t xml:space="preserve"> plastičn</w:t>
      </w:r>
      <w:r w:rsidR="00046D02">
        <w:rPr>
          <w:rFonts w:cs="Segoe UI"/>
          <w:bCs/>
          <w:szCs w:val="22"/>
          <w:lang w:val="sr-Latn-RS"/>
        </w:rPr>
        <w:t>og</w:t>
      </w:r>
      <w:r>
        <w:rPr>
          <w:rFonts w:cs="Segoe UI"/>
          <w:bCs/>
          <w:szCs w:val="22"/>
          <w:lang w:val="sr-Latn-RS"/>
        </w:rPr>
        <w:t xml:space="preserve"> otpad</w:t>
      </w:r>
      <w:r w:rsidR="00046D02">
        <w:rPr>
          <w:rFonts w:cs="Segoe UI"/>
          <w:bCs/>
          <w:szCs w:val="22"/>
          <w:lang w:val="sr-Latn-RS"/>
        </w:rPr>
        <w:t>a</w:t>
      </w:r>
      <w:r>
        <w:rPr>
          <w:rFonts w:cs="Segoe UI"/>
          <w:bCs/>
          <w:szCs w:val="22"/>
          <w:lang w:val="sr-Latn-RS"/>
        </w:rPr>
        <w:t xml:space="preserve">. Obveznica </w:t>
      </w:r>
      <w:r>
        <w:rPr>
          <w:rFonts w:cs="Segoe UI"/>
          <w:bCs/>
          <w:szCs w:val="22"/>
          <w:lang w:val="sr-Latn-RS"/>
        </w:rPr>
        <w:lastRenderedPageBreak/>
        <w:t xml:space="preserve">naglašava posvećenost kompanije Henkel </w:t>
      </w:r>
      <w:r w:rsidR="00500C9E">
        <w:rPr>
          <w:rFonts w:cs="Segoe UI"/>
          <w:bCs/>
          <w:szCs w:val="22"/>
          <w:lang w:val="sr-Latn-RS"/>
        </w:rPr>
        <w:t>negovanju</w:t>
      </w:r>
      <w:r>
        <w:rPr>
          <w:rFonts w:cs="Segoe UI"/>
          <w:bCs/>
          <w:szCs w:val="22"/>
          <w:lang w:val="sr-Latn-RS"/>
        </w:rPr>
        <w:t xml:space="preserve"> cirkularn</w:t>
      </w:r>
      <w:r w:rsidR="00500C9E">
        <w:rPr>
          <w:rFonts w:cs="Segoe UI"/>
          <w:bCs/>
          <w:szCs w:val="22"/>
          <w:lang w:val="sr-Latn-RS"/>
        </w:rPr>
        <w:t>e</w:t>
      </w:r>
      <w:r>
        <w:rPr>
          <w:rFonts w:cs="Segoe UI"/>
          <w:bCs/>
          <w:szCs w:val="22"/>
          <w:lang w:val="sr-Latn-RS"/>
        </w:rPr>
        <w:t xml:space="preserve"> ekonomij</w:t>
      </w:r>
      <w:r w:rsidR="00500C9E">
        <w:rPr>
          <w:rFonts w:cs="Segoe UI"/>
          <w:bCs/>
          <w:szCs w:val="22"/>
          <w:lang w:val="sr-Latn-RS"/>
        </w:rPr>
        <w:t>e</w:t>
      </w:r>
      <w:r>
        <w:rPr>
          <w:rFonts w:cs="Segoe UI"/>
          <w:bCs/>
          <w:szCs w:val="22"/>
          <w:lang w:val="sr-Latn-RS"/>
        </w:rPr>
        <w:t xml:space="preserve"> i smanji</w:t>
      </w:r>
      <w:r w:rsidR="00500C9E">
        <w:rPr>
          <w:rFonts w:cs="Segoe UI"/>
          <w:bCs/>
          <w:szCs w:val="22"/>
          <w:lang w:val="sr-Latn-RS"/>
        </w:rPr>
        <w:t>vanju</w:t>
      </w:r>
      <w:r>
        <w:rPr>
          <w:rFonts w:cs="Segoe UI"/>
          <w:bCs/>
          <w:szCs w:val="22"/>
          <w:lang w:val="sr-Latn-RS"/>
        </w:rPr>
        <w:t xml:space="preserve"> plastičn</w:t>
      </w:r>
      <w:r w:rsidR="00500C9E">
        <w:rPr>
          <w:rFonts w:cs="Segoe UI"/>
          <w:bCs/>
          <w:szCs w:val="22"/>
          <w:lang w:val="sr-Latn-RS"/>
        </w:rPr>
        <w:t>og</w:t>
      </w:r>
      <w:r>
        <w:rPr>
          <w:rFonts w:cs="Segoe UI"/>
          <w:bCs/>
          <w:szCs w:val="22"/>
          <w:lang w:val="sr-Latn-RS"/>
        </w:rPr>
        <w:t xml:space="preserve"> otpad</w:t>
      </w:r>
      <w:r w:rsidR="00500C9E">
        <w:rPr>
          <w:rFonts w:cs="Segoe UI"/>
          <w:bCs/>
          <w:szCs w:val="22"/>
          <w:lang w:val="sr-Latn-RS"/>
        </w:rPr>
        <w:t>a</w:t>
      </w:r>
      <w:r>
        <w:rPr>
          <w:rFonts w:cs="Segoe UI"/>
          <w:bCs/>
          <w:szCs w:val="22"/>
          <w:lang w:val="sr-Latn-RS"/>
        </w:rPr>
        <w:t>, kao i održivim finansijama.</w:t>
      </w:r>
    </w:p>
    <w:p w14:paraId="08C65E7D" w14:textId="77777777" w:rsidR="00ED3A18" w:rsidRPr="007E7A47" w:rsidRDefault="00ED3A18" w:rsidP="00F46B50">
      <w:pPr>
        <w:rPr>
          <w:rFonts w:cs="Segoe UI"/>
          <w:bCs/>
          <w:szCs w:val="22"/>
          <w:lang w:val="sr-Latn-RS"/>
        </w:rPr>
      </w:pPr>
    </w:p>
    <w:p w14:paraId="10FBA2C4" w14:textId="7BDC86A6" w:rsidR="00500C9E" w:rsidRDefault="00846017" w:rsidP="00F46B50">
      <w:pPr>
        <w:rPr>
          <w:rFonts w:cs="Segoe UI"/>
          <w:bCs/>
          <w:szCs w:val="22"/>
          <w:lang w:val="sr-Latn-RS"/>
        </w:rPr>
      </w:pPr>
      <w:r w:rsidRPr="007E7A47">
        <w:rPr>
          <w:rFonts w:cs="Segoe UI"/>
          <w:bCs/>
          <w:szCs w:val="22"/>
          <w:lang w:val="sr-Latn-RS"/>
        </w:rPr>
        <w:t xml:space="preserve">Henkel </w:t>
      </w:r>
      <w:r w:rsidR="00500C9E">
        <w:rPr>
          <w:rFonts w:cs="Segoe UI"/>
          <w:bCs/>
          <w:szCs w:val="22"/>
          <w:lang w:val="sr-Latn-RS"/>
        </w:rPr>
        <w:t>je takođe proširio svoj alat za dizajniranje reciklaž</w:t>
      </w:r>
      <w:r w:rsidR="00046D02">
        <w:rPr>
          <w:rFonts w:cs="Segoe UI"/>
          <w:bCs/>
          <w:szCs w:val="22"/>
          <w:lang w:val="sr-Latn-RS"/>
        </w:rPr>
        <w:t>e</w:t>
      </w:r>
      <w:r w:rsidR="00500C9E">
        <w:rPr>
          <w:rFonts w:cs="Segoe UI"/>
          <w:bCs/>
          <w:szCs w:val="22"/>
          <w:lang w:val="sr-Latn-RS"/>
        </w:rPr>
        <w:t xml:space="preserve"> „EasyD4R“, koj</w:t>
      </w:r>
      <w:r w:rsidR="00046D02">
        <w:rPr>
          <w:rFonts w:cs="Segoe UI"/>
          <w:bCs/>
          <w:szCs w:val="22"/>
          <w:lang w:val="sr-Latn-RS"/>
        </w:rPr>
        <w:t>i</w:t>
      </w:r>
      <w:r w:rsidR="00500C9E">
        <w:rPr>
          <w:rFonts w:cs="Segoe UI"/>
          <w:bCs/>
          <w:szCs w:val="22"/>
          <w:lang w:val="sr-Latn-RS"/>
        </w:rPr>
        <w:t xml:space="preserve"> omoguć</w:t>
      </w:r>
      <w:r w:rsidR="00046D02">
        <w:rPr>
          <w:rFonts w:cs="Segoe UI"/>
          <w:bCs/>
          <w:szCs w:val="22"/>
          <w:lang w:val="sr-Latn-RS"/>
        </w:rPr>
        <w:t>ava</w:t>
      </w:r>
      <w:r w:rsidR="00500C9E">
        <w:rPr>
          <w:rFonts w:cs="Segoe UI"/>
          <w:bCs/>
          <w:szCs w:val="22"/>
          <w:lang w:val="sr-Latn-RS"/>
        </w:rPr>
        <w:t xml:space="preserve"> brzo i pouzdano procenjivanje mogućnosti recikliranja ambalaže rano tokom procesa razvoja. Softver, koji je </w:t>
      </w:r>
      <w:r w:rsidR="004670CF">
        <w:rPr>
          <w:rFonts w:cs="Segoe UI"/>
          <w:bCs/>
          <w:szCs w:val="22"/>
          <w:lang w:val="sr-Latn-RS"/>
        </w:rPr>
        <w:t>dostupan</w:t>
      </w:r>
      <w:r w:rsidR="00500C9E">
        <w:rPr>
          <w:rFonts w:cs="Segoe UI"/>
          <w:bCs/>
          <w:szCs w:val="22"/>
          <w:lang w:val="sr-Latn-RS"/>
        </w:rPr>
        <w:t xml:space="preserve"> drugim kompanijama i organizacijama, sada pokriva ne samo različite vrste plastične ambalaže, nego i materijale poput papira, stakla ili aluminijuma.</w:t>
      </w:r>
    </w:p>
    <w:p w14:paraId="1792FB5C" w14:textId="77777777" w:rsidR="00E41985" w:rsidRPr="007E7A47" w:rsidRDefault="00E41985" w:rsidP="00846017">
      <w:pPr>
        <w:rPr>
          <w:rFonts w:cs="Segoe UI"/>
          <w:szCs w:val="22"/>
          <w:lang w:val="sr-Latn-RS" w:eastAsia="de-DE"/>
        </w:rPr>
      </w:pPr>
    </w:p>
    <w:p w14:paraId="6012DCB7" w14:textId="401DF70E" w:rsidR="00B307E3" w:rsidRPr="00B307E3" w:rsidRDefault="00B307E3" w:rsidP="009F610E">
      <w:pPr>
        <w:rPr>
          <w:rFonts w:cs="Segoe UI"/>
          <w:szCs w:val="22"/>
          <w:lang w:val="sr-Latn-RS" w:eastAsia="de-DE"/>
        </w:rPr>
      </w:pPr>
      <w:r>
        <w:rPr>
          <w:rFonts w:cs="Segoe UI"/>
          <w:szCs w:val="22"/>
          <w:lang w:val="sr-Latn-RS" w:eastAsia="de-DE"/>
        </w:rPr>
        <w:t xml:space="preserve">Pored inovacije i održivosti, Henkel je definisao </w:t>
      </w:r>
      <w:r>
        <w:rPr>
          <w:rFonts w:cs="Segoe UI"/>
          <w:b/>
          <w:bCs/>
          <w:szCs w:val="22"/>
          <w:lang w:val="sr-Latn-RS" w:eastAsia="de-DE"/>
        </w:rPr>
        <w:t>digitalizaciju</w:t>
      </w:r>
      <w:r w:rsidR="00F16475">
        <w:rPr>
          <w:rFonts w:cs="Segoe UI"/>
          <w:szCs w:val="22"/>
          <w:lang w:val="sr-Latn-RS" w:eastAsia="de-DE"/>
        </w:rPr>
        <w:t xml:space="preserve"> kao ključan</w:t>
      </w:r>
      <w:r>
        <w:rPr>
          <w:rFonts w:cs="Segoe UI"/>
          <w:szCs w:val="22"/>
          <w:lang w:val="sr-Latn-RS" w:eastAsia="de-DE"/>
        </w:rPr>
        <w:t xml:space="preserve"> način za osnaživanje svoje konkurentnosti. Tokom prve polovine godine, Henkel je zabeležio snažan rast u digitalnoj prodaji od preko 60</w:t>
      </w:r>
      <w:r w:rsidR="004670CF">
        <w:rPr>
          <w:rFonts w:cs="Segoe UI"/>
          <w:szCs w:val="22"/>
          <w:lang w:val="sr-Latn-RS" w:eastAsia="de-DE"/>
        </w:rPr>
        <w:t xml:space="preserve"> odsto u</w:t>
      </w:r>
      <w:r>
        <w:rPr>
          <w:rFonts w:cs="Segoe UI"/>
          <w:szCs w:val="22"/>
          <w:lang w:val="sr-Latn-RS" w:eastAsia="de-DE"/>
        </w:rPr>
        <w:t xml:space="preserve"> sektorima Beauty Care i </w:t>
      </w:r>
      <w:r w:rsidR="004670CF">
        <w:rPr>
          <w:rFonts w:cs="Segoe UI"/>
          <w:szCs w:val="22"/>
          <w:lang w:val="sr-Latn-RS" w:eastAsia="de-DE"/>
        </w:rPr>
        <w:t>Deterdženti i kućna hemija, zajedno</w:t>
      </w:r>
      <w:r>
        <w:rPr>
          <w:rFonts w:cs="Segoe UI"/>
          <w:szCs w:val="22"/>
          <w:lang w:val="sr-Latn-RS" w:eastAsia="de-DE"/>
        </w:rPr>
        <w:t xml:space="preserve">. Za </w:t>
      </w:r>
      <w:r w:rsidR="004670CF">
        <w:rPr>
          <w:rFonts w:cs="Segoe UI"/>
          <w:szCs w:val="22"/>
          <w:lang w:val="sr-Latn-RS" w:eastAsia="de-DE"/>
        </w:rPr>
        <w:t>G</w:t>
      </w:r>
      <w:r>
        <w:rPr>
          <w:rFonts w:cs="Segoe UI"/>
          <w:szCs w:val="22"/>
          <w:lang w:val="sr-Latn-RS" w:eastAsia="de-DE"/>
        </w:rPr>
        <w:t>rupu, digitalni udeo u sveukupnoj prodaji se kreće između 13 i 19</w:t>
      </w:r>
      <w:r w:rsidR="004670CF">
        <w:rPr>
          <w:rFonts w:cs="Segoe UI"/>
          <w:szCs w:val="22"/>
          <w:lang w:val="sr-Latn-RS" w:eastAsia="de-DE"/>
        </w:rPr>
        <w:t xml:space="preserve"> odsto</w:t>
      </w:r>
      <w:r>
        <w:rPr>
          <w:rFonts w:cs="Segoe UI"/>
          <w:szCs w:val="22"/>
          <w:lang w:val="sr-Latn-RS" w:eastAsia="de-DE"/>
        </w:rPr>
        <w:t xml:space="preserve">. Sa svojom novom jedinicom „Digital Business“, Henkel želi da postane lider u digitalnom poslovanju u svojim industrijama i </w:t>
      </w:r>
      <w:r w:rsidR="004670CF">
        <w:rPr>
          <w:rFonts w:cs="Segoe UI"/>
          <w:szCs w:val="22"/>
          <w:lang w:val="sr-Latn-RS" w:eastAsia="de-DE"/>
        </w:rPr>
        <w:t>stvori</w:t>
      </w:r>
      <w:r>
        <w:rPr>
          <w:rFonts w:cs="Segoe UI"/>
          <w:szCs w:val="22"/>
          <w:lang w:val="sr-Latn-RS" w:eastAsia="de-DE"/>
        </w:rPr>
        <w:t xml:space="preserve"> opipljivu vrednost za svoje klijente. Stoga, krajem juna, Henkel je predstavio</w:t>
      </w:r>
      <w:r w:rsidR="008220D1">
        <w:rPr>
          <w:rFonts w:cs="Segoe UI"/>
          <w:szCs w:val="22"/>
          <w:lang w:val="sr-Latn-RS" w:eastAsia="de-DE"/>
        </w:rPr>
        <w:t xml:space="preserve"> novi operativni model za svoje digitalne i IT aktivnosti, i povezao je IT timove, stručnjake za digitalno poslovanje, vlasnike poslovnih procesa i platformu HenkelX Ventures, koju vodi </w:t>
      </w:r>
      <w:r w:rsidR="004670CF" w:rsidRPr="004670CF">
        <w:rPr>
          <w:rFonts w:cs="Segoe UI"/>
          <w:szCs w:val="22"/>
          <w:lang w:val="sr-Latn-RS" w:eastAsia="de-DE"/>
        </w:rPr>
        <w:t>izvršni direktor za digitalne i informacione tehnologije</w:t>
      </w:r>
      <w:r w:rsidR="004670CF">
        <w:rPr>
          <w:rFonts w:cs="Segoe UI"/>
          <w:szCs w:val="22"/>
          <w:lang w:val="sr-Latn-RS" w:eastAsia="de-DE"/>
        </w:rPr>
        <w:t>, kompanije Henkel.</w:t>
      </w:r>
    </w:p>
    <w:p w14:paraId="65855E0D" w14:textId="77777777" w:rsidR="00846017" w:rsidRPr="007E7A47" w:rsidRDefault="00846017" w:rsidP="00846017">
      <w:pPr>
        <w:rPr>
          <w:rFonts w:cs="Segoe UI"/>
          <w:szCs w:val="22"/>
          <w:lang w:val="sr-Latn-RS" w:eastAsia="de-DE"/>
        </w:rPr>
      </w:pPr>
    </w:p>
    <w:p w14:paraId="4BA1873A" w14:textId="21009659" w:rsidR="008220D1" w:rsidRPr="008220D1" w:rsidRDefault="008220D1" w:rsidP="00846017">
      <w:pPr>
        <w:rPr>
          <w:rFonts w:cs="Segoe UI"/>
          <w:szCs w:val="22"/>
          <w:lang w:val="sr-Latn-RS" w:eastAsia="de-DE"/>
        </w:rPr>
      </w:pPr>
      <w:r>
        <w:rPr>
          <w:rFonts w:cs="Segoe UI"/>
          <w:szCs w:val="22"/>
          <w:lang w:val="sr-Latn-RS" w:eastAsia="de-DE"/>
        </w:rPr>
        <w:t>Usavršen</w:t>
      </w:r>
      <w:r w:rsidR="004670CF">
        <w:rPr>
          <w:rFonts w:cs="Segoe UI"/>
          <w:szCs w:val="22"/>
          <w:lang w:val="sr-Latn-RS" w:eastAsia="de-DE"/>
        </w:rPr>
        <w:t>i i</w:t>
      </w:r>
      <w:r>
        <w:rPr>
          <w:rFonts w:cs="Segoe UI"/>
          <w:szCs w:val="22"/>
          <w:lang w:val="sr-Latn-RS" w:eastAsia="de-DE"/>
        </w:rPr>
        <w:t xml:space="preserve"> brzi </w:t>
      </w:r>
      <w:r>
        <w:rPr>
          <w:rFonts w:cs="Segoe UI"/>
          <w:b/>
          <w:bCs/>
          <w:szCs w:val="22"/>
          <w:lang w:val="sr-Latn-RS" w:eastAsia="de-DE"/>
        </w:rPr>
        <w:t>poslovni procesi</w:t>
      </w:r>
      <w:r w:rsidR="004670CF">
        <w:rPr>
          <w:rFonts w:cs="Segoe UI"/>
          <w:szCs w:val="22"/>
          <w:lang w:val="sr-Latn-RS" w:eastAsia="de-DE"/>
        </w:rPr>
        <w:t>,</w:t>
      </w:r>
      <w:r>
        <w:rPr>
          <w:rFonts w:cs="Segoe UI"/>
          <w:szCs w:val="22"/>
          <w:lang w:val="sr-Latn-RS" w:eastAsia="de-DE"/>
        </w:rPr>
        <w:t xml:space="preserve"> spremni za budućnost su još jedan bitan element strateškog okvira kompanije Henkel.</w:t>
      </w:r>
      <w:r w:rsidR="00434CD3">
        <w:rPr>
          <w:rFonts w:cs="Segoe UI"/>
          <w:szCs w:val="22"/>
          <w:lang w:val="sr-Latn-RS" w:eastAsia="de-DE"/>
        </w:rPr>
        <w:t xml:space="preserve"> Kompanija vrši redovnu reviziju svojih poslovnih procesa i struktura, procenjujući da li su usavršeni, brzi i jednostavni, i prilagođava ih promenljivim tržišnim razvojima i trendovima. Takođe, novi poslovni modeli će se razviti sa fokusom na </w:t>
      </w:r>
      <w:r w:rsidR="004670CF">
        <w:rPr>
          <w:rFonts w:cs="Segoe UI"/>
          <w:szCs w:val="22"/>
          <w:lang w:val="sr-Latn-RS" w:eastAsia="de-DE"/>
        </w:rPr>
        <w:t>obezbeđivanje</w:t>
      </w:r>
      <w:r w:rsidR="00434CD3">
        <w:rPr>
          <w:rFonts w:cs="Segoe UI"/>
          <w:szCs w:val="22"/>
          <w:lang w:val="sr-Latn-RS" w:eastAsia="de-DE"/>
        </w:rPr>
        <w:t xml:space="preserve"> blizine k</w:t>
      </w:r>
      <w:r w:rsidR="004670CF">
        <w:rPr>
          <w:rFonts w:cs="Segoe UI"/>
          <w:szCs w:val="22"/>
          <w:lang w:val="sr-Latn-RS" w:eastAsia="de-DE"/>
        </w:rPr>
        <w:t>upcima</w:t>
      </w:r>
      <w:r w:rsidR="00434CD3">
        <w:rPr>
          <w:rFonts w:cs="Segoe UI"/>
          <w:szCs w:val="22"/>
          <w:lang w:val="sr-Latn-RS" w:eastAsia="de-DE"/>
        </w:rPr>
        <w:t xml:space="preserve"> i potrošačima.</w:t>
      </w:r>
    </w:p>
    <w:p w14:paraId="3CBA60E1" w14:textId="77777777" w:rsidR="00B634AB" w:rsidRPr="007E7A47" w:rsidRDefault="00B634AB" w:rsidP="00846017">
      <w:pPr>
        <w:rPr>
          <w:rFonts w:cs="Segoe UI"/>
          <w:szCs w:val="22"/>
          <w:lang w:val="sr-Latn-RS" w:eastAsia="de-DE"/>
        </w:rPr>
      </w:pPr>
    </w:p>
    <w:p w14:paraId="4E18E737" w14:textId="18BE4CD1" w:rsidR="00134424" w:rsidRPr="00134424" w:rsidRDefault="00134424" w:rsidP="00846017">
      <w:pPr>
        <w:rPr>
          <w:rFonts w:cs="Segoe UI"/>
          <w:szCs w:val="22"/>
          <w:lang w:val="sr-Latn-RS" w:eastAsia="de-DE"/>
        </w:rPr>
      </w:pPr>
      <w:r>
        <w:rPr>
          <w:rFonts w:cs="Segoe UI"/>
          <w:szCs w:val="22"/>
          <w:lang w:val="sr-Latn-RS" w:eastAsia="de-DE"/>
        </w:rPr>
        <w:t xml:space="preserve">Dalje razvijanje </w:t>
      </w:r>
      <w:r w:rsidR="006F52B9">
        <w:rPr>
          <w:rFonts w:cs="Segoe UI"/>
          <w:szCs w:val="22"/>
          <w:lang w:val="sr-Latn-RS" w:eastAsia="de-DE"/>
        </w:rPr>
        <w:t xml:space="preserve">Henkelove </w:t>
      </w:r>
      <w:r>
        <w:rPr>
          <w:rFonts w:cs="Segoe UI"/>
          <w:szCs w:val="22"/>
          <w:lang w:val="sr-Latn-RS" w:eastAsia="de-DE"/>
        </w:rPr>
        <w:t>korporativn</w:t>
      </w:r>
      <w:r w:rsidR="006F52B9">
        <w:rPr>
          <w:rFonts w:cs="Segoe UI"/>
          <w:szCs w:val="22"/>
          <w:lang w:val="sr-Latn-RS" w:eastAsia="de-DE"/>
        </w:rPr>
        <w:t>e</w:t>
      </w:r>
      <w:r>
        <w:rPr>
          <w:rFonts w:cs="Segoe UI"/>
          <w:szCs w:val="22"/>
          <w:lang w:val="sr-Latn-RS" w:eastAsia="de-DE"/>
        </w:rPr>
        <w:t xml:space="preserve"> </w:t>
      </w:r>
      <w:r w:rsidR="004670CF">
        <w:rPr>
          <w:rFonts w:cs="Segoe UI"/>
          <w:szCs w:val="22"/>
          <w:lang w:val="sr-Latn-RS" w:eastAsia="de-DE"/>
        </w:rPr>
        <w:t xml:space="preserve">kompanije </w:t>
      </w:r>
      <w:r>
        <w:rPr>
          <w:rFonts w:cs="Segoe UI"/>
          <w:szCs w:val="22"/>
          <w:lang w:val="sr-Latn-RS" w:eastAsia="de-DE"/>
        </w:rPr>
        <w:t xml:space="preserve">Henkel i ubrzavanje </w:t>
      </w:r>
      <w:r>
        <w:rPr>
          <w:rFonts w:cs="Segoe UI"/>
          <w:b/>
          <w:bCs/>
          <w:szCs w:val="22"/>
          <w:lang w:val="sr-Latn-RS" w:eastAsia="de-DE"/>
        </w:rPr>
        <w:t>kulturne transformacije</w:t>
      </w:r>
      <w:r>
        <w:rPr>
          <w:rFonts w:cs="Segoe UI"/>
          <w:szCs w:val="22"/>
          <w:lang w:val="sr-Latn-RS" w:eastAsia="de-DE"/>
        </w:rPr>
        <w:t xml:space="preserve"> su</w:t>
      </w:r>
      <w:r w:rsidR="006F52B9">
        <w:rPr>
          <w:rFonts w:cs="Segoe UI"/>
          <w:szCs w:val="22"/>
          <w:lang w:val="sr-Latn-RS" w:eastAsia="de-DE"/>
        </w:rPr>
        <w:t xml:space="preserve"> ostali ključni</w:t>
      </w:r>
      <w:r>
        <w:rPr>
          <w:rFonts w:cs="Segoe UI"/>
          <w:szCs w:val="22"/>
          <w:lang w:val="sr-Latn-RS" w:eastAsia="de-DE"/>
        </w:rPr>
        <w:t xml:space="preserve"> elementi </w:t>
      </w:r>
      <w:r w:rsidR="006F52B9">
        <w:rPr>
          <w:rFonts w:cs="Segoe UI"/>
          <w:szCs w:val="22"/>
          <w:lang w:val="sr-Latn-RS" w:eastAsia="de-DE"/>
        </w:rPr>
        <w:t>za napredovanje kompanije</w:t>
      </w:r>
      <w:r>
        <w:rPr>
          <w:rFonts w:cs="Segoe UI"/>
          <w:szCs w:val="22"/>
          <w:lang w:val="sr-Latn-RS" w:eastAsia="de-DE"/>
        </w:rPr>
        <w:t xml:space="preserve">. </w:t>
      </w:r>
      <w:r w:rsidR="006F52B9">
        <w:rPr>
          <w:rFonts w:cs="Segoe UI"/>
          <w:szCs w:val="22"/>
          <w:lang w:val="sr-Latn-RS" w:eastAsia="de-DE"/>
        </w:rPr>
        <w:t xml:space="preserve">Dalja težnja je </w:t>
      </w:r>
      <w:r w:rsidR="006B2DED">
        <w:rPr>
          <w:rFonts w:cs="Segoe UI"/>
          <w:szCs w:val="22"/>
          <w:lang w:val="sr-Latn-RS" w:eastAsia="de-DE"/>
        </w:rPr>
        <w:t>neg</w:t>
      </w:r>
      <w:r w:rsidR="006F52B9">
        <w:rPr>
          <w:rFonts w:cs="Segoe UI"/>
          <w:szCs w:val="22"/>
          <w:lang w:val="sr-Latn-RS" w:eastAsia="de-DE"/>
        </w:rPr>
        <w:t>ovanje</w:t>
      </w:r>
      <w:r w:rsidR="006B2DED">
        <w:rPr>
          <w:rFonts w:cs="Segoe UI"/>
          <w:szCs w:val="22"/>
          <w:lang w:val="sr-Latn-RS" w:eastAsia="de-DE"/>
        </w:rPr>
        <w:t xml:space="preserve"> kultur</w:t>
      </w:r>
      <w:r w:rsidR="006F52B9">
        <w:rPr>
          <w:rFonts w:cs="Segoe UI"/>
          <w:szCs w:val="22"/>
          <w:lang w:val="sr-Latn-RS" w:eastAsia="de-DE"/>
        </w:rPr>
        <w:t>e</w:t>
      </w:r>
      <w:r w:rsidR="006B2DED">
        <w:rPr>
          <w:rFonts w:cs="Segoe UI"/>
          <w:szCs w:val="22"/>
          <w:lang w:val="sr-Latn-RS" w:eastAsia="de-DE"/>
        </w:rPr>
        <w:t xml:space="preserve"> saradnj</w:t>
      </w:r>
      <w:r w:rsidR="006F52B9">
        <w:rPr>
          <w:rFonts w:cs="Segoe UI"/>
          <w:szCs w:val="22"/>
          <w:lang w:val="sr-Latn-RS" w:eastAsia="de-DE"/>
        </w:rPr>
        <w:t>e</w:t>
      </w:r>
      <w:r w:rsidR="006B2DED">
        <w:rPr>
          <w:rFonts w:cs="Segoe UI"/>
          <w:szCs w:val="22"/>
          <w:lang w:val="sr-Latn-RS" w:eastAsia="de-DE"/>
        </w:rPr>
        <w:t xml:space="preserve"> sa osnaženim ljudima</w:t>
      </w:r>
      <w:r w:rsidR="006F52B9">
        <w:rPr>
          <w:rFonts w:cs="Segoe UI"/>
          <w:szCs w:val="22"/>
          <w:lang w:val="sr-Latn-RS" w:eastAsia="de-DE"/>
        </w:rPr>
        <w:t>, zasnovana na Henkelovom konceptu leadership commitmens</w:t>
      </w:r>
      <w:r w:rsidR="006B2DED">
        <w:rPr>
          <w:rFonts w:cs="Segoe UI"/>
          <w:szCs w:val="22"/>
          <w:lang w:val="sr-Latn-RS" w:eastAsia="de-DE"/>
        </w:rPr>
        <w:t xml:space="preserve">. Za Henkel, od ključne važnosti je da zaposleni konstantno razvijaju svoje profesionalne i lične veštine. Tokom prve polovine 2020. godine, kompanija je sprovela specifično dizajnirane obuke i projekte usavršavanja, na primer na polju liderstva, digitalizacije i inovacija. Aktuelna </w:t>
      </w:r>
      <w:r w:rsidR="006F52B9">
        <w:rPr>
          <w:rFonts w:cs="Segoe UI"/>
          <w:szCs w:val="22"/>
          <w:lang w:val="sr-Latn-RS" w:eastAsia="de-DE"/>
        </w:rPr>
        <w:t>kriza izazvana virusom korona</w:t>
      </w:r>
      <w:r w:rsidR="006B2DED">
        <w:rPr>
          <w:rFonts w:cs="Segoe UI"/>
          <w:szCs w:val="22"/>
          <w:lang w:val="sr-Latn-RS" w:eastAsia="de-DE"/>
        </w:rPr>
        <w:t xml:space="preserve"> je takođe dokazala snažnu korporativnu kulturu </w:t>
      </w:r>
      <w:r w:rsidR="006F52B9">
        <w:rPr>
          <w:rFonts w:cs="Segoe UI"/>
          <w:szCs w:val="22"/>
          <w:lang w:val="sr-Latn-RS" w:eastAsia="de-DE"/>
        </w:rPr>
        <w:t xml:space="preserve">kompanije </w:t>
      </w:r>
      <w:r w:rsidR="006B2DED">
        <w:rPr>
          <w:rFonts w:cs="Segoe UI"/>
          <w:szCs w:val="22"/>
          <w:lang w:val="sr-Latn-RS" w:eastAsia="de-DE"/>
        </w:rPr>
        <w:t xml:space="preserve">Henkel, </w:t>
      </w:r>
      <w:r w:rsidR="006F52B9">
        <w:rPr>
          <w:rFonts w:cs="Segoe UI"/>
          <w:szCs w:val="22"/>
          <w:lang w:val="sr-Latn-RS" w:eastAsia="de-DE"/>
        </w:rPr>
        <w:t xml:space="preserve">kao i </w:t>
      </w:r>
      <w:r w:rsidR="00040341">
        <w:rPr>
          <w:rFonts w:cs="Segoe UI"/>
          <w:szCs w:val="22"/>
          <w:lang w:val="sr-Latn-RS" w:eastAsia="de-DE"/>
        </w:rPr>
        <w:t>otpornost i posvećenost svojih zaposlenih širom sveta.</w:t>
      </w:r>
    </w:p>
    <w:p w14:paraId="6AF0818E" w14:textId="77777777" w:rsidR="00385438" w:rsidRPr="007E7A47" w:rsidRDefault="00385438" w:rsidP="00846017">
      <w:pPr>
        <w:spacing w:after="120"/>
        <w:rPr>
          <w:rFonts w:cs="Segoe UI"/>
          <w:b/>
          <w:szCs w:val="22"/>
          <w:lang w:val="sr-Latn-RS"/>
        </w:rPr>
      </w:pPr>
    </w:p>
    <w:p w14:paraId="1A1A3031" w14:textId="4BB81E47" w:rsidR="00846017" w:rsidRPr="007E7A47" w:rsidRDefault="00365B39" w:rsidP="00365B39">
      <w:pPr>
        <w:spacing w:after="120"/>
        <w:rPr>
          <w:rFonts w:cs="Segoe UI"/>
          <w:b/>
          <w:szCs w:val="22"/>
          <w:lang w:val="sr-Latn-RS"/>
        </w:rPr>
      </w:pPr>
      <w:r>
        <w:rPr>
          <w:rFonts w:cs="Segoe UI"/>
          <w:b/>
          <w:szCs w:val="22"/>
          <w:lang w:val="sr-Latn-RS"/>
        </w:rPr>
        <w:t xml:space="preserve">Mere </w:t>
      </w:r>
      <w:r w:rsidR="006F52B9">
        <w:rPr>
          <w:rFonts w:cs="Segoe UI"/>
          <w:b/>
          <w:szCs w:val="22"/>
          <w:lang w:val="sr-Latn-RS"/>
        </w:rPr>
        <w:t>u vezi sa</w:t>
      </w:r>
      <w:r>
        <w:rPr>
          <w:rFonts w:cs="Segoe UI"/>
          <w:b/>
          <w:szCs w:val="22"/>
          <w:lang w:val="sr-Latn-RS"/>
        </w:rPr>
        <w:t xml:space="preserve"> pandemijom virusa COVID-19</w:t>
      </w:r>
    </w:p>
    <w:p w14:paraId="40771F3C" w14:textId="3722ED7F" w:rsidR="00767929" w:rsidRDefault="00767929" w:rsidP="00F317B5">
      <w:pPr>
        <w:rPr>
          <w:rFonts w:cs="Segoe UI"/>
          <w:szCs w:val="22"/>
          <w:lang w:val="sr-Latn-RS" w:eastAsia="de-DE"/>
        </w:rPr>
      </w:pPr>
      <w:r>
        <w:rPr>
          <w:rFonts w:cs="Segoe UI"/>
          <w:szCs w:val="22"/>
          <w:lang w:val="sr-Latn-RS" w:eastAsia="de-DE"/>
        </w:rPr>
        <w:t>Pandemija virusa COVID-19 pogodila</w:t>
      </w:r>
      <w:r w:rsidR="006F52B9">
        <w:rPr>
          <w:rFonts w:cs="Segoe UI"/>
          <w:szCs w:val="22"/>
          <w:lang w:val="sr-Latn-RS" w:eastAsia="de-DE"/>
        </w:rPr>
        <w:t xml:space="preserve"> je</w:t>
      </w:r>
      <w:r>
        <w:rPr>
          <w:rFonts w:cs="Segoe UI"/>
          <w:szCs w:val="22"/>
          <w:lang w:val="sr-Latn-RS" w:eastAsia="de-DE"/>
        </w:rPr>
        <w:t xml:space="preserve"> sve oblasti života i značajno je uticala na globalnu ekonomiju.</w:t>
      </w:r>
      <w:r w:rsidR="00705B8A">
        <w:rPr>
          <w:rFonts w:cs="Segoe UI"/>
          <w:szCs w:val="22"/>
          <w:lang w:val="sr-Latn-RS" w:eastAsia="de-DE"/>
        </w:rPr>
        <w:t xml:space="preserve"> Tokom ove krize, zdravlje i bezbednost zaposlenih, k</w:t>
      </w:r>
      <w:r w:rsidR="006F52B9">
        <w:rPr>
          <w:rFonts w:cs="Segoe UI"/>
          <w:szCs w:val="22"/>
          <w:lang w:val="sr-Latn-RS" w:eastAsia="de-DE"/>
        </w:rPr>
        <w:t>upaca</w:t>
      </w:r>
      <w:r w:rsidR="00705B8A">
        <w:rPr>
          <w:rFonts w:cs="Segoe UI"/>
          <w:szCs w:val="22"/>
          <w:lang w:val="sr-Latn-RS" w:eastAsia="de-DE"/>
        </w:rPr>
        <w:t xml:space="preserve"> i poslovnih partnera su bili najveći prioriteti za Henkel. Kompanija je uvela širok raspon zaštitnih mera u početnoj fazi. </w:t>
      </w:r>
      <w:r w:rsidR="00705B8A">
        <w:rPr>
          <w:rFonts w:cs="Segoe UI"/>
          <w:szCs w:val="22"/>
          <w:lang w:val="sr-Latn-RS" w:eastAsia="de-DE"/>
        </w:rPr>
        <w:lastRenderedPageBreak/>
        <w:t xml:space="preserve">Istovremeno, Henkel je uložio ogroman trud da nastavi sa svojim poslovnim aktivnostima i </w:t>
      </w:r>
      <w:r w:rsidR="006F52B9">
        <w:rPr>
          <w:rFonts w:cs="Segoe UI"/>
          <w:szCs w:val="22"/>
          <w:lang w:val="sr-Latn-RS" w:eastAsia="de-DE"/>
        </w:rPr>
        <w:t>pružanjem usluga kupcima</w:t>
      </w:r>
      <w:r w:rsidR="00705B8A">
        <w:rPr>
          <w:rFonts w:cs="Segoe UI"/>
          <w:szCs w:val="22"/>
          <w:lang w:val="sr-Latn-RS" w:eastAsia="de-DE"/>
        </w:rPr>
        <w:t xml:space="preserve"> i potrošač</w:t>
      </w:r>
      <w:r w:rsidR="006F52B9">
        <w:rPr>
          <w:rFonts w:cs="Segoe UI"/>
          <w:szCs w:val="22"/>
          <w:lang w:val="sr-Latn-RS" w:eastAsia="de-DE"/>
        </w:rPr>
        <w:t>ima</w:t>
      </w:r>
      <w:r w:rsidR="00705B8A">
        <w:rPr>
          <w:rFonts w:cs="Segoe UI"/>
          <w:szCs w:val="22"/>
          <w:lang w:val="sr-Latn-RS" w:eastAsia="de-DE"/>
        </w:rPr>
        <w:t xml:space="preserve"> širom sveta. Takođe, Henkel je pokrenuo globalni program solidarnosti, koji uključuje finansijske donacije, na primer Fondu solidarnosti za COVID-19 Svetske zdravstvene organizacije (SZO) i Fondaciji Ujedinjenih nacija (UN) i drugim odabranim organizacijama širom sveta. </w:t>
      </w:r>
      <w:r w:rsidR="00EF023E">
        <w:rPr>
          <w:rFonts w:cs="Segoe UI"/>
          <w:szCs w:val="22"/>
          <w:lang w:val="sr-Latn-RS" w:eastAsia="de-DE"/>
        </w:rPr>
        <w:t xml:space="preserve">Nadalje, Henkel je donirao preko 5 miliona proizvoda za </w:t>
      </w:r>
      <w:r w:rsidR="00702946">
        <w:rPr>
          <w:rFonts w:cs="Segoe UI"/>
          <w:szCs w:val="22"/>
          <w:lang w:val="sr-Latn-RS" w:eastAsia="de-DE"/>
        </w:rPr>
        <w:t>održavanje lične i higijene domaćinstva, i proizvodio je sredstva za dezinfekciju na svojim lokacijama. Globalno, Henkel je pr</w:t>
      </w:r>
      <w:r w:rsidR="00485256">
        <w:rPr>
          <w:rFonts w:cs="Segoe UI"/>
          <w:szCs w:val="22"/>
          <w:lang w:val="sr-Latn-RS" w:eastAsia="de-DE"/>
        </w:rPr>
        <w:t>o</w:t>
      </w:r>
      <w:r w:rsidR="00702946">
        <w:rPr>
          <w:rFonts w:cs="Segoe UI"/>
          <w:szCs w:val="22"/>
          <w:lang w:val="sr-Latn-RS" w:eastAsia="de-DE"/>
        </w:rPr>
        <w:t>izveo i donirao preko 111,000 litara sredstava za dezinfekciju zdravstvenim sistemima i bolnicama. Do sada, Henkel je podržao p</w:t>
      </w:r>
      <w:r w:rsidR="00F44E6C">
        <w:rPr>
          <w:rFonts w:cs="Segoe UI"/>
          <w:szCs w:val="22"/>
          <w:lang w:val="sr-Latn-RS" w:eastAsia="de-DE"/>
        </w:rPr>
        <w:t>reko 500 projekata u vezi</w:t>
      </w:r>
      <w:r w:rsidR="006F52B9">
        <w:rPr>
          <w:rFonts w:cs="Segoe UI"/>
          <w:szCs w:val="22"/>
          <w:lang w:val="sr-Latn-RS" w:eastAsia="de-DE"/>
        </w:rPr>
        <w:t xml:space="preserve"> sa</w:t>
      </w:r>
      <w:r w:rsidR="00F44E6C">
        <w:rPr>
          <w:rFonts w:cs="Segoe UI"/>
          <w:szCs w:val="22"/>
          <w:lang w:val="sr-Latn-RS" w:eastAsia="de-DE"/>
        </w:rPr>
        <w:t xml:space="preserve"> </w:t>
      </w:r>
      <w:r w:rsidR="00702946">
        <w:rPr>
          <w:rFonts w:cs="Segoe UI"/>
          <w:szCs w:val="22"/>
          <w:lang w:val="sr-Latn-RS" w:eastAsia="de-DE"/>
        </w:rPr>
        <w:t>virus</w:t>
      </w:r>
      <w:r w:rsidR="006F52B9">
        <w:rPr>
          <w:rFonts w:cs="Segoe UI"/>
          <w:szCs w:val="22"/>
          <w:lang w:val="sr-Latn-RS" w:eastAsia="de-DE"/>
        </w:rPr>
        <w:t>om korona</w:t>
      </w:r>
      <w:r w:rsidR="00702946">
        <w:rPr>
          <w:rFonts w:cs="Segoe UI"/>
          <w:szCs w:val="22"/>
          <w:lang w:val="sr-Latn-RS" w:eastAsia="de-DE"/>
        </w:rPr>
        <w:t xml:space="preserve"> u preko 40 zemalja širom sveta, pružajući pomoć skoro 5 miliona ljudi tokom pandemije.</w:t>
      </w:r>
    </w:p>
    <w:p w14:paraId="0FAD9CB5" w14:textId="77777777" w:rsidR="00846017" w:rsidRPr="007E7A47" w:rsidRDefault="00846017" w:rsidP="00846017">
      <w:pPr>
        <w:rPr>
          <w:rFonts w:cs="Segoe UI"/>
          <w:szCs w:val="22"/>
          <w:lang w:val="sr-Latn-RS" w:eastAsia="de-DE"/>
        </w:rPr>
      </w:pPr>
    </w:p>
    <w:p w14:paraId="3B831232" w14:textId="63A81A84" w:rsidR="00702946" w:rsidRDefault="00702946" w:rsidP="00846017">
      <w:pPr>
        <w:rPr>
          <w:rFonts w:cs="Segoe UI"/>
          <w:szCs w:val="22"/>
          <w:lang w:val="sr-Latn-RS" w:eastAsia="de-DE"/>
        </w:rPr>
      </w:pPr>
      <w:r>
        <w:rPr>
          <w:rFonts w:cs="Segoe UI"/>
          <w:szCs w:val="22"/>
          <w:lang w:val="sr-Latn-RS" w:eastAsia="de-DE"/>
        </w:rPr>
        <w:t>„</w:t>
      </w:r>
      <w:r w:rsidR="006F52B9">
        <w:rPr>
          <w:rFonts w:cs="Segoe UI"/>
          <w:szCs w:val="22"/>
          <w:lang w:val="sr-Latn-RS" w:eastAsia="de-DE"/>
        </w:rPr>
        <w:t>M</w:t>
      </w:r>
      <w:r>
        <w:rPr>
          <w:rFonts w:cs="Segoe UI"/>
          <w:szCs w:val="22"/>
          <w:lang w:val="sr-Latn-RS" w:eastAsia="de-DE"/>
        </w:rPr>
        <w:t>ora</w:t>
      </w:r>
      <w:r w:rsidR="006F52B9">
        <w:rPr>
          <w:rFonts w:cs="Segoe UI"/>
          <w:szCs w:val="22"/>
          <w:lang w:val="sr-Latn-RS" w:eastAsia="de-DE"/>
        </w:rPr>
        <w:t>ćemo</w:t>
      </w:r>
      <w:r>
        <w:rPr>
          <w:rFonts w:cs="Segoe UI"/>
          <w:szCs w:val="22"/>
          <w:lang w:val="sr-Latn-RS" w:eastAsia="de-DE"/>
        </w:rPr>
        <w:t xml:space="preserve"> konstantno</w:t>
      </w:r>
      <w:r w:rsidR="006F52B9">
        <w:rPr>
          <w:rFonts w:cs="Segoe UI"/>
          <w:szCs w:val="22"/>
          <w:lang w:val="sr-Latn-RS" w:eastAsia="de-DE"/>
        </w:rPr>
        <w:t xml:space="preserve"> da se</w:t>
      </w:r>
      <w:r>
        <w:rPr>
          <w:rFonts w:cs="Segoe UI"/>
          <w:szCs w:val="22"/>
          <w:lang w:val="sr-Latn-RS" w:eastAsia="de-DE"/>
        </w:rPr>
        <w:t xml:space="preserve"> prilagođavamo kako kriza bude evoluirala. Reagovaćemo fleksibilno i brzo na poremećaje na tržištu</w:t>
      </w:r>
      <w:r w:rsidR="007C3E61">
        <w:rPr>
          <w:rFonts w:cs="Segoe UI"/>
          <w:szCs w:val="22"/>
          <w:lang w:val="sr-Latn-RS" w:eastAsia="de-DE"/>
        </w:rPr>
        <w:t>, a</w:t>
      </w:r>
      <w:r>
        <w:rPr>
          <w:rFonts w:cs="Segoe UI"/>
          <w:szCs w:val="22"/>
          <w:lang w:val="sr-Latn-RS" w:eastAsia="de-DE"/>
        </w:rPr>
        <w:t xml:space="preserve">ktivno </w:t>
      </w:r>
      <w:r w:rsidR="007C3E61">
        <w:rPr>
          <w:rFonts w:cs="Segoe UI"/>
          <w:szCs w:val="22"/>
          <w:lang w:val="sr-Latn-RS" w:eastAsia="de-DE"/>
        </w:rPr>
        <w:t>se prilagođavajući</w:t>
      </w:r>
      <w:r>
        <w:rPr>
          <w:rFonts w:cs="Segoe UI"/>
          <w:szCs w:val="22"/>
          <w:lang w:val="sr-Latn-RS" w:eastAsia="de-DE"/>
        </w:rPr>
        <w:t xml:space="preserve"> promen</w:t>
      </w:r>
      <w:r w:rsidR="007C3E61">
        <w:rPr>
          <w:rFonts w:cs="Segoe UI"/>
          <w:szCs w:val="22"/>
          <w:lang w:val="sr-Latn-RS" w:eastAsia="de-DE"/>
        </w:rPr>
        <w:t>ama</w:t>
      </w:r>
      <w:r>
        <w:rPr>
          <w:rFonts w:cs="Segoe UI"/>
          <w:szCs w:val="22"/>
          <w:lang w:val="sr-Latn-RS" w:eastAsia="de-DE"/>
        </w:rPr>
        <w:t xml:space="preserve"> i pomerajući granice“, sumirao je Karsten Knobel. „Ubeđen sam da </w:t>
      </w:r>
      <w:r w:rsidR="00BA4586">
        <w:rPr>
          <w:rFonts w:cs="Segoe UI"/>
          <w:szCs w:val="22"/>
          <w:lang w:val="sr-Latn-RS" w:eastAsia="de-DE"/>
        </w:rPr>
        <w:t>smo sa našim</w:t>
      </w:r>
      <w:r>
        <w:rPr>
          <w:rFonts w:cs="Segoe UI"/>
          <w:szCs w:val="22"/>
          <w:lang w:val="sr-Latn-RS" w:eastAsia="de-DE"/>
        </w:rPr>
        <w:t xml:space="preserve"> posvećeni</w:t>
      </w:r>
      <w:r w:rsidR="00BA4586">
        <w:rPr>
          <w:rFonts w:cs="Segoe UI"/>
          <w:szCs w:val="22"/>
          <w:lang w:val="sr-Latn-RS" w:eastAsia="de-DE"/>
        </w:rPr>
        <w:t>m</w:t>
      </w:r>
      <w:r>
        <w:rPr>
          <w:rFonts w:cs="Segoe UI"/>
          <w:szCs w:val="22"/>
          <w:lang w:val="sr-Latn-RS" w:eastAsia="de-DE"/>
        </w:rPr>
        <w:t xml:space="preserve"> globalni</w:t>
      </w:r>
      <w:r w:rsidR="00BA4586">
        <w:rPr>
          <w:rFonts w:cs="Segoe UI"/>
          <w:szCs w:val="22"/>
          <w:lang w:val="sr-Latn-RS" w:eastAsia="de-DE"/>
        </w:rPr>
        <w:t>m</w:t>
      </w:r>
      <w:r>
        <w:rPr>
          <w:rFonts w:cs="Segoe UI"/>
          <w:szCs w:val="22"/>
          <w:lang w:val="sr-Latn-RS" w:eastAsia="de-DE"/>
        </w:rPr>
        <w:t xml:space="preserve"> tim</w:t>
      </w:r>
      <w:r w:rsidR="00BA4586">
        <w:rPr>
          <w:rFonts w:cs="Segoe UI"/>
          <w:szCs w:val="22"/>
          <w:lang w:val="sr-Latn-RS" w:eastAsia="de-DE"/>
        </w:rPr>
        <w:t>om</w:t>
      </w:r>
      <w:r>
        <w:rPr>
          <w:rFonts w:cs="Segoe UI"/>
          <w:szCs w:val="22"/>
          <w:lang w:val="sr-Latn-RS" w:eastAsia="de-DE"/>
        </w:rPr>
        <w:t>, naš</w:t>
      </w:r>
      <w:r w:rsidR="00BA4586">
        <w:rPr>
          <w:rFonts w:cs="Segoe UI"/>
          <w:szCs w:val="22"/>
          <w:lang w:val="sr-Latn-RS" w:eastAsia="de-DE"/>
        </w:rPr>
        <w:t>im</w:t>
      </w:r>
      <w:r>
        <w:rPr>
          <w:rFonts w:cs="Segoe UI"/>
          <w:szCs w:val="22"/>
          <w:lang w:val="sr-Latn-RS" w:eastAsia="de-DE"/>
        </w:rPr>
        <w:t xml:space="preserve"> novi</w:t>
      </w:r>
      <w:r w:rsidR="00BA4586">
        <w:rPr>
          <w:rFonts w:cs="Segoe UI"/>
          <w:szCs w:val="22"/>
          <w:lang w:val="sr-Latn-RS" w:eastAsia="de-DE"/>
        </w:rPr>
        <w:t>m</w:t>
      </w:r>
      <w:r>
        <w:rPr>
          <w:rFonts w:cs="Segoe UI"/>
          <w:szCs w:val="22"/>
          <w:lang w:val="sr-Latn-RS" w:eastAsia="de-DE"/>
        </w:rPr>
        <w:t xml:space="preserve"> strateški</w:t>
      </w:r>
      <w:r w:rsidR="00BA4586">
        <w:rPr>
          <w:rFonts w:cs="Segoe UI"/>
          <w:szCs w:val="22"/>
          <w:lang w:val="sr-Latn-RS" w:eastAsia="de-DE"/>
        </w:rPr>
        <w:t>m</w:t>
      </w:r>
      <w:r>
        <w:rPr>
          <w:rFonts w:cs="Segoe UI"/>
          <w:szCs w:val="22"/>
          <w:lang w:val="sr-Latn-RS" w:eastAsia="de-DE"/>
        </w:rPr>
        <w:t xml:space="preserve"> okvir</w:t>
      </w:r>
      <w:r w:rsidR="00BA4586">
        <w:rPr>
          <w:rFonts w:cs="Segoe UI"/>
          <w:szCs w:val="22"/>
          <w:lang w:val="sr-Latn-RS" w:eastAsia="de-DE"/>
        </w:rPr>
        <w:t>om sa</w:t>
      </w:r>
      <w:r>
        <w:rPr>
          <w:rFonts w:cs="Segoe UI"/>
          <w:szCs w:val="22"/>
          <w:lang w:val="sr-Latn-RS" w:eastAsia="de-DE"/>
        </w:rPr>
        <w:t xml:space="preserve"> fokus</w:t>
      </w:r>
      <w:r w:rsidR="00BA4586">
        <w:rPr>
          <w:rFonts w:cs="Segoe UI"/>
          <w:szCs w:val="22"/>
          <w:lang w:val="sr-Latn-RS" w:eastAsia="de-DE"/>
        </w:rPr>
        <w:t>om</w:t>
      </w:r>
      <w:r>
        <w:rPr>
          <w:rFonts w:cs="Segoe UI"/>
          <w:szCs w:val="22"/>
          <w:lang w:val="sr-Latn-RS" w:eastAsia="de-DE"/>
        </w:rPr>
        <w:t xml:space="preserve"> na </w:t>
      </w:r>
      <w:r w:rsidR="007C3E61">
        <w:rPr>
          <w:rFonts w:cs="Segoe UI"/>
          <w:szCs w:val="22"/>
          <w:lang w:val="sr-Latn-RS" w:eastAsia="de-DE"/>
        </w:rPr>
        <w:t>svrsishodan</w:t>
      </w:r>
      <w:r>
        <w:rPr>
          <w:rFonts w:cs="Segoe UI"/>
          <w:szCs w:val="22"/>
          <w:lang w:val="sr-Latn-RS" w:eastAsia="de-DE"/>
        </w:rPr>
        <w:t xml:space="preserve"> rast, na</w:t>
      </w:r>
      <w:r w:rsidR="00BA4586">
        <w:rPr>
          <w:rFonts w:cs="Segoe UI"/>
          <w:szCs w:val="22"/>
          <w:lang w:val="sr-Latn-RS" w:eastAsia="de-DE"/>
        </w:rPr>
        <w:t>šim snažnim bilansom stanja i finansijskom fleksibilnošću, kao i naš</w:t>
      </w:r>
      <w:r w:rsidR="00AA7172">
        <w:rPr>
          <w:rFonts w:cs="Segoe UI"/>
          <w:szCs w:val="22"/>
          <w:lang w:val="sr-Latn-RS" w:eastAsia="de-DE"/>
        </w:rPr>
        <w:t>om sposobnošću da</w:t>
      </w:r>
      <w:r w:rsidR="00BA4586">
        <w:rPr>
          <w:rFonts w:cs="Segoe UI"/>
          <w:szCs w:val="22"/>
          <w:lang w:val="sr-Latn-RS" w:eastAsia="de-DE"/>
        </w:rPr>
        <w:t xml:space="preserve"> generišemo snažne tokove novca, dobro pozicionirani da se suočimo sa ovom teškom situacijom, i da ćemo izaći snažniji iz krize“.</w:t>
      </w:r>
    </w:p>
    <w:p w14:paraId="429055EA" w14:textId="4629C6E8" w:rsidR="00846017" w:rsidRPr="007E7A47" w:rsidRDefault="00846017" w:rsidP="00846017">
      <w:pPr>
        <w:rPr>
          <w:rFonts w:asciiTheme="majorHAnsi" w:hAnsiTheme="majorHAnsi" w:cstheme="majorHAnsi"/>
          <w:szCs w:val="22"/>
          <w:lang w:val="sr-Latn-RS"/>
        </w:rPr>
      </w:pPr>
    </w:p>
    <w:p w14:paraId="55402DEF" w14:textId="77777777" w:rsidR="007C3E61" w:rsidRDefault="007C3E61" w:rsidP="007C3E61">
      <w:pPr>
        <w:pStyle w:val="Standard12pt"/>
        <w:rPr>
          <w:b/>
          <w:sz w:val="18"/>
          <w:lang w:val="sr-Latn-RS"/>
        </w:rPr>
      </w:pPr>
      <w:r>
        <w:rPr>
          <w:b/>
          <w:sz w:val="18"/>
          <w:lang w:val="sr-Latn-RS"/>
        </w:rPr>
        <w:t>O Henkelu</w:t>
      </w:r>
    </w:p>
    <w:p w14:paraId="1A2EFA26" w14:textId="3294BC92" w:rsidR="007C3E61" w:rsidRPr="007F015E" w:rsidRDefault="007C3E61" w:rsidP="007C3E61">
      <w:pPr>
        <w:pStyle w:val="Standard12pt"/>
        <w:rPr>
          <w:rStyle w:val="AboutandContactBody"/>
          <w:lang w:val="sr-Latn-RS"/>
        </w:rPr>
      </w:pPr>
      <w:r w:rsidRPr="007F015E">
        <w:rPr>
          <w:rStyle w:val="AboutandContactBody"/>
          <w:lang w:val="sr-Latn-RS"/>
        </w:rPr>
        <w:t xml:space="preserve">Henkel posluje širom sveta sa uravnoteženim i raznovrsnim portfoliom. Kompanija zauzima vodeće pozicije sa svoja tri poslovna sektora u oblastima industrijskog tržišta, kao i proizvoda široke potrošnje, zahvaljujući jakim brendovima, inovacijama i tehnologijama. Henkelov sektor Adhezivi Tehnologije je svetski lider na tržištu lepkova – u svim industrijskim segmentima u svetu. Sa sektorima Deterdženti i kućna hemija i Beauty Care, Henkel zauzima vodeće pozicije na mnogim tržištima i kategorijama širom sveta. Osnovan 1876. godine, Henkel iza sebe ima više od 140 godina uspešnog poslovanja. U 2019. godini, kompanija Henkel ostvarila je prodaju veću od 20 milijardi evra i operativni profit veći od 3,2 milijarde evra. Henkel zapošljava više od 52.000 ljudi širom sveta – predan i veoma raznovrstan tim, ujedinjen snažnom korporativnom kulturom, zajedničkim ciljem da ostvari održivi standard, kao i zajedničkim vrednostima. Kao priznati lider u održivosti, Henkel se nalazi na najvišim pozicijama mnogih međunarodnih indeksa i lista. Henkelove prioritetne akcije izlistane su u nemačkom indeksu DAX. Za više informacija, posetite </w:t>
      </w:r>
      <w:hyperlink r:id="rId12" w:history="1">
        <w:r w:rsidRPr="007F015E">
          <w:rPr>
            <w:rStyle w:val="AboutandContactBody"/>
            <w:lang w:val="sr-Latn-RS"/>
          </w:rPr>
          <w:t>www.henkel.com</w:t>
        </w:r>
      </w:hyperlink>
      <w:r w:rsidR="005F2990" w:rsidRPr="007F015E">
        <w:rPr>
          <w:rStyle w:val="AboutandContactBody"/>
          <w:lang w:val="sr-Latn-RS"/>
        </w:rPr>
        <w:t xml:space="preserve">. </w:t>
      </w:r>
      <w:r w:rsidRPr="007F015E">
        <w:rPr>
          <w:rStyle w:val="AboutandContactBody"/>
          <w:lang w:val="sr-Latn-RS"/>
        </w:rPr>
        <w:t xml:space="preserve"> </w:t>
      </w:r>
    </w:p>
    <w:p w14:paraId="4BC08E41" w14:textId="77777777" w:rsidR="0013569C" w:rsidRPr="007E7A47" w:rsidRDefault="0013569C" w:rsidP="00846017">
      <w:pPr>
        <w:rPr>
          <w:rFonts w:asciiTheme="majorHAnsi" w:hAnsiTheme="majorHAnsi" w:cstheme="majorHAnsi"/>
          <w:szCs w:val="22"/>
          <w:lang w:val="sr-Latn-RS"/>
        </w:rPr>
      </w:pPr>
    </w:p>
    <w:p w14:paraId="46C593C9" w14:textId="77777777" w:rsidR="005F2990" w:rsidRPr="005F2990" w:rsidRDefault="005F2990" w:rsidP="005F2990">
      <w:pPr>
        <w:rPr>
          <w:rFonts w:asciiTheme="majorHAnsi" w:hAnsiTheme="majorHAnsi" w:cstheme="majorHAnsi"/>
          <w:bCs/>
          <w:sz w:val="14"/>
          <w:szCs w:val="14"/>
          <w:lang w:val="sr-Latn-RS"/>
        </w:rPr>
      </w:pPr>
      <w:r w:rsidRPr="005F2990">
        <w:rPr>
          <w:rFonts w:asciiTheme="majorHAnsi" w:hAnsiTheme="majorHAnsi" w:cstheme="majorHAnsi"/>
          <w:bCs/>
          <w:sz w:val="14"/>
          <w:szCs w:val="14"/>
          <w:lang w:val="sr-Latn-RS"/>
        </w:rPr>
        <w:t>Ovaj dokument sadrži izjave koje se odnose na buduće poslovanje, finansijske rezultate i druge događaje ili okolnosti u budućnosti koje su važne za Henkelu koje se mogu smatrati izjavama koje se odnose na budućnost. Izjave koje se odnose na budućnost se odlikuju rečima poput „očekivati“, „nameravati“, „planirati“, „predviđati“, „procenjivati“, i sličnim terminima. Ove informacije sadrže izjave koje se odnose na budućnost zasnovane na trenutnim procenama i predviđanjma rukovodstva komanije Henkel AG &amp; Co. KGaA. Takvim izjavama se na bilo koji način ne garantuje da će se takva očekivanja ostvariti. Budući učinci i rezultati koje će Henkel AG &amp; Co. KGaA i njegova povezana društva stvarno ostvariti zavisi od više rizika i neizvesnosti, i stoga se mogu razlikovati materijalno od izjava koje se odnose na budućnost. Mnogi od ovih faktora su van Henkelove kontrole i ne mogu se precizno predvideti, poput budućeg privrednog ambijenta i radnji konkurenata i drugih učesnika tržišta.. Henkel ne planira niti se obavezuje da ažurira bilo koju izjavu koja se odnosi na budućnost.</w:t>
      </w:r>
    </w:p>
    <w:p w14:paraId="24C34EA1" w14:textId="77777777" w:rsidR="005F2990" w:rsidRPr="005F2990" w:rsidRDefault="005F2990" w:rsidP="005F2990">
      <w:pPr>
        <w:rPr>
          <w:rFonts w:asciiTheme="majorHAnsi" w:hAnsiTheme="majorHAnsi" w:cstheme="majorHAnsi"/>
          <w:bCs/>
          <w:sz w:val="14"/>
          <w:szCs w:val="14"/>
          <w:lang w:val="sr-Latn-RS"/>
        </w:rPr>
      </w:pPr>
    </w:p>
    <w:p w14:paraId="73AC2A56" w14:textId="62CFB876" w:rsidR="005F2990" w:rsidRPr="005F2990" w:rsidRDefault="005F2990" w:rsidP="005F2990">
      <w:pPr>
        <w:rPr>
          <w:rFonts w:asciiTheme="majorHAnsi" w:hAnsiTheme="majorHAnsi" w:cstheme="majorHAnsi"/>
          <w:bCs/>
          <w:sz w:val="14"/>
          <w:szCs w:val="14"/>
          <w:lang w:val="sr-Latn-RS"/>
        </w:rPr>
      </w:pPr>
      <w:r w:rsidRPr="005F2990">
        <w:rPr>
          <w:rFonts w:asciiTheme="majorHAnsi" w:hAnsiTheme="majorHAnsi" w:cstheme="majorHAnsi"/>
          <w:bCs/>
          <w:sz w:val="14"/>
          <w:szCs w:val="14"/>
          <w:lang w:val="sr-Latn-RS"/>
        </w:rPr>
        <w:t xml:space="preserve">Ovaj dokument uključuje dodatne finansijske mere koje nisu jasno definisane u primenjivom okviru finansijskog izveštavanja, i koje su ili mogu biti alternative merama učinaka. Ove dodatne finansijske mere ne bi trebalo posmatrati izolovane ili kao alternative merama Henkelove neto imovine i </w:t>
      </w:r>
      <w:r w:rsidRPr="005F2990">
        <w:rPr>
          <w:rFonts w:asciiTheme="majorHAnsi" w:hAnsiTheme="majorHAnsi" w:cstheme="majorHAnsi"/>
          <w:bCs/>
          <w:sz w:val="14"/>
          <w:szCs w:val="14"/>
          <w:lang w:val="sr-Latn-RS"/>
        </w:rPr>
        <w:lastRenderedPageBreak/>
        <w:t>finansijskih pozicija ili rezultata poslovanja kao što su prikazani u skladu sa primenjivim okvirom finansijskog izveštavanja u svojim konsolidovanim finansijskim izveštajima. Druge kompanije koje izveštavaju ili opisuju slično naslovljene alternativne mere učinaka bi mogle da ih računaju drugačije.</w:t>
      </w:r>
    </w:p>
    <w:p w14:paraId="2EE119C2" w14:textId="77777777" w:rsidR="005F2990" w:rsidRPr="005F2990" w:rsidRDefault="005F2990" w:rsidP="005F2990">
      <w:pPr>
        <w:rPr>
          <w:rFonts w:asciiTheme="majorHAnsi" w:hAnsiTheme="majorHAnsi" w:cstheme="majorHAnsi"/>
          <w:bCs/>
          <w:sz w:val="14"/>
          <w:szCs w:val="14"/>
          <w:lang w:val="sr-Latn-RS"/>
        </w:rPr>
      </w:pPr>
    </w:p>
    <w:p w14:paraId="0BFF6B34" w14:textId="0CA5EC57" w:rsidR="00BF6E82" w:rsidRPr="007E7A47" w:rsidRDefault="005F2990" w:rsidP="005F2990">
      <w:pPr>
        <w:rPr>
          <w:rStyle w:val="AboutandContactBody"/>
          <w:lang w:val="sr-Latn-RS"/>
        </w:rPr>
      </w:pPr>
      <w:r w:rsidRPr="005F2990">
        <w:rPr>
          <w:rFonts w:asciiTheme="majorHAnsi" w:hAnsiTheme="majorHAnsi" w:cstheme="majorHAnsi"/>
          <w:bCs/>
          <w:sz w:val="14"/>
          <w:szCs w:val="14"/>
          <w:lang w:val="sr-Latn-RS"/>
        </w:rPr>
        <w:t>Ovaj dokument je izdat isključivo u svrhe obaveštenja i nije namenjen da služi kao savet za ulaganje ili ponuda za prodaju, ili potraživanje ponude za kupovinu bilo kojih hartija od vrednosti.</w:t>
      </w:r>
    </w:p>
    <w:p w14:paraId="3962733B" w14:textId="77777777" w:rsidR="005F2990" w:rsidRPr="007F015E" w:rsidRDefault="005F2990" w:rsidP="007C3E61">
      <w:pPr>
        <w:tabs>
          <w:tab w:val="left" w:pos="1080"/>
          <w:tab w:val="left" w:pos="4500"/>
        </w:tabs>
        <w:rPr>
          <w:rStyle w:val="AboutandContactBody"/>
          <w:rFonts w:asciiTheme="majorHAnsi" w:hAnsiTheme="majorHAnsi" w:cstheme="majorHAnsi"/>
          <w:b/>
          <w:szCs w:val="18"/>
          <w:lang w:val="sr-Latn-RS"/>
        </w:rPr>
      </w:pPr>
    </w:p>
    <w:p w14:paraId="5A5C4404" w14:textId="55E47B7E" w:rsidR="007C3E61" w:rsidRPr="007F015E" w:rsidRDefault="007C3E61" w:rsidP="007C3E61">
      <w:pPr>
        <w:tabs>
          <w:tab w:val="left" w:pos="1080"/>
          <w:tab w:val="left" w:pos="4500"/>
        </w:tabs>
        <w:rPr>
          <w:rStyle w:val="AboutandContactBody"/>
          <w:rFonts w:asciiTheme="majorHAnsi" w:hAnsiTheme="majorHAnsi" w:cstheme="majorHAnsi"/>
          <w:b/>
          <w:szCs w:val="18"/>
          <w:lang w:val="de-DE"/>
        </w:rPr>
      </w:pPr>
      <w:r w:rsidRPr="007F015E">
        <w:rPr>
          <w:rStyle w:val="AboutandContactBody"/>
          <w:rFonts w:asciiTheme="majorHAnsi" w:hAnsiTheme="majorHAnsi" w:cstheme="majorHAnsi"/>
          <w:b/>
          <w:szCs w:val="18"/>
          <w:lang w:val="de-DE"/>
        </w:rPr>
        <w:t>Kontakt</w:t>
      </w:r>
      <w:r w:rsidRPr="007F015E">
        <w:rPr>
          <w:rStyle w:val="AboutandContactBody"/>
          <w:rFonts w:asciiTheme="majorHAnsi" w:hAnsiTheme="majorHAnsi" w:cstheme="majorHAnsi"/>
          <w:b/>
          <w:szCs w:val="18"/>
          <w:lang w:val="de-DE"/>
        </w:rPr>
        <w:tab/>
      </w:r>
    </w:p>
    <w:p w14:paraId="3DE854EE" w14:textId="77777777" w:rsidR="007C3E61" w:rsidRPr="007F015E" w:rsidRDefault="007C3E61" w:rsidP="007C3E61">
      <w:pPr>
        <w:tabs>
          <w:tab w:val="left" w:pos="1080"/>
          <w:tab w:val="left" w:pos="4500"/>
        </w:tabs>
        <w:rPr>
          <w:rStyle w:val="AboutandContactBody"/>
          <w:rFonts w:asciiTheme="majorHAnsi" w:hAnsiTheme="majorHAnsi" w:cstheme="majorHAnsi"/>
          <w:b/>
          <w:szCs w:val="18"/>
          <w:lang w:val="de-DE"/>
        </w:rPr>
      </w:pPr>
    </w:p>
    <w:p w14:paraId="3FDDFC03" w14:textId="150F127E" w:rsidR="007C3E61" w:rsidRPr="007F015E" w:rsidRDefault="007C3E61" w:rsidP="007C3E61">
      <w:pPr>
        <w:tabs>
          <w:tab w:val="left" w:pos="1080"/>
          <w:tab w:val="left" w:pos="4500"/>
        </w:tabs>
        <w:rPr>
          <w:rStyle w:val="AboutandContactBody"/>
          <w:rFonts w:asciiTheme="majorHAnsi" w:hAnsiTheme="majorHAnsi" w:cstheme="majorHAnsi"/>
          <w:b/>
          <w:szCs w:val="18"/>
          <w:lang w:val="de-DE"/>
        </w:rPr>
      </w:pPr>
      <w:r w:rsidRPr="007F015E">
        <w:rPr>
          <w:rStyle w:val="AboutandContactBody"/>
          <w:rFonts w:asciiTheme="majorHAnsi" w:hAnsiTheme="majorHAnsi" w:cstheme="majorHAnsi"/>
          <w:b/>
          <w:szCs w:val="18"/>
          <w:lang w:val="de-DE"/>
        </w:rPr>
        <w:tab/>
        <w:t>Jelena Šarenac</w:t>
      </w:r>
      <w:r w:rsidRPr="007F015E">
        <w:rPr>
          <w:rStyle w:val="AboutandContactBody"/>
          <w:rFonts w:asciiTheme="majorHAnsi" w:hAnsiTheme="majorHAnsi" w:cstheme="majorHAnsi"/>
          <w:b/>
          <w:szCs w:val="18"/>
          <w:lang w:val="de-DE"/>
        </w:rPr>
        <w:tab/>
        <w:t xml:space="preserve">Jelena Stojanović </w:t>
      </w:r>
    </w:p>
    <w:p w14:paraId="4219CAC5" w14:textId="77777777" w:rsidR="007C3E61" w:rsidRPr="007F015E" w:rsidRDefault="007C3E61" w:rsidP="007C3E61">
      <w:pPr>
        <w:tabs>
          <w:tab w:val="left" w:pos="1080"/>
          <w:tab w:val="left" w:pos="4500"/>
        </w:tabs>
        <w:rPr>
          <w:rStyle w:val="AboutandContactBody"/>
          <w:rFonts w:asciiTheme="majorHAnsi" w:hAnsiTheme="majorHAnsi" w:cstheme="majorHAnsi"/>
          <w:bCs/>
          <w:szCs w:val="18"/>
          <w:lang w:val="de-DE"/>
        </w:rPr>
      </w:pPr>
      <w:r w:rsidRPr="007F015E">
        <w:rPr>
          <w:rStyle w:val="AboutandContactBody"/>
          <w:rFonts w:asciiTheme="majorHAnsi" w:hAnsiTheme="majorHAnsi" w:cstheme="majorHAnsi"/>
          <w:bCs/>
          <w:szCs w:val="18"/>
          <w:lang w:val="de-DE"/>
        </w:rPr>
        <w:t>Telefon</w:t>
      </w:r>
      <w:r w:rsidRPr="007F015E">
        <w:rPr>
          <w:rStyle w:val="AboutandContactBody"/>
          <w:rFonts w:asciiTheme="majorHAnsi" w:hAnsiTheme="majorHAnsi" w:cstheme="majorHAnsi"/>
          <w:bCs/>
          <w:szCs w:val="18"/>
          <w:lang w:val="de-DE"/>
        </w:rPr>
        <w:tab/>
        <w:t>+381 11 207 22 09</w:t>
      </w:r>
      <w:r w:rsidRPr="007F015E">
        <w:rPr>
          <w:rStyle w:val="AboutandContactBody"/>
          <w:rFonts w:asciiTheme="majorHAnsi" w:hAnsiTheme="majorHAnsi" w:cstheme="majorHAnsi"/>
          <w:bCs/>
          <w:szCs w:val="18"/>
          <w:lang w:val="de-DE"/>
        </w:rPr>
        <w:tab/>
        <w:t>+381 11 207 21 86</w:t>
      </w:r>
    </w:p>
    <w:p w14:paraId="7284AC93" w14:textId="1C22088A" w:rsidR="007C3E61" w:rsidRPr="007F015E" w:rsidRDefault="007C3E61" w:rsidP="007C3E61">
      <w:pPr>
        <w:tabs>
          <w:tab w:val="left" w:pos="1080"/>
          <w:tab w:val="left" w:pos="4500"/>
        </w:tabs>
        <w:rPr>
          <w:rStyle w:val="AboutandContactBody"/>
          <w:rFonts w:asciiTheme="majorHAnsi" w:hAnsiTheme="majorHAnsi" w:cstheme="majorHAnsi"/>
          <w:bCs/>
          <w:szCs w:val="18"/>
          <w:lang w:val="de-DE"/>
        </w:rPr>
      </w:pPr>
      <w:r w:rsidRPr="007F015E">
        <w:rPr>
          <w:rStyle w:val="AboutandContactBody"/>
          <w:rFonts w:asciiTheme="majorHAnsi" w:hAnsiTheme="majorHAnsi" w:cstheme="majorHAnsi"/>
          <w:bCs/>
          <w:szCs w:val="18"/>
          <w:lang w:val="de-DE"/>
        </w:rPr>
        <w:t>E-mail</w:t>
      </w:r>
      <w:r w:rsidRPr="007F015E">
        <w:rPr>
          <w:rStyle w:val="AboutandContactBody"/>
          <w:rFonts w:asciiTheme="majorHAnsi" w:hAnsiTheme="majorHAnsi" w:cstheme="majorHAnsi"/>
          <w:bCs/>
          <w:szCs w:val="18"/>
          <w:lang w:val="de-DE"/>
        </w:rPr>
        <w:tab/>
      </w:r>
      <w:hyperlink r:id="rId13" w:history="1">
        <w:r w:rsidRPr="007F015E">
          <w:rPr>
            <w:rStyle w:val="AboutandContactBody"/>
            <w:rFonts w:asciiTheme="majorHAnsi" w:hAnsiTheme="majorHAnsi" w:cstheme="majorHAnsi"/>
            <w:bCs/>
            <w:szCs w:val="18"/>
            <w:lang w:val="de-DE"/>
          </w:rPr>
          <w:t>jelena.sarenac@henkel.com</w:t>
        </w:r>
      </w:hyperlink>
      <w:r w:rsidRPr="007F015E">
        <w:rPr>
          <w:rStyle w:val="AboutandContactBody"/>
          <w:rFonts w:asciiTheme="majorHAnsi" w:hAnsiTheme="majorHAnsi" w:cstheme="majorHAnsi"/>
          <w:bCs/>
          <w:szCs w:val="18"/>
          <w:lang w:val="de-DE"/>
        </w:rPr>
        <w:tab/>
      </w:r>
      <w:hyperlink r:id="rId14" w:history="1">
        <w:r w:rsidRPr="007F015E">
          <w:rPr>
            <w:rStyle w:val="AboutandContactBody"/>
            <w:rFonts w:asciiTheme="majorHAnsi" w:hAnsiTheme="majorHAnsi" w:cstheme="majorHAnsi"/>
            <w:bCs/>
            <w:szCs w:val="18"/>
            <w:lang w:val="de-DE"/>
          </w:rPr>
          <w:t>jelena.stojanovic@henkel.com</w:t>
        </w:r>
      </w:hyperlink>
    </w:p>
    <w:p w14:paraId="60AE5E49" w14:textId="1C6413A7" w:rsidR="007C3E61" w:rsidRPr="007F015E" w:rsidRDefault="007C3E61" w:rsidP="007C3E61">
      <w:pPr>
        <w:tabs>
          <w:tab w:val="left" w:pos="1080"/>
          <w:tab w:val="left" w:pos="4500"/>
        </w:tabs>
        <w:rPr>
          <w:rStyle w:val="AboutandContactBody"/>
          <w:rFonts w:asciiTheme="majorHAnsi" w:hAnsiTheme="majorHAnsi" w:cstheme="majorHAnsi"/>
          <w:bCs/>
          <w:szCs w:val="18"/>
          <w:lang w:val="de-DE"/>
        </w:rPr>
      </w:pPr>
    </w:p>
    <w:p w14:paraId="6CF1039C" w14:textId="77777777" w:rsidR="007C3E61" w:rsidRDefault="007F015E" w:rsidP="007C3E61">
      <w:pPr>
        <w:tabs>
          <w:tab w:val="left" w:pos="1080"/>
          <w:tab w:val="left" w:pos="4500"/>
        </w:tabs>
        <w:rPr>
          <w:rStyle w:val="Hyperlink"/>
          <w:rFonts w:asciiTheme="majorHAnsi" w:hAnsiTheme="majorHAnsi" w:cstheme="majorHAnsi"/>
          <w:lang w:val="fr-FR"/>
        </w:rPr>
      </w:pPr>
      <w:hyperlink r:id="rId15" w:history="1">
        <w:r w:rsidR="007C3E61" w:rsidRPr="00391539">
          <w:rPr>
            <w:rStyle w:val="Hyperlink"/>
            <w:rFonts w:asciiTheme="majorHAnsi" w:hAnsiTheme="majorHAnsi" w:cstheme="majorHAnsi"/>
            <w:lang w:val="fr-FR"/>
          </w:rPr>
          <w:t>www.henkel.com/press</w:t>
        </w:r>
      </w:hyperlink>
    </w:p>
    <w:p w14:paraId="75245CE6" w14:textId="77777777" w:rsidR="007C3E61" w:rsidRPr="00857408" w:rsidRDefault="007F015E" w:rsidP="007C3E61">
      <w:pPr>
        <w:tabs>
          <w:tab w:val="left" w:pos="1080"/>
          <w:tab w:val="left" w:pos="4500"/>
        </w:tabs>
        <w:rPr>
          <w:rStyle w:val="AboutandContactBody"/>
          <w:rFonts w:asciiTheme="majorHAnsi" w:hAnsiTheme="majorHAnsi" w:cstheme="majorHAnsi"/>
          <w:color w:val="0000FF"/>
          <w:szCs w:val="18"/>
          <w:u w:val="single"/>
          <w:lang w:val="fr-FR"/>
        </w:rPr>
      </w:pPr>
      <w:hyperlink r:id="rId16" w:history="1">
        <w:r w:rsidR="007C3E61" w:rsidRPr="00F05FE3">
          <w:rPr>
            <w:rStyle w:val="Hyperlink"/>
            <w:rFonts w:asciiTheme="majorHAnsi" w:hAnsiTheme="majorHAnsi" w:cstheme="majorHAnsi"/>
            <w:lang w:val="fr-FR"/>
          </w:rPr>
          <w:t>www.henkel.com/ir</w:t>
        </w:r>
      </w:hyperlink>
    </w:p>
    <w:p w14:paraId="4652AE2E" w14:textId="77777777" w:rsidR="007C3E61" w:rsidRPr="007F015E" w:rsidRDefault="007C3E61" w:rsidP="007C3E61">
      <w:pPr>
        <w:tabs>
          <w:tab w:val="left" w:pos="1080"/>
          <w:tab w:val="left" w:pos="4500"/>
        </w:tabs>
        <w:rPr>
          <w:rStyle w:val="AboutandContactBody"/>
          <w:rFonts w:asciiTheme="majorHAnsi" w:hAnsiTheme="majorHAnsi" w:cstheme="majorHAnsi"/>
          <w:bCs/>
          <w:szCs w:val="18"/>
          <w:lang w:val="de-DE"/>
        </w:rPr>
      </w:pPr>
    </w:p>
    <w:p w14:paraId="66DD6867" w14:textId="77777777" w:rsidR="007C3E61" w:rsidRPr="007F015E" w:rsidRDefault="007C3E61" w:rsidP="007C3E61">
      <w:pPr>
        <w:tabs>
          <w:tab w:val="left" w:pos="1080"/>
          <w:tab w:val="left" w:pos="4500"/>
        </w:tabs>
        <w:rPr>
          <w:rStyle w:val="AboutandContactBody"/>
          <w:rFonts w:asciiTheme="majorHAnsi" w:hAnsiTheme="majorHAnsi"/>
          <w:b/>
          <w:szCs w:val="18"/>
          <w:lang w:val="de-DE"/>
        </w:rPr>
      </w:pPr>
    </w:p>
    <w:p w14:paraId="18E93883" w14:textId="1E11D4A9" w:rsidR="0013569C" w:rsidRPr="007E7A47" w:rsidRDefault="0013569C">
      <w:pPr>
        <w:spacing w:line="240" w:lineRule="auto"/>
        <w:jc w:val="left"/>
        <w:rPr>
          <w:rStyle w:val="AboutandContactBody"/>
          <w:rFonts w:asciiTheme="majorHAnsi" w:hAnsiTheme="majorHAnsi" w:cstheme="majorHAnsi"/>
          <w:b/>
          <w:szCs w:val="18"/>
          <w:lang w:val="sr-Latn-RS"/>
        </w:rPr>
      </w:pPr>
    </w:p>
    <w:p w14:paraId="1CAE75D3" w14:textId="1369FB78" w:rsidR="00112A28" w:rsidRPr="007E7A47" w:rsidRDefault="00112A28" w:rsidP="000425ED">
      <w:pPr>
        <w:tabs>
          <w:tab w:val="left" w:pos="1080"/>
          <w:tab w:val="left" w:pos="4500"/>
        </w:tabs>
        <w:rPr>
          <w:rStyle w:val="AboutandContactBody"/>
          <w:rFonts w:asciiTheme="majorHAnsi" w:hAnsiTheme="majorHAnsi" w:cstheme="majorHAnsi"/>
          <w:color w:val="0000FF"/>
          <w:szCs w:val="18"/>
          <w:u w:val="single"/>
          <w:lang w:val="sr-Latn-RS"/>
        </w:rPr>
      </w:pPr>
    </w:p>
    <w:sectPr w:rsidR="00112A28" w:rsidRPr="007E7A47" w:rsidSect="00F44E6C">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12E8E" w14:textId="77777777" w:rsidR="008C78CC" w:rsidRDefault="008C78CC">
      <w:r>
        <w:separator/>
      </w:r>
    </w:p>
  </w:endnote>
  <w:endnote w:type="continuationSeparator" w:id="0">
    <w:p w14:paraId="1B9387B4" w14:textId="77777777" w:rsidR="008C78CC" w:rsidRDefault="008C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19EC7BF5" w:rsidR="00CF6F33" w:rsidRPr="00112A28" w:rsidRDefault="00112A28" w:rsidP="00112A28">
    <w:pPr>
      <w:pStyle w:val="Footer"/>
      <w:tabs>
        <w:tab w:val="clear" w:pos="7083"/>
        <w:tab w:val="clear" w:pos="8640"/>
        <w:tab w:val="right" w:pos="9071"/>
      </w:tabs>
      <w:jc w:val="both"/>
    </w:pPr>
    <w:r>
      <w:tab/>
    </w:r>
    <w:r w:rsidR="00524D6B">
      <w:t xml:space="preserve">Strana </w:t>
    </w:r>
    <w:r w:rsidRPr="00BF6E82">
      <w:fldChar w:fldCharType="begin"/>
    </w:r>
    <w:r w:rsidRPr="00BF6E82">
      <w:instrText xml:space="preserve"> PAGE  \* Arabic  \* MERGEFORMAT </w:instrText>
    </w:r>
    <w:r w:rsidRPr="00BF6E82">
      <w:fldChar w:fldCharType="separate"/>
    </w:r>
    <w:r w:rsidR="00AA7172">
      <w:t>5</w:t>
    </w:r>
    <w:r w:rsidRPr="00BF6E82">
      <w:fldChar w:fldCharType="end"/>
    </w:r>
    <w:r w:rsidRPr="00BF6E82">
      <w:t>/</w:t>
    </w:r>
    <w:r w:rsidR="007F015E">
      <w:fldChar w:fldCharType="begin"/>
    </w:r>
    <w:r w:rsidR="007F015E">
      <w:instrText xml:space="preserve"> NUMPAGES  \* Arabic  \* MERGEFORMAT </w:instrText>
    </w:r>
    <w:r w:rsidR="007F015E">
      <w:fldChar w:fldCharType="separate"/>
    </w:r>
    <w:r w:rsidR="00AA7172">
      <w:t>5</w:t>
    </w:r>
    <w:r w:rsidR="007F015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D085E" w14:textId="29F78B37" w:rsidR="007C3E61" w:rsidRPr="00D804B7" w:rsidRDefault="007C3E61" w:rsidP="007C3E61">
    <w:pPr>
      <w:pStyle w:val="Footer"/>
      <w:tabs>
        <w:tab w:val="right" w:pos="9072"/>
      </w:tabs>
      <w:jc w:val="center"/>
      <w:rPr>
        <w:rFonts w:cs="Arial"/>
        <w:szCs w:val="14"/>
      </w:rPr>
    </w:pPr>
    <w:r w:rsidRPr="00F46820">
      <w:rPr>
        <w:rFonts w:cs="Arial"/>
        <w:szCs w:val="14"/>
      </w:rPr>
      <w:drawing>
        <wp:inline distT="0" distB="0" distL="0" distR="0" wp14:anchorId="4409B613" wp14:editId="5BCEDCC0">
          <wp:extent cx="429260" cy="15494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154940"/>
                  </a:xfrm>
                  <a:prstGeom prst="rect">
                    <a:avLst/>
                  </a:prstGeom>
                  <a:noFill/>
                  <a:ln>
                    <a:noFill/>
                  </a:ln>
                </pic:spPr>
              </pic:pic>
            </a:graphicData>
          </a:graphic>
        </wp:inline>
      </w:drawing>
    </w:r>
    <w:r w:rsidRPr="00F46820">
      <w:rPr>
        <w:rFonts w:cs="Arial"/>
        <w:szCs w:val="14"/>
      </w:rPr>
      <w:drawing>
        <wp:inline distT="0" distB="0" distL="0" distR="0" wp14:anchorId="439AD65C" wp14:editId="6E1B6B96">
          <wp:extent cx="260350" cy="182880"/>
          <wp:effectExtent l="0" t="0" r="635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50" cy="182880"/>
                  </a:xfrm>
                  <a:prstGeom prst="rect">
                    <a:avLst/>
                  </a:prstGeom>
                  <a:noFill/>
                  <a:ln>
                    <a:noFill/>
                  </a:ln>
                </pic:spPr>
              </pic:pic>
            </a:graphicData>
          </a:graphic>
        </wp:inline>
      </w:drawing>
    </w:r>
    <w:r w:rsidRPr="00F46820">
      <w:rPr>
        <w:rFonts w:cs="Arial"/>
        <w:szCs w:val="14"/>
      </w:rPr>
      <w:drawing>
        <wp:inline distT="0" distB="0" distL="0" distR="0" wp14:anchorId="261E70FF" wp14:editId="22B1E55F">
          <wp:extent cx="337820" cy="203835"/>
          <wp:effectExtent l="0" t="0" r="508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7820" cy="203835"/>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78E1BDDA" wp14:editId="1AB8B226">
          <wp:extent cx="358775" cy="203835"/>
          <wp:effectExtent l="0" t="0" r="317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775" cy="203835"/>
                  </a:xfrm>
                  <a:prstGeom prst="rect">
                    <a:avLst/>
                  </a:prstGeom>
                  <a:noFill/>
                  <a:ln>
                    <a:noFill/>
                  </a:ln>
                </pic:spPr>
              </pic:pic>
            </a:graphicData>
          </a:graphic>
        </wp:inline>
      </w:drawing>
    </w:r>
    <w:r w:rsidRPr="00F46820">
      <w:rPr>
        <w:rFonts w:cs="Arial"/>
        <w:szCs w:val="14"/>
      </w:rPr>
      <w:drawing>
        <wp:inline distT="0" distB="0" distL="0" distR="0" wp14:anchorId="073D3E86" wp14:editId="41E508AE">
          <wp:extent cx="309245" cy="196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245" cy="196850"/>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53944490" wp14:editId="20C5AB91">
          <wp:extent cx="253365" cy="2247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 cy="224790"/>
                  </a:xfrm>
                  <a:prstGeom prst="rect">
                    <a:avLst/>
                  </a:prstGeom>
                  <a:noFill/>
                  <a:ln>
                    <a:noFill/>
                  </a:ln>
                </pic:spPr>
              </pic:pic>
            </a:graphicData>
          </a:graphic>
        </wp:inline>
      </w:drawing>
    </w:r>
    <w:r w:rsidRPr="00F46820">
      <w:rPr>
        <w:rFonts w:cs="Arial"/>
        <w:szCs w:val="14"/>
      </w:rPr>
      <w:drawing>
        <wp:inline distT="0" distB="0" distL="0" distR="0" wp14:anchorId="7A1736C1" wp14:editId="023C0FE6">
          <wp:extent cx="598170" cy="2533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 cy="253365"/>
                  </a:xfrm>
                  <a:prstGeom prst="rect">
                    <a:avLst/>
                  </a:prstGeom>
                  <a:noFill/>
                  <a:ln>
                    <a:noFill/>
                  </a:ln>
                </pic:spPr>
              </pic:pic>
            </a:graphicData>
          </a:graphic>
        </wp:inline>
      </w:drawing>
    </w:r>
    <w:r>
      <w:rPr>
        <w:rFonts w:cs="Arial"/>
        <w:szCs w:val="14"/>
      </w:rPr>
      <w:drawing>
        <wp:inline distT="0" distB="0" distL="0" distR="0" wp14:anchorId="679C8046" wp14:editId="53260EFD">
          <wp:extent cx="464185" cy="1193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85" cy="119380"/>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79F1E880" wp14:editId="082FA0BA">
          <wp:extent cx="267335" cy="1898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35" cy="189865"/>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507165FE" wp14:editId="26B48AD2">
          <wp:extent cx="492125" cy="14097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125" cy="140970"/>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2962A5E7" wp14:editId="66286C85">
          <wp:extent cx="583565" cy="161925"/>
          <wp:effectExtent l="0" t="0" r="698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 cy="161925"/>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48836695" wp14:editId="3AEC21C7">
          <wp:extent cx="450215" cy="9842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215" cy="98425"/>
                  </a:xfrm>
                  <a:prstGeom prst="rect">
                    <a:avLst/>
                  </a:prstGeom>
                  <a:noFill/>
                  <a:ln>
                    <a:noFill/>
                  </a:ln>
                </pic:spPr>
              </pic:pic>
            </a:graphicData>
          </a:graphic>
        </wp:inline>
      </w:drawing>
    </w:r>
    <w:r>
      <w:rPr>
        <w:rFonts w:cs="Arial"/>
        <w:szCs w:val="14"/>
      </w:rPr>
      <w:t xml:space="preserve"> </w:t>
    </w:r>
    <w:r>
      <w:rPr>
        <w:rFonts w:cs="Arial"/>
        <w:szCs w:val="14"/>
      </w:rPr>
      <w:drawing>
        <wp:inline distT="0" distB="0" distL="0" distR="0" wp14:anchorId="74034FE5" wp14:editId="18A74780">
          <wp:extent cx="647065" cy="10541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065" cy="105410"/>
                  </a:xfrm>
                  <a:prstGeom prst="rect">
                    <a:avLst/>
                  </a:prstGeom>
                  <a:noFill/>
                  <a:ln>
                    <a:noFill/>
                  </a:ln>
                </pic:spPr>
              </pic:pic>
            </a:graphicData>
          </a:graphic>
        </wp:inline>
      </w:drawing>
    </w:r>
  </w:p>
  <w:p w14:paraId="7AD6C181" w14:textId="77777777" w:rsidR="007C3E61" w:rsidRPr="0087067A" w:rsidRDefault="007C3E61" w:rsidP="007C3E61">
    <w:pPr>
      <w:pStyle w:val="Footer"/>
    </w:pPr>
  </w:p>
  <w:p w14:paraId="577A058E" w14:textId="18A4922D" w:rsidR="00CF6F33" w:rsidRPr="00992A11" w:rsidRDefault="00CF6F33" w:rsidP="0099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49117" w14:textId="77777777" w:rsidR="008C78CC" w:rsidRDefault="008C78CC">
      <w:r>
        <w:separator/>
      </w:r>
    </w:p>
  </w:footnote>
  <w:footnote w:type="continuationSeparator" w:id="0">
    <w:p w14:paraId="2C82446F" w14:textId="77777777" w:rsidR="008C78CC" w:rsidRDefault="008C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78BCC5F" w:rsidR="00CF6F33" w:rsidRPr="00EB46D9" w:rsidRDefault="0059722C" w:rsidP="00EB46D9">
    <w:pPr>
      <w:pStyle w:val="Header"/>
    </w:pPr>
    <w:r w:rsidRPr="00EB46D9">
      <w:rPr>
        <w:noProof/>
        <w:lang w:val="en-GB" w:eastAsia="en-GB"/>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en-GB" w:eastAsia="en-GB"/>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3CC5F56"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240662">
      <w:rPr>
        <w:noProof/>
      </w:rPr>
      <w:t xml:space="preserve">Saopštenje za </w:t>
    </w:r>
    <w:r w:rsidR="00EF71E9">
      <w:rPr>
        <w:noProof/>
      </w:rPr>
      <w:t>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5267"/>
    <w:rsid w:val="00006346"/>
    <w:rsid w:val="000069EB"/>
    <w:rsid w:val="00006A45"/>
    <w:rsid w:val="00021C67"/>
    <w:rsid w:val="000301F0"/>
    <w:rsid w:val="00030557"/>
    <w:rsid w:val="00030F51"/>
    <w:rsid w:val="00035A84"/>
    <w:rsid w:val="00040341"/>
    <w:rsid w:val="00040CC9"/>
    <w:rsid w:val="000425ED"/>
    <w:rsid w:val="00046D02"/>
    <w:rsid w:val="000510FC"/>
    <w:rsid w:val="00051E86"/>
    <w:rsid w:val="000575F9"/>
    <w:rsid w:val="000618FC"/>
    <w:rsid w:val="00067071"/>
    <w:rsid w:val="00080D10"/>
    <w:rsid w:val="0008357F"/>
    <w:rsid w:val="0008406B"/>
    <w:rsid w:val="000B5D2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4FBA"/>
    <w:rsid w:val="00115230"/>
    <w:rsid w:val="00115B5F"/>
    <w:rsid w:val="001162B4"/>
    <w:rsid w:val="00122CBC"/>
    <w:rsid w:val="00126C65"/>
    <w:rsid w:val="00126D4A"/>
    <w:rsid w:val="00132DA9"/>
    <w:rsid w:val="0013305B"/>
    <w:rsid w:val="00133B99"/>
    <w:rsid w:val="00134424"/>
    <w:rsid w:val="0013569C"/>
    <w:rsid w:val="001443BD"/>
    <w:rsid w:val="0015676F"/>
    <w:rsid w:val="001577E9"/>
    <w:rsid w:val="0016138C"/>
    <w:rsid w:val="001731CE"/>
    <w:rsid w:val="001B7C20"/>
    <w:rsid w:val="001B7EA4"/>
    <w:rsid w:val="001C0B32"/>
    <w:rsid w:val="001C4BE1"/>
    <w:rsid w:val="001D7ADF"/>
    <w:rsid w:val="001E0F71"/>
    <w:rsid w:val="001E11D6"/>
    <w:rsid w:val="001E6D05"/>
    <w:rsid w:val="001E73E8"/>
    <w:rsid w:val="001E7C28"/>
    <w:rsid w:val="001F1BDF"/>
    <w:rsid w:val="001F7110"/>
    <w:rsid w:val="001F7E96"/>
    <w:rsid w:val="002005F5"/>
    <w:rsid w:val="00202284"/>
    <w:rsid w:val="0020528D"/>
    <w:rsid w:val="00212488"/>
    <w:rsid w:val="002129A6"/>
    <w:rsid w:val="00220628"/>
    <w:rsid w:val="002260C7"/>
    <w:rsid w:val="002304D2"/>
    <w:rsid w:val="00233D04"/>
    <w:rsid w:val="00234ABD"/>
    <w:rsid w:val="00236491"/>
    <w:rsid w:val="00236E2A"/>
    <w:rsid w:val="00237F62"/>
    <w:rsid w:val="00240662"/>
    <w:rsid w:val="0024586A"/>
    <w:rsid w:val="002518A2"/>
    <w:rsid w:val="00256F0C"/>
    <w:rsid w:val="00262C05"/>
    <w:rsid w:val="00281D14"/>
    <w:rsid w:val="00282C13"/>
    <w:rsid w:val="002A0DF7"/>
    <w:rsid w:val="002A2975"/>
    <w:rsid w:val="002A460D"/>
    <w:rsid w:val="002A5EE9"/>
    <w:rsid w:val="002A60E0"/>
    <w:rsid w:val="002C1344"/>
    <w:rsid w:val="002C252E"/>
    <w:rsid w:val="002C26DA"/>
    <w:rsid w:val="002C6773"/>
    <w:rsid w:val="002D2A3D"/>
    <w:rsid w:val="002D74CF"/>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4F7E"/>
    <w:rsid w:val="00365B39"/>
    <w:rsid w:val="00365E44"/>
    <w:rsid w:val="003662B1"/>
    <w:rsid w:val="00367AA1"/>
    <w:rsid w:val="00370A5B"/>
    <w:rsid w:val="00370E6D"/>
    <w:rsid w:val="00372E36"/>
    <w:rsid w:val="00376EE9"/>
    <w:rsid w:val="00376FFC"/>
    <w:rsid w:val="00377CBB"/>
    <w:rsid w:val="00384F62"/>
    <w:rsid w:val="00385438"/>
    <w:rsid w:val="003877B6"/>
    <w:rsid w:val="00391539"/>
    <w:rsid w:val="00393887"/>
    <w:rsid w:val="00394C6B"/>
    <w:rsid w:val="003A4E62"/>
    <w:rsid w:val="003B1069"/>
    <w:rsid w:val="003B390A"/>
    <w:rsid w:val="003C15DE"/>
    <w:rsid w:val="003C2889"/>
    <w:rsid w:val="003C4EB2"/>
    <w:rsid w:val="003F1AF3"/>
    <w:rsid w:val="003F4D8D"/>
    <w:rsid w:val="0040386D"/>
    <w:rsid w:val="004271D4"/>
    <w:rsid w:val="004313E7"/>
    <w:rsid w:val="00434CD3"/>
    <w:rsid w:val="00444A70"/>
    <w:rsid w:val="0044763B"/>
    <w:rsid w:val="00456A53"/>
    <w:rsid w:val="0046266D"/>
    <w:rsid w:val="004629B3"/>
    <w:rsid w:val="0046376E"/>
    <w:rsid w:val="0046690F"/>
    <w:rsid w:val="004670CF"/>
    <w:rsid w:val="00472FEC"/>
    <w:rsid w:val="00474B0A"/>
    <w:rsid w:val="00485256"/>
    <w:rsid w:val="00490A03"/>
    <w:rsid w:val="00493327"/>
    <w:rsid w:val="00494DBE"/>
    <w:rsid w:val="00495CE6"/>
    <w:rsid w:val="004A033F"/>
    <w:rsid w:val="004A144D"/>
    <w:rsid w:val="004A323C"/>
    <w:rsid w:val="004A49D0"/>
    <w:rsid w:val="004B54E8"/>
    <w:rsid w:val="004C4FEB"/>
    <w:rsid w:val="004C6B79"/>
    <w:rsid w:val="004D059B"/>
    <w:rsid w:val="004D0E64"/>
    <w:rsid w:val="004D48A8"/>
    <w:rsid w:val="004D4CB6"/>
    <w:rsid w:val="004E3341"/>
    <w:rsid w:val="004E6238"/>
    <w:rsid w:val="004F10C1"/>
    <w:rsid w:val="004F5AD9"/>
    <w:rsid w:val="00500C9E"/>
    <w:rsid w:val="00502E62"/>
    <w:rsid w:val="00506B8A"/>
    <w:rsid w:val="0052212B"/>
    <w:rsid w:val="00524D6B"/>
    <w:rsid w:val="005266EA"/>
    <w:rsid w:val="00534B46"/>
    <w:rsid w:val="00540358"/>
    <w:rsid w:val="00540D47"/>
    <w:rsid w:val="005463C3"/>
    <w:rsid w:val="00550864"/>
    <w:rsid w:val="0055571E"/>
    <w:rsid w:val="005568FA"/>
    <w:rsid w:val="00556F67"/>
    <w:rsid w:val="005652E8"/>
    <w:rsid w:val="00576BDA"/>
    <w:rsid w:val="005823AD"/>
    <w:rsid w:val="005833F0"/>
    <w:rsid w:val="00586CAF"/>
    <w:rsid w:val="005873E9"/>
    <w:rsid w:val="00591180"/>
    <w:rsid w:val="00591720"/>
    <w:rsid w:val="0059722C"/>
    <w:rsid w:val="00597D07"/>
    <w:rsid w:val="005A3846"/>
    <w:rsid w:val="005B2CD2"/>
    <w:rsid w:val="005B6A58"/>
    <w:rsid w:val="005C7112"/>
    <w:rsid w:val="005D0561"/>
    <w:rsid w:val="005D0AD9"/>
    <w:rsid w:val="005D22F6"/>
    <w:rsid w:val="005E0C30"/>
    <w:rsid w:val="005E3FBB"/>
    <w:rsid w:val="005E69D9"/>
    <w:rsid w:val="005F27F4"/>
    <w:rsid w:val="005F2990"/>
    <w:rsid w:val="005F3239"/>
    <w:rsid w:val="005F6567"/>
    <w:rsid w:val="00607094"/>
    <w:rsid w:val="00607256"/>
    <w:rsid w:val="006144B1"/>
    <w:rsid w:val="006227C7"/>
    <w:rsid w:val="00622BF3"/>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79F0"/>
    <w:rsid w:val="006B2DED"/>
    <w:rsid w:val="006B47EE"/>
    <w:rsid w:val="006B499F"/>
    <w:rsid w:val="006C0CDC"/>
    <w:rsid w:val="006C33BE"/>
    <w:rsid w:val="006C7E78"/>
    <w:rsid w:val="006D098F"/>
    <w:rsid w:val="006D4996"/>
    <w:rsid w:val="006D54AB"/>
    <w:rsid w:val="006E1FA9"/>
    <w:rsid w:val="006E3006"/>
    <w:rsid w:val="006E5032"/>
    <w:rsid w:val="006E5BDA"/>
    <w:rsid w:val="006F0FC7"/>
    <w:rsid w:val="006F39A9"/>
    <w:rsid w:val="006F52B9"/>
    <w:rsid w:val="006F670F"/>
    <w:rsid w:val="00702921"/>
    <w:rsid w:val="00702946"/>
    <w:rsid w:val="00703272"/>
    <w:rsid w:val="00705453"/>
    <w:rsid w:val="00705B8A"/>
    <w:rsid w:val="0070733C"/>
    <w:rsid w:val="00710C5D"/>
    <w:rsid w:val="0071348C"/>
    <w:rsid w:val="00717273"/>
    <w:rsid w:val="00720FD4"/>
    <w:rsid w:val="00724AF2"/>
    <w:rsid w:val="0073096C"/>
    <w:rsid w:val="00733A46"/>
    <w:rsid w:val="00742398"/>
    <w:rsid w:val="007432A9"/>
    <w:rsid w:val="007451D3"/>
    <w:rsid w:val="007507B5"/>
    <w:rsid w:val="0075091D"/>
    <w:rsid w:val="00753A24"/>
    <w:rsid w:val="0075430D"/>
    <w:rsid w:val="00767929"/>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C3E61"/>
    <w:rsid w:val="007C58A5"/>
    <w:rsid w:val="007D2A02"/>
    <w:rsid w:val="007D3AC4"/>
    <w:rsid w:val="007D62A4"/>
    <w:rsid w:val="007E5018"/>
    <w:rsid w:val="007E6EA1"/>
    <w:rsid w:val="007E7A47"/>
    <w:rsid w:val="007F015E"/>
    <w:rsid w:val="007F0F63"/>
    <w:rsid w:val="007F2B1E"/>
    <w:rsid w:val="007F62B4"/>
    <w:rsid w:val="00801517"/>
    <w:rsid w:val="00805011"/>
    <w:rsid w:val="00813492"/>
    <w:rsid w:val="00816FCE"/>
    <w:rsid w:val="00817AE8"/>
    <w:rsid w:val="00817DE8"/>
    <w:rsid w:val="008220D1"/>
    <w:rsid w:val="008229F5"/>
    <w:rsid w:val="0082699A"/>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0945"/>
    <w:rsid w:val="008712FE"/>
    <w:rsid w:val="0087142D"/>
    <w:rsid w:val="00873416"/>
    <w:rsid w:val="00873956"/>
    <w:rsid w:val="00880E72"/>
    <w:rsid w:val="008825EE"/>
    <w:rsid w:val="0088596E"/>
    <w:rsid w:val="0089796A"/>
    <w:rsid w:val="008A2375"/>
    <w:rsid w:val="008C78CC"/>
    <w:rsid w:val="008D76C5"/>
    <w:rsid w:val="008E0A04"/>
    <w:rsid w:val="008E0AFA"/>
    <w:rsid w:val="008E75D3"/>
    <w:rsid w:val="008F0CE4"/>
    <w:rsid w:val="008F125E"/>
    <w:rsid w:val="008F4D2F"/>
    <w:rsid w:val="00906292"/>
    <w:rsid w:val="00914B5B"/>
    <w:rsid w:val="00917162"/>
    <w:rsid w:val="009178AA"/>
    <w:rsid w:val="009251CC"/>
    <w:rsid w:val="0092714E"/>
    <w:rsid w:val="00942002"/>
    <w:rsid w:val="00947885"/>
    <w:rsid w:val="009504AB"/>
    <w:rsid w:val="00952168"/>
    <w:rsid w:val="009527FE"/>
    <w:rsid w:val="009529B2"/>
    <w:rsid w:val="009739A0"/>
    <w:rsid w:val="00974F84"/>
    <w:rsid w:val="009767C7"/>
    <w:rsid w:val="0098579A"/>
    <w:rsid w:val="009918DD"/>
    <w:rsid w:val="0099195A"/>
    <w:rsid w:val="00992A11"/>
    <w:rsid w:val="00994681"/>
    <w:rsid w:val="0099486A"/>
    <w:rsid w:val="009A0E26"/>
    <w:rsid w:val="009A16EC"/>
    <w:rsid w:val="009A22C2"/>
    <w:rsid w:val="009A7C17"/>
    <w:rsid w:val="009B29B7"/>
    <w:rsid w:val="009B3B37"/>
    <w:rsid w:val="009B7D1F"/>
    <w:rsid w:val="009C088E"/>
    <w:rsid w:val="009C4D35"/>
    <w:rsid w:val="009D1522"/>
    <w:rsid w:val="009D7252"/>
    <w:rsid w:val="009E5EB4"/>
    <w:rsid w:val="009F610E"/>
    <w:rsid w:val="00A044D6"/>
    <w:rsid w:val="00A04ADB"/>
    <w:rsid w:val="00A05F11"/>
    <w:rsid w:val="00A11E0F"/>
    <w:rsid w:val="00A26CB6"/>
    <w:rsid w:val="00A32F82"/>
    <w:rsid w:val="00A32F8B"/>
    <w:rsid w:val="00A3756F"/>
    <w:rsid w:val="00A42D6F"/>
    <w:rsid w:val="00A45A62"/>
    <w:rsid w:val="00A54AC5"/>
    <w:rsid w:val="00A55DC3"/>
    <w:rsid w:val="00A56D41"/>
    <w:rsid w:val="00A60529"/>
    <w:rsid w:val="00A61353"/>
    <w:rsid w:val="00A61481"/>
    <w:rsid w:val="00A66DB1"/>
    <w:rsid w:val="00A67A92"/>
    <w:rsid w:val="00A87870"/>
    <w:rsid w:val="00A91A70"/>
    <w:rsid w:val="00A97316"/>
    <w:rsid w:val="00AA1B85"/>
    <w:rsid w:val="00AA7172"/>
    <w:rsid w:val="00AB1CB6"/>
    <w:rsid w:val="00AB1D9A"/>
    <w:rsid w:val="00AD0C22"/>
    <w:rsid w:val="00AD442C"/>
    <w:rsid w:val="00AD44FE"/>
    <w:rsid w:val="00AD5A37"/>
    <w:rsid w:val="00AE400C"/>
    <w:rsid w:val="00AE49F1"/>
    <w:rsid w:val="00AE5532"/>
    <w:rsid w:val="00B05CCA"/>
    <w:rsid w:val="00B14271"/>
    <w:rsid w:val="00B16270"/>
    <w:rsid w:val="00B2685D"/>
    <w:rsid w:val="00B30351"/>
    <w:rsid w:val="00B307E3"/>
    <w:rsid w:val="00B33C2A"/>
    <w:rsid w:val="00B35967"/>
    <w:rsid w:val="00B422EC"/>
    <w:rsid w:val="00B54885"/>
    <w:rsid w:val="00B634AB"/>
    <w:rsid w:val="00B726D4"/>
    <w:rsid w:val="00B8214F"/>
    <w:rsid w:val="00B82B48"/>
    <w:rsid w:val="00B86A4F"/>
    <w:rsid w:val="00B93035"/>
    <w:rsid w:val="00B958E8"/>
    <w:rsid w:val="00B97E4A"/>
    <w:rsid w:val="00BA09B2"/>
    <w:rsid w:val="00BA4586"/>
    <w:rsid w:val="00BA465D"/>
    <w:rsid w:val="00BA5B46"/>
    <w:rsid w:val="00BB2D73"/>
    <w:rsid w:val="00BB45BA"/>
    <w:rsid w:val="00BB5D0B"/>
    <w:rsid w:val="00BC0995"/>
    <w:rsid w:val="00BE2D0A"/>
    <w:rsid w:val="00BE47D4"/>
    <w:rsid w:val="00BE793A"/>
    <w:rsid w:val="00BF2B82"/>
    <w:rsid w:val="00BF432A"/>
    <w:rsid w:val="00BF6E82"/>
    <w:rsid w:val="00C04220"/>
    <w:rsid w:val="00C060C7"/>
    <w:rsid w:val="00C24C17"/>
    <w:rsid w:val="00C3758F"/>
    <w:rsid w:val="00C40B88"/>
    <w:rsid w:val="00C44489"/>
    <w:rsid w:val="00C47D87"/>
    <w:rsid w:val="00C5376E"/>
    <w:rsid w:val="00C5701B"/>
    <w:rsid w:val="00C66218"/>
    <w:rsid w:val="00C677C9"/>
    <w:rsid w:val="00C808A6"/>
    <w:rsid w:val="00C97091"/>
    <w:rsid w:val="00C97260"/>
    <w:rsid w:val="00CA2001"/>
    <w:rsid w:val="00CB5B6C"/>
    <w:rsid w:val="00CC052E"/>
    <w:rsid w:val="00CD16BE"/>
    <w:rsid w:val="00CD2F8F"/>
    <w:rsid w:val="00CD4616"/>
    <w:rsid w:val="00CD56AF"/>
    <w:rsid w:val="00CE33D5"/>
    <w:rsid w:val="00CF5D37"/>
    <w:rsid w:val="00CF6F33"/>
    <w:rsid w:val="00D02248"/>
    <w:rsid w:val="00D063B8"/>
    <w:rsid w:val="00D06825"/>
    <w:rsid w:val="00D17E3B"/>
    <w:rsid w:val="00D2306F"/>
    <w:rsid w:val="00D23C09"/>
    <w:rsid w:val="00D23CED"/>
    <w:rsid w:val="00D24BD2"/>
    <w:rsid w:val="00D2573D"/>
    <w:rsid w:val="00D260A2"/>
    <w:rsid w:val="00D30CC6"/>
    <w:rsid w:val="00D3260C"/>
    <w:rsid w:val="00D34FB1"/>
    <w:rsid w:val="00D35790"/>
    <w:rsid w:val="00D5611E"/>
    <w:rsid w:val="00D5653B"/>
    <w:rsid w:val="00D62EF1"/>
    <w:rsid w:val="00D6309D"/>
    <w:rsid w:val="00D644CA"/>
    <w:rsid w:val="00D64EA0"/>
    <w:rsid w:val="00D66FC2"/>
    <w:rsid w:val="00D7044E"/>
    <w:rsid w:val="00D71417"/>
    <w:rsid w:val="00D76C7E"/>
    <w:rsid w:val="00D771DE"/>
    <w:rsid w:val="00D7776D"/>
    <w:rsid w:val="00D92179"/>
    <w:rsid w:val="00D922C6"/>
    <w:rsid w:val="00D9293F"/>
    <w:rsid w:val="00D93598"/>
    <w:rsid w:val="00DA1E18"/>
    <w:rsid w:val="00DA2009"/>
    <w:rsid w:val="00DB05B1"/>
    <w:rsid w:val="00DB3786"/>
    <w:rsid w:val="00DB59E8"/>
    <w:rsid w:val="00DB5A79"/>
    <w:rsid w:val="00DC2465"/>
    <w:rsid w:val="00DC7D48"/>
    <w:rsid w:val="00DD512E"/>
    <w:rsid w:val="00DE1177"/>
    <w:rsid w:val="00DE2CEA"/>
    <w:rsid w:val="00DE6A3C"/>
    <w:rsid w:val="00DE74F4"/>
    <w:rsid w:val="00DE7F97"/>
    <w:rsid w:val="00DF1010"/>
    <w:rsid w:val="00DF5AEA"/>
    <w:rsid w:val="00DF63F6"/>
    <w:rsid w:val="00DF7BD0"/>
    <w:rsid w:val="00E077AB"/>
    <w:rsid w:val="00E13747"/>
    <w:rsid w:val="00E14758"/>
    <w:rsid w:val="00E21088"/>
    <w:rsid w:val="00E24632"/>
    <w:rsid w:val="00E25AEA"/>
    <w:rsid w:val="00E25DA3"/>
    <w:rsid w:val="00E30D26"/>
    <w:rsid w:val="00E30DEF"/>
    <w:rsid w:val="00E30ED2"/>
    <w:rsid w:val="00E31276"/>
    <w:rsid w:val="00E34666"/>
    <w:rsid w:val="00E37F70"/>
    <w:rsid w:val="00E41377"/>
    <w:rsid w:val="00E41985"/>
    <w:rsid w:val="00E446C1"/>
    <w:rsid w:val="00E545D7"/>
    <w:rsid w:val="00E547FE"/>
    <w:rsid w:val="00E60ECA"/>
    <w:rsid w:val="00E663B6"/>
    <w:rsid w:val="00E758B9"/>
    <w:rsid w:val="00E85569"/>
    <w:rsid w:val="00E856AF"/>
    <w:rsid w:val="00E86B83"/>
    <w:rsid w:val="00E87C64"/>
    <w:rsid w:val="00E9015E"/>
    <w:rsid w:val="00E93A01"/>
    <w:rsid w:val="00E93FF8"/>
    <w:rsid w:val="00E96EAF"/>
    <w:rsid w:val="00EA1752"/>
    <w:rsid w:val="00EA5A89"/>
    <w:rsid w:val="00EA5BDB"/>
    <w:rsid w:val="00EB46D9"/>
    <w:rsid w:val="00EC0E64"/>
    <w:rsid w:val="00EC142D"/>
    <w:rsid w:val="00EC1E16"/>
    <w:rsid w:val="00EC2DD1"/>
    <w:rsid w:val="00ED0024"/>
    <w:rsid w:val="00ED0F85"/>
    <w:rsid w:val="00ED2B5C"/>
    <w:rsid w:val="00ED3269"/>
    <w:rsid w:val="00ED3A18"/>
    <w:rsid w:val="00EE1A8C"/>
    <w:rsid w:val="00EE4643"/>
    <w:rsid w:val="00EF023E"/>
    <w:rsid w:val="00EF1330"/>
    <w:rsid w:val="00EF15FF"/>
    <w:rsid w:val="00EF7111"/>
    <w:rsid w:val="00EF71E9"/>
    <w:rsid w:val="00EF7D1A"/>
    <w:rsid w:val="00F0448F"/>
    <w:rsid w:val="00F0716C"/>
    <w:rsid w:val="00F16475"/>
    <w:rsid w:val="00F270E9"/>
    <w:rsid w:val="00F27440"/>
    <w:rsid w:val="00F275C0"/>
    <w:rsid w:val="00F317B5"/>
    <w:rsid w:val="00F346B6"/>
    <w:rsid w:val="00F36145"/>
    <w:rsid w:val="00F37BDD"/>
    <w:rsid w:val="00F41503"/>
    <w:rsid w:val="00F44E6C"/>
    <w:rsid w:val="00F46207"/>
    <w:rsid w:val="00F466C8"/>
    <w:rsid w:val="00F469A9"/>
    <w:rsid w:val="00F46B50"/>
    <w:rsid w:val="00F50B46"/>
    <w:rsid w:val="00F50D1F"/>
    <w:rsid w:val="00F51545"/>
    <w:rsid w:val="00F635FC"/>
    <w:rsid w:val="00F63D03"/>
    <w:rsid w:val="00F652B3"/>
    <w:rsid w:val="00F65E2F"/>
    <w:rsid w:val="00F67DF1"/>
    <w:rsid w:val="00F8309B"/>
    <w:rsid w:val="00F833C9"/>
    <w:rsid w:val="00F90064"/>
    <w:rsid w:val="00F9586C"/>
    <w:rsid w:val="00F96AFD"/>
    <w:rsid w:val="00FA1398"/>
    <w:rsid w:val="00FA2E19"/>
    <w:rsid w:val="00FA697F"/>
    <w:rsid w:val="00FB066E"/>
    <w:rsid w:val="00FB3846"/>
    <w:rsid w:val="00FB5521"/>
    <w:rsid w:val="00FB610D"/>
    <w:rsid w:val="00FC4477"/>
    <w:rsid w:val="00FC46FB"/>
    <w:rsid w:val="00FC7B66"/>
    <w:rsid w:val="00FD2BD3"/>
    <w:rsid w:val="00FD4CCA"/>
    <w:rsid w:val="00FE2A9E"/>
    <w:rsid w:val="00FE34B3"/>
    <w:rsid w:val="00FE46B7"/>
    <w:rsid w:val="00FE4E66"/>
    <w:rsid w:val="00FF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89871930">
      <w:bodyDiv w:val="1"/>
      <w:marLeft w:val="0"/>
      <w:marRight w:val="0"/>
      <w:marTop w:val="0"/>
      <w:marBottom w:val="0"/>
      <w:divBdr>
        <w:top w:val="none" w:sz="0" w:space="0" w:color="auto"/>
        <w:left w:val="none" w:sz="0" w:space="0" w:color="auto"/>
        <w:bottom w:val="none" w:sz="0" w:space="0" w:color="auto"/>
        <w:right w:val="none" w:sz="0" w:space="0" w:color="auto"/>
      </w:divBdr>
      <w:divsChild>
        <w:div w:id="339624975">
          <w:marLeft w:val="0"/>
          <w:marRight w:val="0"/>
          <w:marTop w:val="0"/>
          <w:marBottom w:val="0"/>
          <w:divBdr>
            <w:top w:val="none" w:sz="0" w:space="0" w:color="auto"/>
            <w:left w:val="none" w:sz="0" w:space="0" w:color="auto"/>
            <w:bottom w:val="none" w:sz="0" w:space="0" w:color="auto"/>
            <w:right w:val="none" w:sz="0" w:space="0" w:color="auto"/>
          </w:divBdr>
        </w:div>
        <w:div w:id="506096234">
          <w:marLeft w:val="0"/>
          <w:marRight w:val="0"/>
          <w:marTop w:val="0"/>
          <w:marBottom w:val="0"/>
          <w:divBdr>
            <w:top w:val="none" w:sz="0" w:space="0" w:color="auto"/>
            <w:left w:val="none" w:sz="0" w:space="0" w:color="auto"/>
            <w:bottom w:val="none" w:sz="0" w:space="0" w:color="auto"/>
            <w:right w:val="none" w:sz="0" w:space="0" w:color="auto"/>
          </w:divBdr>
        </w:div>
        <w:div w:id="164519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nkel.com/i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lena.stojanovic@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B5F9827756BB844829A211308D4A1A4" ma:contentTypeVersion="15" ma:contentTypeDescription="Create a new document." ma:contentTypeScope="" ma:versionID="c8f815d558ac19c4c4251349a5390cf1">
  <xsd:schema xmlns:xsd="http://www.w3.org/2001/XMLSchema" xmlns:xs="http://www.w3.org/2001/XMLSchema" xmlns:p="http://schemas.microsoft.com/office/2006/metadata/properties" xmlns:ns3="d372a892-e173-4a70-ab84-a25293e29a02" xmlns:ns4="f43ae5e2-6bc2-44de-a89b-c190bf34082c" targetNamespace="http://schemas.microsoft.com/office/2006/metadata/properties" ma:root="true" ma:fieldsID="2821ec0dbf507bbea39a4a8386577d35" ns3:_="" ns4:_="">
    <xsd:import namespace="d372a892-e173-4a70-ab84-a25293e29a02"/>
    <xsd:import namespace="f43ae5e2-6bc2-44de-a89b-c190bf3408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2a892-e173-4a70-ab84-a25293e29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ae5e2-6bc2-44de-a89b-c190bf3408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d372a892-e173-4a70-ab84-a25293e29a02"/>
    <ds:schemaRef ds:uri="f43ae5e2-6bc2-44de-a89b-c190bf34082c"/>
    <ds:schemaRef ds:uri="http://www.w3.org/XML/1998/namespace"/>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8615B2E-2539-4719-8E12-4969FBFB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2a892-e173-4a70-ab84-a25293e29a02"/>
    <ds:schemaRef ds:uri="f43ae5e2-6bc2-44de-a89b-c190bf340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64107-10BC-4BFA-86C1-F6D05031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6</Pages>
  <Words>2054</Words>
  <Characters>12745</Characters>
  <Application>Microsoft Office Word</Application>
  <DocSecurity>4</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14770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Jelena Sarenac</cp:lastModifiedBy>
  <cp:revision>2</cp:revision>
  <cp:lastPrinted>2020-08-05T16:24:00Z</cp:lastPrinted>
  <dcterms:created xsi:type="dcterms:W3CDTF">2020-08-07T07:10:00Z</dcterms:created>
  <dcterms:modified xsi:type="dcterms:W3CDTF">2020-08-07T07:10:00Z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0x010100FB5F9827756BB844829A211308D4A1A4</vt:lpwstr>
  </property>
</Properties>
</file>