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1CC63" w14:textId="77777777" w:rsidR="00B422EC" w:rsidRPr="00B96B4F" w:rsidRDefault="00E41377" w:rsidP="00E41377">
      <w:pPr>
        <w:pStyle w:val="MonthDayYear"/>
        <w:tabs>
          <w:tab w:val="left" w:pos="7513"/>
        </w:tabs>
        <w:jc w:val="left"/>
        <w:rPr>
          <w:lang w:val="sk-SK"/>
        </w:rPr>
      </w:pPr>
      <w:r w:rsidRPr="00B96B4F">
        <w:rPr>
          <w:lang w:val="sk-SK"/>
        </w:rPr>
        <w:tab/>
      </w:r>
      <w:r w:rsidR="0095034D" w:rsidRPr="00B96B4F">
        <w:rPr>
          <w:lang w:val="sk-SK"/>
        </w:rPr>
        <w:t>6. august</w:t>
      </w:r>
      <w:r w:rsidR="00BF6E82" w:rsidRPr="00B96B4F">
        <w:rPr>
          <w:lang w:val="sk-SK"/>
        </w:rPr>
        <w:t xml:space="preserve"> 20</w:t>
      </w:r>
      <w:r w:rsidR="00F635FC" w:rsidRPr="00B96B4F">
        <w:rPr>
          <w:lang w:val="sk-SK"/>
        </w:rPr>
        <w:t>20</w:t>
      </w:r>
    </w:p>
    <w:p w14:paraId="0C2AD58C" w14:textId="77777777" w:rsidR="007F0F63" w:rsidRPr="00B96B4F" w:rsidRDefault="008120CB" w:rsidP="008120CB">
      <w:pPr>
        <w:pStyle w:val="Topline"/>
        <w:spacing w:after="360" w:line="280" w:lineRule="auto"/>
        <w:rPr>
          <w:rFonts w:asciiTheme="majorHAnsi" w:hAnsiTheme="majorHAnsi" w:cstheme="majorHAnsi"/>
          <w:lang w:val="sk-SK"/>
        </w:rPr>
      </w:pPr>
      <w:r w:rsidRPr="00B96B4F">
        <w:rPr>
          <w:rFonts w:asciiTheme="majorHAnsi" w:hAnsiTheme="majorHAnsi" w:cstheme="majorHAnsi"/>
          <w:lang w:val="sk-SK"/>
        </w:rPr>
        <w:t>Henkel zverejňuje výsledky za prvý polrok a druhý štvrťrok 2020</w:t>
      </w:r>
    </w:p>
    <w:p w14:paraId="624F1EB2" w14:textId="77777777" w:rsidR="007F0F63" w:rsidRPr="00B96B4F" w:rsidRDefault="008120CB" w:rsidP="008120CB">
      <w:pPr>
        <w:spacing w:line="280" w:lineRule="auto"/>
        <w:jc w:val="left"/>
        <w:rPr>
          <w:rStyle w:val="Headline"/>
          <w:rFonts w:asciiTheme="majorHAnsi" w:hAnsiTheme="majorHAnsi" w:cstheme="majorHAnsi"/>
          <w:lang w:val="sk-SK"/>
        </w:rPr>
      </w:pPr>
      <w:r w:rsidRPr="00B96B4F">
        <w:rPr>
          <w:rStyle w:val="Headline"/>
          <w:rFonts w:asciiTheme="majorHAnsi" w:hAnsiTheme="majorHAnsi" w:cstheme="majorHAnsi"/>
          <w:lang w:val="sk-SK"/>
        </w:rPr>
        <w:t xml:space="preserve">Spoločnosť Henkel dosiahla </w:t>
      </w:r>
      <w:r w:rsidR="004B4509" w:rsidRPr="00B96B4F">
        <w:rPr>
          <w:rStyle w:val="Headline"/>
          <w:rFonts w:asciiTheme="majorHAnsi" w:hAnsiTheme="majorHAnsi" w:cstheme="majorHAnsi"/>
          <w:lang w:val="sk-SK"/>
        </w:rPr>
        <w:t xml:space="preserve">silné obchodné </w:t>
      </w:r>
      <w:r w:rsidRPr="00B96B4F">
        <w:rPr>
          <w:rStyle w:val="Headline"/>
          <w:rFonts w:asciiTheme="majorHAnsi" w:hAnsiTheme="majorHAnsi" w:cstheme="majorHAnsi"/>
          <w:lang w:val="sk-SK"/>
        </w:rPr>
        <w:t>výsledky napriek výraznému vplyvu pandémie spôsobenej ochorením COVID-19</w:t>
      </w:r>
    </w:p>
    <w:p w14:paraId="10596D68" w14:textId="77777777" w:rsidR="00852511" w:rsidRPr="00B96B4F" w:rsidRDefault="00852511" w:rsidP="00365E44">
      <w:pPr>
        <w:rPr>
          <w:lang w:val="sk-SK"/>
        </w:rPr>
      </w:pPr>
    </w:p>
    <w:p w14:paraId="51C6E0FC" w14:textId="77777777" w:rsidR="00635616" w:rsidRPr="00B96B4F" w:rsidRDefault="008120CB" w:rsidP="008120CB">
      <w:pPr>
        <w:pStyle w:val="ListParagraph"/>
        <w:numPr>
          <w:ilvl w:val="0"/>
          <w:numId w:val="7"/>
        </w:numPr>
        <w:spacing w:after="80" w:line="280" w:lineRule="auto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val="sk-SK"/>
        </w:rPr>
      </w:pPr>
      <w:bookmarkStart w:id="0" w:name="_Hlk43712519"/>
      <w:r w:rsidRPr="00B96B4F">
        <w:rPr>
          <w:rFonts w:asciiTheme="majorHAnsi" w:hAnsiTheme="majorHAnsi" w:cstheme="majorHAnsi"/>
          <w:b/>
          <w:szCs w:val="22"/>
          <w:lang w:val="sk-SK"/>
        </w:rPr>
        <w:t xml:space="preserve">Bezpečnosť zamestnancov, dodávky </w:t>
      </w:r>
      <w:r w:rsidR="00C10DB5" w:rsidRPr="00B96B4F">
        <w:rPr>
          <w:rFonts w:asciiTheme="majorHAnsi" w:hAnsiTheme="majorHAnsi" w:cstheme="majorHAnsi"/>
          <w:b/>
          <w:szCs w:val="22"/>
          <w:lang w:val="sk-SK"/>
        </w:rPr>
        <w:t xml:space="preserve">odberateľom </w:t>
      </w:r>
      <w:r w:rsidRPr="00B96B4F">
        <w:rPr>
          <w:rFonts w:asciiTheme="majorHAnsi" w:hAnsiTheme="majorHAnsi" w:cstheme="majorHAnsi"/>
          <w:b/>
          <w:szCs w:val="22"/>
          <w:lang w:val="sk-SK"/>
        </w:rPr>
        <w:t>a podpora komunít na prvom mieste</w:t>
      </w:r>
    </w:p>
    <w:bookmarkEnd w:id="0"/>
    <w:p w14:paraId="55B1F1D9" w14:textId="77777777" w:rsidR="00635616" w:rsidRPr="00B96B4F" w:rsidRDefault="008120CB" w:rsidP="008120CB">
      <w:pPr>
        <w:pStyle w:val="ListParagraph"/>
        <w:numPr>
          <w:ilvl w:val="0"/>
          <w:numId w:val="7"/>
        </w:numPr>
        <w:spacing w:after="80" w:line="280" w:lineRule="auto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val="sk-SK"/>
        </w:rPr>
      </w:pPr>
      <w:r w:rsidRPr="00B96B4F">
        <w:rPr>
          <w:rFonts w:asciiTheme="majorHAnsi" w:hAnsiTheme="majorHAnsi" w:cstheme="majorHAnsi"/>
          <w:b/>
          <w:szCs w:val="22"/>
          <w:lang w:val="sk-SK"/>
        </w:rPr>
        <w:t xml:space="preserve">Obrat </w:t>
      </w:r>
      <w:r w:rsidR="004B4509" w:rsidRPr="00B96B4F">
        <w:rPr>
          <w:rFonts w:asciiTheme="majorHAnsi" w:hAnsiTheme="majorHAnsi" w:cstheme="majorHAnsi"/>
          <w:b/>
          <w:szCs w:val="22"/>
          <w:lang w:val="sk-SK"/>
        </w:rPr>
        <w:t xml:space="preserve">na úrovni </w:t>
      </w:r>
      <w:r w:rsidRPr="00B96B4F">
        <w:rPr>
          <w:rFonts w:asciiTheme="majorHAnsi" w:hAnsiTheme="majorHAnsi" w:cstheme="majorHAnsi"/>
          <w:b/>
          <w:szCs w:val="22"/>
          <w:lang w:val="sk-SK"/>
        </w:rPr>
        <w:t>skupiny za prvý polrok dosiahol 9 485 mil. eur, nominálne: -6</w:t>
      </w:r>
      <w:r w:rsidR="004B4509" w:rsidRPr="00B96B4F">
        <w:rPr>
          <w:rFonts w:asciiTheme="majorHAnsi" w:hAnsiTheme="majorHAnsi" w:cstheme="majorHAnsi"/>
          <w:b/>
          <w:szCs w:val="22"/>
          <w:lang w:val="sk-SK"/>
        </w:rPr>
        <w:t>,</w:t>
      </w:r>
      <w:r w:rsidRPr="00B96B4F">
        <w:rPr>
          <w:rFonts w:asciiTheme="majorHAnsi" w:hAnsiTheme="majorHAnsi" w:cstheme="majorHAnsi"/>
          <w:b/>
          <w:szCs w:val="22"/>
          <w:lang w:val="sk-SK"/>
        </w:rPr>
        <w:t>0</w:t>
      </w:r>
      <w:r w:rsidR="004B4509" w:rsidRPr="00B96B4F">
        <w:rPr>
          <w:rFonts w:asciiTheme="majorHAnsi" w:hAnsiTheme="majorHAnsi" w:cstheme="majorHAnsi"/>
          <w:b/>
          <w:szCs w:val="22"/>
          <w:lang w:val="sk-SK"/>
        </w:rPr>
        <w:t> </w:t>
      </w:r>
      <w:r w:rsidRPr="00B96B4F">
        <w:rPr>
          <w:rFonts w:asciiTheme="majorHAnsi" w:hAnsiTheme="majorHAnsi" w:cstheme="majorHAnsi"/>
          <w:b/>
          <w:szCs w:val="22"/>
          <w:lang w:val="sk-SK"/>
        </w:rPr>
        <w:t xml:space="preserve">%, organicky: </w:t>
      </w:r>
      <w:r w:rsidR="004B4509" w:rsidRPr="00B96B4F">
        <w:rPr>
          <w:rFonts w:asciiTheme="majorHAnsi" w:hAnsiTheme="majorHAnsi" w:cstheme="majorHAnsi"/>
          <w:b/>
          <w:szCs w:val="22"/>
          <w:lang w:val="sk-SK"/>
        </w:rPr>
        <w:t>-</w:t>
      </w:r>
      <w:r w:rsidRPr="00B96B4F">
        <w:rPr>
          <w:rFonts w:asciiTheme="majorHAnsi" w:hAnsiTheme="majorHAnsi" w:cstheme="majorHAnsi"/>
          <w:b/>
          <w:szCs w:val="22"/>
          <w:lang w:val="sk-SK"/>
        </w:rPr>
        <w:t>5</w:t>
      </w:r>
      <w:r w:rsidR="004B4509" w:rsidRPr="00B96B4F">
        <w:rPr>
          <w:rFonts w:asciiTheme="majorHAnsi" w:hAnsiTheme="majorHAnsi" w:cstheme="majorHAnsi"/>
          <w:b/>
          <w:szCs w:val="22"/>
          <w:lang w:val="sk-SK"/>
        </w:rPr>
        <w:t>,</w:t>
      </w:r>
      <w:r w:rsidRPr="00B96B4F">
        <w:rPr>
          <w:rFonts w:asciiTheme="majorHAnsi" w:hAnsiTheme="majorHAnsi" w:cstheme="majorHAnsi"/>
          <w:b/>
          <w:szCs w:val="22"/>
          <w:lang w:val="sk-SK"/>
        </w:rPr>
        <w:t>2</w:t>
      </w:r>
      <w:r w:rsidR="004B4509" w:rsidRPr="00B96B4F">
        <w:rPr>
          <w:rFonts w:asciiTheme="majorHAnsi" w:hAnsiTheme="majorHAnsi" w:cstheme="majorHAnsi"/>
          <w:b/>
          <w:szCs w:val="22"/>
          <w:lang w:val="sk-SK"/>
        </w:rPr>
        <w:t> </w:t>
      </w:r>
      <w:r w:rsidRPr="00B96B4F">
        <w:rPr>
          <w:rFonts w:asciiTheme="majorHAnsi" w:hAnsiTheme="majorHAnsi" w:cstheme="majorHAnsi"/>
          <w:b/>
          <w:szCs w:val="22"/>
          <w:lang w:val="sk-SK"/>
        </w:rPr>
        <w:t>%</w:t>
      </w:r>
    </w:p>
    <w:p w14:paraId="2697E48E" w14:textId="77777777" w:rsidR="00635616" w:rsidRPr="00B96B4F" w:rsidRDefault="008120CB" w:rsidP="008120CB">
      <w:pPr>
        <w:pStyle w:val="ListParagraph"/>
        <w:numPr>
          <w:ilvl w:val="0"/>
          <w:numId w:val="7"/>
        </w:numPr>
        <w:spacing w:after="80" w:line="280" w:lineRule="auto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val="sk-SK"/>
        </w:rPr>
      </w:pPr>
      <w:r w:rsidRPr="00B96B4F">
        <w:rPr>
          <w:rFonts w:asciiTheme="majorHAnsi" w:hAnsiTheme="majorHAnsi" w:cstheme="majorHAnsi"/>
          <w:b/>
          <w:szCs w:val="22"/>
          <w:lang w:val="sk-SK"/>
        </w:rPr>
        <w:t>Prevádzkový zisk</w:t>
      </w:r>
      <w:r w:rsidR="00D63776" w:rsidRPr="00B96B4F">
        <w:rPr>
          <w:rFonts w:asciiTheme="majorHAnsi" w:hAnsiTheme="majorHAnsi" w:cstheme="majorHAnsi"/>
          <w:b/>
          <w:szCs w:val="22"/>
          <w:lang w:val="sk-SK"/>
        </w:rPr>
        <w:t>*</w:t>
      </w:r>
      <w:r w:rsidRPr="00B96B4F">
        <w:rPr>
          <w:rFonts w:asciiTheme="majorHAnsi" w:hAnsiTheme="majorHAnsi" w:cstheme="majorHAnsi"/>
          <w:b/>
          <w:szCs w:val="22"/>
          <w:lang w:val="sk-SK"/>
        </w:rPr>
        <w:t xml:space="preserve"> </w:t>
      </w:r>
      <w:r w:rsidR="00870604" w:rsidRPr="00B96B4F">
        <w:rPr>
          <w:rFonts w:asciiTheme="majorHAnsi" w:hAnsiTheme="majorHAnsi" w:cstheme="majorHAnsi"/>
          <w:b/>
          <w:szCs w:val="22"/>
          <w:lang w:val="sk-SK"/>
        </w:rPr>
        <w:t xml:space="preserve">predstavoval </w:t>
      </w:r>
      <w:r w:rsidRPr="00B96B4F">
        <w:rPr>
          <w:rFonts w:asciiTheme="majorHAnsi" w:hAnsiTheme="majorHAnsi" w:cstheme="majorHAnsi"/>
          <w:b/>
          <w:szCs w:val="22"/>
          <w:lang w:val="sk-SK"/>
        </w:rPr>
        <w:t>1 191 mil. eur</w:t>
      </w:r>
      <w:r w:rsidR="00741A2F" w:rsidRPr="00B96B4F">
        <w:rPr>
          <w:rFonts w:asciiTheme="majorHAnsi" w:hAnsiTheme="majorHAnsi" w:cstheme="majorHAnsi"/>
          <w:b/>
          <w:szCs w:val="22"/>
          <w:lang w:val="sk-SK"/>
        </w:rPr>
        <w:t>,</w:t>
      </w:r>
      <w:r w:rsidRPr="00B96B4F">
        <w:rPr>
          <w:rFonts w:asciiTheme="majorHAnsi" w:hAnsiTheme="majorHAnsi" w:cstheme="majorHAnsi"/>
          <w:b/>
          <w:szCs w:val="22"/>
          <w:lang w:val="sk-SK"/>
        </w:rPr>
        <w:t xml:space="preserve"> </w:t>
      </w:r>
      <w:r w:rsidR="00D63776" w:rsidRPr="00B96B4F">
        <w:rPr>
          <w:rFonts w:asciiTheme="majorHAnsi" w:hAnsiTheme="majorHAnsi" w:cstheme="majorHAnsi"/>
          <w:b/>
          <w:szCs w:val="22"/>
          <w:lang w:val="sk-SK"/>
        </w:rPr>
        <w:t>-</w:t>
      </w:r>
      <w:r w:rsidRPr="00B96B4F">
        <w:rPr>
          <w:rFonts w:asciiTheme="majorHAnsi" w:hAnsiTheme="majorHAnsi" w:cstheme="majorHAnsi"/>
          <w:b/>
          <w:szCs w:val="22"/>
          <w:lang w:val="sk-SK"/>
        </w:rPr>
        <w:t>27,5</w:t>
      </w:r>
      <w:r w:rsidR="00741A2F" w:rsidRPr="00B96B4F">
        <w:rPr>
          <w:rFonts w:asciiTheme="majorHAnsi" w:hAnsiTheme="majorHAnsi" w:cstheme="majorHAnsi"/>
          <w:b/>
          <w:szCs w:val="22"/>
          <w:lang w:val="sk-SK"/>
        </w:rPr>
        <w:t> </w:t>
      </w:r>
      <w:r w:rsidRPr="00B96B4F">
        <w:rPr>
          <w:rFonts w:asciiTheme="majorHAnsi" w:hAnsiTheme="majorHAnsi" w:cstheme="majorHAnsi"/>
          <w:b/>
          <w:szCs w:val="22"/>
          <w:lang w:val="sk-SK"/>
        </w:rPr>
        <w:t>%</w:t>
      </w:r>
    </w:p>
    <w:p w14:paraId="2C27E372" w14:textId="6819B489" w:rsidR="00635616" w:rsidRPr="00B96B4F" w:rsidRDefault="008A4984" w:rsidP="008120CB">
      <w:pPr>
        <w:pStyle w:val="ListParagraph"/>
        <w:numPr>
          <w:ilvl w:val="0"/>
          <w:numId w:val="7"/>
        </w:numPr>
        <w:spacing w:after="80" w:line="280" w:lineRule="auto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val="sk-SK"/>
        </w:rPr>
      </w:pPr>
      <w:r>
        <w:rPr>
          <w:rFonts w:asciiTheme="majorHAnsi" w:hAnsiTheme="majorHAnsi" w:cstheme="majorHAnsi"/>
          <w:b/>
          <w:noProof/>
          <w:szCs w:val="22"/>
          <w:lang w:val="sk-SK" w:eastAsia="sk-SK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B92FFA2" wp14:editId="2E615C2B">
                <wp:simplePos x="0" y="0"/>
                <wp:positionH relativeFrom="margin">
                  <wp:posOffset>-19050</wp:posOffset>
                </wp:positionH>
                <wp:positionV relativeFrom="paragraph">
                  <wp:posOffset>4432935</wp:posOffset>
                </wp:positionV>
                <wp:extent cx="4683760" cy="273050"/>
                <wp:effectExtent l="0" t="0" r="0" b="0"/>
                <wp:wrapNone/>
                <wp:docPr id="9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376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4BA72D" w14:textId="77777777" w:rsidR="00741A2F" w:rsidRPr="00741A2F" w:rsidRDefault="00741A2F" w:rsidP="00741A2F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sz w:val="16"/>
                                <w:szCs w:val="16"/>
                                <w:lang w:val="sk-SK"/>
                              </w:rPr>
                            </w:pPr>
                            <w:r w:rsidRPr="00741A2F">
                              <w:rPr>
                                <w:sz w:val="16"/>
                                <w:szCs w:val="16"/>
                                <w:lang w:val="sk-SK"/>
                              </w:rPr>
                              <w:t>* Upravené o jednorazové výdavky/príjmy a náklady na reštrukturalizáciu.</w:t>
                            </w:r>
                          </w:p>
                          <w:p w14:paraId="04594331" w14:textId="77777777" w:rsidR="00741A2F" w:rsidRPr="00741A2F" w:rsidRDefault="00741A2F" w:rsidP="00741A2F">
                            <w:pPr>
                              <w:rPr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2FFA2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left:0;text-align:left;margin-left:-1.5pt;margin-top:349.05pt;width:368.8pt;height:21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" stroked="f">
                <v:textbox>
                  <w:txbxContent>
                    <w:p w14:paraId="2F4BA72D" w14:textId="77777777" w:rsidR="00741A2F" w:rsidRPr="00741A2F" w:rsidRDefault="00741A2F" w:rsidP="00741A2F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sz w:val="16"/>
                          <w:szCs w:val="16"/>
                          <w:lang w:val="sk-SK"/>
                        </w:rPr>
                      </w:pPr>
                      <w:r w:rsidRPr="00741A2F">
                        <w:rPr>
                          <w:sz w:val="16"/>
                          <w:szCs w:val="16"/>
                          <w:lang w:val="sk-SK"/>
                        </w:rPr>
                        <w:t>* Upravené o jednorazové výdavky/príjmy a náklady na reštrukturalizáciu.</w:t>
                      </w:r>
                    </w:p>
                    <w:p w14:paraId="04594331" w14:textId="77777777" w:rsidR="00741A2F" w:rsidRPr="00741A2F" w:rsidRDefault="00741A2F" w:rsidP="00741A2F">
                      <w:pPr>
                        <w:rPr>
                          <w:lang w:val="sk-S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120CB" w:rsidRPr="00B96B4F">
        <w:rPr>
          <w:rFonts w:asciiTheme="majorHAnsi" w:hAnsiTheme="majorHAnsi" w:cstheme="majorHAnsi"/>
          <w:b/>
          <w:szCs w:val="22"/>
          <w:lang w:val="sk-SK"/>
        </w:rPr>
        <w:t>Marža EBIT</w:t>
      </w:r>
      <w:r w:rsidR="008120CB" w:rsidRPr="00B96B4F">
        <w:rPr>
          <w:rFonts w:asciiTheme="majorHAnsi" w:hAnsiTheme="majorHAnsi" w:cstheme="majorHAnsi"/>
          <w:b/>
          <w:szCs w:val="22"/>
          <w:vertAlign w:val="superscript"/>
          <w:lang w:val="sk-SK"/>
        </w:rPr>
        <w:t>*</w:t>
      </w:r>
      <w:r w:rsidR="008120CB" w:rsidRPr="00B96B4F">
        <w:rPr>
          <w:rFonts w:asciiTheme="majorHAnsi" w:hAnsiTheme="majorHAnsi" w:cstheme="majorHAnsi"/>
          <w:b/>
          <w:szCs w:val="22"/>
          <w:lang w:val="sk-SK"/>
        </w:rPr>
        <w:t xml:space="preserve"> na úrovni 12,6 %, </w:t>
      </w:r>
      <w:r w:rsidR="00E81E19" w:rsidRPr="00B96B4F">
        <w:rPr>
          <w:rFonts w:asciiTheme="majorHAnsi" w:hAnsiTheme="majorHAnsi" w:cstheme="majorHAnsi"/>
          <w:b/>
          <w:szCs w:val="22"/>
          <w:lang w:val="sk-SK"/>
        </w:rPr>
        <w:t>t.</w:t>
      </w:r>
      <w:r w:rsidR="00870604" w:rsidRPr="00B96B4F">
        <w:rPr>
          <w:rFonts w:asciiTheme="majorHAnsi" w:hAnsiTheme="majorHAnsi" w:cstheme="majorHAnsi"/>
          <w:b/>
          <w:szCs w:val="22"/>
          <w:lang w:val="sk-SK"/>
        </w:rPr>
        <w:t> </w:t>
      </w:r>
      <w:r w:rsidR="00E81E19" w:rsidRPr="00B96B4F">
        <w:rPr>
          <w:rFonts w:asciiTheme="majorHAnsi" w:hAnsiTheme="majorHAnsi" w:cstheme="majorHAnsi"/>
          <w:b/>
          <w:szCs w:val="22"/>
          <w:lang w:val="sk-SK"/>
        </w:rPr>
        <w:t xml:space="preserve">j. </w:t>
      </w:r>
      <w:r w:rsidR="00D63776" w:rsidRPr="00B96B4F">
        <w:rPr>
          <w:rFonts w:asciiTheme="majorHAnsi" w:hAnsiTheme="majorHAnsi" w:cstheme="majorHAnsi"/>
          <w:b/>
          <w:szCs w:val="22"/>
          <w:lang w:val="sk-SK"/>
        </w:rPr>
        <w:t>-</w:t>
      </w:r>
      <w:r w:rsidR="008120CB" w:rsidRPr="00B96B4F">
        <w:rPr>
          <w:rFonts w:asciiTheme="majorHAnsi" w:hAnsiTheme="majorHAnsi" w:cstheme="majorHAnsi"/>
          <w:b/>
          <w:szCs w:val="22"/>
          <w:lang w:val="sk-SK"/>
        </w:rPr>
        <w:t>370 bázických bodov</w:t>
      </w:r>
    </w:p>
    <w:p w14:paraId="114D4750" w14:textId="77777777" w:rsidR="00635616" w:rsidRPr="00B96B4F" w:rsidRDefault="008120CB" w:rsidP="008120CB">
      <w:pPr>
        <w:pStyle w:val="ListParagraph"/>
        <w:numPr>
          <w:ilvl w:val="0"/>
          <w:numId w:val="7"/>
        </w:numPr>
        <w:spacing w:after="80" w:line="280" w:lineRule="auto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val="sk-SK"/>
        </w:rPr>
      </w:pPr>
      <w:r w:rsidRPr="00B96B4F">
        <w:rPr>
          <w:rFonts w:asciiTheme="majorHAnsi" w:hAnsiTheme="majorHAnsi" w:cstheme="majorHAnsi"/>
          <w:b/>
          <w:szCs w:val="22"/>
          <w:lang w:val="sk-SK"/>
        </w:rPr>
        <w:t>V</w:t>
      </w:r>
      <w:r w:rsidR="00E81E19" w:rsidRPr="00B96B4F">
        <w:rPr>
          <w:rFonts w:asciiTheme="majorHAnsi" w:hAnsiTheme="majorHAnsi" w:cstheme="majorHAnsi"/>
          <w:b/>
          <w:szCs w:val="22"/>
          <w:lang w:val="sk-SK"/>
        </w:rPr>
        <w:t>ýnos na prioritnú akciu (EPS)</w:t>
      </w:r>
      <w:r w:rsidR="00E81E19" w:rsidRPr="00B96B4F">
        <w:rPr>
          <w:rFonts w:asciiTheme="majorHAnsi" w:hAnsiTheme="majorHAnsi" w:cstheme="majorHAnsi"/>
          <w:b/>
          <w:szCs w:val="22"/>
          <w:vertAlign w:val="superscript"/>
          <w:lang w:val="sk-SK"/>
        </w:rPr>
        <w:t>*</w:t>
      </w:r>
      <w:r w:rsidR="00E81E19" w:rsidRPr="00B96B4F">
        <w:rPr>
          <w:rFonts w:asciiTheme="majorHAnsi" w:hAnsiTheme="majorHAnsi" w:cstheme="majorHAnsi"/>
          <w:b/>
          <w:szCs w:val="22"/>
          <w:lang w:val="sk-SK"/>
        </w:rPr>
        <w:t>:</w:t>
      </w:r>
      <w:r w:rsidRPr="00B96B4F">
        <w:rPr>
          <w:rFonts w:asciiTheme="majorHAnsi" w:hAnsiTheme="majorHAnsi" w:cstheme="majorHAnsi"/>
          <w:b/>
          <w:szCs w:val="22"/>
          <w:lang w:val="sk-SK"/>
        </w:rPr>
        <w:t xml:space="preserve"> </w:t>
      </w:r>
      <w:r w:rsidR="00D63776" w:rsidRPr="00B96B4F">
        <w:rPr>
          <w:rFonts w:asciiTheme="majorHAnsi" w:hAnsiTheme="majorHAnsi" w:cstheme="majorHAnsi"/>
          <w:b/>
          <w:szCs w:val="22"/>
          <w:lang w:val="sk-SK"/>
        </w:rPr>
        <w:t>-</w:t>
      </w:r>
      <w:r w:rsidRPr="00B96B4F">
        <w:rPr>
          <w:rFonts w:asciiTheme="majorHAnsi" w:hAnsiTheme="majorHAnsi" w:cstheme="majorHAnsi"/>
          <w:b/>
          <w:szCs w:val="22"/>
          <w:lang w:val="sk-SK"/>
        </w:rPr>
        <w:t xml:space="preserve">29,2 % na 1,96 eur, </w:t>
      </w:r>
      <w:r w:rsidR="00D63776" w:rsidRPr="00B96B4F">
        <w:rPr>
          <w:rFonts w:asciiTheme="majorHAnsi" w:hAnsiTheme="majorHAnsi" w:cstheme="majorHAnsi"/>
          <w:b/>
          <w:szCs w:val="22"/>
          <w:lang w:val="sk-SK"/>
        </w:rPr>
        <w:t>-</w:t>
      </w:r>
      <w:r w:rsidRPr="00B96B4F">
        <w:rPr>
          <w:rFonts w:asciiTheme="majorHAnsi" w:hAnsiTheme="majorHAnsi" w:cstheme="majorHAnsi"/>
          <w:b/>
          <w:szCs w:val="22"/>
          <w:lang w:val="sk-SK"/>
        </w:rPr>
        <w:t>28,2 % pri konštantných kurzových sadzbách</w:t>
      </w:r>
      <w:r w:rsidR="00635616" w:rsidRPr="00B96B4F">
        <w:rPr>
          <w:rFonts w:asciiTheme="majorHAnsi" w:hAnsiTheme="majorHAnsi" w:cstheme="majorHAnsi"/>
          <w:b/>
          <w:szCs w:val="22"/>
          <w:lang w:val="sk-SK"/>
        </w:rPr>
        <w:t xml:space="preserve"> </w:t>
      </w:r>
    </w:p>
    <w:p w14:paraId="5CB572B2" w14:textId="77777777" w:rsidR="00635616" w:rsidRPr="00B96B4F" w:rsidRDefault="00A602C5" w:rsidP="00A602C5">
      <w:pPr>
        <w:pStyle w:val="ListParagraph"/>
        <w:numPr>
          <w:ilvl w:val="0"/>
          <w:numId w:val="7"/>
        </w:numPr>
        <w:spacing w:after="80" w:line="280" w:lineRule="auto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val="sk-SK"/>
        </w:rPr>
      </w:pPr>
      <w:r w:rsidRPr="00B96B4F">
        <w:rPr>
          <w:rFonts w:asciiTheme="majorHAnsi" w:hAnsiTheme="majorHAnsi" w:cstheme="majorHAnsi"/>
          <w:b/>
          <w:szCs w:val="22"/>
          <w:lang w:val="sk-SK"/>
        </w:rPr>
        <w:t xml:space="preserve">Voľný </w:t>
      </w:r>
      <w:r w:rsidR="00E81E19" w:rsidRPr="00B96B4F">
        <w:rPr>
          <w:rFonts w:asciiTheme="majorHAnsi" w:hAnsiTheme="majorHAnsi" w:cstheme="majorHAnsi"/>
          <w:b/>
          <w:szCs w:val="22"/>
          <w:lang w:val="sk-SK"/>
        </w:rPr>
        <w:t xml:space="preserve">cash </w:t>
      </w:r>
      <w:proofErr w:type="spellStart"/>
      <w:r w:rsidR="00E81E19" w:rsidRPr="00B96B4F">
        <w:rPr>
          <w:rFonts w:asciiTheme="majorHAnsi" w:hAnsiTheme="majorHAnsi" w:cstheme="majorHAnsi"/>
          <w:b/>
          <w:szCs w:val="22"/>
          <w:lang w:val="sk-SK"/>
        </w:rPr>
        <w:t>flow</w:t>
      </w:r>
      <w:proofErr w:type="spellEnd"/>
      <w:r w:rsidR="00E81E19" w:rsidRPr="00B96B4F">
        <w:rPr>
          <w:rFonts w:asciiTheme="majorHAnsi" w:hAnsiTheme="majorHAnsi" w:cstheme="majorHAnsi"/>
          <w:b/>
          <w:szCs w:val="22"/>
          <w:lang w:val="sk-SK"/>
        </w:rPr>
        <w:t xml:space="preserve"> </w:t>
      </w:r>
      <w:r w:rsidRPr="00B96B4F">
        <w:rPr>
          <w:rFonts w:asciiTheme="majorHAnsi" w:hAnsiTheme="majorHAnsi" w:cstheme="majorHAnsi"/>
          <w:b/>
          <w:szCs w:val="22"/>
          <w:lang w:val="sk-SK"/>
        </w:rPr>
        <w:t xml:space="preserve">dosiahol úroveň </w:t>
      </w:r>
      <w:r w:rsidR="008120CB" w:rsidRPr="00B96B4F">
        <w:rPr>
          <w:rFonts w:asciiTheme="majorHAnsi" w:hAnsiTheme="majorHAnsi" w:cstheme="majorHAnsi"/>
          <w:b/>
          <w:szCs w:val="22"/>
          <w:lang w:val="sk-SK"/>
        </w:rPr>
        <w:t xml:space="preserve">938 </w:t>
      </w:r>
      <w:r w:rsidRPr="00B96B4F">
        <w:rPr>
          <w:rFonts w:asciiTheme="majorHAnsi" w:hAnsiTheme="majorHAnsi" w:cstheme="majorHAnsi"/>
          <w:b/>
          <w:szCs w:val="22"/>
          <w:lang w:val="sk-SK"/>
        </w:rPr>
        <w:t>mil. eur</w:t>
      </w:r>
      <w:r w:rsidR="008120CB" w:rsidRPr="00B96B4F">
        <w:rPr>
          <w:rFonts w:asciiTheme="majorHAnsi" w:hAnsiTheme="majorHAnsi" w:cstheme="majorHAnsi"/>
          <w:b/>
          <w:szCs w:val="22"/>
          <w:lang w:val="sk-SK"/>
        </w:rPr>
        <w:t xml:space="preserve">, </w:t>
      </w:r>
      <w:r w:rsidRPr="00B96B4F">
        <w:rPr>
          <w:rFonts w:asciiTheme="majorHAnsi" w:hAnsiTheme="majorHAnsi" w:cstheme="majorHAnsi"/>
          <w:b/>
          <w:szCs w:val="22"/>
          <w:lang w:val="sk-SK"/>
        </w:rPr>
        <w:t>zlepšila sa čistá finančná pozícia</w:t>
      </w:r>
    </w:p>
    <w:p w14:paraId="37FDFE11" w14:textId="77777777" w:rsidR="00635616" w:rsidRPr="00B96B4F" w:rsidRDefault="00D63776" w:rsidP="00A602C5">
      <w:pPr>
        <w:pStyle w:val="ListParagraph"/>
        <w:numPr>
          <w:ilvl w:val="0"/>
          <w:numId w:val="7"/>
        </w:numPr>
        <w:spacing w:after="80" w:line="280" w:lineRule="auto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val="sk-SK"/>
        </w:rPr>
      </w:pPr>
      <w:r w:rsidRPr="00B96B4F">
        <w:rPr>
          <w:rFonts w:asciiTheme="majorHAnsi" w:hAnsiTheme="majorHAnsi" w:cstheme="majorHAnsi"/>
          <w:b/>
          <w:szCs w:val="22"/>
          <w:lang w:val="sk-SK"/>
        </w:rPr>
        <w:t>V</w:t>
      </w:r>
      <w:r w:rsidR="00550882" w:rsidRPr="00B96B4F">
        <w:rPr>
          <w:rFonts w:asciiTheme="majorHAnsi" w:hAnsiTheme="majorHAnsi" w:cstheme="majorHAnsi"/>
          <w:b/>
          <w:szCs w:val="22"/>
          <w:lang w:val="sk-SK"/>
        </w:rPr>
        <w:t xml:space="preserve">zhľadom na </w:t>
      </w:r>
      <w:r w:rsidR="00A602C5" w:rsidRPr="00B96B4F">
        <w:rPr>
          <w:rFonts w:asciiTheme="majorHAnsi" w:hAnsiTheme="majorHAnsi" w:cstheme="majorHAnsi"/>
          <w:b/>
          <w:szCs w:val="22"/>
          <w:lang w:val="sk-SK"/>
        </w:rPr>
        <w:t>pretrvávajúc</w:t>
      </w:r>
      <w:r w:rsidR="00C10DB5" w:rsidRPr="00B96B4F">
        <w:rPr>
          <w:rFonts w:asciiTheme="majorHAnsi" w:hAnsiTheme="majorHAnsi" w:cstheme="majorHAnsi"/>
          <w:b/>
          <w:szCs w:val="22"/>
          <w:lang w:val="sk-SK"/>
        </w:rPr>
        <w:t>u</w:t>
      </w:r>
      <w:r w:rsidR="00550882" w:rsidRPr="00B96B4F">
        <w:rPr>
          <w:rFonts w:asciiTheme="majorHAnsi" w:hAnsiTheme="majorHAnsi" w:cstheme="majorHAnsi"/>
          <w:b/>
          <w:szCs w:val="22"/>
          <w:lang w:val="sk-SK"/>
        </w:rPr>
        <w:t xml:space="preserve"> </w:t>
      </w:r>
      <w:r w:rsidR="00A602C5" w:rsidRPr="00B96B4F">
        <w:rPr>
          <w:rFonts w:asciiTheme="majorHAnsi" w:hAnsiTheme="majorHAnsi" w:cstheme="majorHAnsi"/>
          <w:b/>
          <w:szCs w:val="22"/>
          <w:lang w:val="sk-SK"/>
        </w:rPr>
        <w:t>neistot</w:t>
      </w:r>
      <w:r w:rsidR="00C10DB5" w:rsidRPr="00B96B4F">
        <w:rPr>
          <w:rFonts w:asciiTheme="majorHAnsi" w:hAnsiTheme="majorHAnsi" w:cstheme="majorHAnsi"/>
          <w:b/>
          <w:szCs w:val="22"/>
          <w:lang w:val="sk-SK"/>
        </w:rPr>
        <w:t>u</w:t>
      </w:r>
      <w:r w:rsidR="00550882" w:rsidRPr="00B96B4F">
        <w:rPr>
          <w:rFonts w:asciiTheme="majorHAnsi" w:hAnsiTheme="majorHAnsi" w:cstheme="majorHAnsi"/>
          <w:b/>
          <w:szCs w:val="22"/>
          <w:lang w:val="sk-SK"/>
        </w:rPr>
        <w:t xml:space="preserve"> </w:t>
      </w:r>
      <w:r w:rsidR="00A602C5" w:rsidRPr="00B96B4F">
        <w:rPr>
          <w:rFonts w:asciiTheme="majorHAnsi" w:hAnsiTheme="majorHAnsi" w:cstheme="majorHAnsi"/>
          <w:b/>
          <w:szCs w:val="22"/>
          <w:lang w:val="sk-SK"/>
        </w:rPr>
        <w:t>na trhoch</w:t>
      </w:r>
      <w:r w:rsidRPr="00B96B4F">
        <w:rPr>
          <w:rFonts w:asciiTheme="majorHAnsi" w:hAnsiTheme="majorHAnsi" w:cstheme="majorHAnsi"/>
          <w:b/>
          <w:szCs w:val="22"/>
          <w:lang w:val="sk-SK"/>
        </w:rPr>
        <w:t xml:space="preserve"> nie je možné poskytnúť nový výhľad na celý rok 2020</w:t>
      </w:r>
    </w:p>
    <w:p w14:paraId="26089F21" w14:textId="77777777" w:rsidR="00635616" w:rsidRPr="00B96B4F" w:rsidRDefault="00AE7205" w:rsidP="00A602C5">
      <w:pPr>
        <w:pStyle w:val="ListParagraph"/>
        <w:numPr>
          <w:ilvl w:val="0"/>
          <w:numId w:val="7"/>
        </w:numPr>
        <w:spacing w:after="80" w:line="280" w:lineRule="auto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val="sk-SK"/>
        </w:rPr>
      </w:pPr>
      <w:r w:rsidRPr="00B96B4F">
        <w:rPr>
          <w:rFonts w:asciiTheme="majorHAnsi" w:hAnsiTheme="majorHAnsi" w:cstheme="majorHAnsi"/>
          <w:b/>
          <w:szCs w:val="22"/>
          <w:lang w:val="sk-SK"/>
        </w:rPr>
        <w:t>Implementácia</w:t>
      </w:r>
      <w:r w:rsidR="00A602C5" w:rsidRPr="00B96B4F">
        <w:rPr>
          <w:rFonts w:asciiTheme="majorHAnsi" w:hAnsiTheme="majorHAnsi" w:cstheme="majorHAnsi"/>
          <w:b/>
          <w:szCs w:val="22"/>
          <w:lang w:val="sk-SK"/>
        </w:rPr>
        <w:t xml:space="preserve"> nov</w:t>
      </w:r>
      <w:r w:rsidR="00C10DB5" w:rsidRPr="00B96B4F">
        <w:rPr>
          <w:rFonts w:asciiTheme="majorHAnsi" w:hAnsiTheme="majorHAnsi" w:cstheme="majorHAnsi"/>
          <w:b/>
          <w:szCs w:val="22"/>
          <w:lang w:val="sk-SK"/>
        </w:rPr>
        <w:t xml:space="preserve">ej </w:t>
      </w:r>
      <w:r w:rsidR="00870604" w:rsidRPr="00B96B4F">
        <w:rPr>
          <w:rFonts w:asciiTheme="majorHAnsi" w:hAnsiTheme="majorHAnsi" w:cstheme="majorHAnsi"/>
          <w:b/>
          <w:szCs w:val="22"/>
          <w:lang w:val="sk-SK"/>
        </w:rPr>
        <w:t xml:space="preserve">agendy </w:t>
      </w:r>
      <w:r w:rsidR="00D63776" w:rsidRPr="00B96B4F">
        <w:rPr>
          <w:rFonts w:asciiTheme="majorHAnsi" w:hAnsiTheme="majorHAnsi" w:cstheme="majorHAnsi"/>
          <w:b/>
          <w:szCs w:val="22"/>
          <w:lang w:val="sk-SK"/>
        </w:rPr>
        <w:t xml:space="preserve">účelného </w:t>
      </w:r>
      <w:r w:rsidR="00A602C5" w:rsidRPr="00B96B4F">
        <w:rPr>
          <w:rFonts w:asciiTheme="majorHAnsi" w:hAnsiTheme="majorHAnsi" w:cstheme="majorHAnsi"/>
          <w:b/>
          <w:szCs w:val="22"/>
          <w:lang w:val="sk-SK"/>
        </w:rPr>
        <w:t>rastu napreduje</w:t>
      </w:r>
    </w:p>
    <w:p w14:paraId="33CD7D5F" w14:textId="53747E1F" w:rsidR="00635616" w:rsidRPr="00B96B4F" w:rsidRDefault="008A4984" w:rsidP="00643D8A">
      <w:pPr>
        <w:rPr>
          <w:rFonts w:cs="Segoe UI"/>
          <w:szCs w:val="22"/>
          <w:lang w:val="sk-SK"/>
        </w:rPr>
      </w:pPr>
      <w:r>
        <w:rPr>
          <w:rFonts w:cs="Segoe UI"/>
          <w:noProof/>
          <w:szCs w:val="22"/>
          <w:lang w:val="sk-SK" w:eastAsia="sk-SK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165BF1F" wp14:editId="42FF33D6">
                <wp:simplePos x="0" y="0"/>
                <wp:positionH relativeFrom="margin">
                  <wp:posOffset>-19050</wp:posOffset>
                </wp:positionH>
                <wp:positionV relativeFrom="paragraph">
                  <wp:posOffset>3453130</wp:posOffset>
                </wp:positionV>
                <wp:extent cx="4683760" cy="273050"/>
                <wp:effectExtent l="0" t="0" r="0" b="0"/>
                <wp:wrapNone/>
                <wp:docPr id="8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376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54BD90" w14:textId="77777777" w:rsidR="00C10DB5" w:rsidRPr="00ED5A2D" w:rsidRDefault="00C10DB5" w:rsidP="00A602C5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ED5A2D">
                              <w:rPr>
                                <w:sz w:val="16"/>
                                <w:szCs w:val="16"/>
                              </w:rPr>
                              <w:t xml:space="preserve">* </w:t>
                            </w:r>
                            <w:r w:rsidRPr="00D746F6">
                              <w:rPr>
                                <w:sz w:val="16"/>
                                <w:szCs w:val="16"/>
                              </w:rPr>
                              <w:t xml:space="preserve">Adjusted for one-time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expenses and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 xml:space="preserve">income, </w:t>
                            </w:r>
                            <w:r w:rsidRPr="00D746F6">
                              <w:rPr>
                                <w:sz w:val="16"/>
                                <w:szCs w:val="16"/>
                              </w:rPr>
                              <w:t>and</w:t>
                            </w:r>
                            <w:proofErr w:type="gramEnd"/>
                            <w:r w:rsidRPr="00D746F6">
                              <w:rPr>
                                <w:sz w:val="16"/>
                                <w:szCs w:val="16"/>
                              </w:rPr>
                              <w:t xml:space="preserve"> restructuring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expenses.</w:t>
                            </w:r>
                          </w:p>
                          <w:p w14:paraId="48F90B9D" w14:textId="77777777" w:rsidR="00C10DB5" w:rsidRPr="00ED5A2D" w:rsidRDefault="00C10DB5" w:rsidP="00A602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5BF1F" id="_x0000_s1027" type="#_x0000_t202" style="position:absolute;left:0;text-align:left;margin-left:-1.5pt;margin-top:271.9pt;width:368.8pt;height:2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" stroked="f">
                <v:textbox>
                  <w:txbxContent>
                    <w:p w14:paraId="3754BD90" w14:textId="77777777" w:rsidR="00C10DB5" w:rsidRPr="00ED5A2D" w:rsidRDefault="00C10DB5" w:rsidP="00A602C5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 w:rsidRPr="00ED5A2D">
                        <w:rPr>
                          <w:sz w:val="16"/>
                          <w:szCs w:val="16"/>
                        </w:rPr>
                        <w:t xml:space="preserve">* </w:t>
                      </w:r>
                      <w:r w:rsidRPr="00D746F6">
                        <w:rPr>
                          <w:sz w:val="16"/>
                          <w:szCs w:val="16"/>
                        </w:rPr>
                        <w:t xml:space="preserve">Adjusted for one-time </w:t>
                      </w:r>
                      <w:r>
                        <w:rPr>
                          <w:sz w:val="16"/>
                          <w:szCs w:val="16"/>
                        </w:rPr>
                        <w:t xml:space="preserve">expenses and income, </w:t>
                      </w:r>
                      <w:r w:rsidRPr="00D746F6">
                        <w:rPr>
                          <w:sz w:val="16"/>
                          <w:szCs w:val="16"/>
                        </w:rPr>
                        <w:t xml:space="preserve">and restructuring </w:t>
                      </w:r>
                      <w:r>
                        <w:rPr>
                          <w:sz w:val="16"/>
                          <w:szCs w:val="16"/>
                        </w:rPr>
                        <w:t>expenses.</w:t>
                      </w:r>
                    </w:p>
                    <w:p w14:paraId="48F90B9D" w14:textId="77777777" w:rsidR="00C10DB5" w:rsidRPr="00ED5A2D" w:rsidRDefault="00C10DB5" w:rsidP="00A602C5"/>
                  </w:txbxContent>
                </v:textbox>
                <w10:wrap anchorx="margin"/>
              </v:shape>
            </w:pict>
          </mc:Fallback>
        </mc:AlternateContent>
      </w:r>
    </w:p>
    <w:p w14:paraId="6D4F6AD1" w14:textId="77777777" w:rsidR="0055571E" w:rsidRPr="00B96B4F" w:rsidRDefault="00A602C5" w:rsidP="00A602C5">
      <w:pPr>
        <w:spacing w:line="280" w:lineRule="auto"/>
        <w:rPr>
          <w:rFonts w:cs="Segoe UI"/>
          <w:b/>
          <w:bCs/>
          <w:szCs w:val="22"/>
          <w:lang w:val="sk-SK"/>
        </w:rPr>
      </w:pPr>
      <w:proofErr w:type="spellStart"/>
      <w:r w:rsidRPr="00B96B4F">
        <w:rPr>
          <w:rFonts w:cs="Segoe UI"/>
          <w:b/>
          <w:bCs/>
          <w:szCs w:val="22"/>
          <w:lang w:val="sk-SK"/>
        </w:rPr>
        <w:t>Düsseldorf</w:t>
      </w:r>
      <w:proofErr w:type="spellEnd"/>
      <w:r w:rsidRPr="00B96B4F">
        <w:rPr>
          <w:rFonts w:cs="Segoe UI"/>
          <w:b/>
          <w:bCs/>
          <w:szCs w:val="22"/>
          <w:lang w:val="sk-SK"/>
        </w:rPr>
        <w:t xml:space="preserve"> –</w:t>
      </w:r>
      <w:r w:rsidRPr="00B96B4F">
        <w:rPr>
          <w:rFonts w:cs="Segoe UI"/>
          <w:szCs w:val="22"/>
          <w:lang w:val="sk-SK"/>
        </w:rPr>
        <w:t xml:space="preserve"> </w:t>
      </w:r>
      <w:r w:rsidRPr="008A4984">
        <w:rPr>
          <w:rFonts w:cs="Segoe UI"/>
          <w:b/>
          <w:bCs/>
          <w:i/>
          <w:iCs/>
          <w:szCs w:val="22"/>
          <w:lang w:val="sk-SK"/>
        </w:rPr>
        <w:t xml:space="preserve">„V priebehu prvého polroka 2020 </w:t>
      </w:r>
      <w:r w:rsidR="00D63776" w:rsidRPr="008A4984">
        <w:rPr>
          <w:rFonts w:cs="Segoe UI"/>
          <w:b/>
          <w:bCs/>
          <w:i/>
          <w:iCs/>
          <w:szCs w:val="22"/>
          <w:lang w:val="sk-SK"/>
        </w:rPr>
        <w:t xml:space="preserve">bola </w:t>
      </w:r>
      <w:r w:rsidRPr="008A4984">
        <w:rPr>
          <w:rFonts w:cs="Segoe UI"/>
          <w:b/>
          <w:bCs/>
          <w:i/>
          <w:iCs/>
          <w:szCs w:val="22"/>
          <w:lang w:val="sk-SK"/>
        </w:rPr>
        <w:t xml:space="preserve">spoločnosť Henkel </w:t>
      </w:r>
      <w:r w:rsidR="00D63776" w:rsidRPr="008A4984">
        <w:rPr>
          <w:rFonts w:cs="Segoe UI"/>
          <w:b/>
          <w:bCs/>
          <w:i/>
          <w:iCs/>
          <w:szCs w:val="22"/>
          <w:lang w:val="sk-SK"/>
        </w:rPr>
        <w:t xml:space="preserve">výrazne ovplyvnená hlbokou </w:t>
      </w:r>
      <w:r w:rsidR="005B0C0B" w:rsidRPr="008A4984">
        <w:rPr>
          <w:rFonts w:cs="Segoe UI"/>
          <w:b/>
          <w:bCs/>
          <w:i/>
          <w:iCs/>
          <w:szCs w:val="22"/>
          <w:lang w:val="sk-SK"/>
        </w:rPr>
        <w:t>celosvetovou</w:t>
      </w:r>
      <w:r w:rsidRPr="008A4984">
        <w:rPr>
          <w:rFonts w:cs="Segoe UI"/>
          <w:b/>
          <w:bCs/>
          <w:i/>
          <w:iCs/>
          <w:szCs w:val="22"/>
          <w:lang w:val="sk-SK"/>
        </w:rPr>
        <w:t xml:space="preserve"> </w:t>
      </w:r>
      <w:r w:rsidR="00D63776" w:rsidRPr="008A4984">
        <w:rPr>
          <w:rFonts w:cs="Segoe UI"/>
          <w:b/>
          <w:bCs/>
          <w:i/>
          <w:iCs/>
          <w:szCs w:val="22"/>
          <w:lang w:val="sk-SK"/>
        </w:rPr>
        <w:t xml:space="preserve">hospodárskou recesiou </w:t>
      </w:r>
      <w:r w:rsidRPr="008A4984">
        <w:rPr>
          <w:rFonts w:cs="Segoe UI"/>
          <w:b/>
          <w:bCs/>
          <w:i/>
          <w:iCs/>
          <w:szCs w:val="22"/>
          <w:lang w:val="sk-SK"/>
        </w:rPr>
        <w:t>a prudk</w:t>
      </w:r>
      <w:r w:rsidR="00D63776" w:rsidRPr="008A4984">
        <w:rPr>
          <w:rFonts w:cs="Segoe UI"/>
          <w:b/>
          <w:bCs/>
          <w:i/>
          <w:iCs/>
          <w:szCs w:val="22"/>
          <w:lang w:val="sk-SK"/>
        </w:rPr>
        <w:t>ým</w:t>
      </w:r>
      <w:r w:rsidRPr="008A4984">
        <w:rPr>
          <w:rFonts w:cs="Segoe UI"/>
          <w:b/>
          <w:bCs/>
          <w:i/>
          <w:iCs/>
          <w:szCs w:val="22"/>
          <w:lang w:val="sk-SK"/>
        </w:rPr>
        <w:t xml:space="preserve"> znížen</w:t>
      </w:r>
      <w:r w:rsidR="00D63776" w:rsidRPr="008A4984">
        <w:rPr>
          <w:rFonts w:cs="Segoe UI"/>
          <w:b/>
          <w:bCs/>
          <w:i/>
          <w:iCs/>
          <w:szCs w:val="22"/>
          <w:lang w:val="sk-SK"/>
        </w:rPr>
        <w:t xml:space="preserve">ím </w:t>
      </w:r>
      <w:r w:rsidRPr="008A4984">
        <w:rPr>
          <w:rFonts w:cs="Segoe UI"/>
          <w:b/>
          <w:bCs/>
          <w:i/>
          <w:iCs/>
          <w:szCs w:val="22"/>
          <w:lang w:val="sk-SK"/>
        </w:rPr>
        <w:t xml:space="preserve">dopytu v rámci </w:t>
      </w:r>
      <w:r w:rsidR="00D63776" w:rsidRPr="008A4984">
        <w:rPr>
          <w:rFonts w:cs="Segoe UI"/>
          <w:b/>
          <w:bCs/>
          <w:i/>
          <w:iCs/>
          <w:szCs w:val="22"/>
          <w:lang w:val="sk-SK"/>
        </w:rPr>
        <w:t xml:space="preserve">mnohých </w:t>
      </w:r>
      <w:r w:rsidRPr="008A4984">
        <w:rPr>
          <w:rFonts w:cs="Segoe UI"/>
          <w:b/>
          <w:bCs/>
          <w:i/>
          <w:iCs/>
          <w:szCs w:val="22"/>
          <w:lang w:val="sk-SK"/>
        </w:rPr>
        <w:t>priemyselných odvetví.</w:t>
      </w:r>
      <w:r w:rsidR="00DB3786" w:rsidRPr="008A4984">
        <w:rPr>
          <w:rFonts w:cs="Segoe UI"/>
          <w:b/>
          <w:bCs/>
          <w:i/>
          <w:iCs/>
          <w:szCs w:val="22"/>
          <w:lang w:val="sk-SK"/>
        </w:rPr>
        <w:t xml:space="preserve"> </w:t>
      </w:r>
      <w:r w:rsidRPr="008A4984">
        <w:rPr>
          <w:rFonts w:cs="Segoe UI"/>
          <w:b/>
          <w:bCs/>
          <w:i/>
          <w:iCs/>
          <w:szCs w:val="22"/>
          <w:lang w:val="sk-SK"/>
        </w:rPr>
        <w:t xml:space="preserve">Počas tejto bezprecedentnej </w:t>
      </w:r>
      <w:r w:rsidR="005B0C0B" w:rsidRPr="008A4984">
        <w:rPr>
          <w:rFonts w:cs="Segoe UI"/>
          <w:b/>
          <w:bCs/>
          <w:i/>
          <w:iCs/>
          <w:szCs w:val="22"/>
          <w:lang w:val="sk-SK"/>
        </w:rPr>
        <w:t xml:space="preserve">celosvetovej </w:t>
      </w:r>
      <w:r w:rsidRPr="008A4984">
        <w:rPr>
          <w:rFonts w:cs="Segoe UI"/>
          <w:b/>
          <w:bCs/>
          <w:i/>
          <w:iCs/>
          <w:szCs w:val="22"/>
          <w:lang w:val="sk-SK"/>
        </w:rPr>
        <w:t xml:space="preserve">krízy je na prvom mieste ochrana zamestnancov, zabezpečenie dodávok </w:t>
      </w:r>
      <w:r w:rsidR="00C10DB5" w:rsidRPr="008A4984">
        <w:rPr>
          <w:rFonts w:cs="Segoe UI"/>
          <w:b/>
          <w:bCs/>
          <w:i/>
          <w:iCs/>
          <w:szCs w:val="22"/>
          <w:lang w:val="sk-SK"/>
        </w:rPr>
        <w:t>odberateľom</w:t>
      </w:r>
      <w:r w:rsidRPr="008A4984">
        <w:rPr>
          <w:rFonts w:cs="Segoe UI"/>
          <w:b/>
          <w:bCs/>
          <w:i/>
          <w:iCs/>
          <w:szCs w:val="22"/>
          <w:lang w:val="sk-SK"/>
        </w:rPr>
        <w:t>, pokra</w:t>
      </w:r>
      <w:r w:rsidR="00550882" w:rsidRPr="008A4984">
        <w:rPr>
          <w:rFonts w:cs="Segoe UI"/>
          <w:b/>
          <w:bCs/>
          <w:i/>
          <w:iCs/>
          <w:szCs w:val="22"/>
          <w:lang w:val="sk-SK"/>
        </w:rPr>
        <w:t>čovanie v obchodnej činnosti a</w:t>
      </w:r>
      <w:r w:rsidRPr="008A4984">
        <w:rPr>
          <w:rFonts w:cs="Segoe UI"/>
          <w:b/>
          <w:bCs/>
          <w:i/>
          <w:iCs/>
          <w:szCs w:val="22"/>
          <w:lang w:val="sk-SK"/>
        </w:rPr>
        <w:t xml:space="preserve"> podpora komunít.</w:t>
      </w:r>
      <w:r w:rsidR="00DB3786" w:rsidRPr="008A4984">
        <w:rPr>
          <w:rFonts w:cs="Segoe UI"/>
          <w:b/>
          <w:bCs/>
          <w:i/>
          <w:iCs/>
          <w:szCs w:val="22"/>
          <w:lang w:val="sk-SK"/>
        </w:rPr>
        <w:t xml:space="preserve"> </w:t>
      </w:r>
      <w:r w:rsidR="005B0C0B" w:rsidRPr="008A4984">
        <w:rPr>
          <w:rFonts w:cs="Segoe UI"/>
          <w:b/>
          <w:bCs/>
          <w:i/>
          <w:iCs/>
          <w:szCs w:val="22"/>
          <w:lang w:val="sk-SK"/>
        </w:rPr>
        <w:t xml:space="preserve">V </w:t>
      </w:r>
      <w:r w:rsidRPr="008A4984">
        <w:rPr>
          <w:rFonts w:cs="Segoe UI"/>
          <w:b/>
          <w:bCs/>
          <w:i/>
          <w:iCs/>
          <w:szCs w:val="22"/>
          <w:lang w:val="sk-SK"/>
        </w:rPr>
        <w:t>prv</w:t>
      </w:r>
      <w:r w:rsidR="005B0C0B" w:rsidRPr="008A4984">
        <w:rPr>
          <w:rFonts w:cs="Segoe UI"/>
          <w:b/>
          <w:bCs/>
          <w:i/>
          <w:iCs/>
          <w:szCs w:val="22"/>
          <w:lang w:val="sk-SK"/>
        </w:rPr>
        <w:t xml:space="preserve">om </w:t>
      </w:r>
      <w:r w:rsidRPr="008A4984">
        <w:rPr>
          <w:rFonts w:cs="Segoe UI"/>
          <w:b/>
          <w:bCs/>
          <w:i/>
          <w:iCs/>
          <w:szCs w:val="22"/>
          <w:lang w:val="sk-SK"/>
        </w:rPr>
        <w:t>polrok</w:t>
      </w:r>
      <w:r w:rsidR="005B0C0B" w:rsidRPr="008A4984">
        <w:rPr>
          <w:rFonts w:cs="Segoe UI"/>
          <w:b/>
          <w:bCs/>
          <w:i/>
          <w:iCs/>
          <w:szCs w:val="22"/>
          <w:lang w:val="sk-SK"/>
        </w:rPr>
        <w:t xml:space="preserve">u </w:t>
      </w:r>
      <w:r w:rsidRPr="008A4984">
        <w:rPr>
          <w:rFonts w:cs="Segoe UI"/>
          <w:b/>
          <w:bCs/>
          <w:i/>
          <w:iCs/>
          <w:szCs w:val="22"/>
          <w:lang w:val="sk-SK"/>
        </w:rPr>
        <w:t xml:space="preserve">2020 sme </w:t>
      </w:r>
      <w:r w:rsidR="00C10DB5" w:rsidRPr="008A4984">
        <w:rPr>
          <w:rFonts w:cs="Segoe UI"/>
          <w:b/>
          <w:bCs/>
          <w:i/>
          <w:iCs/>
          <w:szCs w:val="22"/>
          <w:lang w:val="sk-SK"/>
        </w:rPr>
        <w:t xml:space="preserve">túto úlohu zvládli </w:t>
      </w:r>
      <w:r w:rsidRPr="008A4984">
        <w:rPr>
          <w:rFonts w:cs="Segoe UI"/>
          <w:b/>
          <w:bCs/>
          <w:i/>
          <w:iCs/>
          <w:szCs w:val="22"/>
          <w:lang w:val="sk-SK"/>
        </w:rPr>
        <w:t>vďaka výnimočnému tímovému duchu a</w:t>
      </w:r>
      <w:r w:rsidR="005B0C0B" w:rsidRPr="008A4984">
        <w:rPr>
          <w:rFonts w:cs="Segoe UI"/>
          <w:b/>
          <w:bCs/>
          <w:i/>
          <w:iCs/>
          <w:szCs w:val="22"/>
          <w:lang w:val="sk-SK"/>
        </w:rPr>
        <w:t xml:space="preserve"> oddanosti našich </w:t>
      </w:r>
      <w:r w:rsidRPr="008A4984">
        <w:rPr>
          <w:rFonts w:cs="Segoe UI"/>
          <w:b/>
          <w:bCs/>
          <w:i/>
          <w:iCs/>
          <w:szCs w:val="22"/>
          <w:lang w:val="sk-SK"/>
        </w:rPr>
        <w:t>zamestnanc</w:t>
      </w:r>
      <w:r w:rsidR="005B0C0B" w:rsidRPr="008A4984">
        <w:rPr>
          <w:rFonts w:cs="Segoe UI"/>
          <w:b/>
          <w:bCs/>
          <w:i/>
          <w:iCs/>
          <w:szCs w:val="22"/>
          <w:lang w:val="sk-SK"/>
        </w:rPr>
        <w:t>ov</w:t>
      </w:r>
      <w:r w:rsidRPr="008A4984">
        <w:rPr>
          <w:rFonts w:cs="Segoe UI"/>
          <w:b/>
          <w:bCs/>
          <w:i/>
          <w:iCs/>
          <w:szCs w:val="22"/>
          <w:lang w:val="sk-SK"/>
        </w:rPr>
        <w:t xml:space="preserve"> na celom svete.</w:t>
      </w:r>
      <w:r w:rsidR="00DB3786" w:rsidRPr="008A4984">
        <w:rPr>
          <w:rFonts w:cs="Segoe UI"/>
          <w:b/>
          <w:bCs/>
          <w:i/>
          <w:iCs/>
          <w:szCs w:val="22"/>
          <w:lang w:val="sk-SK"/>
        </w:rPr>
        <w:t xml:space="preserve"> </w:t>
      </w:r>
      <w:r w:rsidR="005B0C0B" w:rsidRPr="008A4984">
        <w:rPr>
          <w:rFonts w:cs="Segoe UI"/>
          <w:b/>
          <w:bCs/>
          <w:i/>
          <w:iCs/>
          <w:szCs w:val="22"/>
          <w:lang w:val="sk-SK"/>
        </w:rPr>
        <w:t xml:space="preserve">Naše široké </w:t>
      </w:r>
      <w:r w:rsidRPr="008A4984">
        <w:rPr>
          <w:rFonts w:cs="Segoe UI"/>
          <w:b/>
          <w:bCs/>
          <w:i/>
          <w:iCs/>
          <w:szCs w:val="22"/>
          <w:lang w:val="sk-SK"/>
        </w:rPr>
        <w:t>portfól</w:t>
      </w:r>
      <w:r w:rsidR="005B0C0B" w:rsidRPr="008A4984">
        <w:rPr>
          <w:rFonts w:cs="Segoe UI"/>
          <w:b/>
          <w:bCs/>
          <w:i/>
          <w:iCs/>
          <w:szCs w:val="22"/>
          <w:lang w:val="sk-SK"/>
        </w:rPr>
        <w:t>io</w:t>
      </w:r>
      <w:r w:rsidRPr="008A4984">
        <w:rPr>
          <w:rFonts w:cs="Segoe UI"/>
          <w:b/>
          <w:bCs/>
          <w:i/>
          <w:iCs/>
          <w:szCs w:val="22"/>
          <w:lang w:val="sk-SK"/>
        </w:rPr>
        <w:t xml:space="preserve"> v spotrebiteľských a priemyselných segmentoch nám pomohl</w:t>
      </w:r>
      <w:r w:rsidR="005B0C0B" w:rsidRPr="008A4984">
        <w:rPr>
          <w:rFonts w:cs="Segoe UI"/>
          <w:b/>
          <w:bCs/>
          <w:i/>
          <w:iCs/>
          <w:szCs w:val="22"/>
          <w:lang w:val="sk-SK"/>
        </w:rPr>
        <w:t>o</w:t>
      </w:r>
      <w:r w:rsidRPr="008A4984">
        <w:rPr>
          <w:rFonts w:cs="Segoe UI"/>
          <w:b/>
          <w:bCs/>
          <w:i/>
          <w:iCs/>
          <w:szCs w:val="22"/>
          <w:lang w:val="sk-SK"/>
        </w:rPr>
        <w:t xml:space="preserve"> kompenzovať vplyv</w:t>
      </w:r>
      <w:r w:rsidR="00C10DB5" w:rsidRPr="008A4984">
        <w:rPr>
          <w:rFonts w:cs="Segoe UI"/>
          <w:b/>
          <w:bCs/>
          <w:i/>
          <w:iCs/>
          <w:szCs w:val="22"/>
          <w:lang w:val="sk-SK"/>
        </w:rPr>
        <w:t>y</w:t>
      </w:r>
      <w:r w:rsidRPr="008A4984">
        <w:rPr>
          <w:rFonts w:cs="Segoe UI"/>
          <w:b/>
          <w:bCs/>
          <w:i/>
          <w:iCs/>
          <w:szCs w:val="22"/>
          <w:lang w:val="sk-SK"/>
        </w:rPr>
        <w:t xml:space="preserve"> krízy na celkov</w:t>
      </w:r>
      <w:r w:rsidR="00870604" w:rsidRPr="008A4984">
        <w:rPr>
          <w:rFonts w:cs="Segoe UI"/>
          <w:b/>
          <w:bCs/>
          <w:i/>
          <w:iCs/>
          <w:szCs w:val="22"/>
          <w:lang w:val="sk-SK"/>
        </w:rPr>
        <w:t xml:space="preserve">ý </w:t>
      </w:r>
      <w:r w:rsidR="005B0C0B" w:rsidRPr="008A4984">
        <w:rPr>
          <w:rFonts w:cs="Segoe UI"/>
          <w:b/>
          <w:bCs/>
          <w:i/>
          <w:iCs/>
          <w:szCs w:val="22"/>
          <w:lang w:val="sk-SK"/>
        </w:rPr>
        <w:t xml:space="preserve">obrat </w:t>
      </w:r>
      <w:r w:rsidRPr="008A4984">
        <w:rPr>
          <w:rFonts w:cs="Segoe UI"/>
          <w:b/>
          <w:bCs/>
          <w:i/>
          <w:iCs/>
          <w:szCs w:val="22"/>
          <w:lang w:val="sk-SK"/>
        </w:rPr>
        <w:t xml:space="preserve">a zisk: v prvom polroku 2020 </w:t>
      </w:r>
      <w:r w:rsidRPr="008A4984">
        <w:rPr>
          <w:rFonts w:cs="Segoe UI"/>
          <w:b/>
          <w:bCs/>
          <w:i/>
          <w:iCs/>
          <w:szCs w:val="22"/>
          <w:lang w:val="sk-SK"/>
        </w:rPr>
        <w:lastRenderedPageBreak/>
        <w:t xml:space="preserve">sme dosiahli </w:t>
      </w:r>
      <w:r w:rsidR="005B0C0B" w:rsidRPr="008A4984">
        <w:rPr>
          <w:rFonts w:cs="Segoe UI"/>
          <w:b/>
          <w:bCs/>
          <w:i/>
          <w:iCs/>
          <w:szCs w:val="22"/>
          <w:lang w:val="sk-SK"/>
        </w:rPr>
        <w:t xml:space="preserve">obrat vo výške </w:t>
      </w:r>
      <w:r w:rsidRPr="008A4984">
        <w:rPr>
          <w:rFonts w:cs="Segoe UI"/>
          <w:b/>
          <w:bCs/>
          <w:i/>
          <w:iCs/>
          <w:szCs w:val="22"/>
          <w:lang w:val="sk-SK"/>
        </w:rPr>
        <w:t>približne 9,5 mld. eur, prevádzkový zisk na úrovni 1,2 mld. eur a maržu EBIT vo výške 12,6</w:t>
      </w:r>
      <w:r w:rsidR="00870604" w:rsidRPr="008A4984">
        <w:rPr>
          <w:rFonts w:cs="Segoe UI"/>
          <w:b/>
          <w:bCs/>
          <w:i/>
          <w:iCs/>
          <w:szCs w:val="22"/>
          <w:lang w:val="sk-SK"/>
        </w:rPr>
        <w:t> </w:t>
      </w:r>
      <w:r w:rsidRPr="008A4984">
        <w:rPr>
          <w:rFonts w:cs="Segoe UI"/>
          <w:b/>
          <w:bCs/>
          <w:i/>
          <w:iCs/>
          <w:szCs w:val="22"/>
          <w:lang w:val="sk-SK"/>
        </w:rPr>
        <w:t>%.</w:t>
      </w:r>
      <w:r w:rsidR="00813492" w:rsidRPr="008A4984">
        <w:rPr>
          <w:rFonts w:cs="Segoe UI"/>
          <w:b/>
          <w:bCs/>
          <w:i/>
          <w:iCs/>
          <w:szCs w:val="22"/>
          <w:lang w:val="sk-SK"/>
        </w:rPr>
        <w:t xml:space="preserve"> </w:t>
      </w:r>
      <w:r w:rsidRPr="008A4984">
        <w:rPr>
          <w:rFonts w:cs="Segoe UI"/>
          <w:b/>
          <w:bCs/>
          <w:i/>
          <w:iCs/>
          <w:szCs w:val="22"/>
          <w:lang w:val="sk-SK"/>
        </w:rPr>
        <w:t>Akcionárom sme za rok 2019 vyplatili dividendy v plnej výške</w:t>
      </w:r>
      <w:r w:rsidR="00C10DB5" w:rsidRPr="008A4984">
        <w:rPr>
          <w:rFonts w:cs="Segoe UI"/>
          <w:b/>
          <w:bCs/>
          <w:i/>
          <w:iCs/>
          <w:szCs w:val="22"/>
          <w:lang w:val="sk-SK"/>
        </w:rPr>
        <w:t>,</w:t>
      </w:r>
      <w:r w:rsidRPr="008A4984">
        <w:rPr>
          <w:rFonts w:cs="Segoe UI"/>
          <w:b/>
          <w:bCs/>
          <w:i/>
          <w:iCs/>
          <w:szCs w:val="22"/>
          <w:lang w:val="sk-SK"/>
        </w:rPr>
        <w:t xml:space="preserve"> dokázali sme zabezpečiť veľmi silný voľný cash </w:t>
      </w:r>
      <w:proofErr w:type="spellStart"/>
      <w:r w:rsidRPr="008A4984">
        <w:rPr>
          <w:rFonts w:cs="Segoe UI"/>
          <w:b/>
          <w:bCs/>
          <w:i/>
          <w:iCs/>
          <w:szCs w:val="22"/>
          <w:lang w:val="sk-SK"/>
        </w:rPr>
        <w:t>flow</w:t>
      </w:r>
      <w:proofErr w:type="spellEnd"/>
      <w:r w:rsidRPr="008A4984">
        <w:rPr>
          <w:rFonts w:cs="Segoe UI"/>
          <w:b/>
          <w:bCs/>
          <w:i/>
          <w:iCs/>
          <w:szCs w:val="22"/>
          <w:lang w:val="sk-SK"/>
        </w:rPr>
        <w:t xml:space="preserve"> a ďalej zlepšiť našu čistú finančnú pozíciu.</w:t>
      </w:r>
      <w:r w:rsidR="00DB3786" w:rsidRPr="008A4984">
        <w:rPr>
          <w:rFonts w:cs="Segoe UI"/>
          <w:b/>
          <w:bCs/>
          <w:i/>
          <w:iCs/>
          <w:szCs w:val="22"/>
          <w:lang w:val="sk-SK"/>
        </w:rPr>
        <w:t xml:space="preserve"> </w:t>
      </w:r>
      <w:r w:rsidRPr="008A4984">
        <w:rPr>
          <w:rFonts w:cs="Segoe UI"/>
          <w:b/>
          <w:bCs/>
          <w:i/>
          <w:iCs/>
          <w:szCs w:val="22"/>
          <w:lang w:val="sk-SK"/>
        </w:rPr>
        <w:t>Počas krízy sme neskr</w:t>
      </w:r>
      <w:r w:rsidR="005B0C0B" w:rsidRPr="008A4984">
        <w:rPr>
          <w:rFonts w:cs="Segoe UI"/>
          <w:b/>
          <w:bCs/>
          <w:i/>
          <w:iCs/>
          <w:szCs w:val="22"/>
          <w:lang w:val="sk-SK"/>
        </w:rPr>
        <w:t xml:space="preserve">acovali </w:t>
      </w:r>
      <w:r w:rsidRPr="008A4984">
        <w:rPr>
          <w:rFonts w:cs="Segoe UI"/>
          <w:b/>
          <w:bCs/>
          <w:i/>
          <w:iCs/>
          <w:szCs w:val="22"/>
          <w:lang w:val="sk-SK"/>
        </w:rPr>
        <w:t>pracovný čas, nežiadali sme o pomoc zo strany štátu</w:t>
      </w:r>
      <w:r w:rsidR="005B0C0B" w:rsidRPr="008A4984">
        <w:rPr>
          <w:rFonts w:cs="Segoe UI"/>
          <w:b/>
          <w:bCs/>
          <w:i/>
          <w:iCs/>
          <w:szCs w:val="22"/>
          <w:lang w:val="sk-SK"/>
        </w:rPr>
        <w:t xml:space="preserve"> a </w:t>
      </w:r>
      <w:r w:rsidRPr="008A4984">
        <w:rPr>
          <w:rFonts w:cs="Segoe UI"/>
          <w:b/>
          <w:bCs/>
          <w:i/>
          <w:iCs/>
          <w:szCs w:val="22"/>
          <w:lang w:val="sk-SK"/>
        </w:rPr>
        <w:t>nezn</w:t>
      </w:r>
      <w:r w:rsidR="005B0C0B" w:rsidRPr="008A4984">
        <w:rPr>
          <w:rFonts w:cs="Segoe UI"/>
          <w:b/>
          <w:bCs/>
          <w:i/>
          <w:iCs/>
          <w:szCs w:val="22"/>
          <w:lang w:val="sk-SK"/>
        </w:rPr>
        <w:t xml:space="preserve">ižovali </w:t>
      </w:r>
      <w:r w:rsidR="00870604" w:rsidRPr="008A4984">
        <w:rPr>
          <w:rFonts w:cs="Segoe UI"/>
          <w:b/>
          <w:bCs/>
          <w:i/>
          <w:iCs/>
          <w:szCs w:val="22"/>
          <w:lang w:val="sk-SK"/>
        </w:rPr>
        <w:t xml:space="preserve">sme </w:t>
      </w:r>
      <w:r w:rsidRPr="008A4984">
        <w:rPr>
          <w:rFonts w:cs="Segoe UI"/>
          <w:b/>
          <w:bCs/>
          <w:i/>
          <w:iCs/>
          <w:szCs w:val="22"/>
          <w:lang w:val="sk-SK"/>
        </w:rPr>
        <w:t>počt</w:t>
      </w:r>
      <w:r w:rsidR="005B0C0B" w:rsidRPr="008A4984">
        <w:rPr>
          <w:rFonts w:cs="Segoe UI"/>
          <w:b/>
          <w:bCs/>
          <w:i/>
          <w:iCs/>
          <w:szCs w:val="22"/>
          <w:lang w:val="sk-SK"/>
        </w:rPr>
        <w:t>y</w:t>
      </w:r>
      <w:r w:rsidRPr="008A4984">
        <w:rPr>
          <w:rFonts w:cs="Segoe UI"/>
          <w:b/>
          <w:bCs/>
          <w:i/>
          <w:iCs/>
          <w:szCs w:val="22"/>
          <w:lang w:val="sk-SK"/>
        </w:rPr>
        <w:t xml:space="preserve"> zamestnancov v dôsledku pandémie.</w:t>
      </w:r>
      <w:r w:rsidR="00DB3786" w:rsidRPr="008A4984">
        <w:rPr>
          <w:rFonts w:cs="Segoe UI"/>
          <w:b/>
          <w:bCs/>
          <w:i/>
          <w:iCs/>
          <w:szCs w:val="22"/>
          <w:lang w:val="sk-SK"/>
        </w:rPr>
        <w:t xml:space="preserve"> </w:t>
      </w:r>
      <w:r w:rsidRPr="008A4984">
        <w:rPr>
          <w:rFonts w:cs="Segoe UI"/>
          <w:b/>
          <w:bCs/>
          <w:i/>
          <w:iCs/>
          <w:szCs w:val="22"/>
          <w:lang w:val="sk-SK"/>
        </w:rPr>
        <w:t>Celkov</w:t>
      </w:r>
      <w:r w:rsidR="005B0C0B" w:rsidRPr="008A4984">
        <w:rPr>
          <w:rFonts w:cs="Segoe UI"/>
          <w:b/>
          <w:bCs/>
          <w:i/>
          <w:iCs/>
          <w:szCs w:val="22"/>
          <w:lang w:val="sk-SK"/>
        </w:rPr>
        <w:t>o</w:t>
      </w:r>
      <w:r w:rsidRPr="008A4984">
        <w:rPr>
          <w:rFonts w:cs="Segoe UI"/>
          <w:b/>
          <w:bCs/>
          <w:i/>
          <w:iCs/>
          <w:szCs w:val="22"/>
          <w:lang w:val="sk-SK"/>
        </w:rPr>
        <w:t xml:space="preserve"> sme dosiahli </w:t>
      </w:r>
      <w:r w:rsidR="005B0C0B" w:rsidRPr="008A4984">
        <w:rPr>
          <w:rFonts w:cs="Segoe UI"/>
          <w:b/>
          <w:bCs/>
          <w:i/>
          <w:iCs/>
          <w:szCs w:val="22"/>
          <w:lang w:val="sk-SK"/>
        </w:rPr>
        <w:t xml:space="preserve">silné </w:t>
      </w:r>
      <w:r w:rsidRPr="008A4984">
        <w:rPr>
          <w:rFonts w:cs="Segoe UI"/>
          <w:b/>
          <w:bCs/>
          <w:i/>
          <w:iCs/>
          <w:szCs w:val="22"/>
          <w:lang w:val="sk-SK"/>
        </w:rPr>
        <w:t>výsledky</w:t>
      </w:r>
      <w:r w:rsidR="005B0C0B" w:rsidRPr="008A4984">
        <w:rPr>
          <w:rFonts w:cs="Segoe UI"/>
          <w:b/>
          <w:bCs/>
          <w:i/>
          <w:iCs/>
          <w:szCs w:val="22"/>
          <w:lang w:val="sk-SK"/>
        </w:rPr>
        <w:t xml:space="preserve"> aj </w:t>
      </w:r>
      <w:r w:rsidR="00870604" w:rsidRPr="008A4984">
        <w:rPr>
          <w:rFonts w:cs="Segoe UI"/>
          <w:b/>
          <w:bCs/>
          <w:i/>
          <w:iCs/>
          <w:szCs w:val="22"/>
          <w:lang w:val="sk-SK"/>
        </w:rPr>
        <w:t xml:space="preserve">za </w:t>
      </w:r>
      <w:r w:rsidR="005B0C0B" w:rsidRPr="008A4984">
        <w:rPr>
          <w:rFonts w:cs="Segoe UI"/>
          <w:b/>
          <w:bCs/>
          <w:i/>
          <w:iCs/>
          <w:szCs w:val="22"/>
          <w:lang w:val="sk-SK"/>
        </w:rPr>
        <w:t>výnimočne nepriazniv</w:t>
      </w:r>
      <w:r w:rsidR="00870604" w:rsidRPr="008A4984">
        <w:rPr>
          <w:rFonts w:cs="Segoe UI"/>
          <w:b/>
          <w:bCs/>
          <w:i/>
          <w:iCs/>
          <w:szCs w:val="22"/>
          <w:lang w:val="sk-SK"/>
        </w:rPr>
        <w:t>ých okolností</w:t>
      </w:r>
      <w:r w:rsidRPr="008A4984">
        <w:rPr>
          <w:rFonts w:cs="Segoe UI"/>
          <w:b/>
          <w:bCs/>
          <w:i/>
          <w:iCs/>
          <w:szCs w:val="22"/>
          <w:lang w:val="sk-SK"/>
        </w:rPr>
        <w:t>,</w:t>
      </w:r>
      <w:r w:rsidR="005B0C0B" w:rsidRPr="008A4984">
        <w:rPr>
          <w:rFonts w:cs="Segoe UI"/>
          <w:b/>
          <w:bCs/>
          <w:i/>
          <w:iCs/>
          <w:szCs w:val="22"/>
          <w:lang w:val="sk-SK"/>
        </w:rPr>
        <w:t>“</w:t>
      </w:r>
      <w:r w:rsidRPr="00B96B4F">
        <w:rPr>
          <w:rFonts w:cs="Segoe UI"/>
          <w:b/>
          <w:bCs/>
          <w:szCs w:val="22"/>
          <w:lang w:val="sk-SK"/>
        </w:rPr>
        <w:t xml:space="preserve"> povedal predseda predstavenstva spoločnosti Henkel Carsten </w:t>
      </w:r>
      <w:proofErr w:type="spellStart"/>
      <w:r w:rsidRPr="00B96B4F">
        <w:rPr>
          <w:rFonts w:cs="Segoe UI"/>
          <w:b/>
          <w:bCs/>
          <w:szCs w:val="22"/>
          <w:lang w:val="sk-SK"/>
        </w:rPr>
        <w:t>Knobel</w:t>
      </w:r>
      <w:proofErr w:type="spellEnd"/>
      <w:r w:rsidRPr="00B96B4F">
        <w:rPr>
          <w:rFonts w:cs="Segoe UI"/>
          <w:b/>
          <w:bCs/>
          <w:szCs w:val="22"/>
          <w:lang w:val="sk-SK"/>
        </w:rPr>
        <w:t>.</w:t>
      </w:r>
    </w:p>
    <w:p w14:paraId="1AC1D4CE" w14:textId="77777777" w:rsidR="007F0F63" w:rsidRPr="00B96B4F" w:rsidRDefault="007F0F63" w:rsidP="00643D8A">
      <w:pPr>
        <w:rPr>
          <w:rFonts w:cs="Segoe UI"/>
          <w:szCs w:val="22"/>
          <w:lang w:val="sk-SK"/>
        </w:rPr>
      </w:pPr>
    </w:p>
    <w:p w14:paraId="190DA680" w14:textId="77777777" w:rsidR="00846017" w:rsidRPr="00B96B4F" w:rsidRDefault="00B05EEC" w:rsidP="00B05EEC">
      <w:pPr>
        <w:spacing w:line="280" w:lineRule="auto"/>
        <w:rPr>
          <w:rFonts w:cs="Segoe UI"/>
          <w:b/>
          <w:bCs/>
          <w:szCs w:val="22"/>
          <w:lang w:val="sk-SK"/>
        </w:rPr>
      </w:pPr>
      <w:r w:rsidRPr="00B96B4F">
        <w:rPr>
          <w:rFonts w:cs="Segoe UI"/>
          <w:b/>
          <w:bCs/>
          <w:szCs w:val="22"/>
          <w:lang w:val="sk-SK"/>
        </w:rPr>
        <w:t xml:space="preserve">Henkel </w:t>
      </w:r>
      <w:r w:rsidR="0096704A" w:rsidRPr="00B96B4F">
        <w:rPr>
          <w:rFonts w:cs="Segoe UI"/>
          <w:b/>
          <w:bCs/>
          <w:szCs w:val="22"/>
          <w:lang w:val="sk-SK"/>
        </w:rPr>
        <w:t xml:space="preserve">vykázal </w:t>
      </w:r>
      <w:r w:rsidR="00B2756F" w:rsidRPr="00B96B4F">
        <w:rPr>
          <w:rFonts w:cs="Segoe UI"/>
          <w:b/>
          <w:bCs/>
          <w:szCs w:val="22"/>
          <w:lang w:val="sk-SK"/>
        </w:rPr>
        <w:t xml:space="preserve">obrat </w:t>
      </w:r>
      <w:r w:rsidR="0096704A" w:rsidRPr="00B96B4F">
        <w:rPr>
          <w:rFonts w:cs="Segoe UI"/>
          <w:b/>
          <w:bCs/>
          <w:szCs w:val="22"/>
          <w:lang w:val="sk-SK"/>
        </w:rPr>
        <w:t xml:space="preserve">vo výške </w:t>
      </w:r>
      <w:r w:rsidRPr="00B96B4F">
        <w:rPr>
          <w:rFonts w:cs="Segoe UI"/>
          <w:b/>
          <w:bCs/>
          <w:szCs w:val="22"/>
          <w:lang w:val="sk-SK"/>
        </w:rPr>
        <w:t>9 485 mi</w:t>
      </w:r>
      <w:r w:rsidR="0096704A" w:rsidRPr="00B96B4F">
        <w:rPr>
          <w:rFonts w:cs="Segoe UI"/>
          <w:b/>
          <w:bCs/>
          <w:szCs w:val="22"/>
          <w:lang w:val="sk-SK"/>
        </w:rPr>
        <w:t>l.</w:t>
      </w:r>
      <w:r w:rsidRPr="00B96B4F">
        <w:rPr>
          <w:rFonts w:cs="Segoe UI"/>
          <w:b/>
          <w:bCs/>
          <w:szCs w:val="22"/>
          <w:lang w:val="sk-SK"/>
        </w:rPr>
        <w:t xml:space="preserve"> eur </w:t>
      </w:r>
      <w:r w:rsidR="0096704A" w:rsidRPr="00B96B4F">
        <w:rPr>
          <w:rFonts w:cs="Segoe UI"/>
          <w:b/>
          <w:bCs/>
          <w:szCs w:val="22"/>
          <w:lang w:val="sk-SK"/>
        </w:rPr>
        <w:t>za</w:t>
      </w:r>
      <w:r w:rsidRPr="00B96B4F">
        <w:rPr>
          <w:rFonts w:cs="Segoe UI"/>
          <w:b/>
          <w:bCs/>
          <w:szCs w:val="22"/>
          <w:lang w:val="sk-SK"/>
        </w:rPr>
        <w:t xml:space="preserve"> prv</w:t>
      </w:r>
      <w:r w:rsidR="0096704A" w:rsidRPr="00B96B4F">
        <w:rPr>
          <w:rFonts w:cs="Segoe UI"/>
          <w:b/>
          <w:bCs/>
          <w:szCs w:val="22"/>
          <w:lang w:val="sk-SK"/>
        </w:rPr>
        <w:t>ý polrok</w:t>
      </w:r>
      <w:r w:rsidRPr="00B96B4F">
        <w:rPr>
          <w:rFonts w:cs="Segoe UI"/>
          <w:b/>
          <w:bCs/>
          <w:szCs w:val="22"/>
          <w:lang w:val="sk-SK"/>
        </w:rPr>
        <w:t xml:space="preserve"> 2020.</w:t>
      </w:r>
      <w:r w:rsidR="00846017" w:rsidRPr="00B96B4F">
        <w:rPr>
          <w:rFonts w:cs="Segoe UI"/>
          <w:b/>
          <w:bCs/>
          <w:szCs w:val="22"/>
          <w:lang w:val="sk-SK"/>
        </w:rPr>
        <w:t xml:space="preserve"> </w:t>
      </w:r>
      <w:r w:rsidRPr="00B96B4F">
        <w:rPr>
          <w:rFonts w:cs="Segoe UI"/>
          <w:b/>
          <w:bCs/>
          <w:szCs w:val="22"/>
          <w:lang w:val="sk-SK"/>
        </w:rPr>
        <w:t xml:space="preserve">V nominálnom vyjadrení </w:t>
      </w:r>
      <w:r w:rsidR="0096704A" w:rsidRPr="00B96B4F">
        <w:rPr>
          <w:rFonts w:cs="Segoe UI"/>
          <w:b/>
          <w:bCs/>
          <w:szCs w:val="22"/>
          <w:lang w:val="sk-SK"/>
        </w:rPr>
        <w:t>sa obrat znížil o </w:t>
      </w:r>
      <w:r w:rsidRPr="00B96B4F">
        <w:rPr>
          <w:rFonts w:cs="Segoe UI"/>
          <w:b/>
          <w:bCs/>
          <w:szCs w:val="22"/>
          <w:lang w:val="sk-SK"/>
        </w:rPr>
        <w:t>6</w:t>
      </w:r>
      <w:r w:rsidR="0096704A" w:rsidRPr="00B96B4F">
        <w:rPr>
          <w:rFonts w:cs="Segoe UI"/>
          <w:b/>
          <w:bCs/>
          <w:szCs w:val="22"/>
          <w:lang w:val="sk-SK"/>
        </w:rPr>
        <w:t>,0 </w:t>
      </w:r>
      <w:r w:rsidRPr="00B96B4F">
        <w:rPr>
          <w:rFonts w:cs="Segoe UI"/>
          <w:b/>
          <w:bCs/>
          <w:szCs w:val="22"/>
          <w:lang w:val="sk-SK"/>
        </w:rPr>
        <w:t>%</w:t>
      </w:r>
      <w:r w:rsidR="0096704A" w:rsidRPr="00B96B4F">
        <w:rPr>
          <w:rFonts w:cs="Segoe UI"/>
          <w:b/>
          <w:bCs/>
          <w:szCs w:val="22"/>
          <w:lang w:val="sk-SK"/>
        </w:rPr>
        <w:t xml:space="preserve"> a organicky </w:t>
      </w:r>
      <w:r w:rsidRPr="00B96B4F">
        <w:rPr>
          <w:rFonts w:cs="Segoe UI"/>
          <w:b/>
          <w:bCs/>
          <w:szCs w:val="22"/>
          <w:lang w:val="sk-SK"/>
        </w:rPr>
        <w:t>o</w:t>
      </w:r>
      <w:r w:rsidR="0096704A" w:rsidRPr="00B96B4F">
        <w:rPr>
          <w:rFonts w:cs="Segoe UI"/>
          <w:b/>
          <w:bCs/>
          <w:szCs w:val="22"/>
          <w:lang w:val="sk-SK"/>
        </w:rPr>
        <w:t> </w:t>
      </w:r>
      <w:r w:rsidRPr="00B96B4F">
        <w:rPr>
          <w:rFonts w:cs="Segoe UI"/>
          <w:b/>
          <w:bCs/>
          <w:szCs w:val="22"/>
          <w:lang w:val="sk-SK"/>
        </w:rPr>
        <w:t>5</w:t>
      </w:r>
      <w:r w:rsidR="0096704A" w:rsidRPr="00B96B4F">
        <w:rPr>
          <w:rFonts w:cs="Segoe UI"/>
          <w:b/>
          <w:bCs/>
          <w:szCs w:val="22"/>
          <w:lang w:val="sk-SK"/>
        </w:rPr>
        <w:t>,</w:t>
      </w:r>
      <w:r w:rsidRPr="00B96B4F">
        <w:rPr>
          <w:rFonts w:cs="Segoe UI"/>
          <w:b/>
          <w:bCs/>
          <w:szCs w:val="22"/>
          <w:lang w:val="sk-SK"/>
        </w:rPr>
        <w:t>2</w:t>
      </w:r>
      <w:r w:rsidR="0096704A" w:rsidRPr="00B96B4F">
        <w:rPr>
          <w:rFonts w:cs="Segoe UI"/>
          <w:b/>
          <w:bCs/>
          <w:szCs w:val="22"/>
          <w:lang w:val="sk-SK"/>
        </w:rPr>
        <w:t> </w:t>
      </w:r>
      <w:r w:rsidRPr="00B96B4F">
        <w:rPr>
          <w:rFonts w:cs="Segoe UI"/>
          <w:b/>
          <w:bCs/>
          <w:szCs w:val="22"/>
          <w:lang w:val="sk-SK"/>
        </w:rPr>
        <w:t>% v porovnaní s prvou polovicou predchádzajúceho roka.</w:t>
      </w:r>
      <w:r w:rsidR="00846017" w:rsidRPr="00B96B4F">
        <w:rPr>
          <w:rFonts w:cs="Segoe UI"/>
          <w:b/>
          <w:bCs/>
          <w:szCs w:val="22"/>
          <w:lang w:val="sk-SK"/>
        </w:rPr>
        <w:t xml:space="preserve"> </w:t>
      </w:r>
      <w:r w:rsidR="00447616" w:rsidRPr="00B96B4F">
        <w:rPr>
          <w:rFonts w:cs="Segoe UI"/>
          <w:b/>
          <w:bCs/>
          <w:szCs w:val="22"/>
          <w:lang w:val="sk-SK"/>
        </w:rPr>
        <w:t>U</w:t>
      </w:r>
      <w:r w:rsidRPr="00B96B4F">
        <w:rPr>
          <w:rFonts w:cs="Segoe UI"/>
          <w:b/>
          <w:bCs/>
          <w:szCs w:val="22"/>
          <w:lang w:val="sk-SK"/>
        </w:rPr>
        <w:t xml:space="preserve">pravený prevádzkový zisk </w:t>
      </w:r>
      <w:r w:rsidR="00447616" w:rsidRPr="00B96B4F">
        <w:rPr>
          <w:rFonts w:cs="Segoe UI"/>
          <w:b/>
          <w:bCs/>
          <w:szCs w:val="22"/>
          <w:lang w:val="sk-SK"/>
        </w:rPr>
        <w:t xml:space="preserve">dosiahol úroveň </w:t>
      </w:r>
      <w:r w:rsidRPr="00B96B4F">
        <w:rPr>
          <w:rFonts w:cs="Segoe UI"/>
          <w:b/>
          <w:bCs/>
          <w:szCs w:val="22"/>
          <w:lang w:val="sk-SK"/>
        </w:rPr>
        <w:t>1 191 mil. eur za prvých šesť mesiacov roka 2020, čo je o 27,5</w:t>
      </w:r>
      <w:r w:rsidR="00447616" w:rsidRPr="00B96B4F">
        <w:rPr>
          <w:rFonts w:cs="Segoe UI"/>
          <w:b/>
          <w:bCs/>
          <w:szCs w:val="22"/>
          <w:lang w:val="sk-SK"/>
        </w:rPr>
        <w:t> </w:t>
      </w:r>
      <w:r w:rsidRPr="00B96B4F">
        <w:rPr>
          <w:rFonts w:cs="Segoe UI"/>
          <w:b/>
          <w:bCs/>
          <w:szCs w:val="22"/>
          <w:lang w:val="sk-SK"/>
        </w:rPr>
        <w:t>% menej ako v predchádzajúcom roku.</w:t>
      </w:r>
      <w:r w:rsidR="00846017" w:rsidRPr="00B96B4F">
        <w:rPr>
          <w:rFonts w:cs="Segoe UI"/>
          <w:b/>
          <w:bCs/>
          <w:szCs w:val="22"/>
          <w:lang w:val="sk-SK"/>
        </w:rPr>
        <w:t xml:space="preserve"> </w:t>
      </w:r>
      <w:r w:rsidRPr="00B96B4F">
        <w:rPr>
          <w:rFonts w:cs="Segoe UI"/>
          <w:b/>
          <w:bCs/>
          <w:szCs w:val="22"/>
          <w:lang w:val="sk-SK"/>
        </w:rPr>
        <w:t>Upravená marža EBIT bola na úrovni 12,6</w:t>
      </w:r>
      <w:r w:rsidR="00447616" w:rsidRPr="00B96B4F">
        <w:rPr>
          <w:rFonts w:cs="Segoe UI"/>
          <w:b/>
          <w:bCs/>
          <w:szCs w:val="22"/>
          <w:lang w:val="sk-SK"/>
        </w:rPr>
        <w:t> %</w:t>
      </w:r>
      <w:r w:rsidRPr="00B96B4F">
        <w:rPr>
          <w:rFonts w:cs="Segoe UI"/>
          <w:b/>
          <w:bCs/>
          <w:szCs w:val="22"/>
          <w:lang w:val="sk-SK"/>
        </w:rPr>
        <w:t xml:space="preserve">, čo </w:t>
      </w:r>
      <w:r w:rsidR="00447616" w:rsidRPr="00B96B4F">
        <w:rPr>
          <w:rFonts w:cs="Segoe UI"/>
          <w:b/>
          <w:bCs/>
          <w:szCs w:val="22"/>
          <w:lang w:val="sk-SK"/>
        </w:rPr>
        <w:t xml:space="preserve">predstavuje pokles o </w:t>
      </w:r>
      <w:r w:rsidRPr="00B96B4F">
        <w:rPr>
          <w:rFonts w:cs="Segoe UI"/>
          <w:b/>
          <w:bCs/>
          <w:szCs w:val="22"/>
          <w:lang w:val="sk-SK"/>
        </w:rPr>
        <w:t xml:space="preserve">370 bázických bodov </w:t>
      </w:r>
      <w:r w:rsidR="00447616" w:rsidRPr="00B96B4F">
        <w:rPr>
          <w:rFonts w:cs="Segoe UI"/>
          <w:b/>
          <w:bCs/>
          <w:szCs w:val="22"/>
          <w:lang w:val="sk-SK"/>
        </w:rPr>
        <w:t xml:space="preserve">v porovnaní s </w:t>
      </w:r>
      <w:r w:rsidRPr="00B96B4F">
        <w:rPr>
          <w:rFonts w:cs="Segoe UI"/>
          <w:b/>
          <w:bCs/>
          <w:szCs w:val="22"/>
          <w:lang w:val="sk-SK"/>
        </w:rPr>
        <w:t>rovnak</w:t>
      </w:r>
      <w:r w:rsidR="00447616" w:rsidRPr="00B96B4F">
        <w:rPr>
          <w:rFonts w:cs="Segoe UI"/>
          <w:b/>
          <w:bCs/>
          <w:szCs w:val="22"/>
          <w:lang w:val="sk-SK"/>
        </w:rPr>
        <w:t xml:space="preserve">ým </w:t>
      </w:r>
      <w:r w:rsidRPr="00B96B4F">
        <w:rPr>
          <w:rFonts w:cs="Segoe UI"/>
          <w:b/>
          <w:bCs/>
          <w:szCs w:val="22"/>
          <w:lang w:val="sk-SK"/>
        </w:rPr>
        <w:t>období</w:t>
      </w:r>
      <w:r w:rsidR="00447616" w:rsidRPr="00B96B4F">
        <w:rPr>
          <w:rFonts w:cs="Segoe UI"/>
          <w:b/>
          <w:bCs/>
          <w:szCs w:val="22"/>
          <w:lang w:val="sk-SK"/>
        </w:rPr>
        <w:t>m</w:t>
      </w:r>
      <w:r w:rsidRPr="00B96B4F">
        <w:rPr>
          <w:rFonts w:cs="Segoe UI"/>
          <w:b/>
          <w:bCs/>
          <w:szCs w:val="22"/>
          <w:lang w:val="sk-SK"/>
        </w:rPr>
        <w:t xml:space="preserve"> predchádzajúceho roka.</w:t>
      </w:r>
    </w:p>
    <w:p w14:paraId="3BB930CD" w14:textId="77777777" w:rsidR="00846017" w:rsidRPr="00B96B4F" w:rsidRDefault="00846017" w:rsidP="00846017">
      <w:pPr>
        <w:rPr>
          <w:rFonts w:cs="Segoe UI"/>
          <w:b/>
          <w:bCs/>
          <w:szCs w:val="22"/>
          <w:lang w:val="sk-SK"/>
        </w:rPr>
      </w:pPr>
    </w:p>
    <w:p w14:paraId="4A91FA12" w14:textId="77777777" w:rsidR="00846017" w:rsidRPr="00B96B4F" w:rsidRDefault="00B05EEC" w:rsidP="00B05EEC">
      <w:pPr>
        <w:spacing w:line="280" w:lineRule="auto"/>
        <w:rPr>
          <w:rFonts w:cs="Segoe UI"/>
          <w:b/>
          <w:bCs/>
          <w:szCs w:val="22"/>
          <w:lang w:val="sk-SK"/>
        </w:rPr>
      </w:pPr>
      <w:r w:rsidRPr="00B96B4F">
        <w:rPr>
          <w:rFonts w:cs="Segoe UI"/>
          <w:b/>
          <w:bCs/>
          <w:szCs w:val="22"/>
          <w:lang w:val="sk-SK"/>
        </w:rPr>
        <w:t xml:space="preserve">V priebehu prvých šiestich mesiacov bola divízia Adhesive Technologies </w:t>
      </w:r>
      <w:r w:rsidR="00447616" w:rsidRPr="00B96B4F">
        <w:rPr>
          <w:rFonts w:cs="Segoe UI"/>
          <w:b/>
          <w:bCs/>
          <w:szCs w:val="22"/>
          <w:lang w:val="sk-SK"/>
        </w:rPr>
        <w:t xml:space="preserve">zasiahnutá najmä </w:t>
      </w:r>
      <w:r w:rsidRPr="00B96B4F">
        <w:rPr>
          <w:rFonts w:cs="Segoe UI"/>
          <w:b/>
          <w:bCs/>
          <w:szCs w:val="22"/>
          <w:lang w:val="sk-SK"/>
        </w:rPr>
        <w:t>výrazn</w:t>
      </w:r>
      <w:r w:rsidR="00870604" w:rsidRPr="00B96B4F">
        <w:rPr>
          <w:rFonts w:cs="Segoe UI"/>
          <w:b/>
          <w:bCs/>
          <w:szCs w:val="22"/>
          <w:lang w:val="sk-SK"/>
        </w:rPr>
        <w:t xml:space="preserve">ým znížením </w:t>
      </w:r>
      <w:r w:rsidRPr="00B96B4F">
        <w:rPr>
          <w:rFonts w:cs="Segoe UI"/>
          <w:b/>
          <w:bCs/>
          <w:szCs w:val="22"/>
          <w:lang w:val="sk-SK"/>
        </w:rPr>
        <w:t>dopyt</w:t>
      </w:r>
      <w:r w:rsidR="00870604" w:rsidRPr="00B96B4F">
        <w:rPr>
          <w:rFonts w:cs="Segoe UI"/>
          <w:b/>
          <w:bCs/>
          <w:szCs w:val="22"/>
          <w:lang w:val="sk-SK"/>
        </w:rPr>
        <w:t xml:space="preserve">u </w:t>
      </w:r>
      <w:r w:rsidR="00447616" w:rsidRPr="00B96B4F">
        <w:rPr>
          <w:rFonts w:cs="Segoe UI"/>
          <w:b/>
          <w:bCs/>
          <w:szCs w:val="22"/>
          <w:lang w:val="sk-SK"/>
        </w:rPr>
        <w:t>v </w:t>
      </w:r>
      <w:r w:rsidRPr="00B96B4F">
        <w:rPr>
          <w:rFonts w:cs="Segoe UI"/>
          <w:b/>
          <w:bCs/>
          <w:szCs w:val="22"/>
          <w:lang w:val="sk-SK"/>
        </w:rPr>
        <w:t>kľúčový</w:t>
      </w:r>
      <w:r w:rsidR="00447616" w:rsidRPr="00B96B4F">
        <w:rPr>
          <w:rFonts w:cs="Segoe UI"/>
          <w:b/>
          <w:bCs/>
          <w:szCs w:val="22"/>
          <w:lang w:val="sk-SK"/>
        </w:rPr>
        <w:t xml:space="preserve">ch odberateľských </w:t>
      </w:r>
      <w:r w:rsidRPr="00B96B4F">
        <w:rPr>
          <w:rFonts w:cs="Segoe UI"/>
          <w:b/>
          <w:bCs/>
          <w:szCs w:val="22"/>
          <w:lang w:val="sk-SK"/>
        </w:rPr>
        <w:t>odvet</w:t>
      </w:r>
      <w:r w:rsidR="00447616" w:rsidRPr="00B96B4F">
        <w:rPr>
          <w:rFonts w:cs="Segoe UI"/>
          <w:b/>
          <w:bCs/>
          <w:szCs w:val="22"/>
          <w:lang w:val="sk-SK"/>
        </w:rPr>
        <w:t>viach</w:t>
      </w:r>
      <w:r w:rsidRPr="00B96B4F">
        <w:rPr>
          <w:rFonts w:cs="Segoe UI"/>
          <w:b/>
          <w:bCs/>
          <w:szCs w:val="22"/>
          <w:lang w:val="sk-SK"/>
        </w:rPr>
        <w:t>.</w:t>
      </w:r>
      <w:r w:rsidR="00846017" w:rsidRPr="00B96B4F">
        <w:rPr>
          <w:rFonts w:cs="Segoe UI"/>
          <w:b/>
          <w:bCs/>
          <w:szCs w:val="22"/>
          <w:lang w:val="sk-SK"/>
        </w:rPr>
        <w:t xml:space="preserve"> </w:t>
      </w:r>
      <w:r w:rsidRPr="00B96B4F">
        <w:rPr>
          <w:rFonts w:cs="Segoe UI"/>
          <w:b/>
          <w:bCs/>
          <w:szCs w:val="22"/>
          <w:lang w:val="sk-SK"/>
        </w:rPr>
        <w:t xml:space="preserve">Výsledky divízie </w:t>
      </w:r>
      <w:proofErr w:type="spellStart"/>
      <w:r w:rsidRPr="00B96B4F">
        <w:rPr>
          <w:rFonts w:cs="Segoe UI"/>
          <w:b/>
          <w:bCs/>
          <w:szCs w:val="22"/>
          <w:lang w:val="sk-SK"/>
        </w:rPr>
        <w:t>Beauty</w:t>
      </w:r>
      <w:proofErr w:type="spellEnd"/>
      <w:r w:rsidRPr="00B96B4F">
        <w:rPr>
          <w:rFonts w:cs="Segoe UI"/>
          <w:b/>
          <w:bCs/>
          <w:szCs w:val="22"/>
          <w:lang w:val="sk-SK"/>
        </w:rPr>
        <w:t xml:space="preserve"> </w:t>
      </w:r>
      <w:proofErr w:type="spellStart"/>
      <w:r w:rsidRPr="00B96B4F">
        <w:rPr>
          <w:rFonts w:cs="Segoe UI"/>
          <w:b/>
          <w:bCs/>
          <w:szCs w:val="22"/>
          <w:lang w:val="sk-SK"/>
        </w:rPr>
        <w:t>Care</w:t>
      </w:r>
      <w:proofErr w:type="spellEnd"/>
      <w:r w:rsidRPr="00B96B4F">
        <w:rPr>
          <w:rFonts w:cs="Segoe UI"/>
          <w:b/>
          <w:bCs/>
          <w:szCs w:val="22"/>
          <w:lang w:val="sk-SK"/>
        </w:rPr>
        <w:t xml:space="preserve"> negatívne ovplyvnil výrazný pokles v segmente </w:t>
      </w:r>
      <w:r w:rsidR="00F95A8D" w:rsidRPr="00B96B4F">
        <w:rPr>
          <w:rFonts w:cs="Segoe UI"/>
          <w:b/>
          <w:bCs/>
          <w:szCs w:val="22"/>
          <w:lang w:val="sk-SK"/>
        </w:rPr>
        <w:t xml:space="preserve">profesionálnej vlasovej kozmetiky vzhľadom na zatvorenie kaderníctiev </w:t>
      </w:r>
      <w:r w:rsidRPr="00B96B4F">
        <w:rPr>
          <w:rFonts w:cs="Segoe UI"/>
          <w:b/>
          <w:bCs/>
          <w:szCs w:val="22"/>
          <w:lang w:val="sk-SK"/>
        </w:rPr>
        <w:t>v mnohých krajinách.</w:t>
      </w:r>
      <w:r w:rsidR="00846017" w:rsidRPr="00B96B4F">
        <w:rPr>
          <w:rFonts w:cs="Segoe UI"/>
          <w:b/>
          <w:bCs/>
          <w:szCs w:val="22"/>
          <w:lang w:val="sk-SK"/>
        </w:rPr>
        <w:t xml:space="preserve"> </w:t>
      </w:r>
      <w:r w:rsidRPr="00B96B4F">
        <w:rPr>
          <w:rFonts w:cs="Segoe UI"/>
          <w:b/>
          <w:bCs/>
          <w:szCs w:val="22"/>
          <w:lang w:val="sk-SK"/>
        </w:rPr>
        <w:t xml:space="preserve">Divízia Laundry &amp; Home </w:t>
      </w:r>
      <w:proofErr w:type="spellStart"/>
      <w:r w:rsidRPr="00B96B4F">
        <w:rPr>
          <w:rFonts w:cs="Segoe UI"/>
          <w:b/>
          <w:bCs/>
          <w:szCs w:val="22"/>
          <w:lang w:val="sk-SK"/>
        </w:rPr>
        <w:t>Care</w:t>
      </w:r>
      <w:proofErr w:type="spellEnd"/>
      <w:r w:rsidRPr="00B96B4F">
        <w:rPr>
          <w:rFonts w:cs="Segoe UI"/>
          <w:b/>
          <w:bCs/>
          <w:szCs w:val="22"/>
          <w:lang w:val="sk-SK"/>
        </w:rPr>
        <w:t xml:space="preserve"> </w:t>
      </w:r>
      <w:r w:rsidR="00447616" w:rsidRPr="00B96B4F">
        <w:rPr>
          <w:rFonts w:cs="Segoe UI"/>
          <w:b/>
          <w:bCs/>
          <w:szCs w:val="22"/>
          <w:lang w:val="sk-SK"/>
        </w:rPr>
        <w:t xml:space="preserve">zaznamenala </w:t>
      </w:r>
      <w:r w:rsidRPr="00B96B4F">
        <w:rPr>
          <w:rFonts w:cs="Segoe UI"/>
          <w:b/>
          <w:bCs/>
          <w:szCs w:val="22"/>
          <w:lang w:val="sk-SK"/>
        </w:rPr>
        <w:t>veľmi siln</w:t>
      </w:r>
      <w:r w:rsidR="00447616" w:rsidRPr="00B96B4F">
        <w:rPr>
          <w:rFonts w:cs="Segoe UI"/>
          <w:b/>
          <w:bCs/>
          <w:szCs w:val="22"/>
          <w:lang w:val="sk-SK"/>
        </w:rPr>
        <w:t xml:space="preserve">é výsledky, ktoré boli </w:t>
      </w:r>
      <w:r w:rsidRPr="00B96B4F">
        <w:rPr>
          <w:rFonts w:cs="Segoe UI"/>
          <w:b/>
          <w:bCs/>
          <w:szCs w:val="22"/>
          <w:lang w:val="sk-SK"/>
        </w:rPr>
        <w:t>podporen</w:t>
      </w:r>
      <w:r w:rsidR="00447616" w:rsidRPr="00B96B4F">
        <w:rPr>
          <w:rFonts w:cs="Segoe UI"/>
          <w:b/>
          <w:bCs/>
          <w:szCs w:val="22"/>
          <w:lang w:val="sk-SK"/>
        </w:rPr>
        <w:t>é</w:t>
      </w:r>
      <w:r w:rsidRPr="00B96B4F">
        <w:rPr>
          <w:rFonts w:cs="Segoe UI"/>
          <w:b/>
          <w:bCs/>
          <w:szCs w:val="22"/>
          <w:lang w:val="sk-SK"/>
        </w:rPr>
        <w:t xml:space="preserve"> </w:t>
      </w:r>
      <w:r w:rsidR="00447616" w:rsidRPr="00B96B4F">
        <w:rPr>
          <w:rFonts w:cs="Segoe UI"/>
          <w:b/>
          <w:bCs/>
          <w:szCs w:val="22"/>
          <w:lang w:val="sk-SK"/>
        </w:rPr>
        <w:t xml:space="preserve">aj nárastom </w:t>
      </w:r>
      <w:r w:rsidRPr="00B96B4F">
        <w:rPr>
          <w:rFonts w:cs="Segoe UI"/>
          <w:b/>
          <w:bCs/>
          <w:szCs w:val="22"/>
          <w:lang w:val="sk-SK"/>
        </w:rPr>
        <w:t>dopyt</w:t>
      </w:r>
      <w:r w:rsidR="00447616" w:rsidRPr="00B96B4F">
        <w:rPr>
          <w:rFonts w:cs="Segoe UI"/>
          <w:b/>
          <w:bCs/>
          <w:szCs w:val="22"/>
          <w:lang w:val="sk-SK"/>
        </w:rPr>
        <w:t xml:space="preserve">u </w:t>
      </w:r>
      <w:r w:rsidRPr="00B96B4F">
        <w:rPr>
          <w:rFonts w:cs="Segoe UI"/>
          <w:b/>
          <w:bCs/>
          <w:szCs w:val="22"/>
          <w:lang w:val="sk-SK"/>
        </w:rPr>
        <w:t>po čistiacich prostriedkoch.</w:t>
      </w:r>
    </w:p>
    <w:p w14:paraId="5D3356F5" w14:textId="77777777" w:rsidR="00846017" w:rsidRPr="008A4984" w:rsidRDefault="00846017" w:rsidP="00846017">
      <w:pPr>
        <w:rPr>
          <w:rFonts w:cs="Segoe UI"/>
          <w:b/>
          <w:bCs/>
          <w:i/>
          <w:iCs/>
          <w:szCs w:val="22"/>
          <w:lang w:val="sk-SK"/>
        </w:rPr>
      </w:pPr>
    </w:p>
    <w:p w14:paraId="159BEDB7" w14:textId="77777777" w:rsidR="0064107F" w:rsidRPr="00B96B4F" w:rsidRDefault="00B05EEC" w:rsidP="00B05EEC">
      <w:pPr>
        <w:spacing w:line="280" w:lineRule="auto"/>
        <w:rPr>
          <w:rFonts w:cs="Segoe UI"/>
          <w:b/>
          <w:bCs/>
          <w:szCs w:val="22"/>
          <w:lang w:val="sk-SK"/>
        </w:rPr>
      </w:pPr>
      <w:r w:rsidRPr="008A4984">
        <w:rPr>
          <w:rFonts w:cs="Segoe UI"/>
          <w:b/>
          <w:bCs/>
          <w:i/>
          <w:iCs/>
          <w:szCs w:val="22"/>
          <w:lang w:val="sk-SK"/>
        </w:rPr>
        <w:t>„Vzhľadom na pretrvávajúce neistoty však v súčasnosti ne</w:t>
      </w:r>
      <w:r w:rsidR="00447616" w:rsidRPr="008A4984">
        <w:rPr>
          <w:rFonts w:cs="Segoe UI"/>
          <w:b/>
          <w:bCs/>
          <w:i/>
          <w:iCs/>
          <w:szCs w:val="22"/>
          <w:lang w:val="sk-SK"/>
        </w:rPr>
        <w:t xml:space="preserve">môžeme </w:t>
      </w:r>
      <w:r w:rsidRPr="008A4984">
        <w:rPr>
          <w:rFonts w:cs="Segoe UI"/>
          <w:b/>
          <w:bCs/>
          <w:i/>
          <w:iCs/>
          <w:szCs w:val="22"/>
          <w:lang w:val="sk-SK"/>
        </w:rPr>
        <w:t>poskytnúť nový a spoľahlivý výhľad na celý rok,”</w:t>
      </w:r>
      <w:r w:rsidRPr="00B96B4F">
        <w:rPr>
          <w:rFonts w:cs="Segoe UI"/>
          <w:b/>
          <w:bCs/>
          <w:szCs w:val="22"/>
          <w:lang w:val="sk-SK"/>
        </w:rPr>
        <w:t xml:space="preserve"> povedal Carsten </w:t>
      </w:r>
      <w:proofErr w:type="spellStart"/>
      <w:r w:rsidRPr="00B96B4F">
        <w:rPr>
          <w:rFonts w:cs="Segoe UI"/>
          <w:b/>
          <w:bCs/>
          <w:szCs w:val="22"/>
          <w:lang w:val="sk-SK"/>
        </w:rPr>
        <w:t>Knobel</w:t>
      </w:r>
      <w:proofErr w:type="spellEnd"/>
      <w:r w:rsidRPr="00B96B4F">
        <w:rPr>
          <w:rFonts w:cs="Segoe UI"/>
          <w:b/>
          <w:bCs/>
          <w:szCs w:val="22"/>
          <w:lang w:val="sk-SK"/>
        </w:rPr>
        <w:t>.</w:t>
      </w:r>
      <w:r w:rsidR="0064107F" w:rsidRPr="00B96B4F">
        <w:rPr>
          <w:rFonts w:cs="Segoe UI"/>
          <w:b/>
          <w:bCs/>
          <w:szCs w:val="22"/>
          <w:lang w:val="sk-SK"/>
        </w:rPr>
        <w:t xml:space="preserve"> </w:t>
      </w:r>
    </w:p>
    <w:p w14:paraId="19FB50DC" w14:textId="77777777" w:rsidR="00846017" w:rsidRPr="00B96B4F" w:rsidRDefault="00846017" w:rsidP="00846017">
      <w:pPr>
        <w:rPr>
          <w:rFonts w:cs="Segoe UI"/>
          <w:b/>
          <w:bCs/>
          <w:szCs w:val="22"/>
          <w:lang w:val="sk-SK"/>
        </w:rPr>
      </w:pPr>
    </w:p>
    <w:p w14:paraId="5959D76B" w14:textId="77777777" w:rsidR="00846017" w:rsidRPr="008A4984" w:rsidRDefault="00B05EEC" w:rsidP="00B05EEC">
      <w:pPr>
        <w:spacing w:line="280" w:lineRule="auto"/>
        <w:rPr>
          <w:rFonts w:cs="Segoe UI"/>
          <w:b/>
          <w:bCs/>
          <w:i/>
          <w:iCs/>
          <w:szCs w:val="22"/>
          <w:lang w:val="sk-SK"/>
        </w:rPr>
      </w:pPr>
      <w:r w:rsidRPr="008A4984">
        <w:rPr>
          <w:rFonts w:cs="Segoe UI"/>
          <w:b/>
          <w:bCs/>
          <w:i/>
          <w:iCs/>
          <w:szCs w:val="22"/>
          <w:lang w:val="sk-SK"/>
        </w:rPr>
        <w:t>„</w:t>
      </w:r>
      <w:r w:rsidR="007614A9" w:rsidRPr="008A4984">
        <w:rPr>
          <w:rFonts w:cs="Segoe UI"/>
          <w:b/>
          <w:bCs/>
          <w:i/>
          <w:iCs/>
          <w:szCs w:val="22"/>
          <w:lang w:val="sk-SK"/>
        </w:rPr>
        <w:t xml:space="preserve">Popri </w:t>
      </w:r>
      <w:r w:rsidRPr="008A4984">
        <w:rPr>
          <w:rFonts w:cs="Segoe UI"/>
          <w:b/>
          <w:bCs/>
          <w:i/>
          <w:iCs/>
          <w:szCs w:val="22"/>
          <w:lang w:val="sk-SK"/>
        </w:rPr>
        <w:t xml:space="preserve">zvládaní súčasnej krízy </w:t>
      </w:r>
      <w:r w:rsidR="007614A9" w:rsidRPr="008A4984">
        <w:rPr>
          <w:rFonts w:cs="Segoe UI"/>
          <w:b/>
          <w:bCs/>
          <w:i/>
          <w:iCs/>
          <w:szCs w:val="22"/>
          <w:lang w:val="sk-SK"/>
        </w:rPr>
        <w:t>zostávame plne oddaní n</w:t>
      </w:r>
      <w:r w:rsidR="00FD155E" w:rsidRPr="008A4984">
        <w:rPr>
          <w:rFonts w:cs="Segoe UI"/>
          <w:b/>
          <w:bCs/>
          <w:i/>
          <w:iCs/>
          <w:szCs w:val="22"/>
          <w:lang w:val="sk-SK"/>
        </w:rPr>
        <w:t xml:space="preserve">ašej </w:t>
      </w:r>
      <w:r w:rsidRPr="008A4984">
        <w:rPr>
          <w:rFonts w:cs="Segoe UI"/>
          <w:b/>
          <w:bCs/>
          <w:i/>
          <w:iCs/>
          <w:szCs w:val="22"/>
          <w:lang w:val="sk-SK"/>
        </w:rPr>
        <w:t>ambiciózn</w:t>
      </w:r>
      <w:r w:rsidR="00FD155E" w:rsidRPr="008A4984">
        <w:rPr>
          <w:rFonts w:cs="Segoe UI"/>
          <w:b/>
          <w:bCs/>
          <w:i/>
          <w:iCs/>
          <w:szCs w:val="22"/>
          <w:lang w:val="sk-SK"/>
        </w:rPr>
        <w:t xml:space="preserve">ej agende </w:t>
      </w:r>
      <w:r w:rsidR="007614A9" w:rsidRPr="008A4984">
        <w:rPr>
          <w:rFonts w:cs="Segoe UI"/>
          <w:b/>
          <w:bCs/>
          <w:i/>
          <w:iCs/>
          <w:szCs w:val="22"/>
          <w:lang w:val="sk-SK"/>
        </w:rPr>
        <w:t xml:space="preserve">rastu na nasledujúce </w:t>
      </w:r>
      <w:r w:rsidRPr="008A4984">
        <w:rPr>
          <w:rFonts w:cs="Segoe UI"/>
          <w:b/>
          <w:bCs/>
          <w:i/>
          <w:iCs/>
          <w:szCs w:val="22"/>
          <w:lang w:val="sk-SK"/>
        </w:rPr>
        <w:t>roky.</w:t>
      </w:r>
      <w:r w:rsidR="00846017" w:rsidRPr="008A4984">
        <w:rPr>
          <w:rFonts w:cs="Segoe UI"/>
          <w:b/>
          <w:bCs/>
          <w:i/>
          <w:iCs/>
          <w:szCs w:val="22"/>
          <w:lang w:val="sk-SK"/>
        </w:rPr>
        <w:t xml:space="preserve"> </w:t>
      </w:r>
      <w:r w:rsidRPr="008A4984">
        <w:rPr>
          <w:rFonts w:cs="Segoe UI"/>
          <w:b/>
          <w:bCs/>
          <w:i/>
          <w:iCs/>
          <w:szCs w:val="22"/>
          <w:lang w:val="sk-SK"/>
        </w:rPr>
        <w:t xml:space="preserve">Spustili sme prvé iniciatívy v súlade s naším novým strategickým rámcom a budeme </w:t>
      </w:r>
      <w:r w:rsidR="00870604" w:rsidRPr="008A4984">
        <w:rPr>
          <w:rFonts w:cs="Segoe UI"/>
          <w:b/>
          <w:bCs/>
          <w:i/>
          <w:iCs/>
          <w:szCs w:val="22"/>
          <w:lang w:val="sk-SK"/>
        </w:rPr>
        <w:t>pokračovať v</w:t>
      </w:r>
      <w:r w:rsidR="00FD155E" w:rsidRPr="008A4984">
        <w:rPr>
          <w:rFonts w:cs="Segoe UI"/>
          <w:b/>
          <w:bCs/>
          <w:i/>
          <w:iCs/>
          <w:szCs w:val="22"/>
          <w:lang w:val="sk-SK"/>
        </w:rPr>
        <w:t> </w:t>
      </w:r>
      <w:r w:rsidR="00870604" w:rsidRPr="008A4984">
        <w:rPr>
          <w:rFonts w:cs="Segoe UI"/>
          <w:b/>
          <w:bCs/>
          <w:i/>
          <w:iCs/>
          <w:szCs w:val="22"/>
          <w:lang w:val="sk-SK"/>
        </w:rPr>
        <w:t>aktívn</w:t>
      </w:r>
      <w:r w:rsidR="00FD155E" w:rsidRPr="008A4984">
        <w:rPr>
          <w:rFonts w:cs="Segoe UI"/>
          <w:b/>
          <w:bCs/>
          <w:i/>
          <w:iCs/>
          <w:szCs w:val="22"/>
          <w:lang w:val="sk-SK"/>
        </w:rPr>
        <w:t xml:space="preserve">om presadzovaní implementácie </w:t>
      </w:r>
      <w:r w:rsidRPr="008A4984">
        <w:rPr>
          <w:rFonts w:cs="Segoe UI"/>
          <w:b/>
          <w:bCs/>
          <w:i/>
          <w:iCs/>
          <w:szCs w:val="22"/>
          <w:lang w:val="sk-SK"/>
        </w:rPr>
        <w:t>n</w:t>
      </w:r>
      <w:r w:rsidR="00870604" w:rsidRPr="008A4984">
        <w:rPr>
          <w:rFonts w:cs="Segoe UI"/>
          <w:b/>
          <w:bCs/>
          <w:i/>
          <w:iCs/>
          <w:szCs w:val="22"/>
          <w:lang w:val="sk-SK"/>
        </w:rPr>
        <w:t xml:space="preserve">ašej agendy </w:t>
      </w:r>
      <w:r w:rsidR="007614A9" w:rsidRPr="008A4984">
        <w:rPr>
          <w:rFonts w:cs="Segoe UI"/>
          <w:b/>
          <w:bCs/>
          <w:i/>
          <w:iCs/>
          <w:szCs w:val="22"/>
          <w:lang w:val="sk-SK"/>
        </w:rPr>
        <w:t xml:space="preserve">účelného </w:t>
      </w:r>
      <w:r w:rsidRPr="008A4984">
        <w:rPr>
          <w:rFonts w:cs="Segoe UI"/>
          <w:b/>
          <w:bCs/>
          <w:i/>
          <w:iCs/>
          <w:szCs w:val="22"/>
          <w:lang w:val="sk-SK"/>
        </w:rPr>
        <w:t>rastu.“</w:t>
      </w:r>
    </w:p>
    <w:p w14:paraId="66AA195B" w14:textId="77777777" w:rsidR="00846017" w:rsidRPr="00B96B4F" w:rsidRDefault="00846017" w:rsidP="00846017">
      <w:pPr>
        <w:rPr>
          <w:rFonts w:asciiTheme="majorHAnsi" w:hAnsiTheme="majorHAnsi" w:cstheme="majorHAnsi"/>
          <w:b/>
          <w:bCs/>
          <w:szCs w:val="22"/>
          <w:lang w:val="sk-SK"/>
        </w:rPr>
      </w:pPr>
    </w:p>
    <w:p w14:paraId="269BB112" w14:textId="77777777" w:rsidR="00846017" w:rsidRPr="00B96B4F" w:rsidRDefault="00B05EEC" w:rsidP="00B05EEC">
      <w:pPr>
        <w:spacing w:after="120" w:line="280" w:lineRule="auto"/>
        <w:rPr>
          <w:rFonts w:cs="Segoe UI"/>
          <w:b/>
          <w:bCs/>
          <w:szCs w:val="22"/>
          <w:lang w:val="sk-SK" w:eastAsia="de-DE"/>
        </w:rPr>
      </w:pPr>
      <w:r w:rsidRPr="00B96B4F">
        <w:rPr>
          <w:rFonts w:cs="Segoe UI"/>
          <w:b/>
          <w:bCs/>
          <w:szCs w:val="22"/>
          <w:lang w:val="sk-SK"/>
        </w:rPr>
        <w:t>Obrat a zisk skupiny v prvej polovici roka 2020</w:t>
      </w:r>
    </w:p>
    <w:p w14:paraId="3DE4C06D" w14:textId="77777777" w:rsidR="00846017" w:rsidRPr="00B96B4F" w:rsidRDefault="00B2756F" w:rsidP="00B2756F">
      <w:pPr>
        <w:spacing w:line="280" w:lineRule="auto"/>
        <w:rPr>
          <w:rFonts w:cs="Segoe UI"/>
          <w:szCs w:val="22"/>
          <w:lang w:val="sk-SK"/>
        </w:rPr>
      </w:pPr>
      <w:r w:rsidRPr="00B96B4F">
        <w:rPr>
          <w:rFonts w:cs="Segoe UI"/>
          <w:b/>
          <w:szCs w:val="22"/>
          <w:lang w:val="sk-SK"/>
        </w:rPr>
        <w:t xml:space="preserve">Obrat </w:t>
      </w:r>
      <w:r w:rsidRPr="00B96B4F">
        <w:rPr>
          <w:rFonts w:cs="Segoe UI"/>
          <w:szCs w:val="22"/>
          <w:lang w:val="sk-SK"/>
        </w:rPr>
        <w:t>skupiny Henkel Group</w:t>
      </w:r>
      <w:r w:rsidRPr="00B96B4F">
        <w:rPr>
          <w:rFonts w:cs="Segoe UI"/>
          <w:b/>
          <w:szCs w:val="22"/>
          <w:lang w:val="sk-SK"/>
        </w:rPr>
        <w:t xml:space="preserve"> </w:t>
      </w:r>
      <w:r w:rsidRPr="00B96B4F">
        <w:rPr>
          <w:rFonts w:cs="Segoe UI"/>
          <w:szCs w:val="22"/>
          <w:lang w:val="sk-SK"/>
        </w:rPr>
        <w:t>na úrovni 9 485 mil. eur v prvej polovici</w:t>
      </w:r>
      <w:r w:rsidR="00D36D36" w:rsidRPr="00B96B4F">
        <w:rPr>
          <w:rFonts w:cs="Segoe UI"/>
          <w:szCs w:val="22"/>
          <w:lang w:val="sk-SK"/>
        </w:rPr>
        <w:t xml:space="preserve"> roka</w:t>
      </w:r>
      <w:r w:rsidRPr="00B96B4F">
        <w:rPr>
          <w:rFonts w:cs="Segoe UI"/>
          <w:szCs w:val="22"/>
          <w:lang w:val="sk-SK"/>
        </w:rPr>
        <w:t xml:space="preserve"> 2020 bol o 6,0</w:t>
      </w:r>
      <w:r w:rsidR="007A6409" w:rsidRPr="00B96B4F">
        <w:rPr>
          <w:rFonts w:cs="Segoe UI"/>
          <w:szCs w:val="22"/>
          <w:lang w:val="sk-SK"/>
        </w:rPr>
        <w:t> </w:t>
      </w:r>
      <w:r w:rsidRPr="00B96B4F">
        <w:rPr>
          <w:rFonts w:cs="Segoe UI"/>
          <w:szCs w:val="22"/>
          <w:lang w:val="sk-SK"/>
        </w:rPr>
        <w:t xml:space="preserve">% </w:t>
      </w:r>
      <w:r w:rsidR="00D36D36" w:rsidRPr="00B96B4F">
        <w:rPr>
          <w:rFonts w:cs="Segoe UI"/>
          <w:szCs w:val="22"/>
          <w:lang w:val="sk-SK"/>
        </w:rPr>
        <w:t>nižší v porovnaní s </w:t>
      </w:r>
      <w:r w:rsidRPr="00B96B4F">
        <w:rPr>
          <w:rFonts w:cs="Segoe UI"/>
          <w:szCs w:val="22"/>
          <w:lang w:val="sk-SK"/>
        </w:rPr>
        <w:t>rovnak</w:t>
      </w:r>
      <w:r w:rsidR="00D36D36" w:rsidRPr="00B96B4F">
        <w:rPr>
          <w:rFonts w:cs="Segoe UI"/>
          <w:szCs w:val="22"/>
          <w:lang w:val="sk-SK"/>
        </w:rPr>
        <w:t xml:space="preserve">ým </w:t>
      </w:r>
      <w:r w:rsidRPr="00B96B4F">
        <w:rPr>
          <w:rFonts w:cs="Segoe UI"/>
          <w:szCs w:val="22"/>
          <w:lang w:val="sk-SK"/>
        </w:rPr>
        <w:t>období</w:t>
      </w:r>
      <w:r w:rsidR="00D36D36" w:rsidRPr="00B96B4F">
        <w:rPr>
          <w:rFonts w:cs="Segoe UI"/>
          <w:szCs w:val="22"/>
          <w:lang w:val="sk-SK"/>
        </w:rPr>
        <w:t>m</w:t>
      </w:r>
      <w:r w:rsidRPr="00B96B4F">
        <w:rPr>
          <w:rFonts w:cs="Segoe UI"/>
          <w:szCs w:val="22"/>
          <w:lang w:val="sk-SK"/>
        </w:rPr>
        <w:t xml:space="preserve"> predchádzajúceho roka (2</w:t>
      </w:r>
      <w:r w:rsidR="00FD155E" w:rsidRPr="00B96B4F">
        <w:rPr>
          <w:rFonts w:cs="Segoe UI"/>
          <w:szCs w:val="22"/>
          <w:lang w:val="sk-SK"/>
        </w:rPr>
        <w:t>. štvrťrok</w:t>
      </w:r>
      <w:r w:rsidRPr="00B96B4F">
        <w:rPr>
          <w:rFonts w:cs="Segoe UI"/>
          <w:szCs w:val="22"/>
          <w:lang w:val="sk-SK"/>
        </w:rPr>
        <w:t>:</w:t>
      </w:r>
      <w:r w:rsidR="00F95A8D" w:rsidRPr="00B96B4F">
        <w:rPr>
          <w:rFonts w:cs="Segoe UI"/>
          <w:szCs w:val="22"/>
          <w:lang w:val="sk-SK"/>
        </w:rPr>
        <w:t> </w:t>
      </w:r>
      <w:r w:rsidRPr="00B96B4F">
        <w:rPr>
          <w:rFonts w:cs="Segoe UI"/>
          <w:szCs w:val="22"/>
          <w:lang w:val="sk-SK"/>
        </w:rPr>
        <w:t>4</w:t>
      </w:r>
      <w:r w:rsidR="00F95A8D" w:rsidRPr="00B96B4F">
        <w:rPr>
          <w:rFonts w:cs="Segoe UI"/>
          <w:szCs w:val="22"/>
          <w:lang w:val="sk-SK"/>
        </w:rPr>
        <w:t> </w:t>
      </w:r>
      <w:r w:rsidRPr="00B96B4F">
        <w:rPr>
          <w:rFonts w:cs="Segoe UI"/>
          <w:szCs w:val="22"/>
          <w:lang w:val="sk-SK"/>
        </w:rPr>
        <w:t>558</w:t>
      </w:r>
      <w:r w:rsidR="00F95A8D" w:rsidRPr="00B96B4F">
        <w:rPr>
          <w:rFonts w:cs="Segoe UI"/>
          <w:szCs w:val="22"/>
          <w:lang w:val="sk-SK"/>
        </w:rPr>
        <w:t> </w:t>
      </w:r>
      <w:r w:rsidRPr="00B96B4F">
        <w:rPr>
          <w:rFonts w:cs="Segoe UI"/>
          <w:szCs w:val="22"/>
          <w:lang w:val="sk-SK"/>
        </w:rPr>
        <w:t>mil.</w:t>
      </w:r>
      <w:r w:rsidR="00F95A8D" w:rsidRPr="00B96B4F">
        <w:rPr>
          <w:rFonts w:cs="Segoe UI"/>
          <w:szCs w:val="22"/>
          <w:lang w:val="sk-SK"/>
        </w:rPr>
        <w:t> </w:t>
      </w:r>
      <w:r w:rsidRPr="00B96B4F">
        <w:rPr>
          <w:rFonts w:cs="Segoe UI"/>
          <w:szCs w:val="22"/>
          <w:lang w:val="sk-SK"/>
        </w:rPr>
        <w:t>eur</w:t>
      </w:r>
      <w:r w:rsidR="00F95A8D" w:rsidRPr="00B96B4F">
        <w:rPr>
          <w:rFonts w:cs="Segoe UI"/>
          <w:szCs w:val="22"/>
          <w:lang w:val="sk-SK"/>
        </w:rPr>
        <w:t xml:space="preserve"> pri poklese -</w:t>
      </w:r>
      <w:r w:rsidRPr="00B96B4F">
        <w:rPr>
          <w:rFonts w:cs="Segoe UI"/>
          <w:szCs w:val="22"/>
          <w:lang w:val="sk-SK"/>
        </w:rPr>
        <w:t>11,0</w:t>
      </w:r>
      <w:r w:rsidR="0064285D" w:rsidRPr="00B96B4F">
        <w:rPr>
          <w:rFonts w:cs="Segoe UI"/>
          <w:szCs w:val="22"/>
          <w:lang w:val="sk-SK"/>
        </w:rPr>
        <w:t> </w:t>
      </w:r>
      <w:r w:rsidRPr="00B96B4F">
        <w:rPr>
          <w:rFonts w:cs="Segoe UI"/>
          <w:szCs w:val="22"/>
          <w:lang w:val="sk-SK"/>
        </w:rPr>
        <w:t>%).</w:t>
      </w:r>
      <w:r w:rsidR="00846017" w:rsidRPr="00B96B4F">
        <w:rPr>
          <w:rFonts w:cs="Segoe UI"/>
          <w:szCs w:val="22"/>
          <w:lang w:val="sk-SK"/>
        </w:rPr>
        <w:t xml:space="preserve"> </w:t>
      </w:r>
      <w:r w:rsidRPr="00B96B4F">
        <w:rPr>
          <w:rFonts w:cs="Segoe UI"/>
          <w:b/>
          <w:bCs/>
          <w:szCs w:val="22"/>
          <w:lang w:val="sk-SK"/>
        </w:rPr>
        <w:t xml:space="preserve">Organický </w:t>
      </w:r>
      <w:r w:rsidRPr="00B96B4F">
        <w:rPr>
          <w:rFonts w:cs="Segoe UI"/>
          <w:bCs/>
          <w:szCs w:val="22"/>
          <w:lang w:val="sk-SK"/>
        </w:rPr>
        <w:t xml:space="preserve">obrat, do ktorého sa nezapočítavajú kurzové vplyvy a vplyvy akvizícií a odpredaja, zaznamenal negatívny vývoj </w:t>
      </w:r>
      <w:r w:rsidR="000F39B4" w:rsidRPr="00B96B4F">
        <w:rPr>
          <w:rFonts w:cs="Segoe UI"/>
          <w:bCs/>
          <w:szCs w:val="22"/>
          <w:lang w:val="sk-SK"/>
        </w:rPr>
        <w:t xml:space="preserve">na úrovni </w:t>
      </w:r>
      <w:r w:rsidRPr="00B96B4F">
        <w:rPr>
          <w:rFonts w:cs="Segoe UI"/>
          <w:bCs/>
          <w:szCs w:val="22"/>
          <w:lang w:val="sk-SK"/>
        </w:rPr>
        <w:t>-5,2</w:t>
      </w:r>
      <w:r w:rsidR="000F39B4" w:rsidRPr="00B96B4F">
        <w:rPr>
          <w:rFonts w:cs="Segoe UI"/>
          <w:bCs/>
          <w:szCs w:val="22"/>
          <w:lang w:val="sk-SK"/>
        </w:rPr>
        <w:t> </w:t>
      </w:r>
      <w:r w:rsidRPr="00B96B4F">
        <w:rPr>
          <w:rFonts w:cs="Segoe UI"/>
          <w:bCs/>
          <w:szCs w:val="22"/>
          <w:lang w:val="sk-SK"/>
        </w:rPr>
        <w:t xml:space="preserve">% </w:t>
      </w:r>
      <w:r w:rsidR="00FD155E" w:rsidRPr="00B96B4F">
        <w:rPr>
          <w:rFonts w:cs="Segoe UI"/>
          <w:bCs/>
          <w:szCs w:val="22"/>
          <w:lang w:val="sk-SK"/>
        </w:rPr>
        <w:t>(2. štvrťrok:</w:t>
      </w:r>
      <w:r w:rsidRPr="00B96B4F">
        <w:rPr>
          <w:rFonts w:cs="Segoe UI"/>
          <w:bCs/>
          <w:szCs w:val="22"/>
          <w:lang w:val="sk-SK"/>
        </w:rPr>
        <w:t xml:space="preserve"> </w:t>
      </w:r>
      <w:r w:rsidR="000F39B4" w:rsidRPr="00B96B4F">
        <w:rPr>
          <w:rFonts w:cs="Segoe UI"/>
          <w:bCs/>
          <w:szCs w:val="22"/>
          <w:lang w:val="sk-SK"/>
        </w:rPr>
        <w:t>-</w:t>
      </w:r>
      <w:r w:rsidRPr="00B96B4F">
        <w:rPr>
          <w:rFonts w:cs="Segoe UI"/>
          <w:bCs/>
          <w:szCs w:val="22"/>
          <w:lang w:val="sk-SK"/>
        </w:rPr>
        <w:t>9</w:t>
      </w:r>
      <w:r w:rsidR="00F95A8D" w:rsidRPr="00B96B4F">
        <w:rPr>
          <w:rFonts w:cs="Segoe UI"/>
          <w:bCs/>
          <w:szCs w:val="22"/>
          <w:lang w:val="sk-SK"/>
        </w:rPr>
        <w:t>,4 </w:t>
      </w:r>
      <w:r w:rsidRPr="00B96B4F">
        <w:rPr>
          <w:rFonts w:cs="Segoe UI"/>
          <w:bCs/>
          <w:szCs w:val="22"/>
          <w:lang w:val="sk-SK"/>
        </w:rPr>
        <w:t>%)</w:t>
      </w:r>
      <w:r w:rsidR="00FD155E" w:rsidRPr="00B96B4F">
        <w:rPr>
          <w:rFonts w:cs="Segoe UI"/>
          <w:bCs/>
          <w:szCs w:val="22"/>
          <w:lang w:val="sk-SK"/>
        </w:rPr>
        <w:t>.</w:t>
      </w:r>
      <w:r w:rsidR="00846017" w:rsidRPr="00B96B4F">
        <w:rPr>
          <w:rFonts w:cs="Segoe UI"/>
          <w:szCs w:val="22"/>
          <w:lang w:val="sk-SK"/>
        </w:rPr>
        <w:t xml:space="preserve"> </w:t>
      </w:r>
      <w:r w:rsidRPr="00B96B4F">
        <w:rPr>
          <w:rFonts w:cs="Segoe UI"/>
          <w:szCs w:val="22"/>
          <w:lang w:val="sk-SK"/>
        </w:rPr>
        <w:t>Príspevok akvizícií a odpredajov predstavoval 0,3</w:t>
      </w:r>
      <w:r w:rsidR="000F39B4" w:rsidRPr="00B96B4F">
        <w:rPr>
          <w:rFonts w:cs="Segoe UI"/>
          <w:szCs w:val="22"/>
          <w:lang w:val="sk-SK"/>
        </w:rPr>
        <w:t> </w:t>
      </w:r>
      <w:r w:rsidRPr="00B96B4F">
        <w:rPr>
          <w:rFonts w:cs="Segoe UI"/>
          <w:szCs w:val="22"/>
          <w:lang w:val="sk-SK"/>
        </w:rPr>
        <w:t xml:space="preserve">% </w:t>
      </w:r>
      <w:r w:rsidR="00FD155E" w:rsidRPr="00B96B4F">
        <w:rPr>
          <w:rFonts w:cs="Segoe UI"/>
          <w:szCs w:val="22"/>
          <w:lang w:val="sk-SK"/>
        </w:rPr>
        <w:t>(2. štvrťrok:</w:t>
      </w:r>
      <w:r w:rsidRPr="00B96B4F">
        <w:rPr>
          <w:rFonts w:cs="Segoe UI"/>
          <w:szCs w:val="22"/>
          <w:lang w:val="sk-SK"/>
        </w:rPr>
        <w:t xml:space="preserve"> 0,2 %).</w:t>
      </w:r>
      <w:r w:rsidR="00846017" w:rsidRPr="00B96B4F">
        <w:rPr>
          <w:rFonts w:cs="Segoe UI"/>
          <w:szCs w:val="22"/>
          <w:lang w:val="sk-SK"/>
        </w:rPr>
        <w:t xml:space="preserve"> </w:t>
      </w:r>
      <w:r w:rsidRPr="00B96B4F">
        <w:rPr>
          <w:rFonts w:cs="Segoe UI"/>
          <w:szCs w:val="22"/>
          <w:lang w:val="sk-SK"/>
        </w:rPr>
        <w:t xml:space="preserve">Kurzový vývoj mal na obrat negatívny vplyv vo výške </w:t>
      </w:r>
      <w:r w:rsidR="000F39B4" w:rsidRPr="00B96B4F">
        <w:rPr>
          <w:rFonts w:cs="Segoe UI"/>
          <w:szCs w:val="22"/>
          <w:lang w:val="sk-SK"/>
        </w:rPr>
        <w:t>-</w:t>
      </w:r>
      <w:r w:rsidRPr="00B96B4F">
        <w:rPr>
          <w:rFonts w:cs="Segoe UI"/>
          <w:szCs w:val="22"/>
          <w:lang w:val="sk-SK"/>
        </w:rPr>
        <w:t>1,1</w:t>
      </w:r>
      <w:r w:rsidR="000F39B4" w:rsidRPr="00B96B4F">
        <w:rPr>
          <w:rFonts w:cs="Segoe UI"/>
          <w:szCs w:val="22"/>
          <w:lang w:val="sk-SK"/>
        </w:rPr>
        <w:t> </w:t>
      </w:r>
      <w:r w:rsidRPr="00B96B4F">
        <w:rPr>
          <w:rFonts w:cs="Segoe UI"/>
          <w:szCs w:val="22"/>
          <w:lang w:val="sk-SK"/>
        </w:rPr>
        <w:t xml:space="preserve">% </w:t>
      </w:r>
      <w:r w:rsidR="00FD155E" w:rsidRPr="00B96B4F">
        <w:rPr>
          <w:rFonts w:cs="Segoe UI"/>
          <w:szCs w:val="22"/>
          <w:lang w:val="sk-SK"/>
        </w:rPr>
        <w:t>(2. štvrťrok:</w:t>
      </w:r>
      <w:r w:rsidRPr="00B96B4F">
        <w:rPr>
          <w:rFonts w:cs="Segoe UI"/>
          <w:szCs w:val="22"/>
          <w:lang w:val="sk-SK"/>
        </w:rPr>
        <w:t xml:space="preserve"> -1,9 %).</w:t>
      </w:r>
    </w:p>
    <w:p w14:paraId="0BB6FAFB" w14:textId="77777777" w:rsidR="00846017" w:rsidRPr="00B96B4F" w:rsidRDefault="00846017" w:rsidP="00846017">
      <w:pPr>
        <w:rPr>
          <w:rFonts w:cs="Segoe UI"/>
          <w:b/>
          <w:bCs/>
          <w:szCs w:val="22"/>
          <w:lang w:val="sk-SK"/>
        </w:rPr>
      </w:pPr>
    </w:p>
    <w:p w14:paraId="05C71972" w14:textId="77777777" w:rsidR="00846017" w:rsidRPr="00B96B4F" w:rsidRDefault="000F39B4" w:rsidP="00B2756F">
      <w:pPr>
        <w:spacing w:line="280" w:lineRule="auto"/>
        <w:rPr>
          <w:rFonts w:cs="Segoe UI"/>
          <w:szCs w:val="22"/>
          <w:lang w:val="sk-SK"/>
        </w:rPr>
      </w:pPr>
      <w:r w:rsidRPr="00B96B4F">
        <w:rPr>
          <w:rFonts w:cs="Segoe UI"/>
          <w:bCs/>
          <w:szCs w:val="22"/>
          <w:lang w:val="sk-SK"/>
        </w:rPr>
        <w:t>Vývoj organického obratu na</w:t>
      </w:r>
      <w:r w:rsidRPr="00B96B4F">
        <w:rPr>
          <w:rFonts w:cs="Segoe UI"/>
          <w:b/>
          <w:bCs/>
          <w:szCs w:val="22"/>
          <w:lang w:val="sk-SK"/>
        </w:rPr>
        <w:t xml:space="preserve"> r</w:t>
      </w:r>
      <w:r w:rsidR="00B2756F" w:rsidRPr="00B96B4F">
        <w:rPr>
          <w:rFonts w:cs="Segoe UI"/>
          <w:b/>
          <w:bCs/>
          <w:szCs w:val="22"/>
          <w:lang w:val="sk-SK"/>
        </w:rPr>
        <w:t>ozvíjajúc</w:t>
      </w:r>
      <w:r w:rsidRPr="00B96B4F">
        <w:rPr>
          <w:rFonts w:cs="Segoe UI"/>
          <w:b/>
          <w:bCs/>
          <w:szCs w:val="22"/>
          <w:lang w:val="sk-SK"/>
        </w:rPr>
        <w:t>ich</w:t>
      </w:r>
      <w:r w:rsidR="00B2756F" w:rsidRPr="00B96B4F">
        <w:rPr>
          <w:rFonts w:cs="Segoe UI"/>
          <w:b/>
          <w:bCs/>
          <w:szCs w:val="22"/>
          <w:lang w:val="sk-SK"/>
        </w:rPr>
        <w:t xml:space="preserve"> sa trh</w:t>
      </w:r>
      <w:r w:rsidRPr="00B96B4F">
        <w:rPr>
          <w:rFonts w:cs="Segoe UI"/>
          <w:b/>
          <w:bCs/>
          <w:szCs w:val="22"/>
          <w:lang w:val="sk-SK"/>
        </w:rPr>
        <w:t>och</w:t>
      </w:r>
      <w:r w:rsidR="00B2756F" w:rsidRPr="00B96B4F">
        <w:rPr>
          <w:rFonts w:cs="Segoe UI"/>
          <w:b/>
          <w:bCs/>
          <w:szCs w:val="22"/>
          <w:lang w:val="sk-SK"/>
        </w:rPr>
        <w:t xml:space="preserve"> </w:t>
      </w:r>
      <w:r w:rsidR="00F95A8D" w:rsidRPr="00B96B4F">
        <w:rPr>
          <w:rFonts w:cs="Segoe UI"/>
          <w:bCs/>
          <w:szCs w:val="22"/>
          <w:lang w:val="sk-SK"/>
        </w:rPr>
        <w:t xml:space="preserve">predstavoval </w:t>
      </w:r>
      <w:r w:rsidR="00B2756F" w:rsidRPr="00B96B4F">
        <w:rPr>
          <w:rFonts w:cs="Segoe UI"/>
          <w:szCs w:val="22"/>
          <w:lang w:val="sk-SK"/>
        </w:rPr>
        <w:t xml:space="preserve">-2,6 % </w:t>
      </w:r>
      <w:r w:rsidR="00FD155E" w:rsidRPr="00B96B4F">
        <w:rPr>
          <w:rFonts w:cs="Segoe UI"/>
          <w:szCs w:val="22"/>
          <w:lang w:val="sk-SK"/>
        </w:rPr>
        <w:t>(2. štvrťrok:</w:t>
      </w:r>
      <w:r w:rsidR="00B2756F" w:rsidRPr="00B96B4F">
        <w:rPr>
          <w:rFonts w:cs="Segoe UI"/>
          <w:szCs w:val="22"/>
          <w:lang w:val="sk-SK"/>
        </w:rPr>
        <w:t xml:space="preserve"> </w:t>
      </w:r>
      <w:r w:rsidRPr="00B96B4F">
        <w:rPr>
          <w:rFonts w:cs="Segoe UI"/>
          <w:szCs w:val="22"/>
          <w:lang w:val="sk-SK"/>
        </w:rPr>
        <w:t>-</w:t>
      </w:r>
      <w:r w:rsidR="00B2756F" w:rsidRPr="00B96B4F">
        <w:rPr>
          <w:rFonts w:cs="Segoe UI"/>
          <w:szCs w:val="22"/>
          <w:lang w:val="sk-SK"/>
        </w:rPr>
        <w:t>7,1</w:t>
      </w:r>
      <w:r w:rsidR="00FD155E" w:rsidRPr="00B96B4F">
        <w:rPr>
          <w:rFonts w:cs="Segoe UI"/>
          <w:szCs w:val="22"/>
          <w:lang w:val="sk-SK"/>
        </w:rPr>
        <w:t> </w:t>
      </w:r>
      <w:r w:rsidR="00B2756F" w:rsidRPr="00B96B4F">
        <w:rPr>
          <w:rFonts w:cs="Segoe UI"/>
          <w:szCs w:val="22"/>
          <w:lang w:val="sk-SK"/>
        </w:rPr>
        <w:t>%)</w:t>
      </w:r>
      <w:r w:rsidR="00FD155E" w:rsidRPr="00B96B4F">
        <w:rPr>
          <w:rFonts w:cs="Segoe UI"/>
          <w:szCs w:val="22"/>
          <w:lang w:val="sk-SK"/>
        </w:rPr>
        <w:t>.</w:t>
      </w:r>
      <w:r w:rsidR="00846017" w:rsidRPr="00B96B4F">
        <w:rPr>
          <w:rFonts w:cs="Segoe UI"/>
          <w:szCs w:val="22"/>
          <w:lang w:val="sk-SK"/>
        </w:rPr>
        <w:t xml:space="preserve"> </w:t>
      </w:r>
      <w:r w:rsidR="00B2756F" w:rsidRPr="00B96B4F">
        <w:rPr>
          <w:rFonts w:cs="Segoe UI"/>
          <w:b/>
          <w:bCs/>
          <w:szCs w:val="22"/>
          <w:lang w:val="sk-SK"/>
        </w:rPr>
        <w:t xml:space="preserve">Vyspelé trhy </w:t>
      </w:r>
      <w:r w:rsidR="00B2756F" w:rsidRPr="00B96B4F">
        <w:rPr>
          <w:rFonts w:cs="Segoe UI"/>
          <w:bCs/>
          <w:szCs w:val="22"/>
          <w:lang w:val="sk-SK"/>
        </w:rPr>
        <w:t xml:space="preserve">vykázali negatívny vývoj organického obratu </w:t>
      </w:r>
      <w:r w:rsidR="00C10DB5" w:rsidRPr="00B96B4F">
        <w:rPr>
          <w:rFonts w:cs="Segoe UI"/>
          <w:bCs/>
          <w:szCs w:val="22"/>
          <w:lang w:val="sk-SK"/>
        </w:rPr>
        <w:t xml:space="preserve">vo výške </w:t>
      </w:r>
      <w:r w:rsidRPr="00B96B4F">
        <w:rPr>
          <w:rFonts w:cs="Segoe UI"/>
          <w:bCs/>
          <w:szCs w:val="22"/>
          <w:lang w:val="sk-SK"/>
        </w:rPr>
        <w:t>-</w:t>
      </w:r>
      <w:r w:rsidR="00B2756F" w:rsidRPr="00B96B4F">
        <w:rPr>
          <w:rFonts w:cs="Segoe UI"/>
          <w:bCs/>
          <w:szCs w:val="22"/>
          <w:lang w:val="sk-SK"/>
        </w:rPr>
        <w:t>6,9</w:t>
      </w:r>
      <w:r w:rsidRPr="00B96B4F">
        <w:rPr>
          <w:rFonts w:cs="Segoe UI"/>
          <w:bCs/>
          <w:szCs w:val="22"/>
          <w:lang w:val="sk-SK"/>
        </w:rPr>
        <w:t> </w:t>
      </w:r>
      <w:r w:rsidR="00B2756F" w:rsidRPr="00B96B4F">
        <w:rPr>
          <w:rFonts w:cs="Segoe UI"/>
          <w:bCs/>
          <w:szCs w:val="22"/>
          <w:lang w:val="sk-SK"/>
        </w:rPr>
        <w:t xml:space="preserve">% </w:t>
      </w:r>
      <w:r w:rsidR="00FD155E" w:rsidRPr="00B96B4F">
        <w:rPr>
          <w:rFonts w:cs="Segoe UI"/>
          <w:szCs w:val="22"/>
          <w:lang w:val="sk-SK"/>
        </w:rPr>
        <w:t>(2. štvrťrok:</w:t>
      </w:r>
      <w:r w:rsidR="00F95A8D" w:rsidRPr="00B96B4F">
        <w:rPr>
          <w:rFonts w:cs="Segoe UI"/>
          <w:szCs w:val="22"/>
          <w:lang w:val="sk-SK"/>
        </w:rPr>
        <w:t> </w:t>
      </w:r>
      <w:r w:rsidR="00C10DB5" w:rsidRPr="00B96B4F">
        <w:rPr>
          <w:rFonts w:cs="Segoe UI"/>
          <w:szCs w:val="22"/>
          <w:lang w:val="sk-SK"/>
        </w:rPr>
        <w:t xml:space="preserve">pokles na úrovni </w:t>
      </w:r>
      <w:r w:rsidR="00F95A8D" w:rsidRPr="00B96B4F">
        <w:rPr>
          <w:rFonts w:cs="Segoe UI"/>
          <w:szCs w:val="22"/>
          <w:lang w:val="sk-SK"/>
        </w:rPr>
        <w:t>-</w:t>
      </w:r>
      <w:r w:rsidR="00B2756F" w:rsidRPr="00B96B4F">
        <w:rPr>
          <w:rFonts w:cs="Segoe UI"/>
          <w:szCs w:val="22"/>
          <w:lang w:val="sk-SK"/>
        </w:rPr>
        <w:t>10,9 %)</w:t>
      </w:r>
      <w:r w:rsidR="00B2756F" w:rsidRPr="00B96B4F">
        <w:rPr>
          <w:rFonts w:cs="Segoe UI"/>
          <w:bCs/>
          <w:szCs w:val="22"/>
          <w:lang w:val="sk-SK"/>
        </w:rPr>
        <w:t>.</w:t>
      </w:r>
    </w:p>
    <w:p w14:paraId="4227EEF9" w14:textId="77777777" w:rsidR="00846017" w:rsidRPr="00B96B4F" w:rsidRDefault="00846017" w:rsidP="00846017">
      <w:pPr>
        <w:rPr>
          <w:rFonts w:cs="Segoe UI"/>
          <w:szCs w:val="22"/>
          <w:lang w:val="sk-SK"/>
        </w:rPr>
      </w:pPr>
    </w:p>
    <w:p w14:paraId="1107A804" w14:textId="77777777" w:rsidR="00846017" w:rsidRPr="00B96B4F" w:rsidRDefault="00DA2626" w:rsidP="00493A29">
      <w:pPr>
        <w:spacing w:line="280" w:lineRule="auto"/>
        <w:rPr>
          <w:rFonts w:cs="Segoe UI"/>
          <w:szCs w:val="22"/>
          <w:lang w:val="sk-SK"/>
        </w:rPr>
      </w:pPr>
      <w:r w:rsidRPr="00B96B4F">
        <w:rPr>
          <w:rFonts w:cs="Segoe UI"/>
          <w:szCs w:val="22"/>
          <w:lang w:val="sk-SK"/>
        </w:rPr>
        <w:t xml:space="preserve">V západnej Európe sa organický obrat </w:t>
      </w:r>
      <w:r w:rsidR="00E6155E" w:rsidRPr="00B96B4F">
        <w:rPr>
          <w:rFonts w:cs="Segoe UI"/>
          <w:szCs w:val="22"/>
          <w:lang w:val="sk-SK"/>
        </w:rPr>
        <w:t xml:space="preserve">za prvý polrok </w:t>
      </w:r>
      <w:r w:rsidRPr="00B96B4F">
        <w:rPr>
          <w:rFonts w:cs="Segoe UI"/>
          <w:szCs w:val="22"/>
          <w:lang w:val="sk-SK"/>
        </w:rPr>
        <w:t>vyvíjal negatívne, pričom klesol o 8,0</w:t>
      </w:r>
      <w:r w:rsidR="000F39B4" w:rsidRPr="00B96B4F">
        <w:rPr>
          <w:rFonts w:cs="Segoe UI"/>
          <w:szCs w:val="22"/>
          <w:lang w:val="sk-SK"/>
        </w:rPr>
        <w:t> </w:t>
      </w:r>
      <w:r w:rsidRPr="00B96B4F">
        <w:rPr>
          <w:rFonts w:cs="Segoe UI"/>
          <w:szCs w:val="22"/>
          <w:lang w:val="sk-SK"/>
        </w:rPr>
        <w:t xml:space="preserve">% </w:t>
      </w:r>
      <w:r w:rsidR="00FD155E" w:rsidRPr="00B96B4F">
        <w:rPr>
          <w:rFonts w:cs="Segoe UI"/>
          <w:szCs w:val="22"/>
          <w:lang w:val="sk-SK"/>
        </w:rPr>
        <w:t>(2. štvrťrok:</w:t>
      </w:r>
      <w:r w:rsidRPr="00B96B4F">
        <w:rPr>
          <w:rFonts w:cs="Segoe UI"/>
          <w:szCs w:val="22"/>
          <w:lang w:val="sk-SK"/>
        </w:rPr>
        <w:t xml:space="preserve"> </w:t>
      </w:r>
      <w:r w:rsidR="000F39B4" w:rsidRPr="00B96B4F">
        <w:rPr>
          <w:rFonts w:cs="Segoe UI"/>
          <w:szCs w:val="22"/>
          <w:lang w:val="sk-SK"/>
        </w:rPr>
        <w:t>-</w:t>
      </w:r>
      <w:r w:rsidRPr="00B96B4F">
        <w:rPr>
          <w:rFonts w:cs="Segoe UI"/>
          <w:szCs w:val="22"/>
          <w:lang w:val="sk-SK"/>
        </w:rPr>
        <w:t xml:space="preserve">11,6 %). </w:t>
      </w:r>
      <w:r w:rsidR="00846017" w:rsidRPr="00B96B4F">
        <w:rPr>
          <w:rFonts w:cs="Segoe UI"/>
          <w:szCs w:val="22"/>
          <w:lang w:val="sk-SK"/>
        </w:rPr>
        <w:t xml:space="preserve"> </w:t>
      </w:r>
      <w:r w:rsidRPr="00B96B4F">
        <w:rPr>
          <w:rFonts w:cs="Segoe UI"/>
          <w:b/>
          <w:bCs/>
          <w:szCs w:val="22"/>
          <w:lang w:val="sk-SK"/>
        </w:rPr>
        <w:t xml:space="preserve">Východná Európa </w:t>
      </w:r>
      <w:r w:rsidR="0080725B" w:rsidRPr="00B96B4F">
        <w:rPr>
          <w:rFonts w:cs="Segoe UI"/>
          <w:bCs/>
          <w:szCs w:val="22"/>
          <w:lang w:val="sk-SK"/>
        </w:rPr>
        <w:t>zaznamenala</w:t>
      </w:r>
      <w:r w:rsidRPr="00B96B4F">
        <w:rPr>
          <w:rFonts w:cs="Segoe UI"/>
          <w:bCs/>
          <w:szCs w:val="22"/>
          <w:lang w:val="sk-SK"/>
        </w:rPr>
        <w:t xml:space="preserve"> zvýšenie organického obratu </w:t>
      </w:r>
      <w:r w:rsidR="0080725B" w:rsidRPr="00B96B4F">
        <w:rPr>
          <w:rFonts w:cs="Segoe UI"/>
          <w:bCs/>
          <w:szCs w:val="22"/>
          <w:lang w:val="sk-SK"/>
        </w:rPr>
        <w:t>o</w:t>
      </w:r>
      <w:r w:rsidRPr="00B96B4F">
        <w:rPr>
          <w:rFonts w:cs="Segoe UI"/>
          <w:bCs/>
          <w:szCs w:val="22"/>
          <w:lang w:val="sk-SK"/>
        </w:rPr>
        <w:t xml:space="preserve"> 3,1</w:t>
      </w:r>
      <w:r w:rsidR="0080725B" w:rsidRPr="00B96B4F">
        <w:rPr>
          <w:rFonts w:cs="Segoe UI"/>
          <w:bCs/>
          <w:szCs w:val="22"/>
          <w:lang w:val="sk-SK"/>
        </w:rPr>
        <w:t> </w:t>
      </w:r>
      <w:r w:rsidRPr="00B96B4F">
        <w:rPr>
          <w:rFonts w:cs="Segoe UI"/>
          <w:bCs/>
          <w:szCs w:val="22"/>
          <w:lang w:val="sk-SK"/>
        </w:rPr>
        <w:t xml:space="preserve">% </w:t>
      </w:r>
      <w:r w:rsidR="00FD155E" w:rsidRPr="00B96B4F">
        <w:rPr>
          <w:rFonts w:cs="Segoe UI"/>
          <w:szCs w:val="22"/>
          <w:lang w:val="sk-SK"/>
        </w:rPr>
        <w:t>(2. štvrťrok:</w:t>
      </w:r>
      <w:r w:rsidRPr="00B96B4F">
        <w:rPr>
          <w:rFonts w:cs="Segoe UI"/>
          <w:szCs w:val="22"/>
          <w:lang w:val="sk-SK"/>
        </w:rPr>
        <w:t xml:space="preserve"> </w:t>
      </w:r>
      <w:r w:rsidR="0080725B" w:rsidRPr="00B96B4F">
        <w:rPr>
          <w:rFonts w:cs="Segoe UI"/>
          <w:szCs w:val="22"/>
          <w:lang w:val="sk-SK"/>
        </w:rPr>
        <w:t>-</w:t>
      </w:r>
      <w:r w:rsidRPr="00B96B4F">
        <w:rPr>
          <w:rFonts w:cs="Segoe UI"/>
          <w:szCs w:val="22"/>
          <w:lang w:val="sk-SK"/>
        </w:rPr>
        <w:t>3,8 %)</w:t>
      </w:r>
      <w:r w:rsidRPr="00B96B4F">
        <w:rPr>
          <w:rFonts w:cs="Segoe UI"/>
          <w:bCs/>
          <w:szCs w:val="22"/>
          <w:lang w:val="sk-SK"/>
        </w:rPr>
        <w:t>.</w:t>
      </w:r>
      <w:r w:rsidR="00846017" w:rsidRPr="00B96B4F">
        <w:rPr>
          <w:rFonts w:cs="Segoe UI"/>
          <w:szCs w:val="22"/>
          <w:lang w:val="sk-SK"/>
        </w:rPr>
        <w:t xml:space="preserve"> </w:t>
      </w:r>
      <w:r w:rsidRPr="00B96B4F">
        <w:rPr>
          <w:rFonts w:cs="Segoe UI"/>
          <w:szCs w:val="22"/>
          <w:lang w:val="sk-SK"/>
        </w:rPr>
        <w:t xml:space="preserve">V </w:t>
      </w:r>
      <w:r w:rsidRPr="00B96B4F">
        <w:rPr>
          <w:rFonts w:cs="Segoe UI"/>
          <w:b/>
          <w:szCs w:val="22"/>
          <w:lang w:val="sk-SK"/>
        </w:rPr>
        <w:t>Afrike a na Strednom východe</w:t>
      </w:r>
      <w:r w:rsidRPr="00B96B4F">
        <w:rPr>
          <w:rFonts w:cs="Segoe UI"/>
          <w:szCs w:val="22"/>
          <w:lang w:val="sk-SK"/>
        </w:rPr>
        <w:t xml:space="preserve"> sa obrat organicky zvýšil o 4,2</w:t>
      </w:r>
      <w:r w:rsidR="0080725B" w:rsidRPr="00B96B4F">
        <w:rPr>
          <w:rFonts w:cs="Segoe UI"/>
          <w:szCs w:val="22"/>
          <w:lang w:val="sk-SK"/>
        </w:rPr>
        <w:t> </w:t>
      </w:r>
      <w:r w:rsidRPr="00B96B4F">
        <w:rPr>
          <w:rFonts w:cs="Segoe UI"/>
          <w:szCs w:val="22"/>
          <w:lang w:val="sk-SK"/>
        </w:rPr>
        <w:t xml:space="preserve">% </w:t>
      </w:r>
      <w:r w:rsidR="00FD155E" w:rsidRPr="00B96B4F">
        <w:rPr>
          <w:rFonts w:cs="Segoe UI"/>
          <w:szCs w:val="22"/>
          <w:lang w:val="sk-SK"/>
        </w:rPr>
        <w:t>(2.</w:t>
      </w:r>
      <w:r w:rsidR="00C10DB5" w:rsidRPr="00B96B4F">
        <w:rPr>
          <w:rFonts w:cs="Segoe UI"/>
          <w:szCs w:val="22"/>
          <w:lang w:val="sk-SK"/>
        </w:rPr>
        <w:t> </w:t>
      </w:r>
      <w:r w:rsidR="00FD155E" w:rsidRPr="00B96B4F">
        <w:rPr>
          <w:rFonts w:cs="Segoe UI"/>
          <w:szCs w:val="22"/>
          <w:lang w:val="sk-SK"/>
        </w:rPr>
        <w:t>štvrťrok:</w:t>
      </w:r>
      <w:r w:rsidRPr="00B96B4F">
        <w:rPr>
          <w:rFonts w:cs="Segoe UI"/>
          <w:szCs w:val="22"/>
          <w:lang w:val="sk-SK"/>
        </w:rPr>
        <w:t xml:space="preserve"> 1,4 %).</w:t>
      </w:r>
      <w:r w:rsidR="00846017" w:rsidRPr="00B96B4F">
        <w:rPr>
          <w:rFonts w:cs="Segoe UI"/>
          <w:szCs w:val="22"/>
          <w:lang w:val="sk-SK"/>
        </w:rPr>
        <w:t xml:space="preserve"> </w:t>
      </w:r>
      <w:r w:rsidRPr="00B96B4F">
        <w:rPr>
          <w:rFonts w:cs="Segoe UI"/>
          <w:bCs/>
          <w:szCs w:val="22"/>
          <w:lang w:val="sk-SK"/>
        </w:rPr>
        <w:t xml:space="preserve">V </w:t>
      </w:r>
      <w:r w:rsidRPr="00B96B4F">
        <w:rPr>
          <w:rFonts w:cs="Segoe UI"/>
          <w:b/>
          <w:bCs/>
          <w:szCs w:val="22"/>
          <w:lang w:val="sk-SK"/>
        </w:rPr>
        <w:t xml:space="preserve">Severnej Amerike </w:t>
      </w:r>
      <w:r w:rsidRPr="00B96B4F">
        <w:rPr>
          <w:rFonts w:cs="Segoe UI"/>
          <w:bCs/>
          <w:szCs w:val="22"/>
          <w:lang w:val="sk-SK"/>
        </w:rPr>
        <w:t>sa organický obrat znížil o 6,4</w:t>
      </w:r>
      <w:r w:rsidR="004C7039" w:rsidRPr="00B96B4F">
        <w:rPr>
          <w:rFonts w:cs="Segoe UI"/>
          <w:bCs/>
          <w:szCs w:val="22"/>
          <w:lang w:val="sk-SK"/>
        </w:rPr>
        <w:t> </w:t>
      </w:r>
      <w:r w:rsidRPr="00B96B4F">
        <w:rPr>
          <w:rFonts w:cs="Segoe UI"/>
          <w:bCs/>
          <w:szCs w:val="22"/>
          <w:lang w:val="sk-SK"/>
        </w:rPr>
        <w:t xml:space="preserve">% </w:t>
      </w:r>
      <w:r w:rsidR="00FD155E" w:rsidRPr="00B96B4F">
        <w:rPr>
          <w:rFonts w:cs="Segoe UI"/>
          <w:szCs w:val="22"/>
          <w:lang w:val="sk-SK"/>
        </w:rPr>
        <w:t>(</w:t>
      </w:r>
      <w:r w:rsidR="004C7039" w:rsidRPr="00B96B4F">
        <w:rPr>
          <w:rFonts w:cs="Segoe UI"/>
          <w:szCs w:val="22"/>
          <w:lang w:val="sk-SK"/>
        </w:rPr>
        <w:t>-</w:t>
      </w:r>
      <w:r w:rsidRPr="00B96B4F">
        <w:rPr>
          <w:rFonts w:cs="Segoe UI"/>
          <w:szCs w:val="22"/>
          <w:lang w:val="sk-SK"/>
        </w:rPr>
        <w:t>10,9 %</w:t>
      </w:r>
      <w:r w:rsidR="00C10DB5" w:rsidRPr="00B96B4F">
        <w:rPr>
          <w:rFonts w:cs="Segoe UI"/>
          <w:szCs w:val="22"/>
          <w:lang w:val="sk-SK"/>
        </w:rPr>
        <w:t xml:space="preserve"> v 2. štvrťroku</w:t>
      </w:r>
      <w:r w:rsidRPr="00B96B4F">
        <w:rPr>
          <w:rFonts w:cs="Segoe UI"/>
          <w:szCs w:val="22"/>
          <w:lang w:val="sk-SK"/>
        </w:rPr>
        <w:t>)</w:t>
      </w:r>
      <w:r w:rsidRPr="00B96B4F">
        <w:rPr>
          <w:rFonts w:cs="Segoe UI"/>
          <w:bCs/>
          <w:szCs w:val="22"/>
          <w:lang w:val="sk-SK"/>
        </w:rPr>
        <w:t>.</w:t>
      </w:r>
      <w:r w:rsidR="00846017" w:rsidRPr="00B96B4F">
        <w:rPr>
          <w:rFonts w:cs="Segoe UI"/>
          <w:szCs w:val="22"/>
          <w:lang w:val="sk-SK"/>
        </w:rPr>
        <w:t xml:space="preserve"> </w:t>
      </w:r>
      <w:r w:rsidR="00493A29" w:rsidRPr="00B96B4F">
        <w:rPr>
          <w:rFonts w:cs="Segoe UI"/>
          <w:b/>
          <w:bCs/>
          <w:szCs w:val="22"/>
          <w:lang w:val="sk-SK"/>
        </w:rPr>
        <w:t xml:space="preserve">Latinská Amerika </w:t>
      </w:r>
      <w:r w:rsidR="00141CC2" w:rsidRPr="00B96B4F">
        <w:rPr>
          <w:rFonts w:cs="Segoe UI"/>
          <w:bCs/>
          <w:szCs w:val="22"/>
          <w:lang w:val="sk-SK"/>
        </w:rPr>
        <w:t>vykáza</w:t>
      </w:r>
      <w:r w:rsidR="00493A29" w:rsidRPr="00B96B4F">
        <w:rPr>
          <w:rFonts w:cs="Segoe UI"/>
          <w:bCs/>
          <w:szCs w:val="22"/>
          <w:lang w:val="sk-SK"/>
        </w:rPr>
        <w:t xml:space="preserve">la zníženie </w:t>
      </w:r>
      <w:r w:rsidRPr="00B96B4F">
        <w:rPr>
          <w:rFonts w:cs="Segoe UI"/>
          <w:bCs/>
          <w:szCs w:val="22"/>
          <w:lang w:val="sk-SK"/>
        </w:rPr>
        <w:t>organick</w:t>
      </w:r>
      <w:r w:rsidR="00493A29" w:rsidRPr="00B96B4F">
        <w:rPr>
          <w:rFonts w:cs="Segoe UI"/>
          <w:bCs/>
          <w:szCs w:val="22"/>
          <w:lang w:val="sk-SK"/>
        </w:rPr>
        <w:t>ého</w:t>
      </w:r>
      <w:r w:rsidRPr="00B96B4F">
        <w:rPr>
          <w:rFonts w:cs="Segoe UI"/>
          <w:bCs/>
          <w:szCs w:val="22"/>
          <w:lang w:val="sk-SK"/>
        </w:rPr>
        <w:t xml:space="preserve"> obrat</w:t>
      </w:r>
      <w:r w:rsidR="00493A29" w:rsidRPr="00B96B4F">
        <w:rPr>
          <w:rFonts w:cs="Segoe UI"/>
          <w:bCs/>
          <w:szCs w:val="22"/>
          <w:lang w:val="sk-SK"/>
        </w:rPr>
        <w:t>u</w:t>
      </w:r>
      <w:r w:rsidRPr="00B96B4F">
        <w:rPr>
          <w:rFonts w:cs="Segoe UI"/>
          <w:bCs/>
          <w:szCs w:val="22"/>
          <w:lang w:val="sk-SK"/>
        </w:rPr>
        <w:t xml:space="preserve"> o </w:t>
      </w:r>
      <w:r w:rsidR="00493A29" w:rsidRPr="00B96B4F">
        <w:rPr>
          <w:rFonts w:cs="Segoe UI"/>
          <w:bCs/>
          <w:szCs w:val="22"/>
          <w:lang w:val="sk-SK"/>
        </w:rPr>
        <w:t>11</w:t>
      </w:r>
      <w:r w:rsidRPr="00B96B4F">
        <w:rPr>
          <w:rFonts w:cs="Segoe UI"/>
          <w:bCs/>
          <w:szCs w:val="22"/>
          <w:lang w:val="sk-SK"/>
        </w:rPr>
        <w:t>,4</w:t>
      </w:r>
      <w:r w:rsidR="004C7039" w:rsidRPr="00B96B4F">
        <w:rPr>
          <w:rFonts w:cs="Segoe UI"/>
          <w:bCs/>
          <w:szCs w:val="22"/>
          <w:lang w:val="sk-SK"/>
        </w:rPr>
        <w:t> </w:t>
      </w:r>
      <w:r w:rsidRPr="00B96B4F">
        <w:rPr>
          <w:rFonts w:cs="Segoe UI"/>
          <w:bCs/>
          <w:szCs w:val="22"/>
          <w:lang w:val="sk-SK"/>
        </w:rPr>
        <w:t xml:space="preserve">% </w:t>
      </w:r>
      <w:r w:rsidR="00FD155E" w:rsidRPr="00B96B4F">
        <w:rPr>
          <w:rFonts w:cs="Segoe UI"/>
          <w:bCs/>
          <w:szCs w:val="22"/>
          <w:lang w:val="sk-SK"/>
        </w:rPr>
        <w:t>(</w:t>
      </w:r>
      <w:r w:rsidR="004C7039" w:rsidRPr="00B96B4F">
        <w:rPr>
          <w:rFonts w:cs="Segoe UI"/>
          <w:bCs/>
          <w:szCs w:val="22"/>
          <w:lang w:val="sk-SK"/>
        </w:rPr>
        <w:t>-</w:t>
      </w:r>
      <w:r w:rsidR="00493A29" w:rsidRPr="00B96B4F">
        <w:rPr>
          <w:rFonts w:cs="Segoe UI"/>
          <w:bCs/>
          <w:szCs w:val="22"/>
          <w:lang w:val="sk-SK"/>
        </w:rPr>
        <w:t>20</w:t>
      </w:r>
      <w:r w:rsidRPr="00B96B4F">
        <w:rPr>
          <w:rFonts w:cs="Segoe UI"/>
          <w:bCs/>
          <w:szCs w:val="22"/>
          <w:lang w:val="sk-SK"/>
        </w:rPr>
        <w:t>,</w:t>
      </w:r>
      <w:r w:rsidR="00493A29" w:rsidRPr="00B96B4F">
        <w:rPr>
          <w:rFonts w:cs="Segoe UI"/>
          <w:bCs/>
          <w:szCs w:val="22"/>
          <w:lang w:val="sk-SK"/>
        </w:rPr>
        <w:t>1</w:t>
      </w:r>
      <w:r w:rsidRPr="00B96B4F">
        <w:rPr>
          <w:rFonts w:cs="Segoe UI"/>
          <w:bCs/>
          <w:szCs w:val="22"/>
          <w:lang w:val="sk-SK"/>
        </w:rPr>
        <w:t> %</w:t>
      </w:r>
      <w:r w:rsidR="00C10DB5" w:rsidRPr="00B96B4F">
        <w:rPr>
          <w:rFonts w:cs="Segoe UI"/>
          <w:bCs/>
          <w:szCs w:val="22"/>
          <w:lang w:val="sk-SK"/>
        </w:rPr>
        <w:t xml:space="preserve"> </w:t>
      </w:r>
      <w:r w:rsidR="00C10DB5" w:rsidRPr="00B96B4F">
        <w:rPr>
          <w:rFonts w:cs="Segoe UI"/>
          <w:szCs w:val="22"/>
          <w:lang w:val="sk-SK"/>
        </w:rPr>
        <w:t>v 2. štvrťroku</w:t>
      </w:r>
      <w:r w:rsidRPr="00B96B4F">
        <w:rPr>
          <w:rFonts w:cs="Segoe UI"/>
          <w:bCs/>
          <w:szCs w:val="22"/>
          <w:lang w:val="sk-SK"/>
        </w:rPr>
        <w:t>).</w:t>
      </w:r>
      <w:r w:rsidR="00846017" w:rsidRPr="00B96B4F">
        <w:rPr>
          <w:rFonts w:cs="Segoe UI"/>
          <w:szCs w:val="22"/>
          <w:lang w:val="sk-SK"/>
        </w:rPr>
        <w:t xml:space="preserve"> </w:t>
      </w:r>
      <w:r w:rsidR="00493A29" w:rsidRPr="00B96B4F">
        <w:rPr>
          <w:rFonts w:cs="Segoe UI"/>
          <w:szCs w:val="22"/>
          <w:lang w:val="sk-SK"/>
        </w:rPr>
        <w:t xml:space="preserve">V </w:t>
      </w:r>
      <w:r w:rsidR="00493A29" w:rsidRPr="00B96B4F">
        <w:rPr>
          <w:rFonts w:cs="Segoe UI"/>
          <w:b/>
          <w:szCs w:val="22"/>
          <w:lang w:val="sk-SK"/>
        </w:rPr>
        <w:t>ázijsko-pacifickom</w:t>
      </w:r>
      <w:r w:rsidR="00493A29" w:rsidRPr="00B96B4F">
        <w:rPr>
          <w:rFonts w:cs="Segoe UI"/>
          <w:szCs w:val="22"/>
          <w:lang w:val="sk-SK"/>
        </w:rPr>
        <w:t xml:space="preserve"> regióne obrat organicky klesol o 6,4</w:t>
      </w:r>
      <w:r w:rsidR="004C7039" w:rsidRPr="00B96B4F">
        <w:rPr>
          <w:rFonts w:cs="Segoe UI"/>
          <w:szCs w:val="22"/>
          <w:lang w:val="sk-SK"/>
        </w:rPr>
        <w:t> </w:t>
      </w:r>
      <w:r w:rsidR="00493A29" w:rsidRPr="00B96B4F">
        <w:rPr>
          <w:rFonts w:cs="Segoe UI"/>
          <w:szCs w:val="22"/>
          <w:lang w:val="sk-SK"/>
        </w:rPr>
        <w:t xml:space="preserve">% </w:t>
      </w:r>
      <w:r w:rsidR="00FD155E" w:rsidRPr="00B96B4F">
        <w:rPr>
          <w:rFonts w:cs="Segoe UI"/>
          <w:szCs w:val="22"/>
          <w:lang w:val="sk-SK"/>
        </w:rPr>
        <w:t>(</w:t>
      </w:r>
      <w:r w:rsidR="00C10DB5" w:rsidRPr="00B96B4F">
        <w:rPr>
          <w:rFonts w:cs="Segoe UI"/>
          <w:szCs w:val="22"/>
          <w:lang w:val="sk-SK"/>
        </w:rPr>
        <w:t xml:space="preserve">v </w:t>
      </w:r>
      <w:r w:rsidR="00FD155E" w:rsidRPr="00B96B4F">
        <w:rPr>
          <w:rFonts w:cs="Segoe UI"/>
          <w:szCs w:val="22"/>
          <w:lang w:val="sk-SK"/>
        </w:rPr>
        <w:t>2. štvrťrok</w:t>
      </w:r>
      <w:r w:rsidR="00C10DB5" w:rsidRPr="00B96B4F">
        <w:rPr>
          <w:rFonts w:cs="Segoe UI"/>
          <w:szCs w:val="22"/>
          <w:lang w:val="sk-SK"/>
        </w:rPr>
        <w:t xml:space="preserve">u pokles predstavoval </w:t>
      </w:r>
      <w:r w:rsidR="004C7039" w:rsidRPr="00B96B4F">
        <w:rPr>
          <w:rFonts w:cs="Segoe UI"/>
          <w:szCs w:val="22"/>
          <w:lang w:val="sk-SK"/>
        </w:rPr>
        <w:t>-</w:t>
      </w:r>
      <w:r w:rsidR="00493A29" w:rsidRPr="00B96B4F">
        <w:rPr>
          <w:rFonts w:cs="Segoe UI"/>
          <w:szCs w:val="22"/>
          <w:lang w:val="sk-SK"/>
        </w:rPr>
        <w:t>7,2</w:t>
      </w:r>
      <w:r w:rsidR="004C7039" w:rsidRPr="00B96B4F">
        <w:rPr>
          <w:rFonts w:cs="Segoe UI"/>
          <w:szCs w:val="22"/>
          <w:lang w:val="sk-SK"/>
        </w:rPr>
        <w:t> </w:t>
      </w:r>
      <w:r w:rsidR="00493A29" w:rsidRPr="00B96B4F">
        <w:rPr>
          <w:rFonts w:cs="Segoe UI"/>
          <w:szCs w:val="22"/>
          <w:lang w:val="sk-SK"/>
        </w:rPr>
        <w:t>%).</w:t>
      </w:r>
    </w:p>
    <w:p w14:paraId="6DC567F5" w14:textId="77777777" w:rsidR="00D92179" w:rsidRPr="00B96B4F" w:rsidRDefault="00D92179" w:rsidP="00846017">
      <w:pPr>
        <w:rPr>
          <w:rFonts w:cs="Segoe UI"/>
          <w:b/>
          <w:bCs/>
          <w:szCs w:val="22"/>
          <w:lang w:val="sk-SK"/>
        </w:rPr>
      </w:pPr>
    </w:p>
    <w:p w14:paraId="49321F49" w14:textId="77777777" w:rsidR="00846017" w:rsidRPr="00B96B4F" w:rsidRDefault="00493A29" w:rsidP="00493A29">
      <w:pPr>
        <w:spacing w:line="280" w:lineRule="auto"/>
        <w:rPr>
          <w:rFonts w:cs="Segoe UI"/>
          <w:szCs w:val="22"/>
          <w:lang w:val="sk-SK"/>
        </w:rPr>
      </w:pPr>
      <w:r w:rsidRPr="00B96B4F">
        <w:rPr>
          <w:rFonts w:cs="Segoe UI"/>
          <w:b/>
          <w:bCs/>
          <w:szCs w:val="22"/>
          <w:lang w:val="sk-SK"/>
        </w:rPr>
        <w:t xml:space="preserve">Upravený prevádzkový zisk (upravený EBIT) </w:t>
      </w:r>
      <w:r w:rsidRPr="00B96B4F">
        <w:rPr>
          <w:rFonts w:cs="Segoe UI"/>
          <w:bCs/>
          <w:szCs w:val="22"/>
          <w:lang w:val="sk-SK"/>
        </w:rPr>
        <w:t>klesol o 27,5 % z </w:t>
      </w:r>
      <w:r w:rsidRPr="00B96B4F">
        <w:rPr>
          <w:rFonts w:cs="Segoe UI"/>
          <w:szCs w:val="22"/>
          <w:lang w:val="sk-SK"/>
        </w:rPr>
        <w:t>1 641</w:t>
      </w:r>
      <w:r w:rsidRPr="00B96B4F">
        <w:rPr>
          <w:rFonts w:cs="Segoe UI"/>
          <w:bCs/>
          <w:szCs w:val="22"/>
          <w:lang w:val="sk-SK"/>
        </w:rPr>
        <w:t> mil. eur v prvom polroku predchádzajúceho roka na 1 191 mil. eur v roku 2020.</w:t>
      </w:r>
    </w:p>
    <w:p w14:paraId="22E701F9" w14:textId="77777777" w:rsidR="00846017" w:rsidRPr="00B96B4F" w:rsidRDefault="00846017" w:rsidP="00846017">
      <w:pPr>
        <w:rPr>
          <w:rFonts w:cs="Segoe UI"/>
          <w:szCs w:val="22"/>
          <w:lang w:val="sk-SK"/>
        </w:rPr>
      </w:pPr>
    </w:p>
    <w:p w14:paraId="134367C1" w14:textId="77777777" w:rsidR="00846017" w:rsidRPr="00B96B4F" w:rsidRDefault="00493A29" w:rsidP="00493A29">
      <w:pPr>
        <w:spacing w:line="280" w:lineRule="auto"/>
        <w:rPr>
          <w:rFonts w:cs="Segoe UI"/>
          <w:szCs w:val="22"/>
          <w:lang w:val="sk-SK"/>
        </w:rPr>
      </w:pPr>
      <w:r w:rsidRPr="00B96B4F">
        <w:rPr>
          <w:rFonts w:cs="Segoe UI"/>
          <w:b/>
          <w:bCs/>
          <w:szCs w:val="22"/>
          <w:lang w:val="sk-SK"/>
        </w:rPr>
        <w:t xml:space="preserve">Upravená výnosnosť predaja (upravená marža EBIT) </w:t>
      </w:r>
      <w:r w:rsidRPr="00B96B4F">
        <w:rPr>
          <w:rFonts w:cs="Segoe UI"/>
          <w:bCs/>
          <w:szCs w:val="22"/>
          <w:lang w:val="sk-SK"/>
        </w:rPr>
        <w:t>dosiahla za prvých šesť mesiacov úroveň 12,6 %, čo predstavuje pokles o 3,7</w:t>
      </w:r>
      <w:r w:rsidR="004C7039" w:rsidRPr="00B96B4F">
        <w:rPr>
          <w:rFonts w:cs="Segoe UI"/>
          <w:bCs/>
          <w:szCs w:val="22"/>
          <w:lang w:val="sk-SK"/>
        </w:rPr>
        <w:t> </w:t>
      </w:r>
      <w:r w:rsidRPr="00B96B4F">
        <w:rPr>
          <w:rFonts w:cs="Segoe UI"/>
          <w:bCs/>
          <w:szCs w:val="22"/>
          <w:lang w:val="sk-SK"/>
        </w:rPr>
        <w:t>percentuálneho bodu v porovnaní s predchádzajúcim rokom.</w:t>
      </w:r>
    </w:p>
    <w:p w14:paraId="1BF016BB" w14:textId="77777777" w:rsidR="00846017" w:rsidRPr="00B96B4F" w:rsidRDefault="00846017" w:rsidP="00846017">
      <w:pPr>
        <w:rPr>
          <w:rFonts w:cs="Segoe UI"/>
          <w:szCs w:val="22"/>
          <w:lang w:val="sk-SK"/>
        </w:rPr>
      </w:pPr>
    </w:p>
    <w:p w14:paraId="64A4BF93" w14:textId="77777777" w:rsidR="00846017" w:rsidRPr="00B96B4F" w:rsidRDefault="00493A29" w:rsidP="00243828">
      <w:pPr>
        <w:spacing w:line="280" w:lineRule="auto"/>
        <w:rPr>
          <w:rFonts w:cs="Segoe UI"/>
          <w:szCs w:val="22"/>
          <w:lang w:val="sk-SK"/>
        </w:rPr>
      </w:pPr>
      <w:r w:rsidRPr="00B96B4F">
        <w:rPr>
          <w:rFonts w:cs="Segoe UI"/>
          <w:b/>
          <w:bCs/>
          <w:szCs w:val="22"/>
          <w:lang w:val="sk-SK"/>
        </w:rPr>
        <w:t xml:space="preserve">Upravený výnos na prioritnú akciu </w:t>
      </w:r>
      <w:r w:rsidRPr="00B96B4F">
        <w:rPr>
          <w:rFonts w:cs="Segoe UI"/>
          <w:bCs/>
          <w:szCs w:val="22"/>
          <w:lang w:val="sk-SK"/>
        </w:rPr>
        <w:t>sa znížil o 29,2 % z 2,77 eura v prvom polroku 2019 na aktuálnych 1,96 eura.</w:t>
      </w:r>
      <w:r w:rsidR="00846017" w:rsidRPr="00B96B4F">
        <w:rPr>
          <w:rFonts w:cs="Segoe UI"/>
          <w:szCs w:val="22"/>
          <w:lang w:val="sk-SK"/>
        </w:rPr>
        <w:t xml:space="preserve"> </w:t>
      </w:r>
      <w:r w:rsidRPr="00B96B4F">
        <w:rPr>
          <w:rFonts w:cs="Segoe UI"/>
          <w:szCs w:val="22"/>
          <w:lang w:val="sk-SK"/>
        </w:rPr>
        <w:t>Pri konštantných kurzových sadzbách klesol upravený výnos na prioritnú akciu o</w:t>
      </w:r>
      <w:r w:rsidR="004C7039" w:rsidRPr="00B96B4F">
        <w:rPr>
          <w:rFonts w:cs="Segoe UI"/>
          <w:szCs w:val="22"/>
          <w:lang w:val="sk-SK"/>
        </w:rPr>
        <w:t xml:space="preserve"> </w:t>
      </w:r>
      <w:r w:rsidRPr="00B96B4F">
        <w:rPr>
          <w:rFonts w:cs="Segoe UI"/>
          <w:szCs w:val="22"/>
          <w:lang w:val="sk-SK"/>
        </w:rPr>
        <w:t>28,2 %.</w:t>
      </w:r>
    </w:p>
    <w:p w14:paraId="1F565AB9" w14:textId="77777777" w:rsidR="00846017" w:rsidRPr="00B96B4F" w:rsidRDefault="00846017" w:rsidP="00846017">
      <w:pPr>
        <w:rPr>
          <w:rFonts w:cs="Segoe UI"/>
          <w:szCs w:val="22"/>
          <w:lang w:val="sk-SK"/>
        </w:rPr>
      </w:pPr>
    </w:p>
    <w:p w14:paraId="4EE32966" w14:textId="77777777" w:rsidR="00846017" w:rsidRPr="00B96B4F" w:rsidRDefault="00243828" w:rsidP="00243828">
      <w:pPr>
        <w:spacing w:line="280" w:lineRule="auto"/>
        <w:rPr>
          <w:rFonts w:cs="Segoe UI"/>
          <w:szCs w:val="22"/>
          <w:lang w:val="sk-SK"/>
        </w:rPr>
      </w:pPr>
      <w:r w:rsidRPr="00B96B4F">
        <w:rPr>
          <w:rFonts w:cs="Segoe UI"/>
          <w:b/>
          <w:bCs/>
          <w:szCs w:val="22"/>
          <w:lang w:val="sk-SK"/>
        </w:rPr>
        <w:t xml:space="preserve">Čistý prevádzkový kapitál </w:t>
      </w:r>
      <w:r w:rsidRPr="00B96B4F">
        <w:rPr>
          <w:rFonts w:cs="Segoe UI"/>
          <w:szCs w:val="22"/>
          <w:lang w:val="sk-SK"/>
        </w:rPr>
        <w:t xml:space="preserve">sa ďalej zlepšil na </w:t>
      </w:r>
      <w:r w:rsidR="004C7039" w:rsidRPr="00B96B4F">
        <w:rPr>
          <w:rFonts w:cs="Segoe UI"/>
          <w:szCs w:val="22"/>
          <w:lang w:val="sk-SK"/>
        </w:rPr>
        <w:t xml:space="preserve">úroveň </w:t>
      </w:r>
      <w:r w:rsidRPr="00B96B4F">
        <w:rPr>
          <w:rFonts w:cs="Segoe UI"/>
          <w:szCs w:val="22"/>
          <w:lang w:val="sk-SK"/>
        </w:rPr>
        <w:t>4,4 % z obratu, no výrazne zaostal za rovnakým obdobím predchádzajúceho roka (6,7 %).</w:t>
      </w:r>
    </w:p>
    <w:p w14:paraId="7BB7FEC0" w14:textId="77777777" w:rsidR="00846017" w:rsidRPr="00B96B4F" w:rsidRDefault="00846017" w:rsidP="00846017">
      <w:pPr>
        <w:rPr>
          <w:rFonts w:cs="Segoe UI"/>
          <w:szCs w:val="22"/>
          <w:lang w:val="sk-SK"/>
        </w:rPr>
      </w:pPr>
    </w:p>
    <w:p w14:paraId="5CB4FDA4" w14:textId="77777777" w:rsidR="00846017" w:rsidRPr="00B96B4F" w:rsidRDefault="00243828" w:rsidP="00243828">
      <w:pPr>
        <w:autoSpaceDE w:val="0"/>
        <w:autoSpaceDN w:val="0"/>
        <w:adjustRightInd w:val="0"/>
        <w:spacing w:line="280" w:lineRule="auto"/>
        <w:rPr>
          <w:rFonts w:cs="Segoe UI"/>
          <w:szCs w:val="22"/>
          <w:lang w:val="sk-SK"/>
        </w:rPr>
      </w:pPr>
      <w:r w:rsidRPr="00B96B4F">
        <w:rPr>
          <w:rFonts w:cs="Segoe UI"/>
          <w:b/>
          <w:szCs w:val="22"/>
          <w:lang w:val="sk-SK"/>
        </w:rPr>
        <w:t xml:space="preserve">Voľný cash </w:t>
      </w:r>
      <w:proofErr w:type="spellStart"/>
      <w:r w:rsidRPr="00B96B4F">
        <w:rPr>
          <w:rFonts w:cs="Segoe UI"/>
          <w:b/>
          <w:szCs w:val="22"/>
          <w:lang w:val="sk-SK"/>
        </w:rPr>
        <w:t>flow</w:t>
      </w:r>
      <w:proofErr w:type="spellEnd"/>
      <w:r w:rsidRPr="00B96B4F">
        <w:rPr>
          <w:rFonts w:cs="Segoe UI"/>
          <w:b/>
          <w:szCs w:val="22"/>
          <w:lang w:val="sk-SK"/>
        </w:rPr>
        <w:t xml:space="preserve"> </w:t>
      </w:r>
      <w:r w:rsidRPr="00B96B4F">
        <w:rPr>
          <w:rFonts w:cs="Segoe UI"/>
          <w:szCs w:val="22"/>
          <w:lang w:val="sk-SK"/>
        </w:rPr>
        <w:t xml:space="preserve">zostal na veľmi silných úrovniach a v prvom polroku 2020 </w:t>
      </w:r>
      <w:r w:rsidR="004C7039" w:rsidRPr="00B96B4F">
        <w:rPr>
          <w:rFonts w:cs="Segoe UI"/>
          <w:szCs w:val="22"/>
          <w:lang w:val="sk-SK"/>
        </w:rPr>
        <w:t xml:space="preserve">predstavoval </w:t>
      </w:r>
      <w:r w:rsidRPr="00B96B4F">
        <w:rPr>
          <w:rFonts w:cs="Segoe UI"/>
          <w:szCs w:val="22"/>
          <w:lang w:val="sk-SK"/>
        </w:rPr>
        <w:t>938 mil. eur (</w:t>
      </w:r>
      <w:r w:rsidR="004C7039" w:rsidRPr="00B96B4F">
        <w:rPr>
          <w:rFonts w:cs="Segoe UI"/>
          <w:szCs w:val="22"/>
          <w:lang w:val="sk-SK"/>
        </w:rPr>
        <w:t xml:space="preserve">1. </w:t>
      </w:r>
      <w:r w:rsidRPr="00B96B4F">
        <w:rPr>
          <w:rFonts w:cs="Segoe UI"/>
          <w:szCs w:val="22"/>
          <w:lang w:val="sk-SK"/>
        </w:rPr>
        <w:t>polrok 2019: 990 mil. eur).</w:t>
      </w:r>
    </w:p>
    <w:p w14:paraId="26735A04" w14:textId="77777777" w:rsidR="00846017" w:rsidRPr="00B96B4F" w:rsidRDefault="00846017" w:rsidP="00846017">
      <w:pPr>
        <w:rPr>
          <w:rFonts w:cs="Segoe UI"/>
          <w:szCs w:val="22"/>
          <w:lang w:val="sk-SK"/>
        </w:rPr>
      </w:pPr>
    </w:p>
    <w:p w14:paraId="32511256" w14:textId="77777777" w:rsidR="00846017" w:rsidRPr="00B96B4F" w:rsidRDefault="00243828" w:rsidP="00243828">
      <w:pPr>
        <w:spacing w:line="280" w:lineRule="auto"/>
        <w:rPr>
          <w:rFonts w:cs="Segoe UI"/>
          <w:szCs w:val="22"/>
          <w:lang w:val="sk-SK"/>
        </w:rPr>
      </w:pPr>
      <w:r w:rsidRPr="00B96B4F">
        <w:rPr>
          <w:rFonts w:cs="Segoe UI"/>
          <w:b/>
          <w:szCs w:val="22"/>
          <w:lang w:val="sk-SK"/>
        </w:rPr>
        <w:t>Čistá finančná pozícia</w:t>
      </w:r>
      <w:r w:rsidRPr="00B96B4F">
        <w:rPr>
          <w:rFonts w:cs="Segoe UI"/>
          <w:szCs w:val="22"/>
          <w:lang w:val="sk-SK"/>
        </w:rPr>
        <w:t xml:space="preserve"> spoločnosti Henkel sa k 30. júnu 2020 zlepšila na </w:t>
      </w:r>
      <w:r w:rsidR="004C7039" w:rsidRPr="00B96B4F">
        <w:rPr>
          <w:rFonts w:cs="Segoe UI"/>
          <w:szCs w:val="22"/>
          <w:lang w:val="sk-SK"/>
        </w:rPr>
        <w:t>-</w:t>
      </w:r>
      <w:r w:rsidRPr="00B96B4F">
        <w:rPr>
          <w:rFonts w:cs="Segoe UI"/>
          <w:szCs w:val="22"/>
          <w:lang w:val="sk-SK"/>
        </w:rPr>
        <w:t>1 951 mil. eur (k 31.</w:t>
      </w:r>
      <w:r w:rsidR="00C10DB5" w:rsidRPr="00B96B4F">
        <w:rPr>
          <w:rFonts w:cs="Segoe UI"/>
          <w:szCs w:val="22"/>
          <w:lang w:val="sk-SK"/>
        </w:rPr>
        <w:t> </w:t>
      </w:r>
      <w:r w:rsidRPr="00B96B4F">
        <w:rPr>
          <w:rFonts w:cs="Segoe UI"/>
          <w:szCs w:val="22"/>
          <w:lang w:val="sk-SK"/>
        </w:rPr>
        <w:t>decembru 2019</w:t>
      </w:r>
      <w:r w:rsidR="00C10DB5" w:rsidRPr="00B96B4F">
        <w:rPr>
          <w:rFonts w:cs="Segoe UI"/>
          <w:szCs w:val="22"/>
          <w:lang w:val="sk-SK"/>
        </w:rPr>
        <w:t>: -2 047 mil. eur</w:t>
      </w:r>
      <w:r w:rsidRPr="00B96B4F">
        <w:rPr>
          <w:rFonts w:cs="Segoe UI"/>
          <w:szCs w:val="22"/>
          <w:lang w:val="sk-SK"/>
        </w:rPr>
        <w:t>), a to aj napriek výplate dividend vo výške približne 800 mil. eur v druhom štvrťroku.</w:t>
      </w:r>
    </w:p>
    <w:p w14:paraId="6B3940A3" w14:textId="77777777" w:rsidR="00846017" w:rsidRPr="00B96B4F" w:rsidRDefault="00846017" w:rsidP="00846017">
      <w:pPr>
        <w:rPr>
          <w:rFonts w:cs="Segoe UI"/>
          <w:szCs w:val="22"/>
          <w:lang w:val="sk-SK"/>
        </w:rPr>
      </w:pPr>
    </w:p>
    <w:p w14:paraId="0E718D6D" w14:textId="77777777" w:rsidR="00846017" w:rsidRPr="00B96B4F" w:rsidRDefault="00243828" w:rsidP="00243828">
      <w:pPr>
        <w:spacing w:after="120" w:line="280" w:lineRule="auto"/>
        <w:rPr>
          <w:rFonts w:cs="Segoe UI"/>
          <w:b/>
          <w:bCs/>
          <w:szCs w:val="22"/>
          <w:lang w:val="sk-SK" w:eastAsia="de-DE"/>
        </w:rPr>
      </w:pPr>
      <w:r w:rsidRPr="00B96B4F">
        <w:rPr>
          <w:rFonts w:cs="Segoe UI"/>
          <w:b/>
          <w:bCs/>
          <w:szCs w:val="22"/>
          <w:lang w:val="sk-SK" w:eastAsia="de-DE"/>
        </w:rPr>
        <w:t>Výsledky obchodných divízií v prvom polroku 2020</w:t>
      </w:r>
    </w:p>
    <w:p w14:paraId="354B4AC4" w14:textId="77777777" w:rsidR="00846017" w:rsidRPr="00B96B4F" w:rsidRDefault="004C7039" w:rsidP="00F376DB">
      <w:pPr>
        <w:spacing w:line="280" w:lineRule="auto"/>
        <w:rPr>
          <w:rFonts w:cs="Segoe UI"/>
          <w:szCs w:val="22"/>
          <w:lang w:val="sk-SK"/>
        </w:rPr>
      </w:pPr>
      <w:r w:rsidRPr="00B96B4F">
        <w:rPr>
          <w:rFonts w:cs="Segoe UI"/>
          <w:szCs w:val="22"/>
          <w:lang w:val="sk-SK"/>
        </w:rPr>
        <w:t>V prvom polroku</w:t>
      </w:r>
      <w:r w:rsidR="00243828" w:rsidRPr="00B96B4F">
        <w:rPr>
          <w:rFonts w:cs="Segoe UI"/>
          <w:szCs w:val="22"/>
          <w:lang w:val="sk-SK"/>
        </w:rPr>
        <w:t xml:space="preserve"> 2020</w:t>
      </w:r>
      <w:r w:rsidR="00694E97" w:rsidRPr="00B96B4F">
        <w:rPr>
          <w:rFonts w:cs="Segoe UI"/>
          <w:szCs w:val="22"/>
          <w:lang w:val="sk-SK"/>
        </w:rPr>
        <w:t xml:space="preserve"> sa </w:t>
      </w:r>
      <w:r w:rsidR="00694E97" w:rsidRPr="00B96B4F">
        <w:rPr>
          <w:rFonts w:cs="Segoe UI"/>
          <w:b/>
          <w:szCs w:val="22"/>
          <w:lang w:val="sk-SK"/>
        </w:rPr>
        <w:t>obrat</w:t>
      </w:r>
      <w:r w:rsidR="00694E97" w:rsidRPr="00B96B4F">
        <w:rPr>
          <w:rFonts w:cs="Segoe UI"/>
          <w:szCs w:val="22"/>
          <w:lang w:val="sk-SK"/>
        </w:rPr>
        <w:t xml:space="preserve"> v divízii </w:t>
      </w:r>
      <w:r w:rsidR="00243828" w:rsidRPr="00B96B4F">
        <w:rPr>
          <w:rFonts w:cs="Segoe UI"/>
          <w:b/>
          <w:bCs/>
          <w:szCs w:val="22"/>
          <w:lang w:val="sk-SK"/>
        </w:rPr>
        <w:t>Adhesive Technologies</w:t>
      </w:r>
      <w:r w:rsidR="00243828" w:rsidRPr="00B96B4F">
        <w:rPr>
          <w:rFonts w:cs="Segoe UI"/>
          <w:szCs w:val="22"/>
          <w:lang w:val="sk-SK"/>
        </w:rPr>
        <w:t xml:space="preserve"> </w:t>
      </w:r>
      <w:r w:rsidR="00694E97" w:rsidRPr="00B96B4F">
        <w:rPr>
          <w:rFonts w:cs="Segoe UI"/>
          <w:szCs w:val="22"/>
          <w:lang w:val="sk-SK"/>
        </w:rPr>
        <w:t xml:space="preserve">nominálne znížil o </w:t>
      </w:r>
      <w:r w:rsidR="00243828" w:rsidRPr="00B96B4F">
        <w:rPr>
          <w:rFonts w:cs="Segoe UI"/>
          <w:szCs w:val="22"/>
          <w:lang w:val="sk-SK"/>
        </w:rPr>
        <w:t>12</w:t>
      </w:r>
      <w:r w:rsidR="00694E97" w:rsidRPr="00B96B4F">
        <w:rPr>
          <w:rFonts w:cs="Segoe UI"/>
          <w:szCs w:val="22"/>
          <w:lang w:val="sk-SK"/>
        </w:rPr>
        <w:t>,</w:t>
      </w:r>
      <w:r w:rsidR="00243828" w:rsidRPr="00B96B4F">
        <w:rPr>
          <w:rFonts w:cs="Segoe UI"/>
          <w:szCs w:val="22"/>
          <w:lang w:val="sk-SK"/>
        </w:rPr>
        <w:t>2</w:t>
      </w:r>
      <w:r w:rsidRPr="00B96B4F">
        <w:rPr>
          <w:rFonts w:cs="Segoe UI"/>
          <w:szCs w:val="22"/>
          <w:lang w:val="sk-SK"/>
        </w:rPr>
        <w:t> % v porovnaní s </w:t>
      </w:r>
      <w:r w:rsidR="00694E97" w:rsidRPr="00B96B4F">
        <w:rPr>
          <w:rFonts w:cs="Segoe UI"/>
          <w:szCs w:val="22"/>
          <w:lang w:val="sk-SK"/>
        </w:rPr>
        <w:t xml:space="preserve">rovnakým obdobím predchádzajúceho roka a dosiahol úroveň </w:t>
      </w:r>
      <w:r w:rsidR="00243828" w:rsidRPr="00B96B4F">
        <w:rPr>
          <w:rFonts w:cs="Segoe UI"/>
          <w:szCs w:val="22"/>
          <w:lang w:val="sk-SK"/>
        </w:rPr>
        <w:t>4</w:t>
      </w:r>
      <w:r w:rsidR="00694E97" w:rsidRPr="00B96B4F">
        <w:rPr>
          <w:rFonts w:cs="Segoe UI"/>
          <w:szCs w:val="22"/>
          <w:lang w:val="sk-SK"/>
        </w:rPr>
        <w:t> </w:t>
      </w:r>
      <w:r w:rsidR="00243828" w:rsidRPr="00B96B4F">
        <w:rPr>
          <w:rFonts w:cs="Segoe UI"/>
          <w:szCs w:val="22"/>
          <w:lang w:val="sk-SK"/>
        </w:rPr>
        <w:t xml:space="preserve">153 </w:t>
      </w:r>
      <w:r w:rsidR="00694E97" w:rsidRPr="00B96B4F">
        <w:rPr>
          <w:rFonts w:cs="Segoe UI"/>
          <w:szCs w:val="22"/>
          <w:lang w:val="sk-SK"/>
        </w:rPr>
        <w:t xml:space="preserve">mil. eur </w:t>
      </w:r>
      <w:r w:rsidR="00FD155E" w:rsidRPr="00B96B4F">
        <w:rPr>
          <w:rFonts w:cs="Segoe UI"/>
          <w:szCs w:val="22"/>
          <w:lang w:val="sk-SK"/>
        </w:rPr>
        <w:lastRenderedPageBreak/>
        <w:t>(2.</w:t>
      </w:r>
      <w:r w:rsidR="00C10DB5" w:rsidRPr="00B96B4F">
        <w:rPr>
          <w:rFonts w:cs="Segoe UI"/>
          <w:szCs w:val="22"/>
          <w:lang w:val="sk-SK"/>
        </w:rPr>
        <w:t> </w:t>
      </w:r>
      <w:r w:rsidR="00FD155E" w:rsidRPr="00B96B4F">
        <w:rPr>
          <w:rFonts w:cs="Segoe UI"/>
          <w:szCs w:val="22"/>
          <w:lang w:val="sk-SK"/>
        </w:rPr>
        <w:t>štvrťrok:</w:t>
      </w:r>
      <w:r w:rsidR="00243828" w:rsidRPr="00B96B4F">
        <w:rPr>
          <w:rFonts w:cs="Segoe UI"/>
          <w:szCs w:val="22"/>
          <w:lang w:val="sk-SK"/>
        </w:rPr>
        <w:t xml:space="preserve"> 1</w:t>
      </w:r>
      <w:r w:rsidR="00694E97" w:rsidRPr="00B96B4F">
        <w:rPr>
          <w:rFonts w:cs="Segoe UI"/>
          <w:szCs w:val="22"/>
          <w:lang w:val="sk-SK"/>
        </w:rPr>
        <w:t> </w:t>
      </w:r>
      <w:r w:rsidR="00243828" w:rsidRPr="00B96B4F">
        <w:rPr>
          <w:rFonts w:cs="Segoe UI"/>
          <w:szCs w:val="22"/>
          <w:lang w:val="sk-SK"/>
        </w:rPr>
        <w:t>944</w:t>
      </w:r>
      <w:r w:rsidR="00694E97" w:rsidRPr="00B96B4F">
        <w:rPr>
          <w:rFonts w:cs="Segoe UI"/>
          <w:szCs w:val="22"/>
          <w:lang w:val="sk-SK"/>
        </w:rPr>
        <w:t> </w:t>
      </w:r>
      <w:r w:rsidR="00243828" w:rsidRPr="00B96B4F">
        <w:rPr>
          <w:rFonts w:cs="Segoe UI"/>
          <w:szCs w:val="22"/>
          <w:lang w:val="sk-SK"/>
        </w:rPr>
        <w:t>mil</w:t>
      </w:r>
      <w:r w:rsidR="00694E97" w:rsidRPr="00B96B4F">
        <w:rPr>
          <w:rFonts w:cs="Segoe UI"/>
          <w:szCs w:val="22"/>
          <w:lang w:val="sk-SK"/>
        </w:rPr>
        <w:t xml:space="preserve">. </w:t>
      </w:r>
      <w:r w:rsidR="00243828" w:rsidRPr="00B96B4F">
        <w:rPr>
          <w:rFonts w:cs="Segoe UI"/>
          <w:szCs w:val="22"/>
          <w:lang w:val="sk-SK"/>
        </w:rPr>
        <w:t>eur</w:t>
      </w:r>
      <w:r w:rsidR="00C10DB5" w:rsidRPr="00B96B4F">
        <w:rPr>
          <w:rFonts w:cs="Segoe UI"/>
          <w:szCs w:val="22"/>
          <w:lang w:val="sk-SK"/>
        </w:rPr>
        <w:t>;</w:t>
      </w:r>
      <w:r w:rsidR="00243828" w:rsidRPr="00B96B4F">
        <w:rPr>
          <w:rFonts w:cs="Segoe UI"/>
          <w:szCs w:val="22"/>
          <w:lang w:val="sk-SK"/>
        </w:rPr>
        <w:t xml:space="preserve"> </w:t>
      </w:r>
      <w:r w:rsidRPr="00B96B4F">
        <w:rPr>
          <w:rFonts w:cs="Segoe UI"/>
          <w:szCs w:val="22"/>
          <w:lang w:val="sk-SK"/>
        </w:rPr>
        <w:t>-</w:t>
      </w:r>
      <w:r w:rsidR="00243828" w:rsidRPr="00B96B4F">
        <w:rPr>
          <w:rFonts w:cs="Segoe UI"/>
          <w:szCs w:val="22"/>
          <w:lang w:val="sk-SK"/>
        </w:rPr>
        <w:t>19</w:t>
      </w:r>
      <w:r w:rsidR="00C10DB5" w:rsidRPr="00B96B4F">
        <w:rPr>
          <w:rFonts w:cs="Segoe UI"/>
          <w:szCs w:val="22"/>
          <w:lang w:val="sk-SK"/>
        </w:rPr>
        <w:t>,</w:t>
      </w:r>
      <w:r w:rsidR="00243828" w:rsidRPr="00B96B4F">
        <w:rPr>
          <w:rFonts w:cs="Segoe UI"/>
          <w:szCs w:val="22"/>
          <w:lang w:val="sk-SK"/>
        </w:rPr>
        <w:t>7</w:t>
      </w:r>
      <w:r w:rsidR="00694E97" w:rsidRPr="00B96B4F">
        <w:rPr>
          <w:rFonts w:cs="Segoe UI"/>
          <w:szCs w:val="22"/>
          <w:lang w:val="sk-SK"/>
        </w:rPr>
        <w:t> %</w:t>
      </w:r>
      <w:r w:rsidR="00243828" w:rsidRPr="00B96B4F">
        <w:rPr>
          <w:rFonts w:cs="Segoe UI"/>
          <w:szCs w:val="22"/>
          <w:lang w:val="sk-SK"/>
        </w:rPr>
        <w:t>).</w:t>
      </w:r>
      <w:r w:rsidR="00846017" w:rsidRPr="00B96B4F">
        <w:rPr>
          <w:rFonts w:cs="Segoe UI"/>
          <w:szCs w:val="22"/>
          <w:lang w:val="sk-SK"/>
        </w:rPr>
        <w:t xml:space="preserve"> </w:t>
      </w:r>
      <w:r w:rsidR="00694E97" w:rsidRPr="00B96B4F">
        <w:rPr>
          <w:rFonts w:cs="Segoe UI"/>
          <w:b/>
          <w:bCs/>
          <w:szCs w:val="22"/>
          <w:lang w:val="sk-SK"/>
        </w:rPr>
        <w:t xml:space="preserve">Organický </w:t>
      </w:r>
      <w:r w:rsidRPr="00B96B4F">
        <w:rPr>
          <w:rFonts w:cs="Segoe UI"/>
          <w:bCs/>
          <w:szCs w:val="22"/>
          <w:lang w:val="sk-SK"/>
        </w:rPr>
        <w:t>obrat</w:t>
      </w:r>
      <w:r w:rsidRPr="00B96B4F">
        <w:rPr>
          <w:rFonts w:cs="Segoe UI"/>
          <w:b/>
          <w:bCs/>
          <w:szCs w:val="22"/>
          <w:lang w:val="sk-SK"/>
        </w:rPr>
        <w:t xml:space="preserve"> </w:t>
      </w:r>
      <w:r w:rsidR="00C10DB5" w:rsidRPr="00B96B4F">
        <w:rPr>
          <w:rFonts w:cs="Segoe UI"/>
          <w:bCs/>
          <w:szCs w:val="22"/>
          <w:lang w:val="sk-SK"/>
        </w:rPr>
        <w:t xml:space="preserve">predstavoval </w:t>
      </w:r>
      <w:r w:rsidRPr="00B96B4F">
        <w:rPr>
          <w:rFonts w:cs="Segoe UI"/>
          <w:bCs/>
          <w:szCs w:val="22"/>
          <w:lang w:val="sk-SK"/>
        </w:rPr>
        <w:t>-</w:t>
      </w:r>
      <w:r w:rsidR="00694E97" w:rsidRPr="00B96B4F">
        <w:rPr>
          <w:rFonts w:cs="Segoe UI"/>
          <w:bCs/>
          <w:szCs w:val="22"/>
          <w:lang w:val="sk-SK"/>
        </w:rPr>
        <w:t>10,9</w:t>
      </w:r>
      <w:r w:rsidR="00C10DB5" w:rsidRPr="00B96B4F">
        <w:rPr>
          <w:rFonts w:cs="Segoe UI"/>
          <w:bCs/>
          <w:szCs w:val="22"/>
          <w:lang w:val="sk-SK"/>
        </w:rPr>
        <w:t> </w:t>
      </w:r>
      <w:r w:rsidR="00694E97" w:rsidRPr="00B96B4F">
        <w:rPr>
          <w:rFonts w:cs="Segoe UI"/>
          <w:bCs/>
          <w:szCs w:val="22"/>
          <w:lang w:val="sk-SK"/>
        </w:rPr>
        <w:t xml:space="preserve">% </w:t>
      </w:r>
      <w:r w:rsidR="00FD155E" w:rsidRPr="00B96B4F">
        <w:rPr>
          <w:rFonts w:cs="Segoe UI"/>
          <w:szCs w:val="22"/>
          <w:lang w:val="sk-SK"/>
        </w:rPr>
        <w:t>(</w:t>
      </w:r>
      <w:r w:rsidR="00C10DB5" w:rsidRPr="00B96B4F">
        <w:rPr>
          <w:rFonts w:cs="Segoe UI"/>
          <w:szCs w:val="22"/>
          <w:lang w:val="sk-SK"/>
        </w:rPr>
        <w:t xml:space="preserve">v </w:t>
      </w:r>
      <w:r w:rsidR="00FD155E" w:rsidRPr="00B96B4F">
        <w:rPr>
          <w:rFonts w:cs="Segoe UI"/>
          <w:szCs w:val="22"/>
          <w:lang w:val="sk-SK"/>
        </w:rPr>
        <w:t>2.</w:t>
      </w:r>
      <w:r w:rsidR="00C10DB5" w:rsidRPr="00B96B4F">
        <w:rPr>
          <w:rFonts w:cs="Segoe UI"/>
          <w:szCs w:val="22"/>
          <w:lang w:val="sk-SK"/>
        </w:rPr>
        <w:t> </w:t>
      </w:r>
      <w:r w:rsidR="00FD155E" w:rsidRPr="00B96B4F">
        <w:rPr>
          <w:rFonts w:cs="Segoe UI"/>
          <w:szCs w:val="22"/>
          <w:lang w:val="sk-SK"/>
        </w:rPr>
        <w:t>štvrťrok</w:t>
      </w:r>
      <w:r w:rsidR="00C10DB5" w:rsidRPr="00B96B4F">
        <w:rPr>
          <w:rFonts w:cs="Segoe UI"/>
          <w:szCs w:val="22"/>
          <w:lang w:val="sk-SK"/>
        </w:rPr>
        <w:t xml:space="preserve">u pokles na úrovni </w:t>
      </w:r>
      <w:r w:rsidR="00694E97" w:rsidRPr="00B96B4F">
        <w:rPr>
          <w:rFonts w:cs="Segoe UI"/>
          <w:szCs w:val="22"/>
          <w:lang w:val="sk-SK"/>
        </w:rPr>
        <w:t>-17,4 %)</w:t>
      </w:r>
      <w:r w:rsidR="00694E97" w:rsidRPr="00B96B4F">
        <w:rPr>
          <w:rFonts w:cs="Segoe UI"/>
          <w:bCs/>
          <w:szCs w:val="22"/>
          <w:lang w:val="sk-SK"/>
        </w:rPr>
        <w:t>.</w:t>
      </w:r>
      <w:r w:rsidR="00846017" w:rsidRPr="00B96B4F">
        <w:rPr>
          <w:rFonts w:cs="Segoe UI"/>
          <w:szCs w:val="22"/>
          <w:lang w:val="sk-SK"/>
        </w:rPr>
        <w:t xml:space="preserve"> </w:t>
      </w:r>
      <w:r w:rsidR="00694E97" w:rsidRPr="00B96B4F">
        <w:rPr>
          <w:rFonts w:cs="Segoe UI"/>
          <w:szCs w:val="22"/>
          <w:lang w:val="sk-SK"/>
        </w:rPr>
        <w:t xml:space="preserve">Vývoj </w:t>
      </w:r>
      <w:r w:rsidRPr="00B96B4F">
        <w:rPr>
          <w:rFonts w:cs="Segoe UI"/>
          <w:szCs w:val="22"/>
          <w:lang w:val="sk-SK"/>
        </w:rPr>
        <w:t>v prvej polovici roka a najmä v</w:t>
      </w:r>
      <w:r w:rsidR="00694E97" w:rsidRPr="00B96B4F">
        <w:rPr>
          <w:rFonts w:cs="Segoe UI"/>
          <w:szCs w:val="22"/>
          <w:lang w:val="sk-SK"/>
        </w:rPr>
        <w:t xml:space="preserve"> druhom štvrťroku bol ovplyvnený výrazným poklesom priemyselnej a automobilovej produkcie v dôsledku pandémie spôsobenej ochorením COVID-19.</w:t>
      </w:r>
      <w:r w:rsidR="007B58C6" w:rsidRPr="00B96B4F">
        <w:rPr>
          <w:rFonts w:cs="Segoe UI"/>
          <w:szCs w:val="22"/>
          <w:lang w:val="sk-SK"/>
        </w:rPr>
        <w:t xml:space="preserve"> </w:t>
      </w:r>
      <w:r w:rsidR="00694E97" w:rsidRPr="00B96B4F">
        <w:rPr>
          <w:rFonts w:cs="Segoe UI"/>
          <w:b/>
          <w:bCs/>
          <w:szCs w:val="22"/>
          <w:lang w:val="sk-SK"/>
        </w:rPr>
        <w:t xml:space="preserve">Upravený prevádzkový zisk </w:t>
      </w:r>
      <w:r w:rsidR="00694E97" w:rsidRPr="00B96B4F">
        <w:rPr>
          <w:rFonts w:cs="Segoe UI"/>
          <w:bCs/>
          <w:szCs w:val="22"/>
          <w:lang w:val="sk-SK"/>
        </w:rPr>
        <w:t>klesol o 36,6 % a dosiahol 543 mil. eur.</w:t>
      </w:r>
      <w:r w:rsidR="00846017" w:rsidRPr="00B96B4F">
        <w:rPr>
          <w:rFonts w:cs="Segoe UI"/>
          <w:szCs w:val="22"/>
          <w:lang w:val="sk-SK"/>
        </w:rPr>
        <w:t xml:space="preserve"> </w:t>
      </w:r>
      <w:r w:rsidR="00F376DB" w:rsidRPr="00B96B4F">
        <w:rPr>
          <w:rFonts w:cs="Segoe UI"/>
          <w:b/>
          <w:szCs w:val="22"/>
          <w:lang w:val="sk-SK"/>
        </w:rPr>
        <w:t xml:space="preserve">Upravená výnosnosť predaja </w:t>
      </w:r>
      <w:r w:rsidRPr="00B96B4F">
        <w:rPr>
          <w:rFonts w:cs="Segoe UI"/>
          <w:szCs w:val="22"/>
          <w:lang w:val="sk-SK"/>
        </w:rPr>
        <w:t xml:space="preserve">vo výške </w:t>
      </w:r>
      <w:r w:rsidR="00F376DB" w:rsidRPr="00B96B4F">
        <w:rPr>
          <w:rFonts w:cs="Segoe UI"/>
          <w:szCs w:val="22"/>
          <w:lang w:val="sk-SK"/>
        </w:rPr>
        <w:t xml:space="preserve">13,1 % zaostala </w:t>
      </w:r>
      <w:r w:rsidRPr="00B96B4F">
        <w:rPr>
          <w:rFonts w:cs="Segoe UI"/>
          <w:szCs w:val="22"/>
          <w:lang w:val="sk-SK"/>
        </w:rPr>
        <w:t>za úrovňou z </w:t>
      </w:r>
      <w:r w:rsidR="00F376DB" w:rsidRPr="00B96B4F">
        <w:rPr>
          <w:rFonts w:cs="Segoe UI"/>
          <w:szCs w:val="22"/>
          <w:lang w:val="sk-SK"/>
        </w:rPr>
        <w:t>prv</w:t>
      </w:r>
      <w:r w:rsidRPr="00B96B4F">
        <w:rPr>
          <w:rFonts w:cs="Segoe UI"/>
          <w:szCs w:val="22"/>
          <w:lang w:val="sk-SK"/>
        </w:rPr>
        <w:t xml:space="preserve">ého </w:t>
      </w:r>
      <w:r w:rsidR="00F376DB" w:rsidRPr="00B96B4F">
        <w:rPr>
          <w:rFonts w:cs="Segoe UI"/>
          <w:szCs w:val="22"/>
          <w:lang w:val="sk-SK"/>
        </w:rPr>
        <w:t>polrok</w:t>
      </w:r>
      <w:r w:rsidRPr="00B96B4F">
        <w:rPr>
          <w:rFonts w:cs="Segoe UI"/>
          <w:szCs w:val="22"/>
          <w:lang w:val="sk-SK"/>
        </w:rPr>
        <w:t xml:space="preserve">a </w:t>
      </w:r>
      <w:r w:rsidR="00F376DB" w:rsidRPr="00B96B4F">
        <w:rPr>
          <w:rFonts w:cs="Segoe UI"/>
          <w:szCs w:val="22"/>
          <w:lang w:val="sk-SK"/>
        </w:rPr>
        <w:t>2019.</w:t>
      </w:r>
      <w:r w:rsidR="00846017" w:rsidRPr="00B96B4F">
        <w:rPr>
          <w:rFonts w:cs="Segoe UI"/>
          <w:szCs w:val="22"/>
          <w:lang w:val="sk-SK"/>
        </w:rPr>
        <w:t xml:space="preserve"> </w:t>
      </w:r>
      <w:r w:rsidR="00F376DB" w:rsidRPr="00B96B4F">
        <w:rPr>
          <w:rFonts w:cs="Segoe UI"/>
          <w:szCs w:val="22"/>
          <w:lang w:val="sk-SK"/>
        </w:rPr>
        <w:t>Marža sa znížila najmä z dôvodu výrazne nižšieho objemu obratu v dôsledku pandémie.</w:t>
      </w:r>
    </w:p>
    <w:p w14:paraId="24801593" w14:textId="77777777" w:rsidR="00846017" w:rsidRPr="00B96B4F" w:rsidRDefault="00846017" w:rsidP="00846017">
      <w:pPr>
        <w:rPr>
          <w:rFonts w:cs="Segoe UI"/>
          <w:szCs w:val="22"/>
          <w:lang w:val="sk-SK"/>
        </w:rPr>
      </w:pPr>
    </w:p>
    <w:p w14:paraId="60C8701B" w14:textId="77777777" w:rsidR="00846017" w:rsidRPr="00B96B4F" w:rsidRDefault="004D0B60" w:rsidP="00AC01BF">
      <w:pPr>
        <w:spacing w:line="280" w:lineRule="auto"/>
        <w:rPr>
          <w:rFonts w:cs="Segoe UI"/>
          <w:szCs w:val="22"/>
          <w:lang w:val="sk-SK"/>
        </w:rPr>
      </w:pPr>
      <w:r w:rsidRPr="00B96B4F">
        <w:rPr>
          <w:rFonts w:cs="Segoe UI"/>
          <w:szCs w:val="22"/>
          <w:lang w:val="sk-SK"/>
        </w:rPr>
        <w:t xml:space="preserve">Divízia </w:t>
      </w:r>
      <w:proofErr w:type="spellStart"/>
      <w:r w:rsidRPr="00B96B4F">
        <w:rPr>
          <w:rFonts w:cs="Segoe UI"/>
          <w:b/>
          <w:szCs w:val="22"/>
          <w:lang w:val="sk-SK"/>
        </w:rPr>
        <w:t>Beauty</w:t>
      </w:r>
      <w:proofErr w:type="spellEnd"/>
      <w:r w:rsidRPr="00B96B4F">
        <w:rPr>
          <w:rFonts w:cs="Segoe UI"/>
          <w:b/>
          <w:szCs w:val="22"/>
          <w:lang w:val="sk-SK"/>
        </w:rPr>
        <w:t xml:space="preserve"> </w:t>
      </w:r>
      <w:proofErr w:type="spellStart"/>
      <w:r w:rsidRPr="00B96B4F">
        <w:rPr>
          <w:rFonts w:cs="Segoe UI"/>
          <w:b/>
          <w:szCs w:val="22"/>
          <w:lang w:val="sk-SK"/>
        </w:rPr>
        <w:t>Care</w:t>
      </w:r>
      <w:proofErr w:type="spellEnd"/>
      <w:r w:rsidRPr="00B96B4F">
        <w:rPr>
          <w:rFonts w:cs="Segoe UI"/>
          <w:szCs w:val="22"/>
          <w:lang w:val="sk-SK"/>
        </w:rPr>
        <w:t xml:space="preserve"> zaznamenala </w:t>
      </w:r>
      <w:r w:rsidR="004C7039" w:rsidRPr="00B96B4F">
        <w:rPr>
          <w:rFonts w:cs="Segoe UI"/>
          <w:szCs w:val="22"/>
          <w:lang w:val="sk-SK"/>
        </w:rPr>
        <w:t xml:space="preserve">v prvom polroku 2020 </w:t>
      </w:r>
      <w:r w:rsidRPr="00B96B4F">
        <w:rPr>
          <w:rFonts w:cs="Segoe UI"/>
          <w:szCs w:val="22"/>
          <w:lang w:val="sk-SK"/>
        </w:rPr>
        <w:t xml:space="preserve">pokles </w:t>
      </w:r>
      <w:r w:rsidRPr="00B96B4F">
        <w:rPr>
          <w:rFonts w:cs="Segoe UI"/>
          <w:b/>
          <w:szCs w:val="22"/>
          <w:lang w:val="sk-SK"/>
        </w:rPr>
        <w:t>organického</w:t>
      </w:r>
      <w:r w:rsidRPr="00B96B4F">
        <w:rPr>
          <w:rFonts w:cs="Segoe UI"/>
          <w:szCs w:val="22"/>
          <w:lang w:val="sk-SK"/>
        </w:rPr>
        <w:t xml:space="preserve"> obratu o </w:t>
      </w:r>
      <w:r w:rsidR="00BA749A" w:rsidRPr="00B96B4F">
        <w:rPr>
          <w:rFonts w:cs="Segoe UI"/>
          <w:szCs w:val="22"/>
          <w:lang w:val="sk-SK"/>
        </w:rPr>
        <w:t>8</w:t>
      </w:r>
      <w:r w:rsidRPr="00B96B4F">
        <w:rPr>
          <w:rFonts w:cs="Segoe UI"/>
          <w:szCs w:val="22"/>
          <w:lang w:val="sk-SK"/>
        </w:rPr>
        <w:t>,</w:t>
      </w:r>
      <w:r w:rsidR="00BA749A" w:rsidRPr="00B96B4F">
        <w:rPr>
          <w:rFonts w:cs="Segoe UI"/>
          <w:szCs w:val="22"/>
          <w:lang w:val="sk-SK"/>
        </w:rPr>
        <w:t>5 </w:t>
      </w:r>
      <w:r w:rsidRPr="00B96B4F">
        <w:rPr>
          <w:rFonts w:cs="Segoe UI"/>
          <w:szCs w:val="22"/>
          <w:lang w:val="sk-SK"/>
        </w:rPr>
        <w:t xml:space="preserve">% </w:t>
      </w:r>
      <w:r w:rsidR="00FD155E" w:rsidRPr="00B96B4F">
        <w:rPr>
          <w:rFonts w:cs="Segoe UI"/>
          <w:szCs w:val="22"/>
          <w:lang w:val="sk-SK"/>
        </w:rPr>
        <w:t>(2. štvrťrok:</w:t>
      </w:r>
      <w:r w:rsidR="00BA749A" w:rsidRPr="00B96B4F">
        <w:rPr>
          <w:rFonts w:cs="Segoe UI"/>
          <w:szCs w:val="22"/>
          <w:lang w:val="sk-SK"/>
        </w:rPr>
        <w:t xml:space="preserve"> </w:t>
      </w:r>
      <w:r w:rsidR="004C7039" w:rsidRPr="00B96B4F">
        <w:rPr>
          <w:rFonts w:cs="Segoe UI"/>
          <w:szCs w:val="22"/>
          <w:lang w:val="sk-SK"/>
        </w:rPr>
        <w:t>-</w:t>
      </w:r>
      <w:r w:rsidR="00BA749A" w:rsidRPr="00B96B4F">
        <w:rPr>
          <w:rFonts w:cs="Segoe UI"/>
          <w:szCs w:val="22"/>
          <w:lang w:val="sk-SK"/>
        </w:rPr>
        <w:t>12,8 %)</w:t>
      </w:r>
      <w:r w:rsidRPr="00B96B4F">
        <w:rPr>
          <w:rFonts w:cs="Segoe UI"/>
          <w:szCs w:val="22"/>
          <w:lang w:val="sk-SK"/>
        </w:rPr>
        <w:t>.</w:t>
      </w:r>
      <w:r w:rsidR="00846017" w:rsidRPr="00B96B4F">
        <w:rPr>
          <w:rFonts w:cs="Segoe UI"/>
          <w:szCs w:val="22"/>
          <w:lang w:val="sk-SK"/>
        </w:rPr>
        <w:t xml:space="preserve"> </w:t>
      </w:r>
      <w:r w:rsidR="00BA749A" w:rsidRPr="00B96B4F">
        <w:rPr>
          <w:rFonts w:cs="Segoe UI"/>
          <w:szCs w:val="22"/>
          <w:lang w:val="sk-SK"/>
        </w:rPr>
        <w:t>Nominálne obrat zaostal za predchádzajúcim rokom o 7,4</w:t>
      </w:r>
      <w:r w:rsidR="00F95A8D" w:rsidRPr="00B96B4F">
        <w:rPr>
          <w:rFonts w:cs="Segoe UI"/>
          <w:szCs w:val="22"/>
          <w:lang w:val="sk-SK"/>
        </w:rPr>
        <w:t> </w:t>
      </w:r>
      <w:r w:rsidR="00BA749A" w:rsidRPr="00B96B4F">
        <w:rPr>
          <w:rFonts w:cs="Segoe UI"/>
          <w:szCs w:val="22"/>
          <w:lang w:val="sk-SK"/>
        </w:rPr>
        <w:t xml:space="preserve">% a dosiahol </w:t>
      </w:r>
      <w:r w:rsidR="00F95A8D" w:rsidRPr="00B96B4F">
        <w:rPr>
          <w:rFonts w:cs="Segoe UI"/>
          <w:szCs w:val="22"/>
          <w:lang w:val="sk-SK"/>
        </w:rPr>
        <w:t xml:space="preserve">úroveň </w:t>
      </w:r>
      <w:r w:rsidR="00BA749A" w:rsidRPr="00B96B4F">
        <w:rPr>
          <w:rFonts w:cs="Segoe UI"/>
          <w:szCs w:val="22"/>
          <w:lang w:val="sk-SK"/>
        </w:rPr>
        <w:t xml:space="preserve">1 818 mil. eur </w:t>
      </w:r>
      <w:r w:rsidR="00FD155E" w:rsidRPr="00B96B4F">
        <w:rPr>
          <w:rFonts w:cs="Segoe UI"/>
          <w:szCs w:val="22"/>
          <w:lang w:val="sk-SK"/>
        </w:rPr>
        <w:t>(2. štvrťrok:</w:t>
      </w:r>
      <w:r w:rsidR="00AC01BF" w:rsidRPr="00B96B4F">
        <w:rPr>
          <w:rFonts w:cs="Segoe UI"/>
          <w:szCs w:val="22"/>
          <w:lang w:val="sk-SK"/>
        </w:rPr>
        <w:t xml:space="preserve"> 883 mil. eur</w:t>
      </w:r>
      <w:r w:rsidR="00FF0462" w:rsidRPr="00B96B4F">
        <w:rPr>
          <w:rFonts w:cs="Segoe UI"/>
          <w:szCs w:val="22"/>
          <w:lang w:val="sk-SK"/>
        </w:rPr>
        <w:t>;</w:t>
      </w:r>
      <w:r w:rsidR="00AC01BF" w:rsidRPr="00B96B4F">
        <w:rPr>
          <w:rFonts w:cs="Segoe UI"/>
          <w:szCs w:val="22"/>
          <w:lang w:val="sk-SK"/>
        </w:rPr>
        <w:t xml:space="preserve"> </w:t>
      </w:r>
      <w:r w:rsidR="004C7039" w:rsidRPr="00B96B4F">
        <w:rPr>
          <w:rFonts w:cs="Segoe UI"/>
          <w:szCs w:val="22"/>
          <w:lang w:val="sk-SK"/>
        </w:rPr>
        <w:t>-</w:t>
      </w:r>
      <w:r w:rsidR="00AC01BF" w:rsidRPr="00B96B4F">
        <w:rPr>
          <w:rFonts w:cs="Segoe UI"/>
          <w:szCs w:val="22"/>
          <w:lang w:val="sk-SK"/>
        </w:rPr>
        <w:t>11,9</w:t>
      </w:r>
      <w:r w:rsidR="004C7039" w:rsidRPr="00B96B4F">
        <w:rPr>
          <w:rFonts w:cs="Segoe UI"/>
          <w:szCs w:val="22"/>
          <w:lang w:val="sk-SK"/>
        </w:rPr>
        <w:t> </w:t>
      </w:r>
      <w:r w:rsidR="00AC01BF" w:rsidRPr="00B96B4F">
        <w:rPr>
          <w:rFonts w:cs="Segoe UI"/>
          <w:szCs w:val="22"/>
          <w:lang w:val="sk-SK"/>
        </w:rPr>
        <w:t>%)</w:t>
      </w:r>
      <w:r w:rsidR="00BA749A" w:rsidRPr="00B96B4F">
        <w:rPr>
          <w:rFonts w:cs="Segoe UI"/>
          <w:szCs w:val="22"/>
          <w:lang w:val="sk-SK"/>
        </w:rPr>
        <w:t>.</w:t>
      </w:r>
      <w:r w:rsidR="00846017" w:rsidRPr="00B96B4F">
        <w:rPr>
          <w:rFonts w:cs="Segoe UI"/>
          <w:szCs w:val="22"/>
          <w:lang w:val="sk-SK"/>
        </w:rPr>
        <w:t xml:space="preserve"> </w:t>
      </w:r>
      <w:r w:rsidR="00AC01BF" w:rsidRPr="00B96B4F">
        <w:rPr>
          <w:rFonts w:cs="Segoe UI"/>
          <w:szCs w:val="22"/>
          <w:lang w:val="sk-SK"/>
        </w:rPr>
        <w:t>Tento vývoj bol spôsobený najmä negatívnymi vplyvmi pandémie spôsobenej ochorením COVID-19 v segmente profesionálnej vlasovej kozmetiky.</w:t>
      </w:r>
      <w:r w:rsidR="007B58C6" w:rsidRPr="00B96B4F">
        <w:rPr>
          <w:rFonts w:cs="Segoe UI"/>
          <w:szCs w:val="22"/>
          <w:lang w:val="sk-SK"/>
        </w:rPr>
        <w:t xml:space="preserve"> </w:t>
      </w:r>
      <w:r w:rsidR="00AC01BF" w:rsidRPr="00B96B4F">
        <w:rPr>
          <w:rFonts w:cs="Segoe UI"/>
          <w:b/>
          <w:bCs/>
          <w:szCs w:val="22"/>
          <w:lang w:val="sk-SK"/>
        </w:rPr>
        <w:t xml:space="preserve">Upravený prevádzkový zisk </w:t>
      </w:r>
      <w:r w:rsidR="00AC01BF" w:rsidRPr="00B96B4F">
        <w:rPr>
          <w:rFonts w:cs="Segoe UI"/>
          <w:bCs/>
          <w:szCs w:val="22"/>
          <w:lang w:val="sk-SK"/>
        </w:rPr>
        <w:t>vo výške 172 mil. eur zaostal za úrovňou prvého polroka 2019 o 35,4</w:t>
      </w:r>
      <w:r w:rsidR="004C7039" w:rsidRPr="00B96B4F">
        <w:rPr>
          <w:rFonts w:cs="Segoe UI"/>
          <w:bCs/>
          <w:szCs w:val="22"/>
          <w:lang w:val="sk-SK"/>
        </w:rPr>
        <w:t> </w:t>
      </w:r>
      <w:r w:rsidR="00AC01BF" w:rsidRPr="00B96B4F">
        <w:rPr>
          <w:rFonts w:cs="Segoe UI"/>
          <w:bCs/>
          <w:szCs w:val="22"/>
          <w:lang w:val="sk-SK"/>
        </w:rPr>
        <w:t>%.</w:t>
      </w:r>
      <w:r w:rsidR="00846017" w:rsidRPr="00B96B4F">
        <w:rPr>
          <w:rFonts w:cs="Segoe UI"/>
          <w:szCs w:val="22"/>
          <w:lang w:val="sk-SK"/>
        </w:rPr>
        <w:t xml:space="preserve"> </w:t>
      </w:r>
      <w:r w:rsidR="00AC01BF" w:rsidRPr="00B96B4F">
        <w:rPr>
          <w:rFonts w:cs="Segoe UI"/>
          <w:b/>
          <w:bCs/>
          <w:szCs w:val="22"/>
          <w:lang w:val="sk-SK"/>
        </w:rPr>
        <w:t>Upravená výnosnosť predaja</w:t>
      </w:r>
      <w:r w:rsidR="00AC01BF" w:rsidRPr="00B96B4F">
        <w:rPr>
          <w:rFonts w:cs="Segoe UI"/>
          <w:szCs w:val="22"/>
          <w:lang w:val="sk-SK"/>
        </w:rPr>
        <w:t xml:space="preserve"> zaznamenala negatívny vývoj a dosiahla úroveň 9,4 % predovšetkým v dôsledku nižšieho objemu obratu v segmente profesionálnej vlasovej kozmetiky.</w:t>
      </w:r>
    </w:p>
    <w:p w14:paraId="0481B57F" w14:textId="77777777" w:rsidR="00D92179" w:rsidRPr="00B96B4F" w:rsidRDefault="00D92179" w:rsidP="00846017">
      <w:pPr>
        <w:rPr>
          <w:rFonts w:cs="Segoe UI"/>
          <w:szCs w:val="22"/>
          <w:lang w:val="sk-SK"/>
        </w:rPr>
      </w:pPr>
    </w:p>
    <w:p w14:paraId="7F1C7C02" w14:textId="77777777" w:rsidR="00846017" w:rsidRPr="00B96B4F" w:rsidRDefault="00AC01BF" w:rsidP="00CE50BC">
      <w:pPr>
        <w:spacing w:line="280" w:lineRule="auto"/>
        <w:rPr>
          <w:rFonts w:cs="Segoe UI"/>
          <w:szCs w:val="22"/>
          <w:lang w:val="sk-SK"/>
        </w:rPr>
      </w:pPr>
      <w:r w:rsidRPr="00B96B4F">
        <w:rPr>
          <w:rFonts w:cs="Segoe UI"/>
          <w:szCs w:val="22"/>
          <w:lang w:val="sk-SK"/>
        </w:rPr>
        <w:t xml:space="preserve">Divízia </w:t>
      </w:r>
      <w:r w:rsidRPr="00B96B4F">
        <w:rPr>
          <w:rFonts w:cs="Segoe UI"/>
          <w:b/>
          <w:szCs w:val="22"/>
          <w:lang w:val="sk-SK"/>
        </w:rPr>
        <w:t xml:space="preserve">Laundry &amp; Home </w:t>
      </w:r>
      <w:proofErr w:type="spellStart"/>
      <w:r w:rsidRPr="00B96B4F">
        <w:rPr>
          <w:rFonts w:cs="Segoe UI"/>
          <w:b/>
          <w:szCs w:val="22"/>
          <w:lang w:val="sk-SK"/>
        </w:rPr>
        <w:t>Care</w:t>
      </w:r>
      <w:proofErr w:type="spellEnd"/>
      <w:r w:rsidRPr="00B96B4F">
        <w:rPr>
          <w:rFonts w:cs="Segoe UI"/>
          <w:szCs w:val="22"/>
          <w:lang w:val="sk-SK"/>
        </w:rPr>
        <w:t xml:space="preserve"> </w:t>
      </w:r>
      <w:r w:rsidR="000160DF" w:rsidRPr="00B96B4F">
        <w:rPr>
          <w:rFonts w:cs="Segoe UI"/>
          <w:szCs w:val="22"/>
          <w:lang w:val="sk-SK"/>
        </w:rPr>
        <w:t xml:space="preserve">zaznamenala rast </w:t>
      </w:r>
      <w:r w:rsidRPr="00B96B4F">
        <w:rPr>
          <w:rFonts w:cs="Segoe UI"/>
          <w:b/>
          <w:szCs w:val="22"/>
          <w:lang w:val="sk-SK"/>
        </w:rPr>
        <w:t>organick</w:t>
      </w:r>
      <w:r w:rsidR="000160DF" w:rsidRPr="00B96B4F">
        <w:rPr>
          <w:rFonts w:cs="Segoe UI"/>
          <w:b/>
          <w:szCs w:val="22"/>
          <w:lang w:val="sk-SK"/>
        </w:rPr>
        <w:t>ého</w:t>
      </w:r>
      <w:r w:rsidRPr="00B96B4F">
        <w:rPr>
          <w:rFonts w:cs="Segoe UI"/>
          <w:b/>
          <w:szCs w:val="22"/>
          <w:lang w:val="sk-SK"/>
        </w:rPr>
        <w:t xml:space="preserve"> obratu </w:t>
      </w:r>
      <w:r w:rsidRPr="00B96B4F">
        <w:rPr>
          <w:rFonts w:cs="Segoe UI"/>
          <w:szCs w:val="22"/>
          <w:lang w:val="sk-SK"/>
        </w:rPr>
        <w:t xml:space="preserve">na úrovni 4,9 % </w:t>
      </w:r>
      <w:r w:rsidR="000160DF" w:rsidRPr="00B96B4F">
        <w:rPr>
          <w:rFonts w:cs="Segoe UI"/>
          <w:szCs w:val="22"/>
          <w:lang w:val="sk-SK"/>
        </w:rPr>
        <w:t xml:space="preserve">v prvom polroku 2020 </w:t>
      </w:r>
      <w:r w:rsidR="00FD155E" w:rsidRPr="00B96B4F">
        <w:rPr>
          <w:rFonts w:cs="Segoe UI"/>
          <w:szCs w:val="22"/>
          <w:lang w:val="sk-SK"/>
        </w:rPr>
        <w:t>(2. štvrťrok:</w:t>
      </w:r>
      <w:r w:rsidRPr="00B96B4F">
        <w:rPr>
          <w:rFonts w:cs="Segoe UI"/>
          <w:szCs w:val="22"/>
          <w:lang w:val="sk-SK"/>
        </w:rPr>
        <w:t xml:space="preserve"> 4,4</w:t>
      </w:r>
      <w:r w:rsidR="000160DF" w:rsidRPr="00B96B4F">
        <w:rPr>
          <w:rFonts w:cs="Segoe UI"/>
          <w:szCs w:val="22"/>
          <w:lang w:val="sk-SK"/>
        </w:rPr>
        <w:t> </w:t>
      </w:r>
      <w:r w:rsidRPr="00B96B4F">
        <w:rPr>
          <w:rFonts w:cs="Segoe UI"/>
          <w:szCs w:val="22"/>
          <w:lang w:val="sk-SK"/>
        </w:rPr>
        <w:t>%)</w:t>
      </w:r>
      <w:r w:rsidR="00846017" w:rsidRPr="00B96B4F">
        <w:rPr>
          <w:rFonts w:cs="Segoe UI"/>
          <w:szCs w:val="22"/>
          <w:lang w:val="sk-SK"/>
        </w:rPr>
        <w:t xml:space="preserve"> </w:t>
      </w:r>
      <w:r w:rsidRPr="00B96B4F">
        <w:rPr>
          <w:rFonts w:cs="Segoe UI"/>
          <w:szCs w:val="22"/>
          <w:lang w:val="sk-SK"/>
        </w:rPr>
        <w:t xml:space="preserve">Nominálne obrat vzrástol o 3,8 % </w:t>
      </w:r>
      <w:r w:rsidR="00CE50BC" w:rsidRPr="00B96B4F">
        <w:rPr>
          <w:rFonts w:cs="Segoe UI"/>
          <w:szCs w:val="22"/>
          <w:lang w:val="sk-SK"/>
        </w:rPr>
        <w:t>n</w:t>
      </w:r>
      <w:r w:rsidRPr="00B96B4F">
        <w:rPr>
          <w:rFonts w:cs="Segoe UI"/>
          <w:szCs w:val="22"/>
          <w:lang w:val="sk-SK"/>
        </w:rPr>
        <w:t xml:space="preserve">a 3 460 mil. eur </w:t>
      </w:r>
      <w:r w:rsidR="00FD155E" w:rsidRPr="00B96B4F">
        <w:rPr>
          <w:rFonts w:cs="Segoe UI"/>
          <w:szCs w:val="22"/>
          <w:lang w:val="sk-SK"/>
        </w:rPr>
        <w:t>(2. štvrťrok:</w:t>
      </w:r>
      <w:r w:rsidRPr="00B96B4F">
        <w:rPr>
          <w:rFonts w:cs="Segoe UI"/>
          <w:szCs w:val="22"/>
          <w:lang w:val="sk-SK"/>
        </w:rPr>
        <w:t xml:space="preserve"> 1 705 mil. eur</w:t>
      </w:r>
      <w:r w:rsidR="00FF0462" w:rsidRPr="00B96B4F">
        <w:rPr>
          <w:rFonts w:cs="Segoe UI"/>
          <w:szCs w:val="22"/>
          <w:lang w:val="sk-SK"/>
        </w:rPr>
        <w:t>;</w:t>
      </w:r>
      <w:r w:rsidRPr="00B96B4F">
        <w:rPr>
          <w:rFonts w:cs="Segoe UI"/>
          <w:szCs w:val="22"/>
          <w:lang w:val="sk-SK"/>
        </w:rPr>
        <w:t xml:space="preserve"> 2,3 %).</w:t>
      </w:r>
      <w:r w:rsidR="00846017" w:rsidRPr="00B96B4F">
        <w:rPr>
          <w:rFonts w:cs="Segoe UI"/>
          <w:szCs w:val="22"/>
          <w:lang w:val="sk-SK"/>
        </w:rPr>
        <w:t xml:space="preserve"> </w:t>
      </w:r>
      <w:r w:rsidR="00CE50BC" w:rsidRPr="00B96B4F">
        <w:rPr>
          <w:rFonts w:cs="Segoe UI"/>
          <w:b/>
          <w:szCs w:val="22"/>
          <w:lang w:val="sk-SK"/>
        </w:rPr>
        <w:t>Upravený prevádzkový zisk</w:t>
      </w:r>
      <w:r w:rsidR="00CE50BC" w:rsidRPr="00B96B4F">
        <w:rPr>
          <w:rFonts w:cs="Segoe UI"/>
          <w:szCs w:val="22"/>
          <w:lang w:val="sk-SK"/>
        </w:rPr>
        <w:t xml:space="preserve"> vo výške 531 mil. eur zaostal za úrovňou rovnakého obdobia predchádzajúceho roka o 6,0</w:t>
      </w:r>
      <w:r w:rsidR="000160DF" w:rsidRPr="00B96B4F">
        <w:rPr>
          <w:rFonts w:cs="Segoe UI"/>
          <w:szCs w:val="22"/>
          <w:lang w:val="sk-SK"/>
        </w:rPr>
        <w:t> </w:t>
      </w:r>
      <w:r w:rsidR="00CE50BC" w:rsidRPr="00B96B4F">
        <w:rPr>
          <w:rFonts w:cs="Segoe UI"/>
          <w:szCs w:val="22"/>
          <w:lang w:val="sk-SK"/>
        </w:rPr>
        <w:t>%.</w:t>
      </w:r>
      <w:r w:rsidR="00846017" w:rsidRPr="00B96B4F">
        <w:rPr>
          <w:rFonts w:cs="Segoe UI"/>
          <w:szCs w:val="22"/>
          <w:lang w:val="sk-SK"/>
        </w:rPr>
        <w:t xml:space="preserve"> </w:t>
      </w:r>
      <w:bookmarkStart w:id="1" w:name="_Hlk46226936"/>
      <w:r w:rsidR="00CE50BC" w:rsidRPr="00B96B4F">
        <w:rPr>
          <w:rFonts w:cs="Segoe UI"/>
          <w:b/>
          <w:szCs w:val="22"/>
          <w:lang w:val="sk-SK"/>
        </w:rPr>
        <w:t>Upravená výnosnosť predaja</w:t>
      </w:r>
      <w:r w:rsidR="00CE50BC" w:rsidRPr="00B96B4F">
        <w:rPr>
          <w:rFonts w:cs="Segoe UI"/>
          <w:szCs w:val="22"/>
          <w:lang w:val="sk-SK"/>
        </w:rPr>
        <w:t xml:space="preserve"> na úrovni 15,3 percent zaznamenala pokles v porovnaní s prvým polrokom 2019 najmä z dôvodu vyšších investícií do marketingu a reklamy, ako aj digitalizácie a IT</w:t>
      </w:r>
      <w:r w:rsidR="00CE50BC" w:rsidRPr="00B96B4F">
        <w:rPr>
          <w:rFonts w:cs="Segoe UI"/>
          <w:bCs/>
          <w:szCs w:val="22"/>
          <w:lang w:val="sk-SK"/>
        </w:rPr>
        <w:t>.</w:t>
      </w:r>
    </w:p>
    <w:bookmarkEnd w:id="1"/>
    <w:p w14:paraId="02CE65BF" w14:textId="77777777" w:rsidR="00846017" w:rsidRPr="00B96B4F" w:rsidRDefault="00846017" w:rsidP="00846017">
      <w:pPr>
        <w:rPr>
          <w:rFonts w:cs="Segoe UI"/>
          <w:b/>
          <w:szCs w:val="22"/>
          <w:lang w:val="sk-SK"/>
        </w:rPr>
      </w:pPr>
    </w:p>
    <w:p w14:paraId="4321FE2B" w14:textId="77777777" w:rsidR="00846017" w:rsidRPr="00B96B4F" w:rsidRDefault="00194E20" w:rsidP="00CE50BC">
      <w:pPr>
        <w:spacing w:after="120" w:line="280" w:lineRule="auto"/>
        <w:rPr>
          <w:rFonts w:cs="Segoe UI"/>
          <w:szCs w:val="22"/>
          <w:lang w:val="sk-SK"/>
        </w:rPr>
      </w:pPr>
      <w:r w:rsidRPr="00B96B4F">
        <w:rPr>
          <w:rFonts w:cs="Segoe UI"/>
          <w:b/>
          <w:szCs w:val="22"/>
          <w:lang w:val="sk-SK"/>
        </w:rPr>
        <w:t>Agenda účelného</w:t>
      </w:r>
      <w:r w:rsidR="00CE50BC" w:rsidRPr="00B96B4F">
        <w:rPr>
          <w:rFonts w:cs="Segoe UI"/>
          <w:b/>
          <w:szCs w:val="22"/>
          <w:lang w:val="sk-SK"/>
        </w:rPr>
        <w:t xml:space="preserve"> rastu: implementácia nového strategického rámca</w:t>
      </w:r>
    </w:p>
    <w:p w14:paraId="0A2090CB" w14:textId="77777777" w:rsidR="00846017" w:rsidRPr="008A4984" w:rsidRDefault="00AA54C6" w:rsidP="000E5D89">
      <w:pPr>
        <w:autoSpaceDE w:val="0"/>
        <w:autoSpaceDN w:val="0"/>
        <w:adjustRightInd w:val="0"/>
        <w:spacing w:line="280" w:lineRule="auto"/>
        <w:rPr>
          <w:rFonts w:cs="Segoe UI"/>
          <w:bCs/>
          <w:i/>
          <w:iCs/>
          <w:szCs w:val="22"/>
          <w:lang w:val="sk-SK"/>
        </w:rPr>
      </w:pPr>
      <w:r w:rsidRPr="00B96B4F">
        <w:rPr>
          <w:rFonts w:cs="Segoe UI"/>
          <w:szCs w:val="22"/>
          <w:lang w:val="sk-SK"/>
        </w:rPr>
        <w:t xml:space="preserve">Začiatkom marca 2020 </w:t>
      </w:r>
      <w:r w:rsidR="00FF0462" w:rsidRPr="00B96B4F">
        <w:rPr>
          <w:rFonts w:cs="Segoe UI"/>
          <w:szCs w:val="22"/>
          <w:lang w:val="sk-SK"/>
        </w:rPr>
        <w:t xml:space="preserve">spoločnosť </w:t>
      </w:r>
      <w:r w:rsidRPr="00B96B4F">
        <w:rPr>
          <w:rFonts w:cs="Segoe UI"/>
          <w:szCs w:val="22"/>
          <w:lang w:val="sk-SK"/>
        </w:rPr>
        <w:t>Henkel predstavil</w:t>
      </w:r>
      <w:r w:rsidR="00FF0462" w:rsidRPr="00B96B4F">
        <w:rPr>
          <w:rFonts w:cs="Segoe UI"/>
          <w:szCs w:val="22"/>
          <w:lang w:val="sk-SK"/>
        </w:rPr>
        <w:t>a</w:t>
      </w:r>
      <w:r w:rsidRPr="00B96B4F">
        <w:rPr>
          <w:rFonts w:cs="Segoe UI"/>
          <w:szCs w:val="22"/>
          <w:lang w:val="sk-SK"/>
        </w:rPr>
        <w:t> program svojho rastu na nasledujúce roky.</w:t>
      </w:r>
      <w:r w:rsidR="00846017" w:rsidRPr="00B96B4F">
        <w:rPr>
          <w:rFonts w:cs="Segoe UI"/>
          <w:szCs w:val="22"/>
          <w:lang w:val="sk-SK"/>
        </w:rPr>
        <w:t xml:space="preserve"> </w:t>
      </w:r>
      <w:r w:rsidR="00194E20" w:rsidRPr="00B96B4F">
        <w:rPr>
          <w:rFonts w:cs="Segoe UI"/>
          <w:szCs w:val="22"/>
          <w:lang w:val="sk-SK" w:eastAsia="de-DE"/>
        </w:rPr>
        <w:t xml:space="preserve">Spoločnosť vypracovala </w:t>
      </w:r>
      <w:r w:rsidR="000E5D89" w:rsidRPr="00B96B4F">
        <w:rPr>
          <w:rFonts w:cs="Segoe UI"/>
          <w:szCs w:val="22"/>
          <w:lang w:val="sk-SK" w:eastAsia="de-DE"/>
        </w:rPr>
        <w:t>jednoznačný strategický rámec</w:t>
      </w:r>
      <w:r w:rsidR="00E903B9" w:rsidRPr="00B96B4F">
        <w:rPr>
          <w:rFonts w:cs="Segoe UI"/>
          <w:szCs w:val="22"/>
          <w:lang w:val="sk-SK" w:eastAsia="de-DE"/>
        </w:rPr>
        <w:t>,</w:t>
      </w:r>
      <w:r w:rsidR="00846017" w:rsidRPr="00B96B4F">
        <w:rPr>
          <w:rFonts w:cs="Segoe UI"/>
          <w:szCs w:val="22"/>
          <w:lang w:val="sk-SK" w:eastAsia="de-DE"/>
        </w:rPr>
        <w:t xml:space="preserve"> </w:t>
      </w:r>
      <w:r w:rsidR="000E5D89" w:rsidRPr="00B96B4F">
        <w:rPr>
          <w:rFonts w:cs="Segoe UI"/>
          <w:szCs w:val="22"/>
          <w:lang w:val="sk-SK" w:eastAsia="de-DE"/>
        </w:rPr>
        <w:t xml:space="preserve">do </w:t>
      </w:r>
      <w:r w:rsidR="00E903B9" w:rsidRPr="00B96B4F">
        <w:rPr>
          <w:rFonts w:cs="Segoe UI"/>
          <w:szCs w:val="22"/>
          <w:lang w:val="sk-SK" w:eastAsia="de-DE"/>
        </w:rPr>
        <w:t xml:space="preserve">ktorého patrí </w:t>
      </w:r>
      <w:r w:rsidR="000E5D89" w:rsidRPr="00B96B4F">
        <w:rPr>
          <w:rFonts w:cs="Segoe UI"/>
          <w:szCs w:val="22"/>
          <w:lang w:val="sk-SK" w:eastAsia="de-DE"/>
        </w:rPr>
        <w:t>úspešné portfólio, konkurenčná výhoda najmä v oblastiach inováci</w:t>
      </w:r>
      <w:r w:rsidR="00194E20" w:rsidRPr="00B96B4F">
        <w:rPr>
          <w:rFonts w:cs="Segoe UI"/>
          <w:szCs w:val="22"/>
          <w:lang w:val="sk-SK" w:eastAsia="de-DE"/>
        </w:rPr>
        <w:t>í,</w:t>
      </w:r>
      <w:r w:rsidR="000E5D89" w:rsidRPr="00B96B4F">
        <w:rPr>
          <w:rFonts w:cs="Segoe UI"/>
          <w:szCs w:val="22"/>
          <w:lang w:val="sk-SK" w:eastAsia="de-DE"/>
        </w:rPr>
        <w:t xml:space="preserve"> udržateľnosti a digitalizácie, prevádzkový model pripravený na budúcnosť, ak</w:t>
      </w:r>
      <w:r w:rsidR="00194E20" w:rsidRPr="00B96B4F">
        <w:rPr>
          <w:rFonts w:cs="Segoe UI"/>
          <w:szCs w:val="22"/>
          <w:lang w:val="sk-SK" w:eastAsia="de-DE"/>
        </w:rPr>
        <w:t>o</w:t>
      </w:r>
      <w:r w:rsidR="000E5D89" w:rsidRPr="00B96B4F">
        <w:rPr>
          <w:rFonts w:cs="Segoe UI"/>
          <w:szCs w:val="22"/>
          <w:lang w:val="sk-SK" w:eastAsia="de-DE"/>
        </w:rPr>
        <w:t xml:space="preserve"> aj </w:t>
      </w:r>
      <w:r w:rsidR="00194E20" w:rsidRPr="00B96B4F">
        <w:rPr>
          <w:rFonts w:cs="Segoe UI"/>
          <w:szCs w:val="22"/>
          <w:lang w:val="sk-SK" w:eastAsia="de-DE"/>
        </w:rPr>
        <w:t>silná</w:t>
      </w:r>
      <w:r w:rsidR="000E5D89" w:rsidRPr="00B96B4F">
        <w:rPr>
          <w:rFonts w:cs="Segoe UI"/>
          <w:szCs w:val="22"/>
          <w:lang w:val="sk-SK" w:eastAsia="de-DE"/>
        </w:rPr>
        <w:t xml:space="preserve"> podniková kultúra.</w:t>
      </w:r>
      <w:r w:rsidR="00846017" w:rsidRPr="00B96B4F">
        <w:rPr>
          <w:rFonts w:cs="Segoe UI"/>
          <w:szCs w:val="22"/>
          <w:lang w:val="sk-SK" w:eastAsia="de-DE"/>
        </w:rPr>
        <w:t xml:space="preserve"> </w:t>
      </w:r>
      <w:r w:rsidR="000E5D89" w:rsidRPr="008A4984">
        <w:rPr>
          <w:rFonts w:cs="Segoe UI"/>
          <w:bCs/>
          <w:i/>
          <w:iCs/>
          <w:szCs w:val="22"/>
          <w:lang w:val="sk-SK"/>
        </w:rPr>
        <w:t xml:space="preserve">„Tento strategický rámec nám pomôže k úspechu spoločnosti Henkel v 20. rokoch s jednoznačným zameraním na </w:t>
      </w:r>
      <w:r w:rsidR="00194E20" w:rsidRPr="008A4984">
        <w:rPr>
          <w:rFonts w:cs="Segoe UI"/>
          <w:bCs/>
          <w:i/>
          <w:iCs/>
          <w:szCs w:val="22"/>
          <w:lang w:val="sk-SK"/>
        </w:rPr>
        <w:t xml:space="preserve">účelný </w:t>
      </w:r>
      <w:r w:rsidR="000E5D89" w:rsidRPr="008A4984">
        <w:rPr>
          <w:rFonts w:cs="Segoe UI"/>
          <w:bCs/>
          <w:i/>
          <w:iCs/>
          <w:szCs w:val="22"/>
          <w:lang w:val="sk-SK"/>
        </w:rPr>
        <w:t>rast,“</w:t>
      </w:r>
      <w:r w:rsidR="000E5D89" w:rsidRPr="00B96B4F">
        <w:rPr>
          <w:rFonts w:cs="Segoe UI"/>
          <w:bCs/>
          <w:szCs w:val="22"/>
          <w:lang w:val="sk-SK"/>
        </w:rPr>
        <w:t xml:space="preserve"> vysvetlil Carsten </w:t>
      </w:r>
      <w:proofErr w:type="spellStart"/>
      <w:r w:rsidR="000E5D89" w:rsidRPr="00B96B4F">
        <w:rPr>
          <w:rFonts w:cs="Segoe UI"/>
          <w:bCs/>
          <w:szCs w:val="22"/>
          <w:lang w:val="sk-SK"/>
        </w:rPr>
        <w:t>Knobel</w:t>
      </w:r>
      <w:proofErr w:type="spellEnd"/>
      <w:r w:rsidR="000E5D89" w:rsidRPr="00B96B4F">
        <w:rPr>
          <w:rFonts w:cs="Segoe UI"/>
          <w:bCs/>
          <w:szCs w:val="22"/>
          <w:lang w:val="sk-SK"/>
        </w:rPr>
        <w:t>.</w:t>
      </w:r>
      <w:r w:rsidR="00846017" w:rsidRPr="00B96B4F">
        <w:rPr>
          <w:rFonts w:cs="Segoe UI"/>
          <w:bCs/>
          <w:szCs w:val="22"/>
          <w:lang w:val="sk-SK"/>
        </w:rPr>
        <w:t xml:space="preserve"> </w:t>
      </w:r>
      <w:r w:rsidR="000E5D89" w:rsidRPr="008A4984">
        <w:rPr>
          <w:rFonts w:cs="Segoe UI"/>
          <w:bCs/>
          <w:i/>
          <w:iCs/>
          <w:szCs w:val="22"/>
          <w:lang w:val="sk-SK"/>
        </w:rPr>
        <w:t>„Od marcového oznámenia sme už dosiahli výrazný pokrok v iniciovaní prvých činností a</w:t>
      </w:r>
      <w:r w:rsidR="00FF0462" w:rsidRPr="008A4984">
        <w:rPr>
          <w:rFonts w:cs="Segoe UI"/>
          <w:bCs/>
          <w:i/>
          <w:iCs/>
          <w:szCs w:val="22"/>
          <w:lang w:val="sk-SK"/>
        </w:rPr>
        <w:t> </w:t>
      </w:r>
      <w:r w:rsidR="000E5D89" w:rsidRPr="008A4984">
        <w:rPr>
          <w:rFonts w:cs="Segoe UI"/>
          <w:bCs/>
          <w:i/>
          <w:iCs/>
          <w:szCs w:val="22"/>
          <w:lang w:val="sk-SK"/>
        </w:rPr>
        <w:t>implement</w:t>
      </w:r>
      <w:r w:rsidR="00FF0462" w:rsidRPr="008A4984">
        <w:rPr>
          <w:rFonts w:cs="Segoe UI"/>
          <w:bCs/>
          <w:i/>
          <w:iCs/>
          <w:szCs w:val="22"/>
          <w:lang w:val="sk-SK"/>
        </w:rPr>
        <w:t xml:space="preserve">ácii </w:t>
      </w:r>
      <w:r w:rsidR="000E5D89" w:rsidRPr="008A4984">
        <w:rPr>
          <w:rFonts w:cs="Segoe UI"/>
          <w:bCs/>
          <w:i/>
          <w:iCs/>
          <w:szCs w:val="22"/>
          <w:lang w:val="sk-SK"/>
        </w:rPr>
        <w:t>opatrení.“</w:t>
      </w:r>
    </w:p>
    <w:p w14:paraId="1E5F65B5" w14:textId="77777777" w:rsidR="00846017" w:rsidRPr="00B96B4F" w:rsidRDefault="00846017" w:rsidP="00846017">
      <w:pPr>
        <w:rPr>
          <w:rFonts w:cs="Segoe UI"/>
          <w:szCs w:val="22"/>
          <w:lang w:val="sk-SK" w:eastAsia="de-DE"/>
        </w:rPr>
      </w:pPr>
    </w:p>
    <w:p w14:paraId="4CCD9FCE" w14:textId="77777777" w:rsidR="00EC0E64" w:rsidRPr="00B96B4F" w:rsidRDefault="000E5D89" w:rsidP="00E74710">
      <w:pPr>
        <w:autoSpaceDE w:val="0"/>
        <w:autoSpaceDN w:val="0"/>
        <w:adjustRightInd w:val="0"/>
        <w:spacing w:line="280" w:lineRule="auto"/>
        <w:rPr>
          <w:rFonts w:cs="Segoe UI"/>
          <w:bCs/>
          <w:szCs w:val="22"/>
          <w:lang w:val="sk-SK"/>
        </w:rPr>
      </w:pPr>
      <w:r w:rsidRPr="00B96B4F">
        <w:rPr>
          <w:rFonts w:cs="Segoe UI"/>
          <w:bCs/>
          <w:szCs w:val="22"/>
          <w:lang w:val="sk-SK"/>
        </w:rPr>
        <w:t xml:space="preserve">Kľúčovým prvkom budúceho smerovania spoločnosti Henkel je </w:t>
      </w:r>
      <w:r w:rsidRPr="00B96B4F">
        <w:rPr>
          <w:rFonts w:cs="Segoe UI"/>
          <w:b/>
          <w:bCs/>
          <w:szCs w:val="22"/>
          <w:lang w:val="sk-SK"/>
        </w:rPr>
        <w:t>aktívne riadenie portfólia</w:t>
      </w:r>
      <w:r w:rsidRPr="00B96B4F">
        <w:rPr>
          <w:rFonts w:cs="Segoe UI"/>
          <w:bCs/>
          <w:szCs w:val="22"/>
          <w:lang w:val="sk-SK"/>
        </w:rPr>
        <w:t>.</w:t>
      </w:r>
      <w:r w:rsidR="00846017" w:rsidRPr="00B96B4F">
        <w:rPr>
          <w:rFonts w:cs="Segoe UI"/>
          <w:b/>
          <w:szCs w:val="22"/>
          <w:lang w:val="sk-SK"/>
        </w:rPr>
        <w:t xml:space="preserve"> </w:t>
      </w:r>
      <w:r w:rsidRPr="00B96B4F">
        <w:rPr>
          <w:rFonts w:cs="Segoe UI"/>
          <w:bCs/>
          <w:szCs w:val="22"/>
          <w:lang w:val="sk-SK"/>
        </w:rPr>
        <w:t>Spoločnosť Henkel identifikovala značky a kategórie produktov s celkovým objemom obratu viac než jedna miliarda eur, predovšetkým vo svojich segmentoch spotrebného tovaru, z ktorých približne 50 % plánuje do konca roka 2021 odpredať alebo zrušiť ich výrobu.</w:t>
      </w:r>
      <w:r w:rsidR="00846017" w:rsidRPr="00B96B4F">
        <w:rPr>
          <w:rFonts w:cs="Segoe UI"/>
          <w:bCs/>
          <w:szCs w:val="22"/>
          <w:lang w:val="sk-SK"/>
        </w:rPr>
        <w:t xml:space="preserve"> </w:t>
      </w:r>
      <w:r w:rsidR="009A1F86" w:rsidRPr="00B96B4F">
        <w:rPr>
          <w:rFonts w:cs="Segoe UI"/>
          <w:bCs/>
          <w:szCs w:val="22"/>
          <w:lang w:val="sk-SK"/>
        </w:rPr>
        <w:t xml:space="preserve">Napriek súčasnej vysokej miere neistoty na trhoch spoločnosť </w:t>
      </w:r>
      <w:r w:rsidRPr="00B96B4F">
        <w:rPr>
          <w:rFonts w:cs="Segoe UI"/>
          <w:bCs/>
          <w:szCs w:val="22"/>
          <w:lang w:val="sk-SK"/>
        </w:rPr>
        <w:t xml:space="preserve">Henkel </w:t>
      </w:r>
      <w:r w:rsidR="009A1F86" w:rsidRPr="00B96B4F">
        <w:rPr>
          <w:rFonts w:cs="Segoe UI"/>
          <w:bCs/>
          <w:szCs w:val="22"/>
          <w:lang w:val="sk-SK"/>
        </w:rPr>
        <w:t xml:space="preserve">opätovne potvrdila </w:t>
      </w:r>
      <w:r w:rsidR="00E74710" w:rsidRPr="00B96B4F">
        <w:rPr>
          <w:rFonts w:cs="Segoe UI"/>
          <w:bCs/>
          <w:szCs w:val="22"/>
          <w:lang w:val="sk-SK"/>
        </w:rPr>
        <w:t xml:space="preserve">opatrenia </w:t>
      </w:r>
      <w:r w:rsidR="00E74710" w:rsidRPr="00B96B4F">
        <w:rPr>
          <w:rFonts w:cs="Segoe UI"/>
          <w:bCs/>
          <w:szCs w:val="22"/>
          <w:lang w:val="sk-SK"/>
        </w:rPr>
        <w:lastRenderedPageBreak/>
        <w:t>v rámci portfólia, ktoré sa majú vykonať v oznámenom časovom rámci</w:t>
      </w:r>
      <w:r w:rsidRPr="00B96B4F">
        <w:rPr>
          <w:rFonts w:cs="Segoe UI"/>
          <w:bCs/>
          <w:szCs w:val="22"/>
          <w:lang w:val="sk-SK"/>
        </w:rPr>
        <w:t>.</w:t>
      </w:r>
      <w:r w:rsidR="00E547FE" w:rsidRPr="00B96B4F">
        <w:rPr>
          <w:rFonts w:cs="Segoe UI"/>
          <w:bCs/>
          <w:szCs w:val="22"/>
          <w:lang w:val="sk-SK"/>
        </w:rPr>
        <w:t xml:space="preserve"> </w:t>
      </w:r>
      <w:r w:rsidR="00E74710" w:rsidRPr="00B96B4F">
        <w:rPr>
          <w:rFonts w:cs="Segoe UI"/>
          <w:bCs/>
          <w:szCs w:val="22"/>
          <w:lang w:val="sk-SK"/>
        </w:rPr>
        <w:t>V prieb</w:t>
      </w:r>
      <w:r w:rsidR="00E05783" w:rsidRPr="00B96B4F">
        <w:rPr>
          <w:rFonts w:cs="Segoe UI"/>
          <w:bCs/>
          <w:szCs w:val="22"/>
          <w:lang w:val="sk-SK"/>
        </w:rPr>
        <w:t xml:space="preserve">ehu tohto roka </w:t>
      </w:r>
      <w:r w:rsidR="00E903B9" w:rsidRPr="00B96B4F">
        <w:rPr>
          <w:rFonts w:cs="Segoe UI"/>
          <w:bCs/>
          <w:szCs w:val="22"/>
          <w:lang w:val="sk-SK"/>
        </w:rPr>
        <w:t xml:space="preserve">spoločnosť </w:t>
      </w:r>
      <w:r w:rsidR="00E05783" w:rsidRPr="00B96B4F">
        <w:rPr>
          <w:rFonts w:cs="Segoe UI"/>
          <w:bCs/>
          <w:szCs w:val="22"/>
          <w:lang w:val="sk-SK"/>
        </w:rPr>
        <w:t>Henkel už zrušil</w:t>
      </w:r>
      <w:r w:rsidR="00E903B9" w:rsidRPr="00B96B4F">
        <w:rPr>
          <w:rFonts w:cs="Segoe UI"/>
          <w:bCs/>
          <w:szCs w:val="22"/>
          <w:lang w:val="sk-SK"/>
        </w:rPr>
        <w:t>a</w:t>
      </w:r>
      <w:r w:rsidR="00E05783" w:rsidRPr="00B96B4F">
        <w:rPr>
          <w:rFonts w:cs="Segoe UI"/>
          <w:bCs/>
          <w:szCs w:val="22"/>
          <w:lang w:val="sk-SK"/>
        </w:rPr>
        <w:t xml:space="preserve"> výrobu a uzatvoril</w:t>
      </w:r>
      <w:r w:rsidR="00E903B9" w:rsidRPr="00B96B4F">
        <w:rPr>
          <w:rFonts w:cs="Segoe UI"/>
          <w:bCs/>
          <w:szCs w:val="22"/>
          <w:lang w:val="sk-SK"/>
        </w:rPr>
        <w:t>a</w:t>
      </w:r>
      <w:r w:rsidR="00E74710" w:rsidRPr="00B96B4F">
        <w:rPr>
          <w:rFonts w:cs="Segoe UI"/>
          <w:bCs/>
          <w:szCs w:val="22"/>
          <w:lang w:val="sk-SK"/>
        </w:rPr>
        <w:t xml:space="preserve"> odpredaje v celkovom objeme obratu vo výške približne 80 mil.</w:t>
      </w:r>
      <w:r w:rsidR="00E05783" w:rsidRPr="00B96B4F">
        <w:rPr>
          <w:rFonts w:cs="Segoe UI"/>
          <w:bCs/>
          <w:szCs w:val="22"/>
          <w:lang w:val="sk-SK"/>
        </w:rPr>
        <w:t> </w:t>
      </w:r>
      <w:r w:rsidR="00E74710" w:rsidRPr="00B96B4F">
        <w:rPr>
          <w:rFonts w:cs="Segoe UI"/>
          <w:bCs/>
          <w:szCs w:val="22"/>
          <w:lang w:val="sk-SK"/>
        </w:rPr>
        <w:t>eur, a to najmä v</w:t>
      </w:r>
      <w:r w:rsidR="00E05783" w:rsidRPr="00B96B4F">
        <w:rPr>
          <w:rFonts w:cs="Segoe UI"/>
          <w:bCs/>
          <w:szCs w:val="22"/>
          <w:lang w:val="sk-SK"/>
        </w:rPr>
        <w:t xml:space="preserve"> obchodnej </w:t>
      </w:r>
      <w:r w:rsidR="00E74710" w:rsidRPr="00B96B4F">
        <w:rPr>
          <w:rFonts w:cs="Segoe UI"/>
          <w:bCs/>
          <w:szCs w:val="22"/>
          <w:lang w:val="sk-SK"/>
        </w:rPr>
        <w:t>divízii Adhesive Technologies.</w:t>
      </w:r>
    </w:p>
    <w:p w14:paraId="07786D84" w14:textId="35CAA0F5" w:rsidR="00EC0E64" w:rsidRPr="00B96B4F" w:rsidRDefault="008A4984" w:rsidP="009918DD">
      <w:pPr>
        <w:autoSpaceDE w:val="0"/>
        <w:autoSpaceDN w:val="0"/>
        <w:adjustRightInd w:val="0"/>
        <w:rPr>
          <w:rFonts w:cs="Segoe UI"/>
          <w:bCs/>
          <w:szCs w:val="22"/>
          <w:lang w:val="sk-SK"/>
        </w:rPr>
      </w:pPr>
      <w:r>
        <w:rPr>
          <w:rFonts w:cs="Segoe UI"/>
          <w:bCs/>
          <w:noProof/>
          <w:szCs w:val="22"/>
          <w:lang w:val="sk-SK" w:eastAsia="sk-SK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61D6DD" wp14:editId="2C222AA4">
                <wp:simplePos x="0" y="0"/>
                <wp:positionH relativeFrom="margin">
                  <wp:posOffset>-41910</wp:posOffset>
                </wp:positionH>
                <wp:positionV relativeFrom="paragraph">
                  <wp:posOffset>-3251200</wp:posOffset>
                </wp:positionV>
                <wp:extent cx="5850890" cy="273050"/>
                <wp:effectExtent l="0" t="0" r="0" b="0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89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3CD255" w14:textId="77777777" w:rsidR="00C10DB5" w:rsidRPr="009504AB" w:rsidRDefault="00C10DB5" w:rsidP="00E74710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236491">
                              <w:rPr>
                                <w:sz w:val="14"/>
                                <w:szCs w:val="14"/>
                              </w:rPr>
                              <w:t xml:space="preserve">* </w:t>
                            </w:r>
                            <w:r w:rsidRPr="009504AB">
                              <w:rPr>
                                <w:sz w:val="16"/>
                                <w:szCs w:val="16"/>
                              </w:rPr>
                              <w:t>GE is a trademark of General Electric Company, used under license.</w:t>
                            </w:r>
                          </w:p>
                          <w:p w14:paraId="4A5DE823" w14:textId="77777777" w:rsidR="00C10DB5" w:rsidRPr="00236491" w:rsidRDefault="00C10DB5" w:rsidP="00E7471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1D6DD" id="Textfeld 7" o:spid="_x0000_s1028" type="#_x0000_t202" style="position:absolute;left:0;text-align:left;margin-left:-3.3pt;margin-top:-256pt;width:460.7pt;height:2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" stroked="f">
                <v:textbox>
                  <w:txbxContent>
                    <w:p w14:paraId="3A3CD255" w14:textId="77777777" w:rsidR="00C10DB5" w:rsidRPr="009504AB" w:rsidRDefault="00C10DB5" w:rsidP="00E74710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 w:rsidRPr="00236491">
                        <w:rPr>
                          <w:sz w:val="14"/>
                          <w:szCs w:val="14"/>
                        </w:rPr>
                        <w:t xml:space="preserve">* </w:t>
                      </w:r>
                      <w:r w:rsidRPr="009504AB">
                        <w:rPr>
                          <w:sz w:val="16"/>
                          <w:szCs w:val="16"/>
                        </w:rPr>
                        <w:t>GE is a trademark of General Electric Company, used under license.</w:t>
                      </w:r>
                    </w:p>
                    <w:p w14:paraId="4A5DE823" w14:textId="77777777" w:rsidR="00C10DB5" w:rsidRPr="00236491" w:rsidRDefault="00C10DB5" w:rsidP="00E74710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0E25F7" w14:textId="77777777" w:rsidR="0086088F" w:rsidRPr="00B96B4F" w:rsidRDefault="00E74710" w:rsidP="00DF216B">
      <w:pPr>
        <w:autoSpaceDE w:val="0"/>
        <w:autoSpaceDN w:val="0"/>
        <w:adjustRightInd w:val="0"/>
        <w:spacing w:line="280" w:lineRule="auto"/>
        <w:rPr>
          <w:rFonts w:cs="Segoe UI"/>
          <w:bCs/>
          <w:szCs w:val="22"/>
          <w:lang w:val="sk-SK"/>
        </w:rPr>
      </w:pPr>
      <w:r w:rsidRPr="00B96B4F">
        <w:rPr>
          <w:rFonts w:cs="Segoe UI"/>
          <w:bCs/>
          <w:szCs w:val="22"/>
          <w:lang w:val="sk-SK"/>
        </w:rPr>
        <w:t>Popri aktívnom riadení portfólia zostávajú akvizície neoddeliteľnou súčasťou stratégie spoločnosti Henkel.</w:t>
      </w:r>
      <w:r w:rsidR="006E1FA9" w:rsidRPr="00B96B4F">
        <w:rPr>
          <w:rFonts w:cs="Segoe UI"/>
          <w:bCs/>
          <w:szCs w:val="22"/>
          <w:lang w:val="sk-SK"/>
        </w:rPr>
        <w:t xml:space="preserve"> </w:t>
      </w:r>
      <w:r w:rsidR="00FF0462" w:rsidRPr="00B96B4F">
        <w:rPr>
          <w:rFonts w:cs="Segoe UI"/>
          <w:bCs/>
          <w:szCs w:val="22"/>
          <w:lang w:val="sk-SK"/>
        </w:rPr>
        <w:t xml:space="preserve">Spoločnosť </w:t>
      </w:r>
      <w:r w:rsidRPr="00B96B4F">
        <w:rPr>
          <w:rFonts w:cs="Segoe UI"/>
          <w:bCs/>
          <w:szCs w:val="22"/>
          <w:lang w:val="sk-SK"/>
        </w:rPr>
        <w:t>nedávno uzavrel</w:t>
      </w:r>
      <w:r w:rsidR="00FF0462" w:rsidRPr="00B96B4F">
        <w:rPr>
          <w:rFonts w:cs="Segoe UI"/>
          <w:bCs/>
          <w:szCs w:val="22"/>
          <w:lang w:val="sk-SK"/>
        </w:rPr>
        <w:t>a</w:t>
      </w:r>
      <w:r w:rsidRPr="00B96B4F">
        <w:rPr>
          <w:rFonts w:cs="Segoe UI"/>
          <w:bCs/>
          <w:szCs w:val="22"/>
          <w:lang w:val="sk-SK"/>
        </w:rPr>
        <w:t xml:space="preserve"> dve transakcie s celkovou kúpnou cenou približne 500 mil. eur.</w:t>
      </w:r>
      <w:r w:rsidR="00EC0E64" w:rsidRPr="00B96B4F">
        <w:rPr>
          <w:rFonts w:cs="Segoe UI"/>
          <w:bCs/>
          <w:szCs w:val="22"/>
          <w:lang w:val="sk-SK"/>
        </w:rPr>
        <w:t xml:space="preserve"> </w:t>
      </w:r>
      <w:r w:rsidRPr="00B96B4F">
        <w:rPr>
          <w:rFonts w:cs="Segoe UI"/>
          <w:bCs/>
          <w:szCs w:val="22"/>
          <w:lang w:val="sk-SK"/>
        </w:rPr>
        <w:t xml:space="preserve">V rámci divízie </w:t>
      </w:r>
      <w:proofErr w:type="spellStart"/>
      <w:r w:rsidRPr="00B96B4F">
        <w:rPr>
          <w:rFonts w:cs="Segoe UI"/>
          <w:bCs/>
          <w:szCs w:val="22"/>
          <w:lang w:val="sk-SK"/>
        </w:rPr>
        <w:t>Beauty</w:t>
      </w:r>
      <w:proofErr w:type="spellEnd"/>
      <w:r w:rsidRPr="00B96B4F">
        <w:rPr>
          <w:rFonts w:cs="Segoe UI"/>
          <w:bCs/>
          <w:szCs w:val="22"/>
          <w:lang w:val="sk-SK"/>
        </w:rPr>
        <w:t xml:space="preserve"> </w:t>
      </w:r>
      <w:proofErr w:type="spellStart"/>
      <w:r w:rsidRPr="00B96B4F">
        <w:rPr>
          <w:rFonts w:cs="Segoe UI"/>
          <w:bCs/>
          <w:szCs w:val="22"/>
          <w:lang w:val="sk-SK"/>
        </w:rPr>
        <w:t>Care</w:t>
      </w:r>
      <w:proofErr w:type="spellEnd"/>
      <w:r w:rsidRPr="00B96B4F">
        <w:rPr>
          <w:rFonts w:cs="Segoe UI"/>
          <w:bCs/>
          <w:szCs w:val="22"/>
          <w:lang w:val="sk-SK"/>
        </w:rPr>
        <w:t xml:space="preserve"> Henkel rozširuje svoje digitálne </w:t>
      </w:r>
      <w:r w:rsidR="00E05783" w:rsidRPr="00B96B4F">
        <w:rPr>
          <w:rFonts w:cs="Segoe UI"/>
          <w:bCs/>
          <w:szCs w:val="22"/>
          <w:lang w:val="sk-SK"/>
        </w:rPr>
        <w:t>aktivity</w:t>
      </w:r>
      <w:r w:rsidRPr="00B96B4F">
        <w:rPr>
          <w:rFonts w:cs="Segoe UI"/>
          <w:bCs/>
          <w:szCs w:val="22"/>
          <w:lang w:val="sk-SK"/>
        </w:rPr>
        <w:t xml:space="preserve"> v oblasti priameho predaja spotrebiteľom (</w:t>
      </w:r>
      <w:proofErr w:type="spellStart"/>
      <w:r w:rsidRPr="00B96B4F">
        <w:rPr>
          <w:rFonts w:cs="Segoe UI"/>
          <w:bCs/>
          <w:szCs w:val="22"/>
          <w:lang w:val="sk-SK"/>
        </w:rPr>
        <w:t>direct</w:t>
      </w:r>
      <w:proofErr w:type="spellEnd"/>
      <w:r w:rsidRPr="00B96B4F">
        <w:rPr>
          <w:rFonts w:cs="Segoe UI"/>
          <w:bCs/>
          <w:szCs w:val="22"/>
          <w:lang w:val="sk-SK"/>
        </w:rPr>
        <w:t>-to-</w:t>
      </w:r>
      <w:proofErr w:type="spellStart"/>
      <w:r w:rsidRPr="00B96B4F">
        <w:rPr>
          <w:rFonts w:cs="Segoe UI"/>
          <w:bCs/>
          <w:szCs w:val="22"/>
          <w:lang w:val="sk-SK"/>
        </w:rPr>
        <w:t>consumer</w:t>
      </w:r>
      <w:proofErr w:type="spellEnd"/>
      <w:r w:rsidRPr="00B96B4F">
        <w:rPr>
          <w:rFonts w:cs="Segoe UI"/>
          <w:bCs/>
          <w:szCs w:val="22"/>
          <w:lang w:val="sk-SK"/>
        </w:rPr>
        <w:t xml:space="preserve">/D2C) akvizíciou väčšinového podielu </w:t>
      </w:r>
      <w:r w:rsidR="00DF216B" w:rsidRPr="00B96B4F">
        <w:rPr>
          <w:rFonts w:cs="Segoe UI"/>
          <w:bCs/>
          <w:szCs w:val="22"/>
          <w:lang w:val="sk-SK"/>
        </w:rPr>
        <w:t>na</w:t>
      </w:r>
      <w:r w:rsidRPr="00B96B4F">
        <w:rPr>
          <w:rFonts w:cs="Segoe UI"/>
          <w:bCs/>
          <w:szCs w:val="22"/>
          <w:lang w:val="sk-SK"/>
        </w:rPr>
        <w:t> obchodných činnostiach, ktoré pozostávajú z troch rýchlorastúcich prémiových značiek v oblasti kozmetiky.</w:t>
      </w:r>
      <w:r w:rsidR="009918DD" w:rsidRPr="00B96B4F">
        <w:rPr>
          <w:rFonts w:cs="Segoe UI"/>
          <w:bCs/>
          <w:szCs w:val="22"/>
          <w:lang w:val="sk-SK"/>
        </w:rPr>
        <w:t xml:space="preserve"> </w:t>
      </w:r>
      <w:r w:rsidR="00DF216B" w:rsidRPr="00B96B4F">
        <w:rPr>
          <w:rFonts w:cs="Segoe UI"/>
          <w:bCs/>
          <w:szCs w:val="22"/>
          <w:lang w:val="sk-SK"/>
        </w:rPr>
        <w:t>Pokiaľ ide o divíziu Adhesive Technologies, Henkel posil</w:t>
      </w:r>
      <w:r w:rsidR="00E05783" w:rsidRPr="00B96B4F">
        <w:rPr>
          <w:rFonts w:cs="Segoe UI"/>
          <w:bCs/>
          <w:szCs w:val="22"/>
          <w:lang w:val="sk-SK"/>
        </w:rPr>
        <w:t xml:space="preserve">ní </w:t>
      </w:r>
      <w:r w:rsidR="00DF216B" w:rsidRPr="00B96B4F">
        <w:rPr>
          <w:rFonts w:cs="Segoe UI"/>
          <w:bCs/>
          <w:szCs w:val="22"/>
          <w:lang w:val="sk-SK"/>
        </w:rPr>
        <w:t>svoju pozíciu v segmente lepiacich a tesniacich hmôt pre spotrebiteľov a remeselníkov v Severnej Amerike prostredníctvom akvizície atraktívneho spotrebiteľského portfólia tesniacich hmôt, ktoré sa predávajú pod značkou GE*.</w:t>
      </w:r>
      <w:r w:rsidR="0086088F" w:rsidRPr="00B96B4F">
        <w:rPr>
          <w:rFonts w:cs="Segoe UI"/>
          <w:bCs/>
          <w:szCs w:val="22"/>
          <w:lang w:val="sk-SK"/>
        </w:rPr>
        <w:t xml:space="preserve"> </w:t>
      </w:r>
      <w:r w:rsidR="00DF216B" w:rsidRPr="00B96B4F">
        <w:rPr>
          <w:rFonts w:cs="Segoe UI"/>
          <w:bCs/>
          <w:szCs w:val="22"/>
          <w:lang w:val="sk-SK"/>
        </w:rPr>
        <w:t>Táto akvizícia zahŕňa sortiment silikónových tesniacich hmôt pre rôzne aplikácie.</w:t>
      </w:r>
    </w:p>
    <w:p w14:paraId="63D3335E" w14:textId="77777777" w:rsidR="00846017" w:rsidRPr="00B96B4F" w:rsidRDefault="00E05783" w:rsidP="00DF216B">
      <w:pPr>
        <w:autoSpaceDE w:val="0"/>
        <w:autoSpaceDN w:val="0"/>
        <w:adjustRightInd w:val="0"/>
        <w:spacing w:line="280" w:lineRule="auto"/>
        <w:rPr>
          <w:rFonts w:cs="Segoe UI"/>
          <w:bCs/>
          <w:szCs w:val="22"/>
          <w:lang w:val="sk-SK"/>
        </w:rPr>
      </w:pPr>
      <w:r w:rsidRPr="00B96B4F">
        <w:rPr>
          <w:rFonts w:cs="Segoe UI"/>
          <w:bCs/>
          <w:szCs w:val="22"/>
          <w:lang w:val="sk-SK"/>
        </w:rPr>
        <w:t xml:space="preserve">S cieľom ďalej posilniť svoju </w:t>
      </w:r>
      <w:r w:rsidRPr="00B96B4F">
        <w:rPr>
          <w:rFonts w:cs="Segoe UI"/>
          <w:b/>
          <w:bCs/>
          <w:szCs w:val="22"/>
          <w:lang w:val="sk-SK"/>
        </w:rPr>
        <w:t>konkurenčnú výhodu</w:t>
      </w:r>
      <w:r w:rsidRPr="00B96B4F">
        <w:rPr>
          <w:rFonts w:cs="Segoe UI"/>
          <w:bCs/>
          <w:szCs w:val="22"/>
          <w:lang w:val="sk-SK"/>
        </w:rPr>
        <w:t xml:space="preserve"> sa Henkel zameria na zrýchlenie prínosných </w:t>
      </w:r>
      <w:r w:rsidRPr="00B96B4F">
        <w:rPr>
          <w:rFonts w:cs="Segoe UI"/>
          <w:b/>
          <w:bCs/>
          <w:szCs w:val="22"/>
          <w:lang w:val="sk-SK"/>
        </w:rPr>
        <w:t>inovácií</w:t>
      </w:r>
      <w:r w:rsidRPr="00B96B4F">
        <w:rPr>
          <w:rFonts w:cs="Segoe UI"/>
          <w:bCs/>
          <w:szCs w:val="22"/>
          <w:lang w:val="sk-SK"/>
        </w:rPr>
        <w:t xml:space="preserve">, na posilnenie </w:t>
      </w:r>
      <w:r w:rsidRPr="00B96B4F">
        <w:rPr>
          <w:rFonts w:cs="Segoe UI"/>
          <w:b/>
          <w:bCs/>
          <w:szCs w:val="22"/>
          <w:lang w:val="sk-SK"/>
        </w:rPr>
        <w:t>udržateľnosti</w:t>
      </w:r>
      <w:r w:rsidRPr="00B96B4F">
        <w:rPr>
          <w:rFonts w:cs="Segoe UI"/>
          <w:bCs/>
          <w:szCs w:val="22"/>
          <w:lang w:val="sk-SK"/>
        </w:rPr>
        <w:t xml:space="preserve"> ako faktora na odlíšenie sa od konkurencie a na transformáciu </w:t>
      </w:r>
      <w:r w:rsidRPr="00B96B4F">
        <w:rPr>
          <w:rFonts w:cs="Segoe UI"/>
          <w:b/>
          <w:bCs/>
          <w:szCs w:val="22"/>
          <w:lang w:val="sk-SK"/>
        </w:rPr>
        <w:t>digitálnych služieb</w:t>
      </w:r>
      <w:r w:rsidRPr="00B96B4F">
        <w:rPr>
          <w:rFonts w:cs="Segoe UI"/>
          <w:bCs/>
          <w:szCs w:val="22"/>
          <w:lang w:val="sk-SK"/>
        </w:rPr>
        <w:t xml:space="preserve"> na tvorcu zákazníckych a spotrebiteľských hodnôt</w:t>
      </w:r>
      <w:r w:rsidR="00DF216B" w:rsidRPr="00B96B4F">
        <w:rPr>
          <w:rFonts w:cs="Segoe UI"/>
          <w:bCs/>
          <w:szCs w:val="22"/>
          <w:lang w:val="sk-SK"/>
        </w:rPr>
        <w:t>.</w:t>
      </w:r>
    </w:p>
    <w:p w14:paraId="386697A8" w14:textId="77777777" w:rsidR="00846017" w:rsidRPr="00B96B4F" w:rsidRDefault="00846017" w:rsidP="00846017">
      <w:pPr>
        <w:autoSpaceDE w:val="0"/>
        <w:autoSpaceDN w:val="0"/>
        <w:adjustRightInd w:val="0"/>
        <w:rPr>
          <w:rFonts w:cs="Segoe UI"/>
          <w:bCs/>
          <w:szCs w:val="22"/>
          <w:lang w:val="sk-SK"/>
        </w:rPr>
      </w:pPr>
    </w:p>
    <w:p w14:paraId="52D4E132" w14:textId="77777777" w:rsidR="00A61481" w:rsidRPr="00B96B4F" w:rsidRDefault="00DF216B" w:rsidP="00DF216B">
      <w:pPr>
        <w:autoSpaceDE w:val="0"/>
        <w:autoSpaceDN w:val="0"/>
        <w:adjustRightInd w:val="0"/>
        <w:spacing w:line="280" w:lineRule="auto"/>
        <w:rPr>
          <w:rFonts w:cs="Segoe UI"/>
          <w:bCs/>
          <w:szCs w:val="22"/>
          <w:lang w:val="sk-SK"/>
        </w:rPr>
      </w:pPr>
      <w:r w:rsidRPr="00B96B4F">
        <w:rPr>
          <w:rFonts w:cs="Segoe UI"/>
          <w:bCs/>
          <w:szCs w:val="22"/>
          <w:lang w:val="sk-SK"/>
        </w:rPr>
        <w:t xml:space="preserve">Cieľom spoločnosti Henkel je urýchliť prínosné </w:t>
      </w:r>
      <w:r w:rsidRPr="00B96B4F">
        <w:rPr>
          <w:rFonts w:cs="Segoe UI"/>
          <w:b/>
          <w:bCs/>
          <w:szCs w:val="22"/>
          <w:lang w:val="sk-SK"/>
        </w:rPr>
        <w:t xml:space="preserve">inovácie </w:t>
      </w:r>
      <w:r w:rsidRPr="00B96B4F">
        <w:rPr>
          <w:rFonts w:cs="Segoe UI"/>
          <w:bCs/>
          <w:szCs w:val="22"/>
          <w:lang w:val="sk-SK"/>
        </w:rPr>
        <w:t>s podporou zvýšených investícií.</w:t>
      </w:r>
      <w:r w:rsidR="00846017" w:rsidRPr="00B96B4F">
        <w:rPr>
          <w:rFonts w:cs="Segoe UI"/>
          <w:bCs/>
          <w:szCs w:val="22"/>
          <w:lang w:val="sk-SK"/>
        </w:rPr>
        <w:t xml:space="preserve"> </w:t>
      </w:r>
      <w:r w:rsidRPr="00B96B4F">
        <w:rPr>
          <w:rFonts w:cs="Segoe UI"/>
          <w:bCs/>
          <w:szCs w:val="22"/>
          <w:lang w:val="sk-SK"/>
        </w:rPr>
        <w:t xml:space="preserve">Ich súčasťou bude aj posilnený </w:t>
      </w:r>
      <w:r w:rsidRPr="00B96B4F">
        <w:rPr>
          <w:rFonts w:cs="Segoe UI"/>
          <w:b/>
          <w:bCs/>
          <w:szCs w:val="22"/>
          <w:lang w:val="sk-SK"/>
        </w:rPr>
        <w:t>inovačný prístup</w:t>
      </w:r>
      <w:r w:rsidRPr="00B96B4F">
        <w:rPr>
          <w:rFonts w:cs="Segoe UI"/>
          <w:bCs/>
          <w:szCs w:val="22"/>
          <w:lang w:val="sk-SK"/>
        </w:rPr>
        <w:t>.</w:t>
      </w:r>
      <w:r w:rsidR="00846017" w:rsidRPr="00B96B4F">
        <w:rPr>
          <w:rFonts w:cs="Segoe UI"/>
          <w:bCs/>
          <w:szCs w:val="22"/>
          <w:lang w:val="sk-SK"/>
        </w:rPr>
        <w:t xml:space="preserve"> </w:t>
      </w:r>
      <w:r w:rsidRPr="00B96B4F">
        <w:rPr>
          <w:rFonts w:cs="Segoe UI"/>
          <w:bCs/>
          <w:szCs w:val="22"/>
          <w:lang w:val="sk-SK"/>
        </w:rPr>
        <w:t>Inovácie a značky budú konzistentne podporované investíciami v kľúčových kategóriách a regiónoch.</w:t>
      </w:r>
      <w:r w:rsidR="00846017" w:rsidRPr="00B96B4F">
        <w:rPr>
          <w:rFonts w:cs="Segoe UI"/>
          <w:bCs/>
          <w:szCs w:val="22"/>
          <w:lang w:val="sk-SK"/>
        </w:rPr>
        <w:t xml:space="preserve"> </w:t>
      </w:r>
      <w:r w:rsidRPr="00B96B4F">
        <w:rPr>
          <w:rFonts w:cs="Segoe UI"/>
          <w:bCs/>
          <w:szCs w:val="22"/>
          <w:lang w:val="sk-SK"/>
        </w:rPr>
        <w:t xml:space="preserve">Spoločnosť Henkel sa preto zaviazala </w:t>
      </w:r>
      <w:r w:rsidRPr="00B96B4F">
        <w:rPr>
          <w:rFonts w:cs="Segoe UI"/>
          <w:b/>
          <w:bCs/>
          <w:szCs w:val="22"/>
          <w:lang w:val="sk-SK"/>
        </w:rPr>
        <w:t>ďalej zvýšiť investície do rastu</w:t>
      </w:r>
      <w:r w:rsidRPr="00B96B4F">
        <w:rPr>
          <w:rFonts w:cs="Segoe UI"/>
          <w:bCs/>
          <w:szCs w:val="22"/>
          <w:lang w:val="sk-SK"/>
        </w:rPr>
        <w:t xml:space="preserve"> v oblasti reklamy, digitalizácie a IT.</w:t>
      </w:r>
      <w:r w:rsidR="00006A45" w:rsidRPr="00B96B4F">
        <w:rPr>
          <w:rFonts w:cs="Segoe UI"/>
          <w:bCs/>
          <w:szCs w:val="22"/>
          <w:lang w:val="sk-SK"/>
        </w:rPr>
        <w:t xml:space="preserve"> </w:t>
      </w:r>
      <w:r w:rsidRPr="00B96B4F">
        <w:rPr>
          <w:rFonts w:cs="Segoe UI"/>
          <w:bCs/>
          <w:szCs w:val="22"/>
          <w:lang w:val="sk-SK"/>
        </w:rPr>
        <w:t xml:space="preserve">Počas prvých šiestich mesiacov tohto roka </w:t>
      </w:r>
      <w:r w:rsidR="001A3600" w:rsidRPr="00B96B4F">
        <w:rPr>
          <w:rFonts w:cs="Segoe UI"/>
          <w:bCs/>
          <w:szCs w:val="22"/>
          <w:lang w:val="sk-SK"/>
        </w:rPr>
        <w:t>aj</w:t>
      </w:r>
      <w:r w:rsidRPr="00B96B4F">
        <w:rPr>
          <w:rFonts w:cs="Segoe UI"/>
          <w:bCs/>
          <w:szCs w:val="22"/>
          <w:lang w:val="sk-SK"/>
        </w:rPr>
        <w:t> napriek makroekonomickým výzvam spoločnosť</w:t>
      </w:r>
      <w:r w:rsidR="00E0237E" w:rsidRPr="00B96B4F">
        <w:rPr>
          <w:rFonts w:cs="Segoe UI"/>
          <w:bCs/>
          <w:szCs w:val="22"/>
          <w:lang w:val="sk-SK"/>
        </w:rPr>
        <w:t xml:space="preserve"> Henkel</w:t>
      </w:r>
      <w:r w:rsidRPr="00B96B4F">
        <w:rPr>
          <w:rFonts w:cs="Segoe UI"/>
          <w:bCs/>
          <w:szCs w:val="22"/>
          <w:lang w:val="sk-SK"/>
        </w:rPr>
        <w:t xml:space="preserve"> zvýšila tieto investície o vysokú dvojcifernú sumu v miliónoch eur.</w:t>
      </w:r>
    </w:p>
    <w:p w14:paraId="4BD01AD9" w14:textId="77777777" w:rsidR="00846017" w:rsidRPr="00B96B4F" w:rsidRDefault="00846017" w:rsidP="00846017">
      <w:pPr>
        <w:autoSpaceDE w:val="0"/>
        <w:autoSpaceDN w:val="0"/>
        <w:adjustRightInd w:val="0"/>
        <w:rPr>
          <w:rFonts w:cs="Segoe UI"/>
          <w:bCs/>
          <w:szCs w:val="22"/>
          <w:lang w:val="sk-SK"/>
        </w:rPr>
      </w:pPr>
    </w:p>
    <w:p w14:paraId="09A2CEF4" w14:textId="77777777" w:rsidR="00385438" w:rsidRPr="00B96B4F" w:rsidRDefault="00E0237E" w:rsidP="003E46C9">
      <w:pPr>
        <w:autoSpaceDE w:val="0"/>
        <w:autoSpaceDN w:val="0"/>
        <w:adjustRightInd w:val="0"/>
        <w:spacing w:line="280" w:lineRule="auto"/>
        <w:rPr>
          <w:rFonts w:cs="Segoe UI"/>
          <w:bCs/>
          <w:szCs w:val="22"/>
          <w:lang w:val="sk-SK"/>
        </w:rPr>
      </w:pPr>
      <w:r w:rsidRPr="00B96B4F">
        <w:rPr>
          <w:rFonts w:cs="Segoe UI"/>
          <w:bCs/>
          <w:szCs w:val="22"/>
          <w:lang w:val="sk-SK"/>
        </w:rPr>
        <w:t xml:space="preserve">V rámci divízie </w:t>
      </w:r>
      <w:r w:rsidR="00DF216B" w:rsidRPr="00B96B4F">
        <w:rPr>
          <w:rFonts w:cs="Segoe UI"/>
          <w:bCs/>
          <w:szCs w:val="22"/>
          <w:lang w:val="sk-SK"/>
        </w:rPr>
        <w:t>Adhesive Technologies</w:t>
      </w:r>
      <w:r w:rsidRPr="00B96B4F">
        <w:rPr>
          <w:rFonts w:cs="Segoe UI"/>
          <w:bCs/>
          <w:szCs w:val="22"/>
          <w:lang w:val="sk-SK"/>
        </w:rPr>
        <w:t xml:space="preserve"> </w:t>
      </w:r>
      <w:r w:rsidR="00DF216B" w:rsidRPr="00B96B4F">
        <w:rPr>
          <w:rFonts w:cs="Segoe UI"/>
          <w:bCs/>
          <w:szCs w:val="22"/>
          <w:lang w:val="sk-SK"/>
        </w:rPr>
        <w:t xml:space="preserve">Henkel </w:t>
      </w:r>
      <w:r w:rsidRPr="00B96B4F">
        <w:rPr>
          <w:rFonts w:cs="Segoe UI"/>
          <w:bCs/>
          <w:szCs w:val="22"/>
          <w:lang w:val="sk-SK"/>
        </w:rPr>
        <w:t>pokračovala v investíciách do svojho moderného in</w:t>
      </w:r>
      <w:r w:rsidR="003E46C9" w:rsidRPr="00B96B4F">
        <w:rPr>
          <w:rFonts w:cs="Segoe UI"/>
          <w:bCs/>
          <w:szCs w:val="22"/>
          <w:lang w:val="sk-SK"/>
        </w:rPr>
        <w:t>o</w:t>
      </w:r>
      <w:r w:rsidRPr="00B96B4F">
        <w:rPr>
          <w:rFonts w:cs="Segoe UI"/>
          <w:bCs/>
          <w:szCs w:val="22"/>
          <w:lang w:val="sk-SK"/>
        </w:rPr>
        <w:t xml:space="preserve">vačného centra v </w:t>
      </w:r>
      <w:proofErr w:type="spellStart"/>
      <w:r w:rsidR="00DF216B" w:rsidRPr="00B96B4F">
        <w:rPr>
          <w:rFonts w:cs="Segoe UI"/>
          <w:bCs/>
          <w:szCs w:val="22"/>
          <w:lang w:val="sk-SK"/>
        </w:rPr>
        <w:t>Düsseldorf</w:t>
      </w:r>
      <w:r w:rsidR="003E46C9" w:rsidRPr="00B96B4F">
        <w:rPr>
          <w:rFonts w:cs="Segoe UI"/>
          <w:bCs/>
          <w:szCs w:val="22"/>
          <w:lang w:val="sk-SK"/>
        </w:rPr>
        <w:t>e</w:t>
      </w:r>
      <w:proofErr w:type="spellEnd"/>
      <w:r w:rsidR="00DF216B" w:rsidRPr="00B96B4F">
        <w:rPr>
          <w:rFonts w:cs="Segoe UI"/>
          <w:bCs/>
          <w:szCs w:val="22"/>
          <w:lang w:val="sk-SK"/>
        </w:rPr>
        <w:t>.</w:t>
      </w:r>
      <w:r w:rsidR="00846017" w:rsidRPr="00B96B4F">
        <w:rPr>
          <w:rFonts w:cs="Segoe UI"/>
          <w:bCs/>
          <w:szCs w:val="22"/>
          <w:lang w:val="sk-SK"/>
        </w:rPr>
        <w:t xml:space="preserve"> </w:t>
      </w:r>
      <w:r w:rsidR="003E46C9" w:rsidRPr="00B96B4F">
        <w:rPr>
          <w:rFonts w:cs="Segoe UI"/>
          <w:bCs/>
          <w:szCs w:val="22"/>
          <w:lang w:val="sk-SK"/>
        </w:rPr>
        <w:t xml:space="preserve">V spotrebiteľských odvetviach Henkel </w:t>
      </w:r>
      <w:r w:rsidR="00E903B9" w:rsidRPr="00B96B4F">
        <w:rPr>
          <w:rFonts w:cs="Segoe UI"/>
          <w:bCs/>
          <w:szCs w:val="22"/>
          <w:lang w:val="sk-SK"/>
        </w:rPr>
        <w:t xml:space="preserve">urýchlene </w:t>
      </w:r>
      <w:r w:rsidR="003E46C9" w:rsidRPr="00B96B4F">
        <w:rPr>
          <w:rFonts w:cs="Segoe UI"/>
          <w:bCs/>
          <w:szCs w:val="22"/>
          <w:lang w:val="sk-SK"/>
        </w:rPr>
        <w:t>rozšírila portfólio o ďalšie produkty v oblasti hygieny a zvýšila výrobné kapacity pre nové čistiace prípravky na ruky a čistiace prostriedky v rámci rôznych regiónov.</w:t>
      </w:r>
    </w:p>
    <w:p w14:paraId="45EA0B21" w14:textId="77777777" w:rsidR="00385438" w:rsidRPr="00B96B4F" w:rsidRDefault="00385438" w:rsidP="00846017">
      <w:pPr>
        <w:autoSpaceDE w:val="0"/>
        <w:autoSpaceDN w:val="0"/>
        <w:adjustRightInd w:val="0"/>
        <w:rPr>
          <w:rFonts w:cs="Segoe UI"/>
          <w:bCs/>
          <w:szCs w:val="22"/>
          <w:lang w:val="sk-SK"/>
        </w:rPr>
      </w:pPr>
    </w:p>
    <w:p w14:paraId="3EB9DC70" w14:textId="07DF2BFB" w:rsidR="00846017" w:rsidRPr="00B96B4F" w:rsidRDefault="008A4984" w:rsidP="00B81455">
      <w:pPr>
        <w:autoSpaceDE w:val="0"/>
        <w:autoSpaceDN w:val="0"/>
        <w:adjustRightInd w:val="0"/>
        <w:spacing w:line="280" w:lineRule="auto"/>
        <w:rPr>
          <w:rFonts w:cs="Segoe UI"/>
          <w:bCs/>
          <w:szCs w:val="22"/>
          <w:lang w:val="sk-SK"/>
        </w:rPr>
      </w:pPr>
      <w:r>
        <w:rPr>
          <w:rFonts w:cs="Segoe UI"/>
          <w:bCs/>
          <w:noProof/>
          <w:szCs w:val="22"/>
          <w:lang w:val="sk-SK" w:eastAsia="sk-SK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F7CA483" wp14:editId="1306D327">
                <wp:simplePos x="0" y="0"/>
                <wp:positionH relativeFrom="margin">
                  <wp:posOffset>-142875</wp:posOffset>
                </wp:positionH>
                <wp:positionV relativeFrom="paragraph">
                  <wp:posOffset>2133600</wp:posOffset>
                </wp:positionV>
                <wp:extent cx="4683760" cy="273050"/>
                <wp:effectExtent l="0" t="0" r="0" b="0"/>
                <wp:wrapNone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376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F4C884" w14:textId="77777777" w:rsidR="00C672DD" w:rsidRPr="00741A2F" w:rsidRDefault="00C672DD" w:rsidP="00C672D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sz w:val="16"/>
                                <w:szCs w:val="16"/>
                                <w:lang w:val="sk-SK"/>
                              </w:rPr>
                            </w:pPr>
                            <w:r w:rsidRPr="00741A2F">
                              <w:rPr>
                                <w:sz w:val="16"/>
                                <w:szCs w:val="16"/>
                                <w:lang w:val="sk-SK"/>
                              </w:rPr>
                              <w:t xml:space="preserve">* </w:t>
                            </w:r>
                            <w:r w:rsidRPr="00C672DD">
                              <w:rPr>
                                <w:sz w:val="16"/>
                                <w:szCs w:val="16"/>
                                <w:lang w:val="sk-SK"/>
                              </w:rPr>
                              <w:t xml:space="preserve">GE je obchodnou značkou spoločnosti General Electric </w:t>
                            </w:r>
                            <w:proofErr w:type="spellStart"/>
                            <w:r w:rsidRPr="00C672DD">
                              <w:rPr>
                                <w:sz w:val="16"/>
                                <w:szCs w:val="16"/>
                                <w:lang w:val="sk-SK"/>
                              </w:rPr>
                              <w:t>Company</w:t>
                            </w:r>
                            <w:proofErr w:type="spellEnd"/>
                            <w:r w:rsidRPr="00C672DD">
                              <w:rPr>
                                <w:sz w:val="16"/>
                                <w:szCs w:val="16"/>
                                <w:lang w:val="sk-SK"/>
                              </w:rPr>
                              <w:t>, použité v súlade s licenciou</w:t>
                            </w:r>
                            <w:r w:rsidRPr="00741A2F">
                              <w:rPr>
                                <w:sz w:val="16"/>
                                <w:szCs w:val="16"/>
                                <w:lang w:val="sk-SK"/>
                              </w:rPr>
                              <w:t>.</w:t>
                            </w:r>
                          </w:p>
                          <w:p w14:paraId="3FBD6345" w14:textId="77777777" w:rsidR="00C672DD" w:rsidRPr="00741A2F" w:rsidRDefault="00C672DD" w:rsidP="00C672DD">
                            <w:pPr>
                              <w:rPr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CA483" id="_x0000_s1029" type="#_x0000_t202" style="position:absolute;left:0;text-align:left;margin-left:-11.25pt;margin-top:168pt;width:368.8pt;height:21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" stroked="f">
                <v:textbox>
                  <w:txbxContent>
                    <w:p w14:paraId="6EF4C884" w14:textId="77777777" w:rsidR="00C672DD" w:rsidRPr="00741A2F" w:rsidRDefault="00C672DD" w:rsidP="00C672DD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sz w:val="16"/>
                          <w:szCs w:val="16"/>
                          <w:lang w:val="sk-SK"/>
                        </w:rPr>
                      </w:pPr>
                      <w:r w:rsidRPr="00741A2F">
                        <w:rPr>
                          <w:sz w:val="16"/>
                          <w:szCs w:val="16"/>
                          <w:lang w:val="sk-SK"/>
                        </w:rPr>
                        <w:t xml:space="preserve">* </w:t>
                      </w:r>
                      <w:r w:rsidRPr="00C672DD">
                        <w:rPr>
                          <w:sz w:val="16"/>
                          <w:szCs w:val="16"/>
                          <w:lang w:val="sk-SK"/>
                        </w:rPr>
                        <w:t>GE je obchodnou značkou spoločnosti General Electric Company, použité v súlade s licenciou</w:t>
                      </w:r>
                      <w:r w:rsidRPr="00741A2F">
                        <w:rPr>
                          <w:sz w:val="16"/>
                          <w:szCs w:val="16"/>
                          <w:lang w:val="sk-SK"/>
                        </w:rPr>
                        <w:t>.</w:t>
                      </w:r>
                    </w:p>
                    <w:p w14:paraId="3FBD6345" w14:textId="77777777" w:rsidR="00C672DD" w:rsidRPr="00741A2F" w:rsidRDefault="00C672DD" w:rsidP="00C672DD">
                      <w:pPr>
                        <w:rPr>
                          <w:lang w:val="sk-S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46C9" w:rsidRPr="00B96B4F">
        <w:rPr>
          <w:rFonts w:cs="Segoe UI"/>
          <w:bCs/>
          <w:szCs w:val="22"/>
          <w:lang w:val="sk-SK"/>
        </w:rPr>
        <w:t xml:space="preserve">Kľúčovým pilierom stratégie spoločnosti Henkel </w:t>
      </w:r>
      <w:r w:rsidR="002D4BF0" w:rsidRPr="00B96B4F">
        <w:rPr>
          <w:rFonts w:cs="Segoe UI"/>
          <w:bCs/>
          <w:szCs w:val="22"/>
          <w:lang w:val="sk-SK"/>
        </w:rPr>
        <w:t>v</w:t>
      </w:r>
      <w:r w:rsidR="003E46C9" w:rsidRPr="00B96B4F">
        <w:rPr>
          <w:rFonts w:cs="Segoe UI"/>
          <w:bCs/>
          <w:szCs w:val="22"/>
          <w:lang w:val="sk-SK"/>
        </w:rPr>
        <w:t> oblasti zvyšovania konkurenčnej výhody je jednoznačn</w:t>
      </w:r>
      <w:r w:rsidR="002D4BF0" w:rsidRPr="00B96B4F">
        <w:rPr>
          <w:rFonts w:cs="Segoe UI"/>
          <w:bCs/>
          <w:szCs w:val="22"/>
          <w:lang w:val="sk-SK"/>
        </w:rPr>
        <w:t>é</w:t>
      </w:r>
      <w:r w:rsidR="003E46C9" w:rsidRPr="00B96B4F">
        <w:rPr>
          <w:rFonts w:cs="Segoe UI"/>
          <w:bCs/>
          <w:szCs w:val="22"/>
          <w:lang w:val="sk-SK"/>
        </w:rPr>
        <w:t xml:space="preserve"> </w:t>
      </w:r>
      <w:r w:rsidR="002D4BF0" w:rsidRPr="00B96B4F">
        <w:rPr>
          <w:rFonts w:cs="Segoe UI"/>
          <w:bCs/>
          <w:szCs w:val="22"/>
          <w:lang w:val="sk-SK"/>
        </w:rPr>
        <w:t xml:space="preserve">odlíšenie sa od konkurencie </w:t>
      </w:r>
      <w:r w:rsidR="003E46C9" w:rsidRPr="00B96B4F">
        <w:rPr>
          <w:rFonts w:cs="Segoe UI"/>
          <w:bCs/>
          <w:szCs w:val="22"/>
          <w:lang w:val="sk-SK"/>
        </w:rPr>
        <w:t>na trhu prostredníctvom prínosných inovácií.</w:t>
      </w:r>
      <w:r w:rsidR="004F5AD9" w:rsidRPr="00B96B4F">
        <w:rPr>
          <w:rFonts w:cs="Segoe UI"/>
          <w:bCs/>
          <w:szCs w:val="22"/>
          <w:lang w:val="sk-SK"/>
        </w:rPr>
        <w:t xml:space="preserve"> </w:t>
      </w:r>
      <w:r w:rsidR="003E46C9" w:rsidRPr="00B96B4F">
        <w:rPr>
          <w:rFonts w:cs="Segoe UI"/>
          <w:bCs/>
          <w:szCs w:val="22"/>
          <w:lang w:val="sk-SK"/>
        </w:rPr>
        <w:t>V rámci divízie Adhesive Technologies spoločnosť Henkel využila svoje široké priemyselné portfólio tesniacich a impregnačných technológií na uv</w:t>
      </w:r>
      <w:r w:rsidR="002D4BF0" w:rsidRPr="00B96B4F">
        <w:rPr>
          <w:rFonts w:cs="Segoe UI"/>
          <w:bCs/>
          <w:szCs w:val="22"/>
          <w:lang w:val="sk-SK"/>
        </w:rPr>
        <w:t xml:space="preserve">edenie nového produktového radu, ktorý sa zameriava na </w:t>
      </w:r>
      <w:r w:rsidR="003E46C9" w:rsidRPr="00B96B4F">
        <w:rPr>
          <w:rFonts w:cs="Segoe UI"/>
          <w:bCs/>
          <w:szCs w:val="22"/>
          <w:lang w:val="sk-SK"/>
        </w:rPr>
        <w:t>zvýš</w:t>
      </w:r>
      <w:r w:rsidR="002D4BF0" w:rsidRPr="00B96B4F">
        <w:rPr>
          <w:rFonts w:cs="Segoe UI"/>
          <w:bCs/>
          <w:szCs w:val="22"/>
          <w:lang w:val="sk-SK"/>
        </w:rPr>
        <w:t xml:space="preserve">enie </w:t>
      </w:r>
      <w:r w:rsidR="003E46C9" w:rsidRPr="00B96B4F">
        <w:rPr>
          <w:rFonts w:cs="Segoe UI"/>
          <w:bCs/>
          <w:szCs w:val="22"/>
          <w:lang w:val="sk-SK"/>
        </w:rPr>
        <w:t>vodotesnos</w:t>
      </w:r>
      <w:r w:rsidR="002D4BF0" w:rsidRPr="00B96B4F">
        <w:rPr>
          <w:rFonts w:cs="Segoe UI"/>
          <w:bCs/>
          <w:szCs w:val="22"/>
          <w:lang w:val="sk-SK"/>
        </w:rPr>
        <w:t>ti</w:t>
      </w:r>
      <w:r w:rsidR="003E46C9" w:rsidRPr="00B96B4F">
        <w:rPr>
          <w:rFonts w:cs="Segoe UI"/>
          <w:bCs/>
          <w:szCs w:val="22"/>
          <w:lang w:val="sk-SK"/>
        </w:rPr>
        <w:t xml:space="preserve"> </w:t>
      </w:r>
      <w:r w:rsidR="00B81455" w:rsidRPr="00B96B4F">
        <w:rPr>
          <w:rFonts w:cs="Segoe UI"/>
          <w:bCs/>
          <w:szCs w:val="22"/>
          <w:lang w:val="sk-SK"/>
        </w:rPr>
        <w:t xml:space="preserve">smartfónov </w:t>
      </w:r>
      <w:r w:rsidR="003E46C9" w:rsidRPr="00B96B4F">
        <w:rPr>
          <w:rFonts w:cs="Segoe UI"/>
          <w:bCs/>
          <w:szCs w:val="22"/>
          <w:lang w:val="sk-SK"/>
        </w:rPr>
        <w:t>najvyššej triedy.</w:t>
      </w:r>
      <w:r w:rsidR="004F5AD9" w:rsidRPr="00B96B4F">
        <w:rPr>
          <w:rFonts w:cs="Segoe UI"/>
          <w:bCs/>
          <w:szCs w:val="22"/>
          <w:lang w:val="sk-SK"/>
        </w:rPr>
        <w:t xml:space="preserve"> </w:t>
      </w:r>
      <w:r w:rsidR="002D4BF0" w:rsidRPr="00B96B4F">
        <w:rPr>
          <w:rFonts w:cs="Segoe UI"/>
          <w:bCs/>
          <w:szCs w:val="22"/>
          <w:lang w:val="sk-SK"/>
        </w:rPr>
        <w:t xml:space="preserve">V tomto prípade išlo o </w:t>
      </w:r>
      <w:r w:rsidR="003E46C9" w:rsidRPr="00B96B4F">
        <w:rPr>
          <w:rFonts w:cs="Segoe UI"/>
          <w:bCs/>
          <w:szCs w:val="22"/>
          <w:lang w:val="sk-SK"/>
        </w:rPr>
        <w:t>spoluprác</w:t>
      </w:r>
      <w:r w:rsidR="002D4BF0" w:rsidRPr="00B96B4F">
        <w:rPr>
          <w:rFonts w:cs="Segoe UI"/>
          <w:bCs/>
          <w:szCs w:val="22"/>
          <w:lang w:val="sk-SK"/>
        </w:rPr>
        <w:t>u</w:t>
      </w:r>
      <w:r w:rsidR="003E46C9" w:rsidRPr="00B96B4F">
        <w:rPr>
          <w:rFonts w:cs="Segoe UI"/>
          <w:bCs/>
          <w:szCs w:val="22"/>
          <w:lang w:val="sk-SK"/>
        </w:rPr>
        <w:t xml:space="preserve"> s významným svetovým výrobcom mobilných telefónov.</w:t>
      </w:r>
      <w:r w:rsidR="004F5AD9" w:rsidRPr="00B96B4F">
        <w:rPr>
          <w:rFonts w:cs="Segoe UI"/>
          <w:bCs/>
          <w:szCs w:val="22"/>
          <w:lang w:val="sk-SK"/>
        </w:rPr>
        <w:t xml:space="preserve"> </w:t>
      </w:r>
      <w:r w:rsidR="00B81455" w:rsidRPr="00B96B4F">
        <w:rPr>
          <w:rFonts w:cs="Segoe UI"/>
          <w:bCs/>
          <w:szCs w:val="22"/>
          <w:lang w:val="sk-SK"/>
        </w:rPr>
        <w:t xml:space="preserve">Divízia </w:t>
      </w:r>
      <w:proofErr w:type="spellStart"/>
      <w:r w:rsidR="00B81455" w:rsidRPr="00B96B4F">
        <w:rPr>
          <w:rFonts w:cs="Segoe UI"/>
          <w:bCs/>
          <w:szCs w:val="22"/>
          <w:lang w:val="sk-SK"/>
        </w:rPr>
        <w:t>Beauty</w:t>
      </w:r>
      <w:proofErr w:type="spellEnd"/>
      <w:r w:rsidR="00B81455" w:rsidRPr="00B96B4F">
        <w:rPr>
          <w:rFonts w:cs="Segoe UI"/>
          <w:bCs/>
          <w:szCs w:val="22"/>
          <w:lang w:val="sk-SK"/>
        </w:rPr>
        <w:t xml:space="preserve"> </w:t>
      </w:r>
      <w:proofErr w:type="spellStart"/>
      <w:r w:rsidR="00B81455" w:rsidRPr="00B96B4F">
        <w:rPr>
          <w:rFonts w:cs="Segoe UI"/>
          <w:bCs/>
          <w:szCs w:val="22"/>
          <w:lang w:val="sk-SK"/>
        </w:rPr>
        <w:t>Care</w:t>
      </w:r>
      <w:proofErr w:type="spellEnd"/>
      <w:r w:rsidR="00B81455" w:rsidRPr="00B96B4F">
        <w:rPr>
          <w:rFonts w:cs="Segoe UI"/>
          <w:bCs/>
          <w:szCs w:val="22"/>
          <w:lang w:val="sk-SK"/>
        </w:rPr>
        <w:t xml:space="preserve"> spustila novú značku </w:t>
      </w:r>
      <w:proofErr w:type="spellStart"/>
      <w:r w:rsidR="00B81455" w:rsidRPr="00B96B4F">
        <w:rPr>
          <w:rFonts w:cs="Segoe UI"/>
          <w:bCs/>
          <w:szCs w:val="22"/>
          <w:lang w:val="sk-SK"/>
        </w:rPr>
        <w:t>Schwarzkopf</w:t>
      </w:r>
      <w:proofErr w:type="spellEnd"/>
      <w:r w:rsidR="00B81455" w:rsidRPr="00B96B4F">
        <w:rPr>
          <w:rFonts w:cs="Segoe UI"/>
          <w:bCs/>
          <w:szCs w:val="22"/>
          <w:lang w:val="sk-SK"/>
        </w:rPr>
        <w:t xml:space="preserve"> </w:t>
      </w:r>
      <w:proofErr w:type="spellStart"/>
      <w:r w:rsidR="00B81455" w:rsidRPr="00B96B4F">
        <w:rPr>
          <w:rFonts w:cs="Segoe UI"/>
          <w:bCs/>
          <w:szCs w:val="22"/>
          <w:lang w:val="sk-SK"/>
        </w:rPr>
        <w:t>Simply</w:t>
      </w:r>
      <w:proofErr w:type="spellEnd"/>
      <w:r w:rsidR="00B81455" w:rsidRPr="00B96B4F">
        <w:rPr>
          <w:rFonts w:cs="Segoe UI"/>
          <w:bCs/>
          <w:szCs w:val="22"/>
          <w:lang w:val="sk-SK"/>
        </w:rPr>
        <w:t xml:space="preserve"> </w:t>
      </w:r>
      <w:proofErr w:type="spellStart"/>
      <w:r w:rsidR="00B81455" w:rsidRPr="00B96B4F">
        <w:rPr>
          <w:rFonts w:cs="Segoe UI"/>
          <w:bCs/>
          <w:szCs w:val="22"/>
          <w:lang w:val="sk-SK"/>
        </w:rPr>
        <w:t>Color</w:t>
      </w:r>
      <w:proofErr w:type="spellEnd"/>
      <w:r w:rsidR="00B81455" w:rsidRPr="00B96B4F">
        <w:rPr>
          <w:rFonts w:cs="Segoe UI"/>
          <w:bCs/>
          <w:szCs w:val="22"/>
          <w:lang w:val="sk-SK"/>
        </w:rPr>
        <w:t xml:space="preserve"> v súlade s ekologickými trendmi v rámci „technologickejšej“ kategórie farbenia vlasov.</w:t>
      </w:r>
      <w:r w:rsidR="004F5AD9" w:rsidRPr="00B96B4F">
        <w:rPr>
          <w:rFonts w:cs="Segoe UI"/>
          <w:bCs/>
          <w:szCs w:val="22"/>
          <w:lang w:val="sk-SK"/>
        </w:rPr>
        <w:t xml:space="preserve"> </w:t>
      </w:r>
      <w:r w:rsidR="00B81455" w:rsidRPr="00B96B4F">
        <w:rPr>
          <w:rFonts w:cs="Segoe UI"/>
          <w:bCs/>
          <w:szCs w:val="22"/>
          <w:lang w:val="sk-SK"/>
        </w:rPr>
        <w:t xml:space="preserve">Divízia Laundry &amp; Home </w:t>
      </w:r>
      <w:proofErr w:type="spellStart"/>
      <w:r w:rsidR="00B81455" w:rsidRPr="00B96B4F">
        <w:rPr>
          <w:rFonts w:cs="Segoe UI"/>
          <w:bCs/>
          <w:szCs w:val="22"/>
          <w:lang w:val="sk-SK"/>
        </w:rPr>
        <w:t>Care</w:t>
      </w:r>
      <w:proofErr w:type="spellEnd"/>
      <w:r w:rsidR="00B81455" w:rsidRPr="00B96B4F">
        <w:rPr>
          <w:rFonts w:cs="Segoe UI"/>
          <w:bCs/>
          <w:szCs w:val="22"/>
          <w:lang w:val="sk-SK"/>
        </w:rPr>
        <w:t xml:space="preserve"> ďalej pokračovala </w:t>
      </w:r>
      <w:r w:rsidR="00D7175E" w:rsidRPr="00B96B4F">
        <w:rPr>
          <w:rFonts w:cs="Segoe UI"/>
          <w:bCs/>
          <w:szCs w:val="22"/>
          <w:lang w:val="sk-SK"/>
        </w:rPr>
        <w:lastRenderedPageBreak/>
        <w:t>v</w:t>
      </w:r>
      <w:r w:rsidR="001A3600" w:rsidRPr="00B96B4F">
        <w:rPr>
          <w:rFonts w:cs="Segoe UI"/>
          <w:bCs/>
          <w:szCs w:val="22"/>
          <w:lang w:val="sk-SK"/>
        </w:rPr>
        <w:t xml:space="preserve"> spúšťaní predaja  </w:t>
      </w:r>
      <w:r w:rsidR="00D7175E" w:rsidRPr="00B96B4F">
        <w:rPr>
          <w:rFonts w:cs="Segoe UI"/>
          <w:bCs/>
          <w:szCs w:val="22"/>
          <w:lang w:val="sk-SK"/>
        </w:rPr>
        <w:t xml:space="preserve">kapsúl na pranie </w:t>
      </w:r>
      <w:proofErr w:type="spellStart"/>
      <w:r w:rsidR="00B81455" w:rsidRPr="00B96B4F">
        <w:rPr>
          <w:rFonts w:cs="Segoe UI"/>
          <w:bCs/>
          <w:szCs w:val="22"/>
          <w:lang w:val="sk-SK"/>
        </w:rPr>
        <w:t>Persil</w:t>
      </w:r>
      <w:proofErr w:type="spellEnd"/>
      <w:r w:rsidR="00B81455" w:rsidRPr="00B96B4F">
        <w:rPr>
          <w:rFonts w:cs="Segoe UI"/>
          <w:bCs/>
          <w:szCs w:val="22"/>
          <w:lang w:val="sk-SK"/>
        </w:rPr>
        <w:t xml:space="preserve"> 4in1 </w:t>
      </w:r>
      <w:proofErr w:type="spellStart"/>
      <w:r w:rsidR="00B81455" w:rsidRPr="00B96B4F">
        <w:rPr>
          <w:rFonts w:cs="Segoe UI"/>
          <w:bCs/>
          <w:szCs w:val="22"/>
          <w:lang w:val="sk-SK"/>
        </w:rPr>
        <w:t>Discs</w:t>
      </w:r>
      <w:proofErr w:type="spellEnd"/>
      <w:r w:rsidR="00B81455" w:rsidRPr="00B96B4F">
        <w:rPr>
          <w:rFonts w:cs="Segoe UI"/>
          <w:bCs/>
          <w:szCs w:val="22"/>
          <w:lang w:val="sk-SK"/>
        </w:rPr>
        <w:t>.</w:t>
      </w:r>
      <w:r w:rsidR="00FB3846" w:rsidRPr="00B96B4F">
        <w:rPr>
          <w:rFonts w:cs="Segoe UI"/>
          <w:bCs/>
          <w:szCs w:val="22"/>
          <w:lang w:val="sk-SK"/>
        </w:rPr>
        <w:t xml:space="preserve"> </w:t>
      </w:r>
      <w:r w:rsidR="00D7175E" w:rsidRPr="00B96B4F">
        <w:rPr>
          <w:rFonts w:cs="Segoe UI"/>
          <w:bCs/>
          <w:szCs w:val="22"/>
          <w:lang w:val="sk-SK"/>
        </w:rPr>
        <w:t xml:space="preserve">Kapsuly </w:t>
      </w:r>
      <w:proofErr w:type="spellStart"/>
      <w:r w:rsidR="00B81455" w:rsidRPr="00B96B4F">
        <w:rPr>
          <w:rFonts w:cs="Segoe UI"/>
          <w:bCs/>
          <w:szCs w:val="22"/>
          <w:lang w:val="sk-SK"/>
        </w:rPr>
        <w:t>Persil</w:t>
      </w:r>
      <w:proofErr w:type="spellEnd"/>
      <w:r w:rsidR="00B81455" w:rsidRPr="00B96B4F">
        <w:rPr>
          <w:rFonts w:cs="Segoe UI"/>
          <w:bCs/>
          <w:szCs w:val="22"/>
          <w:lang w:val="sk-SK"/>
        </w:rPr>
        <w:t xml:space="preserve"> </w:t>
      </w:r>
      <w:proofErr w:type="spellStart"/>
      <w:r w:rsidR="00B81455" w:rsidRPr="00B96B4F">
        <w:rPr>
          <w:rFonts w:cs="Segoe UI"/>
          <w:bCs/>
          <w:szCs w:val="22"/>
          <w:lang w:val="sk-SK"/>
        </w:rPr>
        <w:t>Discs</w:t>
      </w:r>
      <w:proofErr w:type="spellEnd"/>
      <w:r w:rsidR="00B81455" w:rsidRPr="00B96B4F">
        <w:rPr>
          <w:rFonts w:cs="Segoe UI"/>
          <w:bCs/>
          <w:szCs w:val="22"/>
          <w:lang w:val="sk-SK"/>
        </w:rPr>
        <w:t xml:space="preserve"> v súčasnosti tvoria takmer 10</w:t>
      </w:r>
      <w:r w:rsidR="00D7175E" w:rsidRPr="00B96B4F">
        <w:rPr>
          <w:rFonts w:cs="Segoe UI"/>
          <w:bCs/>
          <w:szCs w:val="22"/>
          <w:lang w:val="sk-SK"/>
        </w:rPr>
        <w:t> </w:t>
      </w:r>
      <w:r w:rsidR="00B81455" w:rsidRPr="00B96B4F">
        <w:rPr>
          <w:rFonts w:cs="Segoe UI"/>
          <w:bCs/>
          <w:szCs w:val="22"/>
          <w:lang w:val="sk-SK"/>
        </w:rPr>
        <w:t xml:space="preserve">% </w:t>
      </w:r>
      <w:r w:rsidR="00D7175E" w:rsidRPr="00B96B4F">
        <w:rPr>
          <w:rFonts w:cs="Segoe UI"/>
          <w:bCs/>
          <w:szCs w:val="22"/>
          <w:lang w:val="sk-SK"/>
        </w:rPr>
        <w:t xml:space="preserve">z </w:t>
      </w:r>
      <w:r w:rsidR="00B81455" w:rsidRPr="00B96B4F">
        <w:rPr>
          <w:rFonts w:cs="Segoe UI"/>
          <w:bCs/>
          <w:szCs w:val="22"/>
          <w:lang w:val="sk-SK"/>
        </w:rPr>
        <w:t xml:space="preserve">celkového obratu v rámci značky </w:t>
      </w:r>
      <w:proofErr w:type="spellStart"/>
      <w:r w:rsidR="00B81455" w:rsidRPr="00B96B4F">
        <w:rPr>
          <w:rFonts w:cs="Segoe UI"/>
          <w:bCs/>
          <w:szCs w:val="22"/>
          <w:lang w:val="sk-SK"/>
        </w:rPr>
        <w:t>Persil</w:t>
      </w:r>
      <w:proofErr w:type="spellEnd"/>
      <w:r w:rsidR="00B81455" w:rsidRPr="00B96B4F">
        <w:rPr>
          <w:rFonts w:cs="Segoe UI"/>
          <w:bCs/>
          <w:szCs w:val="22"/>
          <w:lang w:val="sk-SK"/>
        </w:rPr>
        <w:t>.</w:t>
      </w:r>
      <w:r w:rsidR="00FB3846" w:rsidRPr="00B96B4F">
        <w:rPr>
          <w:rFonts w:cs="Segoe UI"/>
          <w:bCs/>
          <w:szCs w:val="22"/>
          <w:lang w:val="sk-SK"/>
        </w:rPr>
        <w:t xml:space="preserve"> </w:t>
      </w:r>
    </w:p>
    <w:p w14:paraId="7B4A7A4B" w14:textId="77777777" w:rsidR="00846017" w:rsidRPr="00B96B4F" w:rsidRDefault="00846017" w:rsidP="00846017">
      <w:pPr>
        <w:autoSpaceDE w:val="0"/>
        <w:autoSpaceDN w:val="0"/>
        <w:adjustRightInd w:val="0"/>
        <w:rPr>
          <w:rFonts w:cs="Segoe UI"/>
          <w:bCs/>
          <w:szCs w:val="22"/>
          <w:lang w:val="sk-SK"/>
        </w:rPr>
      </w:pPr>
    </w:p>
    <w:p w14:paraId="734285A1" w14:textId="77777777" w:rsidR="00364F7E" w:rsidRPr="00B96B4F" w:rsidRDefault="00D535AC" w:rsidP="00D535AC">
      <w:pPr>
        <w:spacing w:line="280" w:lineRule="auto"/>
        <w:rPr>
          <w:rFonts w:cs="Segoe UI"/>
          <w:bCs/>
          <w:szCs w:val="22"/>
          <w:lang w:val="sk-SK"/>
        </w:rPr>
      </w:pPr>
      <w:r w:rsidRPr="00B96B4F">
        <w:rPr>
          <w:rFonts w:cs="Segoe UI"/>
          <w:b/>
          <w:szCs w:val="22"/>
          <w:lang w:val="sk-SK"/>
        </w:rPr>
        <w:t xml:space="preserve">Udržateľnosť </w:t>
      </w:r>
      <w:r w:rsidRPr="00B96B4F">
        <w:rPr>
          <w:rFonts w:cs="Segoe UI"/>
          <w:bCs/>
          <w:szCs w:val="22"/>
          <w:lang w:val="sk-SK"/>
        </w:rPr>
        <w:t>je jednou z významných silných stránok spoločnosti Henkel.</w:t>
      </w:r>
      <w:r w:rsidR="00846017" w:rsidRPr="00B96B4F">
        <w:rPr>
          <w:rFonts w:cs="Segoe UI"/>
          <w:bCs/>
          <w:szCs w:val="22"/>
          <w:lang w:val="sk-SK"/>
        </w:rPr>
        <w:t xml:space="preserve"> </w:t>
      </w:r>
      <w:r w:rsidR="00D7175E" w:rsidRPr="00B96B4F">
        <w:rPr>
          <w:rFonts w:cs="Segoe UI"/>
          <w:bCs/>
          <w:szCs w:val="22"/>
          <w:lang w:val="sk-SK"/>
        </w:rPr>
        <w:t xml:space="preserve">Vedúcu úlohu spoločnosti v tejto oblasti </w:t>
      </w:r>
      <w:r w:rsidRPr="00B96B4F">
        <w:rPr>
          <w:rFonts w:cs="Segoe UI"/>
          <w:bCs/>
          <w:szCs w:val="22"/>
          <w:lang w:val="sk-SK"/>
        </w:rPr>
        <w:t>pravidelne potvrdzujú ratingy a rebríčky.</w:t>
      </w:r>
      <w:r w:rsidR="00846017" w:rsidRPr="00B96B4F">
        <w:rPr>
          <w:rFonts w:cs="Segoe UI"/>
          <w:bCs/>
          <w:szCs w:val="22"/>
          <w:lang w:val="sk-SK"/>
        </w:rPr>
        <w:t xml:space="preserve"> </w:t>
      </w:r>
      <w:r w:rsidRPr="00B96B4F">
        <w:rPr>
          <w:rFonts w:cs="Segoe UI"/>
          <w:bCs/>
          <w:szCs w:val="22"/>
          <w:lang w:val="sk-SK"/>
        </w:rPr>
        <w:t>Preto sa Henkel snaží ďalej posilňovať svoju vedúcu pozíciu v udržateľnosti ako jednoznačnú konkurenčnú výhodu.</w:t>
      </w:r>
      <w:r w:rsidR="00846017" w:rsidRPr="00B96B4F">
        <w:rPr>
          <w:rFonts w:cs="Segoe UI"/>
          <w:bCs/>
          <w:szCs w:val="22"/>
          <w:lang w:val="sk-SK"/>
        </w:rPr>
        <w:t xml:space="preserve"> </w:t>
      </w:r>
      <w:r w:rsidRPr="00B96B4F">
        <w:rPr>
          <w:rFonts w:cs="Segoe UI"/>
          <w:bCs/>
          <w:szCs w:val="22"/>
          <w:lang w:val="sk-SK"/>
        </w:rPr>
        <w:t>V záujme z</w:t>
      </w:r>
      <w:r w:rsidR="00D7175E" w:rsidRPr="00B96B4F">
        <w:rPr>
          <w:rFonts w:cs="Segoe UI"/>
          <w:bCs/>
          <w:szCs w:val="22"/>
          <w:lang w:val="sk-SK"/>
        </w:rPr>
        <w:t xml:space="preserve">intenzívnenia </w:t>
      </w:r>
      <w:r w:rsidRPr="00B96B4F">
        <w:rPr>
          <w:rFonts w:cs="Segoe UI"/>
          <w:bCs/>
          <w:szCs w:val="22"/>
          <w:lang w:val="sk-SK"/>
        </w:rPr>
        <w:t xml:space="preserve">svojho úsilia </w:t>
      </w:r>
      <w:r w:rsidR="00D7175E" w:rsidRPr="00B96B4F">
        <w:rPr>
          <w:rFonts w:cs="Segoe UI"/>
          <w:bCs/>
          <w:szCs w:val="22"/>
          <w:lang w:val="sk-SK"/>
        </w:rPr>
        <w:t xml:space="preserve">spoločnosť </w:t>
      </w:r>
      <w:r w:rsidRPr="00B96B4F">
        <w:rPr>
          <w:rFonts w:cs="Segoe UI"/>
          <w:bCs/>
          <w:szCs w:val="22"/>
          <w:lang w:val="sk-SK"/>
        </w:rPr>
        <w:t>Henkel definoval</w:t>
      </w:r>
      <w:r w:rsidR="00D7175E" w:rsidRPr="00B96B4F">
        <w:rPr>
          <w:rFonts w:cs="Segoe UI"/>
          <w:bCs/>
          <w:szCs w:val="22"/>
          <w:lang w:val="sk-SK"/>
        </w:rPr>
        <w:t>a</w:t>
      </w:r>
      <w:r w:rsidRPr="00B96B4F">
        <w:rPr>
          <w:rFonts w:cs="Segoe UI"/>
          <w:bCs/>
          <w:szCs w:val="22"/>
          <w:lang w:val="sk-SK"/>
        </w:rPr>
        <w:t xml:space="preserve"> ďalšie míľniky a konkrétne ciele.</w:t>
      </w:r>
      <w:r w:rsidR="00846017" w:rsidRPr="00B96B4F">
        <w:rPr>
          <w:rFonts w:cs="Segoe UI"/>
          <w:bCs/>
          <w:szCs w:val="22"/>
          <w:lang w:val="sk-SK"/>
        </w:rPr>
        <w:t xml:space="preserve"> </w:t>
      </w:r>
      <w:r w:rsidRPr="00B96B4F">
        <w:rPr>
          <w:rFonts w:cs="Segoe UI"/>
          <w:bCs/>
          <w:szCs w:val="22"/>
          <w:lang w:val="sk-SK"/>
        </w:rPr>
        <w:t>Jedným z nich je ambícia stať sa „klimaticky pozitívnou“ spoločnosťou do roku 2040.</w:t>
      </w:r>
    </w:p>
    <w:p w14:paraId="5A0D7164" w14:textId="77777777" w:rsidR="00364F7E" w:rsidRPr="00B96B4F" w:rsidRDefault="00364F7E" w:rsidP="00F46B50">
      <w:pPr>
        <w:rPr>
          <w:rFonts w:cs="Segoe UI"/>
          <w:bCs/>
          <w:szCs w:val="22"/>
          <w:lang w:val="sk-SK"/>
        </w:rPr>
      </w:pPr>
    </w:p>
    <w:p w14:paraId="50C3E590" w14:textId="77777777" w:rsidR="00ED3A18" w:rsidRPr="00B96B4F" w:rsidRDefault="00D535AC" w:rsidP="00363B91">
      <w:pPr>
        <w:autoSpaceDE w:val="0"/>
        <w:autoSpaceDN w:val="0"/>
        <w:adjustRightInd w:val="0"/>
        <w:spacing w:line="280" w:lineRule="auto"/>
        <w:rPr>
          <w:rFonts w:cs="Segoe UI"/>
          <w:bCs/>
          <w:szCs w:val="22"/>
          <w:lang w:val="sk-SK"/>
        </w:rPr>
      </w:pPr>
      <w:r w:rsidRPr="00B96B4F">
        <w:rPr>
          <w:rFonts w:cs="Segoe UI"/>
          <w:bCs/>
          <w:szCs w:val="22"/>
          <w:lang w:val="sk-SK"/>
        </w:rPr>
        <w:t>Henkel ako prvá spoločnosť na svete u</w:t>
      </w:r>
      <w:r w:rsidR="00D7175E" w:rsidRPr="00B96B4F">
        <w:rPr>
          <w:rFonts w:cs="Segoe UI"/>
          <w:bCs/>
          <w:szCs w:val="22"/>
          <w:lang w:val="sk-SK"/>
        </w:rPr>
        <w:t xml:space="preserve">zatvorila </w:t>
      </w:r>
      <w:r w:rsidRPr="00B96B4F">
        <w:rPr>
          <w:rFonts w:cs="Segoe UI"/>
          <w:bCs/>
          <w:szCs w:val="22"/>
          <w:lang w:val="sk-SK"/>
        </w:rPr>
        <w:t>v júni 2020 dlhopis zameraný na znižovanie plastového odpadu.</w:t>
      </w:r>
      <w:r w:rsidR="00ED3A18" w:rsidRPr="00B96B4F">
        <w:rPr>
          <w:rFonts w:cs="Segoe UI"/>
          <w:bCs/>
          <w:szCs w:val="22"/>
          <w:lang w:val="sk-SK"/>
        </w:rPr>
        <w:t xml:space="preserve"> </w:t>
      </w:r>
      <w:r w:rsidRPr="00B96B4F">
        <w:rPr>
          <w:rFonts w:cs="Segoe UI"/>
          <w:bCs/>
          <w:szCs w:val="22"/>
          <w:lang w:val="sk-SK"/>
        </w:rPr>
        <w:t>Spoločnosť Henkel tým</w:t>
      </w:r>
      <w:r w:rsidR="00E903B9" w:rsidRPr="00B96B4F">
        <w:rPr>
          <w:rFonts w:cs="Segoe UI"/>
          <w:bCs/>
          <w:szCs w:val="22"/>
          <w:lang w:val="sk-SK"/>
        </w:rPr>
        <w:t xml:space="preserve"> </w:t>
      </w:r>
      <w:r w:rsidRPr="00B96B4F">
        <w:rPr>
          <w:rFonts w:cs="Segoe UI"/>
          <w:bCs/>
          <w:szCs w:val="22"/>
          <w:lang w:val="sk-SK"/>
        </w:rPr>
        <w:t xml:space="preserve">urobila ďalší krok pri kombinovaní atraktívnych nástrojov </w:t>
      </w:r>
      <w:proofErr w:type="spellStart"/>
      <w:r w:rsidRPr="00B96B4F">
        <w:rPr>
          <w:rFonts w:cs="Segoe UI"/>
          <w:bCs/>
          <w:szCs w:val="22"/>
          <w:lang w:val="sk-SK"/>
        </w:rPr>
        <w:t>korporátneho</w:t>
      </w:r>
      <w:proofErr w:type="spellEnd"/>
      <w:r w:rsidRPr="00B96B4F">
        <w:rPr>
          <w:rFonts w:cs="Segoe UI"/>
          <w:bCs/>
          <w:szCs w:val="22"/>
          <w:lang w:val="sk-SK"/>
        </w:rPr>
        <w:t xml:space="preserve"> financovania s pokrokom dosahovaným v oblasti udržateľnosti.</w:t>
      </w:r>
      <w:r w:rsidR="00ED3A18" w:rsidRPr="00B96B4F">
        <w:rPr>
          <w:rFonts w:cs="Segoe UI"/>
          <w:bCs/>
          <w:szCs w:val="22"/>
          <w:lang w:val="sk-SK"/>
        </w:rPr>
        <w:t xml:space="preserve"> </w:t>
      </w:r>
      <w:r w:rsidRPr="00B96B4F">
        <w:rPr>
          <w:rFonts w:cs="Segoe UI"/>
          <w:bCs/>
          <w:szCs w:val="22"/>
          <w:lang w:val="sk-SK"/>
        </w:rPr>
        <w:t>Výnosy z tohto dlhopisu v celkovom objeme približne 100 mil. eur budú konkrétne určené na projekty a výdavky súvisiace s aktivitami spoločnosti Henkel v oblasti znižovania plastového odpadu.</w:t>
      </w:r>
      <w:r w:rsidR="00ED3A18" w:rsidRPr="00B96B4F">
        <w:rPr>
          <w:rFonts w:cs="Segoe UI"/>
          <w:bCs/>
          <w:szCs w:val="22"/>
          <w:lang w:val="sk-SK"/>
        </w:rPr>
        <w:t xml:space="preserve"> </w:t>
      </w:r>
      <w:r w:rsidRPr="00B96B4F">
        <w:rPr>
          <w:rFonts w:cs="Segoe UI"/>
          <w:bCs/>
          <w:szCs w:val="22"/>
          <w:lang w:val="sk-SK"/>
        </w:rPr>
        <w:t>Dlhopis je zdôraznením záväzku spoločnosti Henkel k podpore obehového hospodárstva a znižovaniu množstva plastového odpadu, ako aj k udržateľnému financovaniu.</w:t>
      </w:r>
      <w:r w:rsidR="00ED3A18" w:rsidRPr="00B96B4F">
        <w:rPr>
          <w:rFonts w:cs="Segoe UI"/>
          <w:bCs/>
          <w:szCs w:val="22"/>
          <w:lang w:val="sk-SK"/>
        </w:rPr>
        <w:t xml:space="preserve"> </w:t>
      </w:r>
    </w:p>
    <w:p w14:paraId="064AB629" w14:textId="77777777" w:rsidR="00ED3A18" w:rsidRPr="00B96B4F" w:rsidRDefault="00ED3A18" w:rsidP="00F46B50">
      <w:pPr>
        <w:rPr>
          <w:rFonts w:cs="Segoe UI"/>
          <w:bCs/>
          <w:szCs w:val="22"/>
          <w:lang w:val="sk-SK"/>
        </w:rPr>
      </w:pPr>
    </w:p>
    <w:p w14:paraId="7B3AE522" w14:textId="77777777" w:rsidR="00364F7E" w:rsidRPr="00B96B4F" w:rsidRDefault="00363B91" w:rsidP="00363B91">
      <w:pPr>
        <w:spacing w:line="280" w:lineRule="auto"/>
        <w:rPr>
          <w:rFonts w:cs="Segoe UI"/>
          <w:bCs/>
          <w:szCs w:val="22"/>
          <w:lang w:val="sk-SK"/>
        </w:rPr>
      </w:pPr>
      <w:r w:rsidRPr="00B96B4F">
        <w:rPr>
          <w:rFonts w:cs="Segoe UI"/>
          <w:bCs/>
          <w:szCs w:val="22"/>
          <w:lang w:val="sk-SK"/>
        </w:rPr>
        <w:t xml:space="preserve">Henkel takisto rozšíril svoj nástroj Design </w:t>
      </w:r>
      <w:proofErr w:type="spellStart"/>
      <w:r w:rsidRPr="00B96B4F">
        <w:rPr>
          <w:rFonts w:cs="Segoe UI"/>
          <w:bCs/>
          <w:szCs w:val="22"/>
          <w:lang w:val="sk-SK"/>
        </w:rPr>
        <w:t>for</w:t>
      </w:r>
      <w:proofErr w:type="spellEnd"/>
      <w:r w:rsidRPr="00B96B4F">
        <w:rPr>
          <w:rFonts w:cs="Segoe UI"/>
          <w:bCs/>
          <w:szCs w:val="22"/>
          <w:lang w:val="sk-SK"/>
        </w:rPr>
        <w:t xml:space="preserve"> </w:t>
      </w:r>
      <w:proofErr w:type="spellStart"/>
      <w:r w:rsidRPr="00B96B4F">
        <w:rPr>
          <w:rFonts w:cs="Segoe UI"/>
          <w:bCs/>
          <w:szCs w:val="22"/>
          <w:lang w:val="sk-SK"/>
        </w:rPr>
        <w:t>Recycling</w:t>
      </w:r>
      <w:proofErr w:type="spellEnd"/>
      <w:r w:rsidRPr="00B96B4F">
        <w:rPr>
          <w:rFonts w:cs="Segoe UI"/>
          <w:bCs/>
          <w:szCs w:val="22"/>
          <w:lang w:val="sk-SK"/>
        </w:rPr>
        <w:t xml:space="preserve"> (</w:t>
      </w:r>
      <w:r w:rsidR="004C42F7" w:rsidRPr="00B96B4F">
        <w:rPr>
          <w:rFonts w:cs="Segoe UI"/>
          <w:bCs/>
          <w:szCs w:val="22"/>
          <w:lang w:val="sk-SK"/>
        </w:rPr>
        <w:t>„</w:t>
      </w:r>
      <w:r w:rsidRPr="00B96B4F">
        <w:rPr>
          <w:rFonts w:cs="Segoe UI"/>
          <w:bCs/>
          <w:szCs w:val="22"/>
          <w:lang w:val="sk-SK"/>
        </w:rPr>
        <w:t>EasyD4R</w:t>
      </w:r>
      <w:r w:rsidR="004C42F7" w:rsidRPr="00B96B4F">
        <w:rPr>
          <w:rFonts w:cs="Segoe UI"/>
          <w:bCs/>
          <w:szCs w:val="22"/>
          <w:lang w:val="sk-SK"/>
        </w:rPr>
        <w:t>“</w:t>
      </w:r>
      <w:r w:rsidRPr="00B96B4F">
        <w:rPr>
          <w:rFonts w:cs="Segoe UI"/>
          <w:bCs/>
          <w:szCs w:val="22"/>
          <w:lang w:val="sk-SK"/>
        </w:rPr>
        <w:t xml:space="preserve">), ktorý umožňuje rýchlo a spoľahlivo posúdiť recyklovateľnosť obalov </w:t>
      </w:r>
      <w:r w:rsidR="00D7175E" w:rsidRPr="00B96B4F">
        <w:rPr>
          <w:rFonts w:cs="Segoe UI"/>
          <w:bCs/>
          <w:szCs w:val="22"/>
          <w:lang w:val="sk-SK"/>
        </w:rPr>
        <w:t xml:space="preserve">už v raných </w:t>
      </w:r>
      <w:r w:rsidRPr="00B96B4F">
        <w:rPr>
          <w:rFonts w:cs="Segoe UI"/>
          <w:bCs/>
          <w:szCs w:val="22"/>
          <w:lang w:val="sk-SK"/>
        </w:rPr>
        <w:t>štádiách procesu vývoja.</w:t>
      </w:r>
      <w:r w:rsidR="00846017" w:rsidRPr="00B96B4F">
        <w:rPr>
          <w:rFonts w:cs="Segoe UI"/>
          <w:bCs/>
          <w:szCs w:val="22"/>
          <w:lang w:val="sk-SK"/>
        </w:rPr>
        <w:t xml:space="preserve"> </w:t>
      </w:r>
      <w:r w:rsidRPr="00B96B4F">
        <w:rPr>
          <w:rFonts w:cs="Segoe UI"/>
          <w:bCs/>
          <w:szCs w:val="22"/>
          <w:lang w:val="sk-SK"/>
        </w:rPr>
        <w:t xml:space="preserve">Softvér, ktorý bol sprístupnený aj iným spoločnostiam a organizáciám, v súčasnosti pokrýva nielen rôzne typy plastových obalov, ale aj </w:t>
      </w:r>
      <w:r w:rsidR="00D7175E" w:rsidRPr="00B96B4F">
        <w:rPr>
          <w:rFonts w:cs="Segoe UI"/>
          <w:bCs/>
          <w:szCs w:val="22"/>
          <w:lang w:val="sk-SK"/>
        </w:rPr>
        <w:t xml:space="preserve">iných </w:t>
      </w:r>
      <w:r w:rsidRPr="00B96B4F">
        <w:rPr>
          <w:rFonts w:cs="Segoe UI"/>
          <w:bCs/>
          <w:szCs w:val="22"/>
          <w:lang w:val="sk-SK"/>
        </w:rPr>
        <w:t>materiálov, ako napr. papier, sklo alebo hliník.</w:t>
      </w:r>
      <w:r w:rsidR="00F46B50" w:rsidRPr="00B96B4F">
        <w:rPr>
          <w:rFonts w:cs="Segoe UI"/>
          <w:bCs/>
          <w:szCs w:val="22"/>
          <w:lang w:val="sk-SK"/>
        </w:rPr>
        <w:t xml:space="preserve"> </w:t>
      </w:r>
    </w:p>
    <w:p w14:paraId="1D7549EE" w14:textId="77777777" w:rsidR="00364F7E" w:rsidRPr="00B96B4F" w:rsidRDefault="00364F7E" w:rsidP="00F46B50">
      <w:pPr>
        <w:rPr>
          <w:rFonts w:cs="Segoe UI"/>
          <w:bCs/>
          <w:szCs w:val="22"/>
          <w:lang w:val="sk-SK"/>
        </w:rPr>
      </w:pPr>
    </w:p>
    <w:p w14:paraId="37A1FD9D" w14:textId="77777777" w:rsidR="00846017" w:rsidRPr="00B96B4F" w:rsidRDefault="000A4C15" w:rsidP="000823B5">
      <w:pPr>
        <w:spacing w:line="280" w:lineRule="auto"/>
        <w:rPr>
          <w:rFonts w:cs="Segoe UI"/>
          <w:bCs/>
          <w:szCs w:val="22"/>
          <w:lang w:val="sk-SK"/>
        </w:rPr>
      </w:pPr>
      <w:r w:rsidRPr="00B96B4F">
        <w:rPr>
          <w:rFonts w:cs="Segoe UI"/>
          <w:bCs/>
          <w:szCs w:val="22"/>
          <w:lang w:val="sk-SK"/>
        </w:rPr>
        <w:t>Napredovanie spoločnosti Henkel v oblasti udržateľného rozvoja sa odzrkadľuje aj v produktoch pre spotrebiteľov a priemyselných odberateľov.</w:t>
      </w:r>
      <w:r w:rsidR="00376FFC" w:rsidRPr="00B96B4F">
        <w:rPr>
          <w:rFonts w:cs="Segoe UI"/>
          <w:bCs/>
          <w:szCs w:val="22"/>
          <w:lang w:val="sk-SK"/>
        </w:rPr>
        <w:t xml:space="preserve"> </w:t>
      </w:r>
      <w:r w:rsidRPr="00B96B4F">
        <w:rPr>
          <w:rFonts w:cs="Segoe UI"/>
          <w:bCs/>
          <w:szCs w:val="22"/>
          <w:lang w:val="sk-SK"/>
        </w:rPr>
        <w:t>Napr.</w:t>
      </w:r>
      <w:r w:rsidR="00D7175E" w:rsidRPr="00B96B4F">
        <w:rPr>
          <w:rFonts w:cs="Segoe UI"/>
          <w:bCs/>
          <w:szCs w:val="22"/>
          <w:lang w:val="sk-SK"/>
        </w:rPr>
        <w:t> </w:t>
      </w:r>
      <w:r w:rsidRPr="00B96B4F">
        <w:rPr>
          <w:rFonts w:cs="Segoe UI"/>
          <w:bCs/>
          <w:szCs w:val="22"/>
          <w:lang w:val="sk-SK"/>
        </w:rPr>
        <w:t>v</w:t>
      </w:r>
      <w:r w:rsidR="00E903B9" w:rsidRPr="00B96B4F">
        <w:rPr>
          <w:rFonts w:cs="Segoe UI"/>
          <w:bCs/>
          <w:szCs w:val="22"/>
          <w:lang w:val="sk-SK"/>
        </w:rPr>
        <w:t> </w:t>
      </w:r>
      <w:r w:rsidRPr="00B96B4F">
        <w:rPr>
          <w:rFonts w:cs="Segoe UI"/>
          <w:bCs/>
          <w:szCs w:val="22"/>
          <w:lang w:val="sk-SK"/>
        </w:rPr>
        <w:t>rámci</w:t>
      </w:r>
      <w:r w:rsidR="00E903B9" w:rsidRPr="00B96B4F">
        <w:rPr>
          <w:rFonts w:cs="Segoe UI"/>
          <w:bCs/>
          <w:szCs w:val="22"/>
          <w:lang w:val="sk-SK"/>
        </w:rPr>
        <w:t xml:space="preserve"> </w:t>
      </w:r>
      <w:r w:rsidR="00D7175E" w:rsidRPr="00B96B4F">
        <w:rPr>
          <w:rFonts w:cs="Segoe UI"/>
          <w:bCs/>
          <w:szCs w:val="22"/>
          <w:lang w:val="sk-SK"/>
        </w:rPr>
        <w:t xml:space="preserve">divízie </w:t>
      </w:r>
      <w:r w:rsidRPr="00B96B4F">
        <w:rPr>
          <w:rFonts w:cs="Segoe UI"/>
          <w:bCs/>
          <w:szCs w:val="22"/>
          <w:lang w:val="sk-SK"/>
        </w:rPr>
        <w:t>Laundry</w:t>
      </w:r>
      <w:r w:rsidR="001A3600" w:rsidRPr="00B96B4F">
        <w:rPr>
          <w:rFonts w:cs="Segoe UI"/>
          <w:bCs/>
          <w:szCs w:val="22"/>
          <w:lang w:val="sk-SK"/>
        </w:rPr>
        <w:t> </w:t>
      </w:r>
      <w:r w:rsidRPr="00B96B4F">
        <w:rPr>
          <w:rFonts w:cs="Segoe UI"/>
          <w:bCs/>
          <w:szCs w:val="22"/>
          <w:lang w:val="sk-SK"/>
        </w:rPr>
        <w:t>&amp;</w:t>
      </w:r>
      <w:r w:rsidR="001A3600" w:rsidRPr="00B96B4F">
        <w:rPr>
          <w:rFonts w:cs="Segoe UI"/>
          <w:bCs/>
          <w:szCs w:val="22"/>
          <w:lang w:val="sk-SK"/>
        </w:rPr>
        <w:t> </w:t>
      </w:r>
      <w:r w:rsidRPr="00B96B4F">
        <w:rPr>
          <w:rFonts w:cs="Segoe UI"/>
          <w:bCs/>
          <w:szCs w:val="22"/>
          <w:lang w:val="sk-SK"/>
        </w:rPr>
        <w:t xml:space="preserve">Home </w:t>
      </w:r>
      <w:proofErr w:type="spellStart"/>
      <w:r w:rsidRPr="00B96B4F">
        <w:rPr>
          <w:rFonts w:cs="Segoe UI"/>
          <w:bCs/>
          <w:szCs w:val="22"/>
          <w:lang w:val="sk-SK"/>
        </w:rPr>
        <w:t>Care</w:t>
      </w:r>
      <w:proofErr w:type="spellEnd"/>
      <w:r w:rsidRPr="00B96B4F">
        <w:rPr>
          <w:rFonts w:cs="Segoe UI"/>
          <w:bCs/>
          <w:szCs w:val="22"/>
          <w:lang w:val="sk-SK"/>
        </w:rPr>
        <w:t xml:space="preserve"> bol sortiment Pro Nature rozšírený o výrobky </w:t>
      </w:r>
      <w:proofErr w:type="spellStart"/>
      <w:r w:rsidRPr="00B96B4F">
        <w:rPr>
          <w:rFonts w:cs="Segoe UI"/>
          <w:bCs/>
          <w:szCs w:val="22"/>
          <w:lang w:val="sk-SK"/>
        </w:rPr>
        <w:t>Somat</w:t>
      </w:r>
      <w:proofErr w:type="spellEnd"/>
      <w:r w:rsidRPr="00B96B4F">
        <w:rPr>
          <w:rFonts w:cs="Segoe UI"/>
          <w:bCs/>
          <w:szCs w:val="22"/>
          <w:lang w:val="sk-SK"/>
        </w:rPr>
        <w:t xml:space="preserve"> a </w:t>
      </w:r>
      <w:proofErr w:type="spellStart"/>
      <w:r w:rsidRPr="00B96B4F">
        <w:rPr>
          <w:rFonts w:cs="Segoe UI"/>
          <w:bCs/>
          <w:szCs w:val="22"/>
          <w:lang w:val="sk-SK"/>
        </w:rPr>
        <w:t>Bref</w:t>
      </w:r>
      <w:proofErr w:type="spellEnd"/>
      <w:r w:rsidRPr="00B96B4F">
        <w:rPr>
          <w:rFonts w:cs="Segoe UI"/>
          <w:bCs/>
          <w:szCs w:val="22"/>
          <w:lang w:val="sk-SK"/>
        </w:rPr>
        <w:t xml:space="preserve"> Pro Nature.</w:t>
      </w:r>
      <w:r w:rsidR="00F46B50" w:rsidRPr="00B96B4F">
        <w:rPr>
          <w:rFonts w:cs="Segoe UI"/>
          <w:bCs/>
          <w:szCs w:val="22"/>
          <w:lang w:val="sk-SK"/>
        </w:rPr>
        <w:t xml:space="preserve"> </w:t>
      </w:r>
      <w:r w:rsidRPr="00B96B4F">
        <w:rPr>
          <w:rFonts w:cs="Segoe UI"/>
          <w:bCs/>
          <w:szCs w:val="22"/>
          <w:lang w:val="sk-SK"/>
        </w:rPr>
        <w:t>Okrem toho sú produkty Pro Nature k dispozícii v 30 krajinách, obsahujú až 99,9</w:t>
      </w:r>
      <w:r w:rsidR="00E903B9" w:rsidRPr="00B96B4F">
        <w:rPr>
          <w:rFonts w:cs="Segoe UI"/>
          <w:bCs/>
          <w:szCs w:val="22"/>
          <w:lang w:val="sk-SK"/>
        </w:rPr>
        <w:t> </w:t>
      </w:r>
      <w:r w:rsidRPr="00B96B4F">
        <w:rPr>
          <w:rFonts w:cs="Segoe UI"/>
          <w:bCs/>
          <w:szCs w:val="22"/>
          <w:lang w:val="sk-SK"/>
        </w:rPr>
        <w:t>% prírodných zložiek</w:t>
      </w:r>
      <w:r w:rsidR="00D7175E" w:rsidRPr="00B96B4F">
        <w:rPr>
          <w:rFonts w:cs="Segoe UI"/>
          <w:bCs/>
          <w:szCs w:val="22"/>
          <w:lang w:val="sk-SK"/>
        </w:rPr>
        <w:t xml:space="preserve"> a dodávajú sa v </w:t>
      </w:r>
      <w:r w:rsidRPr="00B96B4F">
        <w:rPr>
          <w:rFonts w:cs="Segoe UI"/>
          <w:bCs/>
          <w:szCs w:val="22"/>
          <w:lang w:val="sk-SK"/>
        </w:rPr>
        <w:t>obal</w:t>
      </w:r>
      <w:r w:rsidR="00D7175E" w:rsidRPr="00B96B4F">
        <w:rPr>
          <w:rFonts w:cs="Segoe UI"/>
          <w:bCs/>
          <w:szCs w:val="22"/>
          <w:lang w:val="sk-SK"/>
        </w:rPr>
        <w:t>och</w:t>
      </w:r>
      <w:r w:rsidRPr="00B96B4F">
        <w:rPr>
          <w:rFonts w:cs="Segoe UI"/>
          <w:bCs/>
          <w:szCs w:val="22"/>
          <w:lang w:val="sk-SK"/>
        </w:rPr>
        <w:t xml:space="preserve"> </w:t>
      </w:r>
      <w:r w:rsidR="00D7175E" w:rsidRPr="00B96B4F">
        <w:rPr>
          <w:rFonts w:cs="Segoe UI"/>
          <w:bCs/>
          <w:szCs w:val="22"/>
          <w:lang w:val="sk-SK"/>
        </w:rPr>
        <w:t xml:space="preserve">zo </w:t>
      </w:r>
      <w:r w:rsidRPr="00B96B4F">
        <w:rPr>
          <w:rFonts w:cs="Segoe UI"/>
          <w:bCs/>
          <w:szCs w:val="22"/>
          <w:lang w:val="sk-SK"/>
        </w:rPr>
        <w:t>100</w:t>
      </w:r>
      <w:r w:rsidR="00D7175E" w:rsidRPr="00B96B4F">
        <w:rPr>
          <w:rFonts w:cs="Segoe UI"/>
          <w:bCs/>
          <w:szCs w:val="22"/>
          <w:lang w:val="sk-SK"/>
        </w:rPr>
        <w:t> </w:t>
      </w:r>
      <w:r w:rsidRPr="00B96B4F">
        <w:rPr>
          <w:rFonts w:cs="Segoe UI"/>
          <w:bCs/>
          <w:szCs w:val="22"/>
          <w:lang w:val="sk-SK"/>
        </w:rPr>
        <w:t>% recyklovaných plastov.</w:t>
      </w:r>
      <w:r w:rsidR="00F46B50" w:rsidRPr="00B96B4F">
        <w:rPr>
          <w:rFonts w:cs="Segoe UI"/>
          <w:bCs/>
          <w:szCs w:val="22"/>
          <w:lang w:val="sk-SK"/>
        </w:rPr>
        <w:t xml:space="preserve"> </w:t>
      </w:r>
      <w:r w:rsidR="00274CBA" w:rsidRPr="00B96B4F">
        <w:rPr>
          <w:rFonts w:cs="Segoe UI"/>
          <w:bCs/>
          <w:szCs w:val="22"/>
          <w:lang w:val="sk-SK"/>
        </w:rPr>
        <w:t xml:space="preserve">Divízia </w:t>
      </w:r>
      <w:proofErr w:type="spellStart"/>
      <w:r w:rsidR="00274CBA" w:rsidRPr="00B96B4F">
        <w:rPr>
          <w:rFonts w:cs="Segoe UI"/>
          <w:bCs/>
          <w:szCs w:val="22"/>
          <w:lang w:val="sk-SK"/>
        </w:rPr>
        <w:t>Beauty</w:t>
      </w:r>
      <w:proofErr w:type="spellEnd"/>
      <w:r w:rsidR="00274CBA" w:rsidRPr="00B96B4F">
        <w:rPr>
          <w:rFonts w:cs="Segoe UI"/>
          <w:bCs/>
          <w:szCs w:val="22"/>
          <w:lang w:val="sk-SK"/>
        </w:rPr>
        <w:t xml:space="preserve"> </w:t>
      </w:r>
      <w:proofErr w:type="spellStart"/>
      <w:r w:rsidR="00274CBA" w:rsidRPr="00B96B4F">
        <w:rPr>
          <w:rFonts w:cs="Segoe UI"/>
          <w:bCs/>
          <w:szCs w:val="22"/>
          <w:lang w:val="sk-SK"/>
        </w:rPr>
        <w:t>Care</w:t>
      </w:r>
      <w:proofErr w:type="spellEnd"/>
      <w:r w:rsidR="00274CBA" w:rsidRPr="00B96B4F">
        <w:rPr>
          <w:rFonts w:cs="Segoe UI"/>
          <w:bCs/>
          <w:szCs w:val="22"/>
          <w:lang w:val="sk-SK"/>
        </w:rPr>
        <w:t xml:space="preserve"> predstavila tuhý šampón a</w:t>
      </w:r>
      <w:r w:rsidR="004E356F" w:rsidRPr="00B96B4F">
        <w:rPr>
          <w:rFonts w:cs="Segoe UI"/>
          <w:bCs/>
          <w:szCs w:val="22"/>
          <w:lang w:val="sk-SK"/>
        </w:rPr>
        <w:t xml:space="preserve"> sprchovacie </w:t>
      </w:r>
      <w:r w:rsidR="00274CBA" w:rsidRPr="00B96B4F">
        <w:rPr>
          <w:rFonts w:cs="Segoe UI"/>
          <w:bCs/>
          <w:szCs w:val="22"/>
          <w:lang w:val="sk-SK"/>
        </w:rPr>
        <w:t xml:space="preserve">mydlá na </w:t>
      </w:r>
      <w:r w:rsidR="00A1534C" w:rsidRPr="00B96B4F">
        <w:rPr>
          <w:rFonts w:cs="Segoe UI"/>
          <w:bCs/>
          <w:szCs w:val="22"/>
          <w:lang w:val="sk-SK"/>
        </w:rPr>
        <w:t xml:space="preserve">pokožku </w:t>
      </w:r>
      <w:r w:rsidR="00274CBA" w:rsidRPr="00B96B4F">
        <w:rPr>
          <w:rFonts w:cs="Segoe UI"/>
          <w:bCs/>
          <w:szCs w:val="22"/>
          <w:lang w:val="sk-SK"/>
        </w:rPr>
        <w:t>pod značkami Nature Box a N.A.E. bez plastov</w:t>
      </w:r>
      <w:r w:rsidR="00D7175E" w:rsidRPr="00B96B4F">
        <w:rPr>
          <w:rFonts w:cs="Segoe UI"/>
          <w:bCs/>
          <w:szCs w:val="22"/>
          <w:lang w:val="sk-SK"/>
        </w:rPr>
        <w:t xml:space="preserve">ých </w:t>
      </w:r>
      <w:r w:rsidR="00274CBA" w:rsidRPr="00B96B4F">
        <w:rPr>
          <w:rFonts w:cs="Segoe UI"/>
          <w:bCs/>
          <w:szCs w:val="22"/>
          <w:lang w:val="sk-SK"/>
        </w:rPr>
        <w:t>obal</w:t>
      </w:r>
      <w:r w:rsidR="00D7175E" w:rsidRPr="00B96B4F">
        <w:rPr>
          <w:rFonts w:cs="Segoe UI"/>
          <w:bCs/>
          <w:szCs w:val="22"/>
          <w:lang w:val="sk-SK"/>
        </w:rPr>
        <w:t>ov</w:t>
      </w:r>
      <w:r w:rsidR="001A3600" w:rsidRPr="00B96B4F">
        <w:rPr>
          <w:rFonts w:cs="Segoe UI"/>
          <w:bCs/>
          <w:szCs w:val="22"/>
          <w:lang w:val="sk-SK"/>
        </w:rPr>
        <w:t>.</w:t>
      </w:r>
      <w:r w:rsidR="00F46B50" w:rsidRPr="00B96B4F">
        <w:rPr>
          <w:rFonts w:cs="Segoe UI"/>
          <w:bCs/>
          <w:szCs w:val="22"/>
          <w:lang w:val="sk-SK"/>
        </w:rPr>
        <w:t xml:space="preserve"> </w:t>
      </w:r>
      <w:r w:rsidR="000823B5" w:rsidRPr="00B96B4F">
        <w:rPr>
          <w:rFonts w:cs="Segoe UI"/>
          <w:bCs/>
          <w:szCs w:val="22"/>
          <w:lang w:val="sk-SK"/>
        </w:rPr>
        <w:t xml:space="preserve">S produktom </w:t>
      </w:r>
      <w:proofErr w:type="spellStart"/>
      <w:r w:rsidR="00274CBA" w:rsidRPr="00B96B4F">
        <w:rPr>
          <w:rFonts w:cs="Segoe UI"/>
          <w:bCs/>
          <w:szCs w:val="22"/>
          <w:lang w:val="sk-SK"/>
        </w:rPr>
        <w:t>Loctite</w:t>
      </w:r>
      <w:proofErr w:type="spellEnd"/>
      <w:r w:rsidR="00274CBA" w:rsidRPr="00B96B4F">
        <w:rPr>
          <w:rFonts w:cs="Segoe UI"/>
          <w:bCs/>
          <w:szCs w:val="22"/>
          <w:lang w:val="sk-SK"/>
        </w:rPr>
        <w:t xml:space="preserve"> </w:t>
      </w:r>
      <w:proofErr w:type="spellStart"/>
      <w:r w:rsidR="00274CBA" w:rsidRPr="00B96B4F">
        <w:rPr>
          <w:rFonts w:cs="Segoe UI"/>
          <w:bCs/>
          <w:szCs w:val="22"/>
          <w:lang w:val="sk-SK"/>
        </w:rPr>
        <w:t>Liofol</w:t>
      </w:r>
      <w:proofErr w:type="spellEnd"/>
      <w:r w:rsidR="004E356F" w:rsidRPr="00B96B4F">
        <w:rPr>
          <w:rFonts w:cs="Segoe UI"/>
          <w:bCs/>
          <w:szCs w:val="22"/>
          <w:lang w:val="sk-SK"/>
        </w:rPr>
        <w:t xml:space="preserve"> </w:t>
      </w:r>
      <w:r w:rsidR="008803FE" w:rsidRPr="00B96B4F">
        <w:rPr>
          <w:rFonts w:cs="Segoe UI"/>
          <w:bCs/>
          <w:szCs w:val="22"/>
          <w:lang w:val="sk-SK"/>
        </w:rPr>
        <w:t xml:space="preserve">priniesla </w:t>
      </w:r>
      <w:r w:rsidR="004E356F" w:rsidRPr="00B96B4F">
        <w:rPr>
          <w:rFonts w:cs="Segoe UI"/>
          <w:bCs/>
          <w:szCs w:val="22"/>
          <w:lang w:val="sk-SK"/>
        </w:rPr>
        <w:t xml:space="preserve">divízia </w:t>
      </w:r>
      <w:r w:rsidR="00274CBA" w:rsidRPr="00B96B4F">
        <w:rPr>
          <w:rFonts w:cs="Segoe UI"/>
          <w:bCs/>
          <w:szCs w:val="22"/>
          <w:lang w:val="sk-SK"/>
        </w:rPr>
        <w:t xml:space="preserve">Adhesive Technologies </w:t>
      </w:r>
      <w:r w:rsidR="000823B5" w:rsidRPr="00B96B4F">
        <w:rPr>
          <w:rFonts w:cs="Segoe UI"/>
          <w:bCs/>
          <w:szCs w:val="22"/>
          <w:lang w:val="sk-SK"/>
        </w:rPr>
        <w:t xml:space="preserve">na trh </w:t>
      </w:r>
      <w:r w:rsidR="004E356F" w:rsidRPr="00B96B4F">
        <w:rPr>
          <w:rFonts w:cs="Segoe UI"/>
          <w:bCs/>
          <w:szCs w:val="22"/>
          <w:lang w:val="sk-SK"/>
        </w:rPr>
        <w:t>certifikovan</w:t>
      </w:r>
      <w:r w:rsidR="000823B5" w:rsidRPr="00B96B4F">
        <w:rPr>
          <w:rFonts w:cs="Segoe UI"/>
          <w:bCs/>
          <w:szCs w:val="22"/>
          <w:lang w:val="sk-SK"/>
        </w:rPr>
        <w:t>é</w:t>
      </w:r>
      <w:r w:rsidR="004E356F" w:rsidRPr="00B96B4F">
        <w:rPr>
          <w:rFonts w:cs="Segoe UI"/>
          <w:bCs/>
          <w:szCs w:val="22"/>
          <w:lang w:val="sk-SK"/>
        </w:rPr>
        <w:t xml:space="preserve"> recyklovateľn</w:t>
      </w:r>
      <w:r w:rsidR="000823B5" w:rsidRPr="00B96B4F">
        <w:rPr>
          <w:rFonts w:cs="Segoe UI"/>
          <w:bCs/>
          <w:szCs w:val="22"/>
          <w:lang w:val="sk-SK"/>
        </w:rPr>
        <w:t>é</w:t>
      </w:r>
      <w:r w:rsidR="004E356F" w:rsidRPr="00B96B4F">
        <w:rPr>
          <w:rFonts w:cs="Segoe UI"/>
          <w:bCs/>
          <w:szCs w:val="22"/>
          <w:lang w:val="sk-SK"/>
        </w:rPr>
        <w:t xml:space="preserve"> </w:t>
      </w:r>
      <w:proofErr w:type="spellStart"/>
      <w:r w:rsidR="000823B5" w:rsidRPr="00B96B4F">
        <w:rPr>
          <w:rFonts w:cs="Segoe UI"/>
          <w:bCs/>
          <w:szCs w:val="22"/>
          <w:lang w:val="sk-SK"/>
        </w:rPr>
        <w:t>laminovacie</w:t>
      </w:r>
      <w:proofErr w:type="spellEnd"/>
      <w:r w:rsidR="000823B5" w:rsidRPr="00B96B4F">
        <w:rPr>
          <w:rFonts w:cs="Segoe UI"/>
          <w:bCs/>
          <w:szCs w:val="22"/>
          <w:lang w:val="sk-SK"/>
        </w:rPr>
        <w:t xml:space="preserve"> lepidlo aplikované za tepla </w:t>
      </w:r>
      <w:r w:rsidR="001A3600" w:rsidRPr="00B96B4F">
        <w:rPr>
          <w:rFonts w:cs="Segoe UI"/>
          <w:bCs/>
          <w:szCs w:val="22"/>
          <w:lang w:val="sk-SK"/>
        </w:rPr>
        <w:t xml:space="preserve">a </w:t>
      </w:r>
      <w:r w:rsidR="000823B5" w:rsidRPr="00B96B4F">
        <w:rPr>
          <w:rFonts w:cs="Segoe UI"/>
          <w:bCs/>
          <w:szCs w:val="22"/>
          <w:lang w:val="sk-SK"/>
        </w:rPr>
        <w:t>za studena</w:t>
      </w:r>
      <w:r w:rsidR="00274CBA" w:rsidRPr="00B96B4F">
        <w:rPr>
          <w:rFonts w:cs="Segoe UI"/>
          <w:bCs/>
          <w:szCs w:val="22"/>
          <w:lang w:val="sk-SK"/>
        </w:rPr>
        <w:t xml:space="preserve">, </w:t>
      </w:r>
      <w:r w:rsidR="000823B5" w:rsidRPr="00B96B4F">
        <w:rPr>
          <w:rFonts w:cs="Segoe UI"/>
          <w:bCs/>
          <w:szCs w:val="22"/>
          <w:lang w:val="sk-SK"/>
        </w:rPr>
        <w:t xml:space="preserve">ktoré umožňuje nahradiť polyetylén papierom a je vhodné na </w:t>
      </w:r>
      <w:r w:rsidR="008803FE" w:rsidRPr="00B96B4F">
        <w:rPr>
          <w:rFonts w:cs="Segoe UI"/>
          <w:bCs/>
          <w:szCs w:val="22"/>
          <w:lang w:val="sk-SK"/>
        </w:rPr>
        <w:t xml:space="preserve">viacero </w:t>
      </w:r>
      <w:r w:rsidR="000823B5" w:rsidRPr="00B96B4F">
        <w:rPr>
          <w:rFonts w:cs="Segoe UI"/>
          <w:bCs/>
          <w:szCs w:val="22"/>
          <w:lang w:val="sk-SK"/>
        </w:rPr>
        <w:t>potravinárskych a iných obalov</w:t>
      </w:r>
      <w:r w:rsidR="00274CBA" w:rsidRPr="00B96B4F">
        <w:rPr>
          <w:rFonts w:cs="Segoe UI"/>
          <w:bCs/>
          <w:szCs w:val="22"/>
          <w:lang w:val="sk-SK"/>
        </w:rPr>
        <w:t>.</w:t>
      </w:r>
    </w:p>
    <w:p w14:paraId="5C8B34D1" w14:textId="77777777" w:rsidR="00E41985" w:rsidRPr="00B96B4F" w:rsidRDefault="00E41985" w:rsidP="00846017">
      <w:pPr>
        <w:rPr>
          <w:rFonts w:cs="Segoe UI"/>
          <w:szCs w:val="22"/>
          <w:lang w:val="sk-SK" w:eastAsia="de-DE"/>
        </w:rPr>
      </w:pPr>
    </w:p>
    <w:p w14:paraId="63762C63" w14:textId="77777777" w:rsidR="00846017" w:rsidRPr="00B96B4F" w:rsidRDefault="000823B5" w:rsidP="000823B5">
      <w:pPr>
        <w:spacing w:line="280" w:lineRule="auto"/>
        <w:rPr>
          <w:rFonts w:cs="Segoe UI"/>
          <w:szCs w:val="22"/>
          <w:lang w:val="sk-SK" w:eastAsia="de-DE"/>
        </w:rPr>
      </w:pPr>
      <w:r w:rsidRPr="00B96B4F">
        <w:rPr>
          <w:rFonts w:cs="Segoe UI"/>
          <w:szCs w:val="22"/>
          <w:lang w:val="sk-SK" w:eastAsia="de-DE"/>
        </w:rPr>
        <w:t xml:space="preserve">Popri inováciách a udržateľnosti spoločnosť Henkel definovala </w:t>
      </w:r>
      <w:r w:rsidRPr="00B96B4F">
        <w:rPr>
          <w:rFonts w:cs="Segoe UI"/>
          <w:b/>
          <w:szCs w:val="22"/>
          <w:lang w:val="sk-SK" w:eastAsia="de-DE"/>
        </w:rPr>
        <w:t>digitalizáciu</w:t>
      </w:r>
      <w:r w:rsidRPr="00B96B4F">
        <w:rPr>
          <w:rFonts w:cs="Segoe UI"/>
          <w:szCs w:val="22"/>
          <w:lang w:val="sk-SK" w:eastAsia="de-DE"/>
        </w:rPr>
        <w:t xml:space="preserve"> ako kľúčový nástroj na posilnenie svojej konkurencieschopnosti.</w:t>
      </w:r>
      <w:r w:rsidR="00846017" w:rsidRPr="00B96B4F">
        <w:rPr>
          <w:rFonts w:cs="Segoe UI"/>
          <w:szCs w:val="22"/>
          <w:lang w:val="sk-SK" w:eastAsia="de-DE"/>
        </w:rPr>
        <w:t xml:space="preserve"> </w:t>
      </w:r>
      <w:r w:rsidRPr="00B96B4F">
        <w:rPr>
          <w:rFonts w:cs="Segoe UI"/>
          <w:szCs w:val="22"/>
          <w:lang w:val="sk-SK"/>
        </w:rPr>
        <w:t xml:space="preserve">V prvom polroku </w:t>
      </w:r>
      <w:r w:rsidR="008E3D3B" w:rsidRPr="00B96B4F">
        <w:rPr>
          <w:rFonts w:cs="Segoe UI"/>
          <w:szCs w:val="22"/>
          <w:lang w:val="sk-SK"/>
        </w:rPr>
        <w:t xml:space="preserve">spoločnosť </w:t>
      </w:r>
      <w:r w:rsidR="008803FE" w:rsidRPr="00B96B4F">
        <w:rPr>
          <w:rFonts w:cs="Segoe UI"/>
          <w:szCs w:val="22"/>
          <w:lang w:val="sk-SK"/>
        </w:rPr>
        <w:t xml:space="preserve">Henkel </w:t>
      </w:r>
      <w:r w:rsidRPr="00B96B4F">
        <w:rPr>
          <w:rFonts w:cs="Segoe UI"/>
          <w:szCs w:val="22"/>
          <w:lang w:val="sk-SK"/>
        </w:rPr>
        <w:t>zaznamenal</w:t>
      </w:r>
      <w:r w:rsidR="008E3D3B" w:rsidRPr="00B96B4F">
        <w:rPr>
          <w:rFonts w:cs="Segoe UI"/>
          <w:szCs w:val="22"/>
          <w:lang w:val="sk-SK"/>
        </w:rPr>
        <w:t>a</w:t>
      </w:r>
      <w:r w:rsidRPr="00B96B4F">
        <w:rPr>
          <w:rFonts w:cs="Segoe UI"/>
          <w:szCs w:val="22"/>
          <w:lang w:val="sk-SK"/>
        </w:rPr>
        <w:t xml:space="preserve"> výrazný nárast digitáln</w:t>
      </w:r>
      <w:r w:rsidR="008803FE" w:rsidRPr="00B96B4F">
        <w:rPr>
          <w:rFonts w:cs="Segoe UI"/>
          <w:szCs w:val="22"/>
          <w:lang w:val="sk-SK"/>
        </w:rPr>
        <w:t xml:space="preserve">eho odbytu </w:t>
      </w:r>
      <w:r w:rsidRPr="00B96B4F">
        <w:rPr>
          <w:rFonts w:cs="Segoe UI"/>
          <w:szCs w:val="22"/>
          <w:lang w:val="sk-SK"/>
        </w:rPr>
        <w:t>o viac než 60</w:t>
      </w:r>
      <w:r w:rsidR="008E3D3B" w:rsidRPr="00B96B4F">
        <w:rPr>
          <w:rFonts w:cs="Segoe UI"/>
          <w:szCs w:val="22"/>
          <w:lang w:val="sk-SK"/>
        </w:rPr>
        <w:t> </w:t>
      </w:r>
      <w:r w:rsidRPr="00B96B4F">
        <w:rPr>
          <w:rFonts w:cs="Segoe UI"/>
          <w:szCs w:val="22"/>
          <w:lang w:val="sk-SK"/>
        </w:rPr>
        <w:t xml:space="preserve">% celkovo za </w:t>
      </w:r>
      <w:r w:rsidR="008E3D3B" w:rsidRPr="00B96B4F">
        <w:rPr>
          <w:rFonts w:cs="Segoe UI"/>
          <w:szCs w:val="22"/>
          <w:lang w:val="sk-SK"/>
        </w:rPr>
        <w:t xml:space="preserve">divízie </w:t>
      </w:r>
      <w:proofErr w:type="spellStart"/>
      <w:r w:rsidRPr="00B96B4F">
        <w:rPr>
          <w:rFonts w:cs="Segoe UI"/>
          <w:szCs w:val="22"/>
          <w:lang w:val="sk-SK"/>
        </w:rPr>
        <w:t>Beauty</w:t>
      </w:r>
      <w:proofErr w:type="spellEnd"/>
      <w:r w:rsidRPr="00B96B4F">
        <w:rPr>
          <w:rFonts w:cs="Segoe UI"/>
          <w:szCs w:val="22"/>
          <w:lang w:val="sk-SK"/>
        </w:rPr>
        <w:t xml:space="preserve"> </w:t>
      </w:r>
      <w:proofErr w:type="spellStart"/>
      <w:r w:rsidRPr="00B96B4F">
        <w:rPr>
          <w:rFonts w:cs="Segoe UI"/>
          <w:szCs w:val="22"/>
          <w:lang w:val="sk-SK"/>
        </w:rPr>
        <w:t>Care</w:t>
      </w:r>
      <w:proofErr w:type="spellEnd"/>
      <w:r w:rsidRPr="00B96B4F">
        <w:rPr>
          <w:rFonts w:cs="Segoe UI"/>
          <w:szCs w:val="22"/>
          <w:lang w:val="sk-SK"/>
        </w:rPr>
        <w:t xml:space="preserve"> a Laundry &amp; Home </w:t>
      </w:r>
      <w:proofErr w:type="spellStart"/>
      <w:r w:rsidRPr="00B96B4F">
        <w:rPr>
          <w:rFonts w:cs="Segoe UI"/>
          <w:szCs w:val="22"/>
          <w:lang w:val="sk-SK"/>
        </w:rPr>
        <w:t>Care</w:t>
      </w:r>
      <w:proofErr w:type="spellEnd"/>
      <w:r w:rsidRPr="00B96B4F">
        <w:rPr>
          <w:rFonts w:cs="Segoe UI"/>
          <w:szCs w:val="22"/>
          <w:lang w:val="sk-SK"/>
        </w:rPr>
        <w:t>.</w:t>
      </w:r>
      <w:r w:rsidR="009F610E" w:rsidRPr="00B96B4F">
        <w:rPr>
          <w:rFonts w:cs="Segoe UI"/>
          <w:szCs w:val="22"/>
          <w:lang w:val="sk-SK"/>
        </w:rPr>
        <w:t xml:space="preserve"> </w:t>
      </w:r>
      <w:r w:rsidRPr="00B96B4F">
        <w:rPr>
          <w:rFonts w:cs="Segoe UI"/>
          <w:szCs w:val="22"/>
          <w:lang w:val="sk-SK"/>
        </w:rPr>
        <w:t>Za celú skupinu sa podiel digitáln</w:t>
      </w:r>
      <w:r w:rsidR="008803FE" w:rsidRPr="00B96B4F">
        <w:rPr>
          <w:rFonts w:cs="Segoe UI"/>
          <w:szCs w:val="22"/>
          <w:lang w:val="sk-SK"/>
        </w:rPr>
        <w:t xml:space="preserve">eho odbytu </w:t>
      </w:r>
      <w:r w:rsidRPr="00B96B4F">
        <w:rPr>
          <w:rFonts w:cs="Segoe UI"/>
          <w:szCs w:val="22"/>
          <w:lang w:val="sk-SK"/>
        </w:rPr>
        <w:t>na celkovom obrate približuje k</w:t>
      </w:r>
      <w:r w:rsidR="008803FE" w:rsidRPr="00B96B4F">
        <w:rPr>
          <w:rFonts w:cs="Segoe UI"/>
          <w:szCs w:val="22"/>
          <w:lang w:val="sk-SK"/>
        </w:rPr>
        <w:t xml:space="preserve"> pásmu </w:t>
      </w:r>
      <w:r w:rsidRPr="00B96B4F">
        <w:rPr>
          <w:rFonts w:cs="Segoe UI"/>
          <w:szCs w:val="22"/>
          <w:lang w:val="sk-SK"/>
        </w:rPr>
        <w:t>15</w:t>
      </w:r>
      <w:r w:rsidR="008803FE" w:rsidRPr="00B96B4F">
        <w:rPr>
          <w:rFonts w:cs="Segoe UI"/>
          <w:szCs w:val="22"/>
          <w:lang w:val="sk-SK"/>
        </w:rPr>
        <w:t xml:space="preserve"> až </w:t>
      </w:r>
      <w:r w:rsidRPr="00B96B4F">
        <w:rPr>
          <w:rFonts w:cs="Segoe UI"/>
          <w:szCs w:val="22"/>
          <w:lang w:val="sk-SK"/>
        </w:rPr>
        <w:t>16</w:t>
      </w:r>
      <w:r w:rsidR="008803FE" w:rsidRPr="00B96B4F">
        <w:rPr>
          <w:rFonts w:cs="Segoe UI"/>
          <w:szCs w:val="22"/>
          <w:lang w:val="sk-SK"/>
        </w:rPr>
        <w:t xml:space="preserve"> percent</w:t>
      </w:r>
      <w:r w:rsidRPr="00B96B4F">
        <w:rPr>
          <w:rFonts w:cs="Segoe UI"/>
          <w:szCs w:val="22"/>
          <w:lang w:val="sk-SK"/>
        </w:rPr>
        <w:t>.</w:t>
      </w:r>
      <w:r w:rsidR="00BB2D73" w:rsidRPr="00B96B4F">
        <w:rPr>
          <w:rFonts w:cs="Segoe UI"/>
          <w:szCs w:val="22"/>
          <w:lang w:val="sk-SK" w:eastAsia="de-DE"/>
        </w:rPr>
        <w:t xml:space="preserve"> </w:t>
      </w:r>
      <w:r w:rsidRPr="00B96B4F">
        <w:rPr>
          <w:rFonts w:cs="Segoe UI"/>
          <w:szCs w:val="22"/>
          <w:lang w:val="sk-SK" w:eastAsia="de-DE"/>
        </w:rPr>
        <w:t>Prostredníctvom nov</w:t>
      </w:r>
      <w:r w:rsidR="008803FE" w:rsidRPr="00B96B4F">
        <w:rPr>
          <w:rFonts w:cs="Segoe UI"/>
          <w:szCs w:val="22"/>
          <w:lang w:val="sk-SK" w:eastAsia="de-DE"/>
        </w:rPr>
        <w:t xml:space="preserve">ého útvaru pre digitálne podnikanie </w:t>
      </w:r>
      <w:r w:rsidR="008803FE" w:rsidRPr="00B96B4F">
        <w:rPr>
          <w:rFonts w:cs="Segoe UI"/>
          <w:szCs w:val="22"/>
          <w:lang w:val="sk-SK" w:eastAsia="de-DE"/>
        </w:rPr>
        <w:lastRenderedPageBreak/>
        <w:t>(</w:t>
      </w:r>
      <w:r w:rsidRPr="00B96B4F">
        <w:rPr>
          <w:rFonts w:cs="Segoe UI"/>
          <w:szCs w:val="22"/>
          <w:lang w:val="sk-SK" w:eastAsia="de-DE"/>
        </w:rPr>
        <w:t>Digital Business</w:t>
      </w:r>
      <w:r w:rsidR="008803FE" w:rsidRPr="00B96B4F">
        <w:rPr>
          <w:rFonts w:cs="Segoe UI"/>
          <w:szCs w:val="22"/>
          <w:lang w:val="sk-SK" w:eastAsia="de-DE"/>
        </w:rPr>
        <w:t>)</w:t>
      </w:r>
      <w:r w:rsidRPr="00B96B4F">
        <w:rPr>
          <w:rFonts w:cs="Segoe UI"/>
          <w:szCs w:val="22"/>
          <w:lang w:val="sk-SK" w:eastAsia="de-DE"/>
        </w:rPr>
        <w:t xml:space="preserve"> sa Henkel snaží stať </w:t>
      </w:r>
      <w:r w:rsidR="00817343" w:rsidRPr="00B96B4F">
        <w:rPr>
          <w:rFonts w:cs="Segoe UI"/>
          <w:szCs w:val="22"/>
          <w:lang w:val="sk-SK" w:eastAsia="de-DE"/>
        </w:rPr>
        <w:t xml:space="preserve">lídrom </w:t>
      </w:r>
      <w:r w:rsidRPr="00B96B4F">
        <w:rPr>
          <w:rFonts w:cs="Segoe UI"/>
          <w:szCs w:val="22"/>
          <w:lang w:val="sk-SK" w:eastAsia="de-DE"/>
        </w:rPr>
        <w:t xml:space="preserve">v oblasti digitálneho podnikania v rámci </w:t>
      </w:r>
      <w:r w:rsidRPr="00B96B4F">
        <w:rPr>
          <w:rFonts w:cs="Segoe UI"/>
          <w:szCs w:val="22"/>
          <w:lang w:val="sk-SK"/>
        </w:rPr>
        <w:t xml:space="preserve">svojich </w:t>
      </w:r>
      <w:r w:rsidR="008803FE" w:rsidRPr="00B96B4F">
        <w:rPr>
          <w:rFonts w:cs="Segoe UI"/>
          <w:szCs w:val="22"/>
          <w:lang w:val="sk-SK"/>
        </w:rPr>
        <w:t xml:space="preserve">odvetví </w:t>
      </w:r>
      <w:r w:rsidRPr="00B96B4F">
        <w:rPr>
          <w:rFonts w:cs="Segoe UI"/>
          <w:szCs w:val="22"/>
          <w:lang w:val="sk-SK"/>
        </w:rPr>
        <w:t>a</w:t>
      </w:r>
      <w:r w:rsidR="00817343" w:rsidRPr="00B96B4F">
        <w:rPr>
          <w:rFonts w:cs="Segoe UI"/>
          <w:szCs w:val="22"/>
          <w:lang w:val="sk-SK"/>
        </w:rPr>
        <w:t xml:space="preserve"> prinášať </w:t>
      </w:r>
      <w:r w:rsidR="008803FE" w:rsidRPr="00B96B4F">
        <w:rPr>
          <w:rFonts w:cs="Segoe UI"/>
          <w:szCs w:val="22"/>
          <w:lang w:val="sk-SK"/>
        </w:rPr>
        <w:t xml:space="preserve">skutočné </w:t>
      </w:r>
      <w:r w:rsidRPr="00B96B4F">
        <w:rPr>
          <w:rFonts w:cs="Segoe UI"/>
          <w:szCs w:val="22"/>
          <w:lang w:val="sk-SK"/>
        </w:rPr>
        <w:t>hodnoty svoji</w:t>
      </w:r>
      <w:r w:rsidR="00817343" w:rsidRPr="00B96B4F">
        <w:rPr>
          <w:rFonts w:cs="Segoe UI"/>
          <w:szCs w:val="22"/>
          <w:lang w:val="sk-SK"/>
        </w:rPr>
        <w:t xml:space="preserve">m </w:t>
      </w:r>
      <w:r w:rsidRPr="00B96B4F">
        <w:rPr>
          <w:rFonts w:cs="Segoe UI"/>
          <w:szCs w:val="22"/>
          <w:lang w:val="sk-SK"/>
        </w:rPr>
        <w:t>zákazníko</w:t>
      </w:r>
      <w:r w:rsidR="00817343" w:rsidRPr="00B96B4F">
        <w:rPr>
          <w:rFonts w:cs="Segoe UI"/>
          <w:szCs w:val="22"/>
          <w:lang w:val="sk-SK"/>
        </w:rPr>
        <w:t>m</w:t>
      </w:r>
      <w:r w:rsidRPr="00B96B4F">
        <w:rPr>
          <w:rFonts w:cs="Segoe UI"/>
          <w:szCs w:val="22"/>
          <w:lang w:val="sk-SK"/>
        </w:rPr>
        <w:t>.</w:t>
      </w:r>
      <w:r w:rsidR="00BB2D73" w:rsidRPr="00B96B4F">
        <w:rPr>
          <w:rFonts w:cs="Segoe UI"/>
          <w:szCs w:val="22"/>
          <w:lang w:val="sk-SK" w:eastAsia="de-DE"/>
        </w:rPr>
        <w:t xml:space="preserve"> </w:t>
      </w:r>
      <w:r w:rsidRPr="00B96B4F">
        <w:rPr>
          <w:rFonts w:cs="Segoe UI"/>
          <w:szCs w:val="22"/>
          <w:lang w:val="sk-SK" w:eastAsia="de-DE"/>
        </w:rPr>
        <w:t xml:space="preserve">Preto </w:t>
      </w:r>
      <w:r w:rsidR="00817343" w:rsidRPr="00B96B4F">
        <w:rPr>
          <w:rFonts w:cs="Segoe UI"/>
          <w:szCs w:val="22"/>
          <w:lang w:val="sk-SK" w:eastAsia="de-DE"/>
        </w:rPr>
        <w:t xml:space="preserve">spoločnosť </w:t>
      </w:r>
      <w:r w:rsidRPr="00B96B4F">
        <w:rPr>
          <w:rFonts w:cs="Segoe UI"/>
          <w:szCs w:val="22"/>
          <w:lang w:val="sk-SK" w:eastAsia="de-DE"/>
        </w:rPr>
        <w:t xml:space="preserve">zaviedla </w:t>
      </w:r>
      <w:r w:rsidR="00817343" w:rsidRPr="00B96B4F">
        <w:rPr>
          <w:rFonts w:cs="Segoe UI"/>
          <w:szCs w:val="22"/>
          <w:lang w:val="sk-SK" w:eastAsia="de-DE"/>
        </w:rPr>
        <w:t xml:space="preserve">na konci júna </w:t>
      </w:r>
      <w:r w:rsidRPr="00B96B4F">
        <w:rPr>
          <w:rFonts w:cs="Segoe UI"/>
          <w:szCs w:val="22"/>
          <w:lang w:val="sk-SK" w:eastAsia="de-DE"/>
        </w:rPr>
        <w:t>nový prevádzkový model pre svoje aktivity v oblas</w:t>
      </w:r>
      <w:r w:rsidR="00817343" w:rsidRPr="00B96B4F">
        <w:rPr>
          <w:rFonts w:cs="Segoe UI"/>
          <w:szCs w:val="22"/>
          <w:lang w:val="sk-SK" w:eastAsia="de-DE"/>
        </w:rPr>
        <w:t xml:space="preserve">ti digitálneho podnikania a IT, ktorého súčasťou sú </w:t>
      </w:r>
      <w:r w:rsidRPr="00B96B4F">
        <w:rPr>
          <w:rFonts w:cs="Segoe UI"/>
          <w:szCs w:val="22"/>
          <w:lang w:val="sk-SK" w:eastAsia="de-DE"/>
        </w:rPr>
        <w:t xml:space="preserve">tímy </w:t>
      </w:r>
      <w:r w:rsidR="00817343" w:rsidRPr="00B96B4F">
        <w:rPr>
          <w:rFonts w:cs="Segoe UI"/>
          <w:szCs w:val="22"/>
          <w:lang w:val="sk-SK" w:eastAsia="de-DE"/>
        </w:rPr>
        <w:t xml:space="preserve">pre </w:t>
      </w:r>
      <w:r w:rsidRPr="00B96B4F">
        <w:rPr>
          <w:rFonts w:cs="Segoe UI"/>
          <w:szCs w:val="22"/>
          <w:lang w:val="sk-SK" w:eastAsia="de-DE"/>
        </w:rPr>
        <w:t>IT, expert</w:t>
      </w:r>
      <w:r w:rsidR="00817343" w:rsidRPr="00B96B4F">
        <w:rPr>
          <w:rFonts w:cs="Segoe UI"/>
          <w:szCs w:val="22"/>
          <w:lang w:val="sk-SK" w:eastAsia="de-DE"/>
        </w:rPr>
        <w:t xml:space="preserve">i </w:t>
      </w:r>
      <w:r w:rsidRPr="00B96B4F">
        <w:rPr>
          <w:rFonts w:cs="Segoe UI"/>
          <w:szCs w:val="22"/>
          <w:lang w:val="sk-SK" w:eastAsia="de-DE"/>
        </w:rPr>
        <w:t>na digitále podnikanie, vlastní</w:t>
      </w:r>
      <w:r w:rsidR="00817343" w:rsidRPr="00B96B4F">
        <w:rPr>
          <w:rFonts w:cs="Segoe UI"/>
          <w:szCs w:val="22"/>
          <w:lang w:val="sk-SK" w:eastAsia="de-DE"/>
        </w:rPr>
        <w:t xml:space="preserve">ci </w:t>
      </w:r>
      <w:r w:rsidRPr="00B96B4F">
        <w:rPr>
          <w:rFonts w:cs="Segoe UI"/>
          <w:szCs w:val="22"/>
          <w:lang w:val="sk-SK" w:eastAsia="de-DE"/>
        </w:rPr>
        <w:t>obchodn</w:t>
      </w:r>
      <w:r w:rsidR="00817343" w:rsidRPr="00B96B4F">
        <w:rPr>
          <w:rFonts w:cs="Segoe UI"/>
          <w:szCs w:val="22"/>
          <w:lang w:val="sk-SK" w:eastAsia="de-DE"/>
        </w:rPr>
        <w:t xml:space="preserve">ých </w:t>
      </w:r>
      <w:r w:rsidRPr="00B96B4F">
        <w:rPr>
          <w:rFonts w:cs="Segoe UI"/>
          <w:szCs w:val="22"/>
          <w:lang w:val="sk-SK" w:eastAsia="de-DE"/>
        </w:rPr>
        <w:t>proces</w:t>
      </w:r>
      <w:r w:rsidR="00817343" w:rsidRPr="00B96B4F">
        <w:rPr>
          <w:rFonts w:cs="Segoe UI"/>
          <w:szCs w:val="22"/>
          <w:lang w:val="sk-SK" w:eastAsia="de-DE"/>
        </w:rPr>
        <w:t>ov</w:t>
      </w:r>
      <w:r w:rsidRPr="00B96B4F">
        <w:rPr>
          <w:rFonts w:cs="Segoe UI"/>
          <w:szCs w:val="22"/>
          <w:lang w:val="sk-SK" w:eastAsia="de-DE"/>
        </w:rPr>
        <w:t xml:space="preserve"> a spoločnosť </w:t>
      </w:r>
      <w:proofErr w:type="spellStart"/>
      <w:r w:rsidRPr="00B96B4F">
        <w:rPr>
          <w:rFonts w:cs="Segoe UI"/>
          <w:szCs w:val="22"/>
          <w:lang w:val="sk-SK" w:eastAsia="de-DE"/>
        </w:rPr>
        <w:t>HenkelX</w:t>
      </w:r>
      <w:proofErr w:type="spellEnd"/>
      <w:r w:rsidRPr="00B96B4F">
        <w:rPr>
          <w:rFonts w:cs="Segoe UI"/>
          <w:szCs w:val="22"/>
          <w:lang w:val="sk-SK" w:eastAsia="de-DE"/>
        </w:rPr>
        <w:t xml:space="preserve"> </w:t>
      </w:r>
      <w:proofErr w:type="spellStart"/>
      <w:r w:rsidRPr="00B96B4F">
        <w:rPr>
          <w:rFonts w:cs="Segoe UI"/>
          <w:szCs w:val="22"/>
          <w:lang w:val="sk-SK" w:eastAsia="de-DE"/>
        </w:rPr>
        <w:t>Ventures</w:t>
      </w:r>
      <w:proofErr w:type="spellEnd"/>
      <w:r w:rsidR="00817343" w:rsidRPr="00B96B4F">
        <w:rPr>
          <w:rFonts w:cs="Segoe UI"/>
          <w:szCs w:val="22"/>
          <w:lang w:val="sk-SK" w:eastAsia="de-DE"/>
        </w:rPr>
        <w:t xml:space="preserve"> pod vedením </w:t>
      </w:r>
      <w:r w:rsidRPr="00B96B4F">
        <w:rPr>
          <w:rFonts w:cs="Segoe UI"/>
          <w:szCs w:val="22"/>
          <w:lang w:val="sk-SK" w:eastAsia="de-DE"/>
        </w:rPr>
        <w:t>riaditeľ</w:t>
      </w:r>
      <w:r w:rsidR="00817343" w:rsidRPr="00B96B4F">
        <w:rPr>
          <w:rFonts w:cs="Segoe UI"/>
          <w:szCs w:val="22"/>
          <w:lang w:val="sk-SK" w:eastAsia="de-DE"/>
        </w:rPr>
        <w:t>a</w:t>
      </w:r>
      <w:r w:rsidRPr="00B96B4F">
        <w:rPr>
          <w:rFonts w:cs="Segoe UI"/>
          <w:szCs w:val="22"/>
          <w:lang w:val="sk-SK" w:eastAsia="de-DE"/>
        </w:rPr>
        <w:t xml:space="preserve"> pre digitalizáciu a informatizáciu (CDIO – Chief Digital and </w:t>
      </w:r>
      <w:proofErr w:type="spellStart"/>
      <w:r w:rsidRPr="00B96B4F">
        <w:rPr>
          <w:rFonts w:cs="Segoe UI"/>
          <w:szCs w:val="22"/>
          <w:lang w:val="sk-SK" w:eastAsia="de-DE"/>
        </w:rPr>
        <w:t>Information</w:t>
      </w:r>
      <w:proofErr w:type="spellEnd"/>
      <w:r w:rsidRPr="00B96B4F">
        <w:rPr>
          <w:rFonts w:cs="Segoe UI"/>
          <w:szCs w:val="22"/>
          <w:lang w:val="sk-SK" w:eastAsia="de-DE"/>
        </w:rPr>
        <w:t xml:space="preserve"> </w:t>
      </w:r>
      <w:proofErr w:type="spellStart"/>
      <w:r w:rsidRPr="00B96B4F">
        <w:rPr>
          <w:rFonts w:cs="Segoe UI"/>
          <w:szCs w:val="22"/>
          <w:lang w:val="sk-SK" w:eastAsia="de-DE"/>
        </w:rPr>
        <w:t>Officer</w:t>
      </w:r>
      <w:proofErr w:type="spellEnd"/>
      <w:r w:rsidRPr="00B96B4F">
        <w:rPr>
          <w:rFonts w:cs="Segoe UI"/>
          <w:szCs w:val="22"/>
          <w:lang w:val="sk-SK" w:eastAsia="de-DE"/>
        </w:rPr>
        <w:t>)</w:t>
      </w:r>
      <w:r w:rsidR="00817343" w:rsidRPr="00B96B4F">
        <w:rPr>
          <w:rFonts w:cs="Segoe UI"/>
          <w:szCs w:val="22"/>
          <w:lang w:val="sk-SK" w:eastAsia="de-DE"/>
        </w:rPr>
        <w:t xml:space="preserve"> v spoločnosti Henkel</w:t>
      </w:r>
      <w:r w:rsidRPr="00B96B4F">
        <w:rPr>
          <w:rFonts w:cs="Segoe UI"/>
          <w:szCs w:val="22"/>
          <w:lang w:val="sk-SK" w:eastAsia="de-DE"/>
        </w:rPr>
        <w:t>.</w:t>
      </w:r>
    </w:p>
    <w:p w14:paraId="4791B279" w14:textId="77777777" w:rsidR="00846017" w:rsidRPr="00B96B4F" w:rsidRDefault="00846017" w:rsidP="00846017">
      <w:pPr>
        <w:rPr>
          <w:rFonts w:cs="Segoe UI"/>
          <w:szCs w:val="22"/>
          <w:lang w:val="sk-SK" w:eastAsia="de-DE"/>
        </w:rPr>
      </w:pPr>
    </w:p>
    <w:p w14:paraId="3B78A400" w14:textId="7D25327E" w:rsidR="00846017" w:rsidRPr="00B96B4F" w:rsidRDefault="0097496A" w:rsidP="007218A2">
      <w:pPr>
        <w:spacing w:line="280" w:lineRule="auto"/>
        <w:rPr>
          <w:rFonts w:cs="Segoe UI"/>
          <w:szCs w:val="22"/>
          <w:lang w:val="sk-SK" w:eastAsia="de-DE"/>
        </w:rPr>
      </w:pPr>
      <w:r>
        <w:rPr>
          <w:rFonts w:cs="Segoe UI"/>
          <w:szCs w:val="22"/>
          <w:lang w:val="sk-SK" w:eastAsia="de-DE"/>
        </w:rPr>
        <w:t xml:space="preserve">Ohybné </w:t>
      </w:r>
      <w:r w:rsidR="000823B5" w:rsidRPr="00B96B4F">
        <w:rPr>
          <w:rFonts w:cs="Segoe UI"/>
          <w:szCs w:val="22"/>
          <w:lang w:val="sk-SK" w:eastAsia="de-DE"/>
        </w:rPr>
        <w:t>a</w:t>
      </w:r>
      <w:r>
        <w:rPr>
          <w:rFonts w:cs="Segoe UI"/>
          <w:szCs w:val="22"/>
          <w:lang w:val="sk-SK" w:eastAsia="de-DE"/>
        </w:rPr>
        <w:t xml:space="preserve"> pre budúcnosť pripravené </w:t>
      </w:r>
      <w:r w:rsidR="000823B5" w:rsidRPr="00B96B4F">
        <w:rPr>
          <w:rFonts w:cs="Segoe UI"/>
          <w:szCs w:val="22"/>
          <w:lang w:val="sk-SK" w:eastAsia="de-DE"/>
        </w:rPr>
        <w:t xml:space="preserve">rýchle </w:t>
      </w:r>
      <w:r w:rsidR="000823B5" w:rsidRPr="00B96B4F">
        <w:rPr>
          <w:rFonts w:cs="Segoe UI"/>
          <w:b/>
          <w:szCs w:val="22"/>
          <w:lang w:val="sk-SK" w:eastAsia="de-DE"/>
        </w:rPr>
        <w:t>obchodné procesy</w:t>
      </w:r>
      <w:r w:rsidR="000823B5" w:rsidRPr="00B96B4F">
        <w:rPr>
          <w:rFonts w:cs="Segoe UI"/>
          <w:szCs w:val="22"/>
          <w:lang w:val="sk-SK" w:eastAsia="de-DE"/>
        </w:rPr>
        <w:t xml:space="preserve">, </w:t>
      </w:r>
      <w:r w:rsidR="000823B5" w:rsidRPr="00B96B4F">
        <w:rPr>
          <w:rFonts w:cs="Segoe UI"/>
          <w:bCs/>
          <w:szCs w:val="22"/>
          <w:lang w:val="sk-SK" w:eastAsia="de-DE"/>
        </w:rPr>
        <w:t>sú ďalším dôležitým prvkom strategického rámca spoločnosti Henkel</w:t>
      </w:r>
      <w:r w:rsidR="000823B5" w:rsidRPr="00B96B4F">
        <w:rPr>
          <w:rFonts w:cs="Segoe UI"/>
          <w:szCs w:val="22"/>
          <w:lang w:val="sk-SK" w:eastAsia="de-DE"/>
        </w:rPr>
        <w:t>.</w:t>
      </w:r>
      <w:r w:rsidR="00846017" w:rsidRPr="00B96B4F">
        <w:rPr>
          <w:rFonts w:cs="Segoe UI"/>
          <w:szCs w:val="22"/>
          <w:lang w:val="sk-SK" w:eastAsia="de-DE"/>
        </w:rPr>
        <w:t xml:space="preserve"> </w:t>
      </w:r>
      <w:r w:rsidR="00FC2032" w:rsidRPr="00B96B4F">
        <w:rPr>
          <w:rFonts w:cs="Segoe UI"/>
          <w:szCs w:val="22"/>
          <w:lang w:val="sk-SK" w:eastAsia="de-DE"/>
        </w:rPr>
        <w:t>Spoločnosť pravidelne preskúmava svoje obchodné procesy a štruktúry, posudzuje, či sú štíhle</w:t>
      </w:r>
      <w:r w:rsidR="00817343" w:rsidRPr="00B96B4F">
        <w:rPr>
          <w:rFonts w:cs="Segoe UI"/>
          <w:szCs w:val="22"/>
          <w:lang w:val="sk-SK" w:eastAsia="de-DE"/>
        </w:rPr>
        <w:t>,</w:t>
      </w:r>
      <w:r w:rsidR="00FC2032" w:rsidRPr="00B96B4F">
        <w:rPr>
          <w:rFonts w:cs="Segoe UI"/>
          <w:szCs w:val="22"/>
          <w:lang w:val="sk-SK" w:eastAsia="de-DE"/>
        </w:rPr>
        <w:t xml:space="preserve"> rýchle a jednoduché, a prispôsobuje ich meniacim sa podmienkam a vývoju na trhu</w:t>
      </w:r>
      <w:r w:rsidR="000823B5" w:rsidRPr="00B96B4F">
        <w:rPr>
          <w:rFonts w:cs="Segoe UI"/>
          <w:szCs w:val="22"/>
          <w:lang w:val="sk-SK" w:eastAsia="de-DE"/>
        </w:rPr>
        <w:t>.</w:t>
      </w:r>
      <w:r w:rsidR="00846017" w:rsidRPr="00B96B4F">
        <w:rPr>
          <w:rFonts w:cs="Segoe UI"/>
          <w:szCs w:val="22"/>
          <w:lang w:val="sk-SK" w:eastAsia="de-DE"/>
        </w:rPr>
        <w:t xml:space="preserve"> </w:t>
      </w:r>
      <w:r w:rsidR="00FC2032" w:rsidRPr="00B96B4F">
        <w:rPr>
          <w:rFonts w:cs="Segoe UI"/>
          <w:szCs w:val="22"/>
          <w:lang w:val="sk-SK" w:eastAsia="de-DE"/>
        </w:rPr>
        <w:t xml:space="preserve">Okrem toho </w:t>
      </w:r>
      <w:r w:rsidR="008E3D3B" w:rsidRPr="00B96B4F">
        <w:rPr>
          <w:rFonts w:cs="Segoe UI"/>
          <w:szCs w:val="22"/>
          <w:lang w:val="sk-SK" w:eastAsia="de-DE"/>
        </w:rPr>
        <w:t xml:space="preserve">sa budú vyvíjať </w:t>
      </w:r>
      <w:r w:rsidR="00FC2032" w:rsidRPr="00B96B4F">
        <w:rPr>
          <w:rFonts w:cs="Segoe UI"/>
          <w:szCs w:val="22"/>
          <w:lang w:val="sk-SK" w:eastAsia="de-DE"/>
        </w:rPr>
        <w:t>nové obchodné modely s</w:t>
      </w:r>
      <w:r w:rsidR="008E3D3B" w:rsidRPr="00B96B4F">
        <w:rPr>
          <w:rFonts w:cs="Segoe UI"/>
          <w:szCs w:val="22"/>
          <w:lang w:val="sk-SK" w:eastAsia="de-DE"/>
        </w:rPr>
        <w:t xml:space="preserve"> dôrazom na približovanie sa k odberateľom </w:t>
      </w:r>
      <w:r w:rsidR="00FC2032" w:rsidRPr="00B96B4F">
        <w:rPr>
          <w:rFonts w:cs="Segoe UI"/>
          <w:szCs w:val="22"/>
          <w:lang w:val="sk-SK" w:eastAsia="de-DE"/>
        </w:rPr>
        <w:t>a spotrebiteľo</w:t>
      </w:r>
      <w:r w:rsidR="008E3D3B" w:rsidRPr="00B96B4F">
        <w:rPr>
          <w:rFonts w:cs="Segoe UI"/>
          <w:szCs w:val="22"/>
          <w:lang w:val="sk-SK" w:eastAsia="de-DE"/>
        </w:rPr>
        <w:t>m</w:t>
      </w:r>
      <w:r w:rsidR="00FC2032" w:rsidRPr="00B96B4F">
        <w:rPr>
          <w:rFonts w:cs="Segoe UI"/>
          <w:szCs w:val="22"/>
          <w:lang w:val="sk-SK" w:eastAsia="de-DE"/>
        </w:rPr>
        <w:t>.</w:t>
      </w:r>
      <w:r w:rsidR="008712FE" w:rsidRPr="00B96B4F">
        <w:rPr>
          <w:lang w:val="sk-SK"/>
        </w:rPr>
        <w:t xml:space="preserve"> </w:t>
      </w:r>
      <w:r w:rsidR="00817343" w:rsidRPr="00B96B4F">
        <w:rPr>
          <w:lang w:val="sk-SK"/>
        </w:rPr>
        <w:t>Spoločnosť H</w:t>
      </w:r>
      <w:r w:rsidR="00FC2032" w:rsidRPr="00B96B4F">
        <w:rPr>
          <w:lang w:val="sk-SK"/>
        </w:rPr>
        <w:t>enkel úspešne implementovala nové prevádzkové modely v rámci divízie Adhesive Technologies a jej nákupnej organizácie.</w:t>
      </w:r>
      <w:r w:rsidR="00BB2D73" w:rsidRPr="00B96B4F">
        <w:rPr>
          <w:lang w:val="sk-SK"/>
        </w:rPr>
        <w:t xml:space="preserve"> </w:t>
      </w:r>
      <w:r w:rsidR="00FC2032" w:rsidRPr="00B96B4F">
        <w:rPr>
          <w:lang w:val="sk-SK"/>
        </w:rPr>
        <w:t>V </w:t>
      </w:r>
      <w:r w:rsidR="00817343" w:rsidRPr="00B96B4F">
        <w:rPr>
          <w:lang w:val="sk-SK"/>
        </w:rPr>
        <w:t xml:space="preserve">divíziách </w:t>
      </w:r>
      <w:r w:rsidR="00FC2032" w:rsidRPr="00B96B4F">
        <w:rPr>
          <w:lang w:val="sk-SK"/>
        </w:rPr>
        <w:t xml:space="preserve">Laundry &amp; Home </w:t>
      </w:r>
      <w:proofErr w:type="spellStart"/>
      <w:r w:rsidR="00FC2032" w:rsidRPr="00B96B4F">
        <w:rPr>
          <w:lang w:val="sk-SK"/>
        </w:rPr>
        <w:t>Care</w:t>
      </w:r>
      <w:proofErr w:type="spellEnd"/>
      <w:r w:rsidR="00FC2032" w:rsidRPr="00B96B4F">
        <w:rPr>
          <w:lang w:val="sk-SK"/>
        </w:rPr>
        <w:t xml:space="preserve"> a </w:t>
      </w:r>
      <w:proofErr w:type="spellStart"/>
      <w:r w:rsidR="00FC2032" w:rsidRPr="00B96B4F">
        <w:rPr>
          <w:lang w:val="sk-SK"/>
        </w:rPr>
        <w:t>Beauty</w:t>
      </w:r>
      <w:proofErr w:type="spellEnd"/>
      <w:r w:rsidR="00FC2032" w:rsidRPr="00B96B4F">
        <w:rPr>
          <w:lang w:val="sk-SK"/>
        </w:rPr>
        <w:t xml:space="preserve"> </w:t>
      </w:r>
      <w:proofErr w:type="spellStart"/>
      <w:r w:rsidR="00FC2032" w:rsidRPr="00B96B4F">
        <w:rPr>
          <w:lang w:val="sk-SK"/>
        </w:rPr>
        <w:t>Care</w:t>
      </w:r>
      <w:proofErr w:type="spellEnd"/>
      <w:r w:rsidR="00FC2032" w:rsidRPr="00B96B4F">
        <w:rPr>
          <w:lang w:val="sk-SK"/>
        </w:rPr>
        <w:t xml:space="preserve"> sa pripravujú organizačné zmeny s cieľom posilniť dôraz na región </w:t>
      </w:r>
      <w:r w:rsidR="007218A2" w:rsidRPr="00B96B4F">
        <w:rPr>
          <w:lang w:val="sk-SK"/>
        </w:rPr>
        <w:t>a blízkosť k</w:t>
      </w:r>
      <w:r w:rsidR="008E3D3B" w:rsidRPr="00B96B4F">
        <w:rPr>
          <w:lang w:val="sk-SK"/>
        </w:rPr>
        <w:t xml:space="preserve"> odberateľovi </w:t>
      </w:r>
      <w:r w:rsidR="007218A2" w:rsidRPr="00B96B4F">
        <w:rPr>
          <w:lang w:val="sk-SK"/>
        </w:rPr>
        <w:t>a spotrebiteľovi</w:t>
      </w:r>
      <w:r w:rsidR="00FC2032" w:rsidRPr="00B96B4F">
        <w:rPr>
          <w:lang w:val="sk-SK"/>
        </w:rPr>
        <w:t>.</w:t>
      </w:r>
    </w:p>
    <w:p w14:paraId="1E3857E3" w14:textId="77777777" w:rsidR="00B634AB" w:rsidRPr="00B96B4F" w:rsidRDefault="00B634AB" w:rsidP="00846017">
      <w:pPr>
        <w:rPr>
          <w:rFonts w:cs="Segoe UI"/>
          <w:szCs w:val="22"/>
          <w:lang w:val="sk-SK" w:eastAsia="de-DE"/>
        </w:rPr>
      </w:pPr>
    </w:p>
    <w:p w14:paraId="729068AB" w14:textId="77777777" w:rsidR="00846017" w:rsidRPr="00B96B4F" w:rsidRDefault="007218A2" w:rsidP="00623F74">
      <w:pPr>
        <w:spacing w:line="280" w:lineRule="auto"/>
        <w:rPr>
          <w:rFonts w:cs="Segoe UI"/>
          <w:szCs w:val="22"/>
          <w:lang w:val="sk-SK" w:eastAsia="de-DE"/>
        </w:rPr>
      </w:pPr>
      <w:r w:rsidRPr="00B96B4F">
        <w:rPr>
          <w:rFonts w:cs="Segoe UI"/>
          <w:szCs w:val="22"/>
          <w:lang w:val="sk-SK" w:eastAsia="de-DE"/>
        </w:rPr>
        <w:t xml:space="preserve">Ďalšie rozvíjanie podnikovej kultúry v spoločnosti Henkel a urýchlenie </w:t>
      </w:r>
      <w:r w:rsidRPr="00B96B4F">
        <w:rPr>
          <w:rFonts w:cs="Segoe UI"/>
          <w:b/>
          <w:szCs w:val="22"/>
          <w:lang w:val="sk-SK" w:eastAsia="de-DE"/>
        </w:rPr>
        <w:t>kultúrnej transformácie</w:t>
      </w:r>
      <w:r w:rsidRPr="00B96B4F">
        <w:rPr>
          <w:rFonts w:cs="Segoe UI"/>
          <w:szCs w:val="22"/>
          <w:lang w:val="sk-SK" w:eastAsia="de-DE"/>
        </w:rPr>
        <w:t xml:space="preserve"> </w:t>
      </w:r>
      <w:r w:rsidRPr="00B96B4F">
        <w:rPr>
          <w:rFonts w:cs="Segoe UI"/>
          <w:bCs/>
          <w:szCs w:val="22"/>
          <w:lang w:val="sk-SK" w:eastAsia="de-DE"/>
        </w:rPr>
        <w:t>sú</w:t>
      </w:r>
      <w:r w:rsidRPr="00B96B4F">
        <w:rPr>
          <w:rFonts w:cs="Segoe UI"/>
          <w:b/>
          <w:bCs/>
          <w:szCs w:val="22"/>
          <w:lang w:val="sk-SK" w:eastAsia="de-DE"/>
        </w:rPr>
        <w:t xml:space="preserve"> </w:t>
      </w:r>
      <w:r w:rsidR="00C6485C" w:rsidRPr="00B96B4F">
        <w:rPr>
          <w:rFonts w:cs="Segoe UI"/>
          <w:bCs/>
          <w:szCs w:val="22"/>
          <w:lang w:val="sk-SK" w:eastAsia="de-DE"/>
        </w:rPr>
        <w:t xml:space="preserve">takisto </w:t>
      </w:r>
      <w:r w:rsidRPr="00B96B4F">
        <w:rPr>
          <w:rFonts w:cs="Segoe UI"/>
          <w:bCs/>
          <w:szCs w:val="22"/>
          <w:lang w:val="sk-SK" w:eastAsia="de-DE"/>
        </w:rPr>
        <w:t xml:space="preserve">kľúčovými prvkami, ktorými sa bude Henkel </w:t>
      </w:r>
      <w:r w:rsidR="00E903B9" w:rsidRPr="00B96B4F">
        <w:rPr>
          <w:rFonts w:cs="Segoe UI"/>
          <w:bCs/>
          <w:szCs w:val="22"/>
          <w:lang w:val="sk-SK" w:eastAsia="de-DE"/>
        </w:rPr>
        <w:t xml:space="preserve">na svojej ceste </w:t>
      </w:r>
      <w:r w:rsidRPr="00B96B4F">
        <w:rPr>
          <w:rFonts w:cs="Segoe UI"/>
          <w:bCs/>
          <w:szCs w:val="22"/>
          <w:lang w:val="sk-SK" w:eastAsia="de-DE"/>
        </w:rPr>
        <w:t>riadiť</w:t>
      </w:r>
      <w:r w:rsidRPr="00B96B4F">
        <w:rPr>
          <w:rFonts w:cs="Segoe UI"/>
          <w:szCs w:val="22"/>
          <w:lang w:val="sk-SK" w:eastAsia="de-DE"/>
        </w:rPr>
        <w:t>.</w:t>
      </w:r>
      <w:r w:rsidR="00846017" w:rsidRPr="00B96B4F">
        <w:rPr>
          <w:rFonts w:cs="Segoe UI"/>
          <w:szCs w:val="22"/>
          <w:lang w:val="sk-SK" w:eastAsia="de-DE"/>
        </w:rPr>
        <w:t xml:space="preserve"> </w:t>
      </w:r>
      <w:r w:rsidR="00011CCC" w:rsidRPr="00B96B4F">
        <w:rPr>
          <w:rFonts w:cs="Segoe UI"/>
          <w:szCs w:val="22"/>
          <w:lang w:val="sk-SK" w:eastAsia="de-DE"/>
        </w:rPr>
        <w:t>Cieľom je podporiť kultúru spolupráce, ktorej stredobodom budú angažovaní ľudia a </w:t>
      </w:r>
      <w:proofErr w:type="spellStart"/>
      <w:r w:rsidR="00011CCC" w:rsidRPr="00B96B4F">
        <w:rPr>
          <w:rFonts w:cs="Segoe UI"/>
          <w:szCs w:val="22"/>
          <w:lang w:val="sk-SK" w:eastAsia="de-DE"/>
        </w:rPr>
        <w:t>líderské</w:t>
      </w:r>
      <w:proofErr w:type="spellEnd"/>
      <w:r w:rsidR="00011CCC" w:rsidRPr="00B96B4F">
        <w:rPr>
          <w:rFonts w:cs="Segoe UI"/>
          <w:szCs w:val="22"/>
          <w:lang w:val="sk-SK" w:eastAsia="de-DE"/>
        </w:rPr>
        <w:t xml:space="preserve"> záväzky spoločnosti</w:t>
      </w:r>
      <w:r w:rsidRPr="00B96B4F">
        <w:rPr>
          <w:rFonts w:cs="Segoe UI"/>
          <w:szCs w:val="22"/>
          <w:lang w:val="sk-SK" w:eastAsia="de-DE"/>
        </w:rPr>
        <w:t>.</w:t>
      </w:r>
      <w:r w:rsidR="00846017" w:rsidRPr="00B96B4F">
        <w:rPr>
          <w:rFonts w:cs="Segoe UI"/>
          <w:szCs w:val="22"/>
          <w:lang w:val="sk-SK" w:eastAsia="de-DE"/>
        </w:rPr>
        <w:t xml:space="preserve"> </w:t>
      </w:r>
      <w:r w:rsidR="00011CCC" w:rsidRPr="00B96B4F">
        <w:rPr>
          <w:rFonts w:cs="Segoe UI"/>
          <w:szCs w:val="22"/>
          <w:lang w:val="sk-SK" w:eastAsia="de-DE"/>
        </w:rPr>
        <w:t>Henkel považuje za dôležité, aby si zamestnanci neustále rozvíjali svoje odborné a osobnostné zručnosti.</w:t>
      </w:r>
      <w:r w:rsidR="00846017" w:rsidRPr="00B96B4F">
        <w:rPr>
          <w:rFonts w:cs="Segoe UI"/>
          <w:szCs w:val="22"/>
          <w:lang w:val="sk-SK" w:eastAsia="de-DE"/>
        </w:rPr>
        <w:t xml:space="preserve"> </w:t>
      </w:r>
      <w:r w:rsidR="00011CCC" w:rsidRPr="00B96B4F">
        <w:rPr>
          <w:rFonts w:cs="Segoe UI"/>
          <w:szCs w:val="22"/>
          <w:lang w:val="sk-SK" w:eastAsia="de-DE"/>
        </w:rPr>
        <w:t xml:space="preserve">V prvej polovici roka 2020 preto spoločnosť zaviedla špeciálne </w:t>
      </w:r>
      <w:r w:rsidR="00FC21FA" w:rsidRPr="00B96B4F">
        <w:rPr>
          <w:rFonts w:cs="Segoe UI"/>
          <w:szCs w:val="22"/>
          <w:lang w:val="sk-SK" w:eastAsia="de-DE"/>
        </w:rPr>
        <w:t xml:space="preserve">navrhnuté </w:t>
      </w:r>
      <w:r w:rsidR="00011CCC" w:rsidRPr="00B96B4F">
        <w:rPr>
          <w:rFonts w:cs="Segoe UI"/>
          <w:szCs w:val="22"/>
          <w:lang w:val="sk-SK" w:eastAsia="de-DE"/>
        </w:rPr>
        <w:t>projekty šk</w:t>
      </w:r>
      <w:r w:rsidR="00FC21FA" w:rsidRPr="00B96B4F">
        <w:rPr>
          <w:rFonts w:cs="Segoe UI"/>
          <w:szCs w:val="22"/>
          <w:lang w:val="sk-SK" w:eastAsia="de-DE"/>
        </w:rPr>
        <w:t xml:space="preserve">olení a zvyšovania kvalifikácie, </w:t>
      </w:r>
      <w:r w:rsidR="00011CCC" w:rsidRPr="00B96B4F">
        <w:rPr>
          <w:rFonts w:cs="Segoe UI"/>
          <w:szCs w:val="22"/>
          <w:lang w:val="sk-SK" w:eastAsia="de-DE"/>
        </w:rPr>
        <w:t>napr. v oblasti vedenia, digitalizácie a inovácií.</w:t>
      </w:r>
      <w:r w:rsidR="00846017" w:rsidRPr="00B96B4F">
        <w:rPr>
          <w:rFonts w:cs="Segoe UI"/>
          <w:szCs w:val="22"/>
          <w:lang w:val="sk-SK" w:eastAsia="de-DE"/>
        </w:rPr>
        <w:t xml:space="preserve"> </w:t>
      </w:r>
      <w:r w:rsidR="00011CCC" w:rsidRPr="00B96B4F">
        <w:rPr>
          <w:rFonts w:cs="Segoe UI"/>
          <w:szCs w:val="22"/>
          <w:lang w:val="sk-SK" w:eastAsia="de-DE"/>
        </w:rPr>
        <w:t xml:space="preserve">Súčasná kríza spôsobená </w:t>
      </w:r>
      <w:proofErr w:type="spellStart"/>
      <w:r w:rsidR="00011CCC" w:rsidRPr="00B96B4F">
        <w:rPr>
          <w:rFonts w:cs="Segoe UI"/>
          <w:szCs w:val="22"/>
          <w:lang w:val="sk-SK" w:eastAsia="de-DE"/>
        </w:rPr>
        <w:t>koronavírusom</w:t>
      </w:r>
      <w:proofErr w:type="spellEnd"/>
      <w:r w:rsidR="00011CCC" w:rsidRPr="00B96B4F">
        <w:rPr>
          <w:rFonts w:cs="Segoe UI"/>
          <w:szCs w:val="22"/>
          <w:lang w:val="sk-SK" w:eastAsia="de-DE"/>
        </w:rPr>
        <w:t xml:space="preserve"> </w:t>
      </w:r>
      <w:r w:rsidR="00FC21FA" w:rsidRPr="00B96B4F">
        <w:rPr>
          <w:rFonts w:cs="Segoe UI"/>
          <w:szCs w:val="22"/>
          <w:lang w:val="sk-SK" w:eastAsia="de-DE"/>
        </w:rPr>
        <w:t xml:space="preserve">takisto </w:t>
      </w:r>
      <w:r w:rsidR="00623F74" w:rsidRPr="00B96B4F">
        <w:rPr>
          <w:rFonts w:cs="Segoe UI"/>
          <w:szCs w:val="22"/>
          <w:lang w:val="sk-SK" w:eastAsia="de-DE"/>
        </w:rPr>
        <w:t xml:space="preserve">potvrdila </w:t>
      </w:r>
      <w:r w:rsidR="00011CCC" w:rsidRPr="00B96B4F">
        <w:rPr>
          <w:rFonts w:cs="Segoe UI"/>
          <w:szCs w:val="22"/>
          <w:lang w:val="sk-SK" w:eastAsia="de-DE"/>
        </w:rPr>
        <w:t xml:space="preserve">silnú podnikovú kultúru spoločnosti Henkel, </w:t>
      </w:r>
      <w:r w:rsidR="00FC21FA" w:rsidRPr="00B96B4F">
        <w:rPr>
          <w:rFonts w:cs="Segoe UI"/>
          <w:szCs w:val="22"/>
          <w:lang w:val="sk-SK" w:eastAsia="de-DE"/>
        </w:rPr>
        <w:t xml:space="preserve">ako aj </w:t>
      </w:r>
      <w:r w:rsidR="00623F74" w:rsidRPr="00B96B4F">
        <w:rPr>
          <w:rFonts w:cs="Segoe UI"/>
          <w:szCs w:val="22"/>
          <w:lang w:val="sk-SK" w:eastAsia="de-DE"/>
        </w:rPr>
        <w:t>vytrvalosť a</w:t>
      </w:r>
      <w:r w:rsidR="008E3D3B" w:rsidRPr="00B96B4F">
        <w:rPr>
          <w:rFonts w:cs="Segoe UI"/>
          <w:szCs w:val="22"/>
          <w:lang w:val="sk-SK" w:eastAsia="de-DE"/>
        </w:rPr>
        <w:t xml:space="preserve"> oddanosť </w:t>
      </w:r>
      <w:r w:rsidR="00623F74" w:rsidRPr="00B96B4F">
        <w:rPr>
          <w:rFonts w:cs="Segoe UI"/>
          <w:szCs w:val="22"/>
          <w:lang w:val="sk-SK" w:eastAsia="de-DE"/>
        </w:rPr>
        <w:t xml:space="preserve">jej zamestnancov </w:t>
      </w:r>
      <w:r w:rsidR="008E3D3B" w:rsidRPr="00B96B4F">
        <w:rPr>
          <w:rFonts w:cs="Segoe UI"/>
          <w:szCs w:val="22"/>
          <w:lang w:val="sk-SK" w:eastAsia="de-DE"/>
        </w:rPr>
        <w:t>na</w:t>
      </w:r>
      <w:r w:rsidR="00623F74" w:rsidRPr="00B96B4F">
        <w:rPr>
          <w:rFonts w:cs="Segoe UI"/>
          <w:szCs w:val="22"/>
          <w:lang w:val="sk-SK" w:eastAsia="de-DE"/>
        </w:rPr>
        <w:t xml:space="preserve"> celom svete</w:t>
      </w:r>
      <w:r w:rsidR="00011CCC" w:rsidRPr="00B96B4F">
        <w:rPr>
          <w:rFonts w:cs="Segoe UI"/>
          <w:szCs w:val="22"/>
          <w:lang w:val="sk-SK" w:eastAsia="de-DE"/>
        </w:rPr>
        <w:t>.</w:t>
      </w:r>
      <w:r w:rsidR="00846017" w:rsidRPr="00B96B4F">
        <w:rPr>
          <w:rFonts w:cs="Segoe UI"/>
          <w:szCs w:val="22"/>
          <w:lang w:val="sk-SK" w:eastAsia="de-DE"/>
        </w:rPr>
        <w:t xml:space="preserve"> </w:t>
      </w:r>
    </w:p>
    <w:p w14:paraId="290C53B8" w14:textId="77777777" w:rsidR="00385438" w:rsidRPr="00B96B4F" w:rsidRDefault="00385438" w:rsidP="00846017">
      <w:pPr>
        <w:spacing w:after="120"/>
        <w:rPr>
          <w:rFonts w:cs="Segoe UI"/>
          <w:b/>
          <w:szCs w:val="22"/>
          <w:lang w:val="sk-SK"/>
        </w:rPr>
      </w:pPr>
    </w:p>
    <w:p w14:paraId="58F48D63" w14:textId="77777777" w:rsidR="00846017" w:rsidRPr="00B96B4F" w:rsidRDefault="00623F74" w:rsidP="00623F74">
      <w:pPr>
        <w:spacing w:after="120" w:line="280" w:lineRule="auto"/>
        <w:rPr>
          <w:rFonts w:cs="Segoe UI"/>
          <w:b/>
          <w:szCs w:val="22"/>
          <w:lang w:val="sk-SK"/>
        </w:rPr>
      </w:pPr>
      <w:r w:rsidRPr="00B96B4F">
        <w:rPr>
          <w:rFonts w:cs="Segoe UI"/>
          <w:b/>
          <w:szCs w:val="22"/>
          <w:lang w:val="sk-SK"/>
        </w:rPr>
        <w:t xml:space="preserve">Opatrenia </w:t>
      </w:r>
      <w:r w:rsidR="00E903B9" w:rsidRPr="00B96B4F">
        <w:rPr>
          <w:rFonts w:cs="Segoe UI"/>
          <w:b/>
          <w:szCs w:val="22"/>
          <w:lang w:val="sk-SK"/>
        </w:rPr>
        <w:t xml:space="preserve">v rámci </w:t>
      </w:r>
      <w:r w:rsidRPr="00B96B4F">
        <w:rPr>
          <w:rFonts w:cs="Segoe UI"/>
          <w:b/>
          <w:szCs w:val="22"/>
          <w:lang w:val="sk-SK"/>
        </w:rPr>
        <w:t>boj</w:t>
      </w:r>
      <w:r w:rsidR="00E903B9" w:rsidRPr="00B96B4F">
        <w:rPr>
          <w:rFonts w:cs="Segoe UI"/>
          <w:b/>
          <w:szCs w:val="22"/>
          <w:lang w:val="sk-SK"/>
        </w:rPr>
        <w:t>a</w:t>
      </w:r>
      <w:r w:rsidRPr="00B96B4F">
        <w:rPr>
          <w:rFonts w:cs="Segoe UI"/>
          <w:b/>
          <w:szCs w:val="22"/>
          <w:lang w:val="sk-SK"/>
        </w:rPr>
        <w:t xml:space="preserve"> proti pandémii </w:t>
      </w:r>
      <w:r w:rsidR="00CB576F" w:rsidRPr="00B96B4F">
        <w:rPr>
          <w:rFonts w:cs="Segoe UI"/>
          <w:b/>
          <w:szCs w:val="22"/>
          <w:lang w:val="sk-SK"/>
        </w:rPr>
        <w:t xml:space="preserve">spôsobenej </w:t>
      </w:r>
      <w:r w:rsidRPr="00B96B4F">
        <w:rPr>
          <w:rFonts w:cs="Segoe UI"/>
          <w:b/>
          <w:szCs w:val="22"/>
          <w:lang w:val="sk-SK"/>
        </w:rPr>
        <w:t>ochoren</w:t>
      </w:r>
      <w:r w:rsidR="00CB576F" w:rsidRPr="00B96B4F">
        <w:rPr>
          <w:rFonts w:cs="Segoe UI"/>
          <w:b/>
          <w:szCs w:val="22"/>
          <w:lang w:val="sk-SK"/>
        </w:rPr>
        <w:t xml:space="preserve">ím </w:t>
      </w:r>
      <w:r w:rsidRPr="00B96B4F">
        <w:rPr>
          <w:rFonts w:cs="Segoe UI"/>
          <w:b/>
          <w:szCs w:val="22"/>
          <w:lang w:val="sk-SK"/>
        </w:rPr>
        <w:t>COVID-19</w:t>
      </w:r>
    </w:p>
    <w:p w14:paraId="38E0FD1C" w14:textId="77777777" w:rsidR="00F317B5" w:rsidRPr="00B96B4F" w:rsidRDefault="00623F74" w:rsidP="00A95BBB">
      <w:pPr>
        <w:spacing w:line="280" w:lineRule="auto"/>
        <w:rPr>
          <w:rFonts w:cs="Segoe UI"/>
          <w:szCs w:val="22"/>
          <w:lang w:val="sk-SK" w:eastAsia="de-DE"/>
        </w:rPr>
      </w:pPr>
      <w:r w:rsidRPr="00B96B4F">
        <w:rPr>
          <w:rFonts w:cs="Segoe UI"/>
          <w:szCs w:val="22"/>
          <w:lang w:val="sk-SK" w:eastAsia="de-DE"/>
        </w:rPr>
        <w:t xml:space="preserve">Pandémia ochorenia COVID-19 </w:t>
      </w:r>
      <w:r w:rsidR="00CB576F" w:rsidRPr="00B96B4F">
        <w:rPr>
          <w:rFonts w:cs="Segoe UI"/>
          <w:szCs w:val="22"/>
          <w:lang w:val="sk-SK" w:eastAsia="de-DE"/>
        </w:rPr>
        <w:t>ovplyvnila</w:t>
      </w:r>
      <w:r w:rsidRPr="00B96B4F">
        <w:rPr>
          <w:rFonts w:cs="Segoe UI"/>
          <w:szCs w:val="22"/>
          <w:lang w:val="sk-SK" w:eastAsia="de-DE"/>
        </w:rPr>
        <w:t xml:space="preserve"> všetky oblasti života a veľmi prudko </w:t>
      </w:r>
      <w:r w:rsidR="00CB576F" w:rsidRPr="00B96B4F">
        <w:rPr>
          <w:rFonts w:cs="Segoe UI"/>
          <w:szCs w:val="22"/>
          <w:lang w:val="sk-SK" w:eastAsia="de-DE"/>
        </w:rPr>
        <w:t xml:space="preserve">zasiahla </w:t>
      </w:r>
      <w:r w:rsidRPr="00B96B4F">
        <w:rPr>
          <w:rFonts w:cs="Segoe UI"/>
          <w:szCs w:val="22"/>
          <w:lang w:val="sk-SK" w:eastAsia="de-DE"/>
        </w:rPr>
        <w:t>globálnu ekonomiku.</w:t>
      </w:r>
      <w:r w:rsidR="00846017" w:rsidRPr="00B96B4F">
        <w:rPr>
          <w:rFonts w:cs="Segoe UI"/>
          <w:szCs w:val="22"/>
          <w:lang w:val="sk-SK" w:eastAsia="de-DE"/>
        </w:rPr>
        <w:t xml:space="preserve"> </w:t>
      </w:r>
      <w:r w:rsidR="00A44119" w:rsidRPr="00B96B4F">
        <w:rPr>
          <w:rFonts w:cs="Segoe UI"/>
          <w:szCs w:val="22"/>
          <w:lang w:val="sk-SK" w:eastAsia="de-DE"/>
        </w:rPr>
        <w:t>Najvyššou prioritou spoločnosti Henkel v tejto kríze je</w:t>
      </w:r>
      <w:r w:rsidR="00CB576F" w:rsidRPr="00B96B4F">
        <w:rPr>
          <w:rFonts w:cs="Segoe UI"/>
          <w:szCs w:val="22"/>
          <w:lang w:val="sk-SK" w:eastAsia="de-DE"/>
        </w:rPr>
        <w:t xml:space="preserve"> zdravie a bezpečnosť </w:t>
      </w:r>
      <w:r w:rsidR="00A44119" w:rsidRPr="00B96B4F">
        <w:rPr>
          <w:rFonts w:cs="Segoe UI"/>
          <w:szCs w:val="22"/>
          <w:lang w:val="sk-SK" w:eastAsia="de-DE"/>
        </w:rPr>
        <w:t xml:space="preserve">zamestnancov, </w:t>
      </w:r>
      <w:r w:rsidR="00CB576F" w:rsidRPr="00B96B4F">
        <w:rPr>
          <w:rFonts w:cs="Segoe UI"/>
          <w:szCs w:val="22"/>
          <w:lang w:val="sk-SK" w:eastAsia="de-DE"/>
        </w:rPr>
        <w:t xml:space="preserve">odberateľov </w:t>
      </w:r>
      <w:r w:rsidR="00A44119" w:rsidRPr="00B96B4F">
        <w:rPr>
          <w:rFonts w:cs="Segoe UI"/>
          <w:szCs w:val="22"/>
          <w:lang w:val="sk-SK" w:eastAsia="de-DE"/>
        </w:rPr>
        <w:t>a obchodných partnerov.</w:t>
      </w:r>
      <w:r w:rsidR="00846017" w:rsidRPr="00B96B4F">
        <w:rPr>
          <w:rFonts w:cs="Segoe UI"/>
          <w:szCs w:val="22"/>
          <w:lang w:val="sk-SK" w:eastAsia="de-DE"/>
        </w:rPr>
        <w:t xml:space="preserve"> </w:t>
      </w:r>
      <w:r w:rsidR="00A44119" w:rsidRPr="00B96B4F">
        <w:rPr>
          <w:rFonts w:cs="Segoe UI"/>
          <w:szCs w:val="22"/>
          <w:lang w:val="sk-SK" w:eastAsia="de-DE"/>
        </w:rPr>
        <w:t>Spoločnosť zaviedla množstvo ochranných opatrení už v ranom štádiu.</w:t>
      </w:r>
      <w:r w:rsidR="00846017" w:rsidRPr="00B96B4F">
        <w:rPr>
          <w:rFonts w:cs="Segoe UI"/>
          <w:szCs w:val="22"/>
          <w:lang w:val="sk-SK" w:eastAsia="de-DE"/>
        </w:rPr>
        <w:t xml:space="preserve"> </w:t>
      </w:r>
      <w:r w:rsidR="00A44119" w:rsidRPr="00B96B4F">
        <w:rPr>
          <w:rFonts w:cs="Segoe UI"/>
          <w:szCs w:val="22"/>
          <w:lang w:val="sk-SK" w:eastAsia="de-DE"/>
        </w:rPr>
        <w:t xml:space="preserve">Zároveň </w:t>
      </w:r>
      <w:r w:rsidR="00CB576F" w:rsidRPr="00B96B4F">
        <w:rPr>
          <w:rFonts w:cs="Segoe UI"/>
          <w:szCs w:val="22"/>
          <w:lang w:val="sk-SK" w:eastAsia="de-DE"/>
        </w:rPr>
        <w:t>vyna</w:t>
      </w:r>
      <w:r w:rsidR="008E3D3B" w:rsidRPr="00B96B4F">
        <w:rPr>
          <w:rFonts w:cs="Segoe UI"/>
          <w:szCs w:val="22"/>
          <w:lang w:val="sk-SK" w:eastAsia="de-DE"/>
        </w:rPr>
        <w:t xml:space="preserve">ložila </w:t>
      </w:r>
      <w:r w:rsidR="00CB576F" w:rsidRPr="00B96B4F">
        <w:rPr>
          <w:rFonts w:cs="Segoe UI"/>
          <w:szCs w:val="22"/>
          <w:lang w:val="sk-SK" w:eastAsia="de-DE"/>
        </w:rPr>
        <w:t xml:space="preserve">veľké úsilie s cieľom </w:t>
      </w:r>
      <w:r w:rsidR="00A44119" w:rsidRPr="00B96B4F">
        <w:rPr>
          <w:rFonts w:cs="Segoe UI"/>
          <w:szCs w:val="22"/>
          <w:lang w:val="sk-SK" w:eastAsia="de-DE"/>
        </w:rPr>
        <w:t xml:space="preserve">pokračovať vo svojich obchodných činnostiach a napĺňať potreby </w:t>
      </w:r>
      <w:r w:rsidR="008E3D3B" w:rsidRPr="00B96B4F">
        <w:rPr>
          <w:rFonts w:cs="Segoe UI"/>
          <w:szCs w:val="22"/>
          <w:lang w:val="sk-SK" w:eastAsia="de-DE"/>
        </w:rPr>
        <w:t xml:space="preserve">odberateľov </w:t>
      </w:r>
      <w:r w:rsidR="00A44119" w:rsidRPr="00B96B4F">
        <w:rPr>
          <w:rFonts w:cs="Segoe UI"/>
          <w:szCs w:val="22"/>
          <w:lang w:val="sk-SK" w:eastAsia="de-DE"/>
        </w:rPr>
        <w:t>a spotrebiteľov po celom svete.</w:t>
      </w:r>
      <w:r w:rsidR="00846017" w:rsidRPr="00B96B4F">
        <w:rPr>
          <w:rFonts w:cs="Segoe UI"/>
          <w:szCs w:val="22"/>
          <w:lang w:val="sk-SK" w:eastAsia="de-DE"/>
        </w:rPr>
        <w:t xml:space="preserve"> </w:t>
      </w:r>
      <w:r w:rsidR="00A44119" w:rsidRPr="00B96B4F">
        <w:rPr>
          <w:rFonts w:cs="Segoe UI"/>
          <w:szCs w:val="22"/>
          <w:lang w:val="sk-SK" w:eastAsia="de-DE"/>
        </w:rPr>
        <w:t>Okrem toho spoločnosť Henkel spustila globálny program solidarity vrátane finančnej pomoci,</w:t>
      </w:r>
      <w:r w:rsidR="008E3D3B" w:rsidRPr="00B96B4F">
        <w:rPr>
          <w:rFonts w:cs="Segoe UI"/>
          <w:szCs w:val="22"/>
          <w:lang w:val="sk-SK" w:eastAsia="de-DE"/>
        </w:rPr>
        <w:t xml:space="preserve"> ako </w:t>
      </w:r>
      <w:r w:rsidR="00A44119" w:rsidRPr="00B96B4F">
        <w:rPr>
          <w:rFonts w:cs="Segoe UI"/>
          <w:szCs w:val="22"/>
          <w:lang w:val="sk-SK" w:eastAsia="de-DE"/>
        </w:rPr>
        <w:t xml:space="preserve">napr. fondu COVID-19 Solidarity </w:t>
      </w:r>
      <w:proofErr w:type="spellStart"/>
      <w:r w:rsidR="00A44119" w:rsidRPr="00B96B4F">
        <w:rPr>
          <w:rFonts w:cs="Segoe UI"/>
          <w:szCs w:val="22"/>
          <w:lang w:val="sk-SK" w:eastAsia="de-DE"/>
        </w:rPr>
        <w:t>Response</w:t>
      </w:r>
      <w:proofErr w:type="spellEnd"/>
      <w:r w:rsidR="00A44119" w:rsidRPr="00B96B4F">
        <w:rPr>
          <w:rFonts w:cs="Segoe UI"/>
          <w:szCs w:val="22"/>
          <w:lang w:val="sk-SK" w:eastAsia="de-DE"/>
        </w:rPr>
        <w:t xml:space="preserve"> </w:t>
      </w:r>
      <w:proofErr w:type="spellStart"/>
      <w:r w:rsidR="00A44119" w:rsidRPr="00B96B4F">
        <w:rPr>
          <w:rFonts w:cs="Segoe UI"/>
          <w:szCs w:val="22"/>
          <w:lang w:val="sk-SK" w:eastAsia="de-DE"/>
        </w:rPr>
        <w:t>Fund</w:t>
      </w:r>
      <w:proofErr w:type="spellEnd"/>
      <w:r w:rsidR="00CB576F" w:rsidRPr="00B96B4F">
        <w:rPr>
          <w:rFonts w:cs="Segoe UI"/>
          <w:szCs w:val="22"/>
          <w:lang w:val="sk-SK" w:eastAsia="de-DE"/>
        </w:rPr>
        <w:t xml:space="preserve"> </w:t>
      </w:r>
      <w:r w:rsidR="00037B62" w:rsidRPr="00B96B4F">
        <w:rPr>
          <w:rFonts w:cs="Segoe UI"/>
          <w:szCs w:val="22"/>
          <w:lang w:val="sk-SK" w:eastAsia="de-DE"/>
        </w:rPr>
        <w:t xml:space="preserve">zriadenému </w:t>
      </w:r>
      <w:r w:rsidR="00A44119" w:rsidRPr="00B96B4F">
        <w:rPr>
          <w:rFonts w:cs="Segoe UI"/>
          <w:szCs w:val="22"/>
          <w:lang w:val="sk-SK" w:eastAsia="de-DE"/>
        </w:rPr>
        <w:t>Svetov</w:t>
      </w:r>
      <w:r w:rsidR="00037B62" w:rsidRPr="00B96B4F">
        <w:rPr>
          <w:rFonts w:cs="Segoe UI"/>
          <w:szCs w:val="22"/>
          <w:lang w:val="sk-SK" w:eastAsia="de-DE"/>
        </w:rPr>
        <w:t>ou</w:t>
      </w:r>
      <w:r w:rsidR="00CB576F" w:rsidRPr="00B96B4F">
        <w:rPr>
          <w:rFonts w:cs="Segoe UI"/>
          <w:szCs w:val="22"/>
          <w:lang w:val="sk-SK" w:eastAsia="de-DE"/>
        </w:rPr>
        <w:t xml:space="preserve"> </w:t>
      </w:r>
      <w:r w:rsidR="00A44119" w:rsidRPr="00B96B4F">
        <w:rPr>
          <w:rFonts w:cs="Segoe UI"/>
          <w:szCs w:val="22"/>
          <w:lang w:val="sk-SK" w:eastAsia="de-DE"/>
        </w:rPr>
        <w:t>zdravotníck</w:t>
      </w:r>
      <w:r w:rsidR="00037B62" w:rsidRPr="00B96B4F">
        <w:rPr>
          <w:rFonts w:cs="Segoe UI"/>
          <w:szCs w:val="22"/>
          <w:lang w:val="sk-SK" w:eastAsia="de-DE"/>
        </w:rPr>
        <w:t>ou</w:t>
      </w:r>
      <w:r w:rsidR="00CB576F" w:rsidRPr="00B96B4F">
        <w:rPr>
          <w:rFonts w:cs="Segoe UI"/>
          <w:szCs w:val="22"/>
          <w:lang w:val="sk-SK" w:eastAsia="de-DE"/>
        </w:rPr>
        <w:t xml:space="preserve"> </w:t>
      </w:r>
      <w:r w:rsidR="00A44119" w:rsidRPr="00B96B4F">
        <w:rPr>
          <w:rFonts w:cs="Segoe UI"/>
          <w:szCs w:val="22"/>
          <w:lang w:val="sk-SK" w:eastAsia="de-DE"/>
        </w:rPr>
        <w:t>organizáci</w:t>
      </w:r>
      <w:r w:rsidR="00037B62" w:rsidRPr="00B96B4F">
        <w:rPr>
          <w:rFonts w:cs="Segoe UI"/>
          <w:szCs w:val="22"/>
          <w:lang w:val="sk-SK" w:eastAsia="de-DE"/>
        </w:rPr>
        <w:t>ou</w:t>
      </w:r>
      <w:r w:rsidR="00A44119" w:rsidRPr="00B96B4F">
        <w:rPr>
          <w:rFonts w:cs="Segoe UI"/>
          <w:szCs w:val="22"/>
          <w:lang w:val="sk-SK" w:eastAsia="de-DE"/>
        </w:rPr>
        <w:t xml:space="preserve"> (WHO) a</w:t>
      </w:r>
      <w:r w:rsidR="00CB576F" w:rsidRPr="00B96B4F">
        <w:rPr>
          <w:rFonts w:cs="Segoe UI"/>
          <w:szCs w:val="22"/>
          <w:lang w:val="sk-SK" w:eastAsia="de-DE"/>
        </w:rPr>
        <w:t> Nadáci</w:t>
      </w:r>
      <w:r w:rsidR="00037B62" w:rsidRPr="00B96B4F">
        <w:rPr>
          <w:rFonts w:cs="Segoe UI"/>
          <w:szCs w:val="22"/>
          <w:lang w:val="sk-SK" w:eastAsia="de-DE"/>
        </w:rPr>
        <w:t>ou</w:t>
      </w:r>
      <w:r w:rsidR="00CB576F" w:rsidRPr="00B96B4F">
        <w:rPr>
          <w:rFonts w:cs="Segoe UI"/>
          <w:szCs w:val="22"/>
          <w:lang w:val="sk-SK" w:eastAsia="de-DE"/>
        </w:rPr>
        <w:t xml:space="preserve"> </w:t>
      </w:r>
      <w:r w:rsidR="00A44119" w:rsidRPr="00B96B4F">
        <w:rPr>
          <w:rFonts w:cs="Segoe UI"/>
          <w:szCs w:val="22"/>
          <w:lang w:val="sk-SK" w:eastAsia="de-DE"/>
        </w:rPr>
        <w:t xml:space="preserve">Organizácie Spojených národov (OSN) a iným vybraným organizáciám </w:t>
      </w:r>
      <w:r w:rsidR="008E3D3B" w:rsidRPr="00B96B4F">
        <w:rPr>
          <w:rFonts w:cs="Segoe UI"/>
          <w:szCs w:val="22"/>
          <w:lang w:val="sk-SK" w:eastAsia="de-DE"/>
        </w:rPr>
        <w:t>z </w:t>
      </w:r>
      <w:r w:rsidR="00A44119" w:rsidRPr="00B96B4F">
        <w:rPr>
          <w:rFonts w:cs="Segoe UI"/>
          <w:szCs w:val="22"/>
          <w:lang w:val="sk-SK" w:eastAsia="de-DE"/>
        </w:rPr>
        <w:t>cel</w:t>
      </w:r>
      <w:r w:rsidR="008E3D3B" w:rsidRPr="00B96B4F">
        <w:rPr>
          <w:rFonts w:cs="Segoe UI"/>
          <w:szCs w:val="22"/>
          <w:lang w:val="sk-SK" w:eastAsia="de-DE"/>
        </w:rPr>
        <w:t>ého sveta</w:t>
      </w:r>
      <w:r w:rsidR="00A44119" w:rsidRPr="00B96B4F">
        <w:rPr>
          <w:rFonts w:cs="Segoe UI"/>
          <w:szCs w:val="22"/>
          <w:lang w:val="sk-SK" w:eastAsia="de-DE"/>
        </w:rPr>
        <w:t>.</w:t>
      </w:r>
      <w:r w:rsidR="00846017" w:rsidRPr="00B96B4F">
        <w:rPr>
          <w:rFonts w:cs="Segoe UI"/>
          <w:szCs w:val="22"/>
          <w:lang w:val="sk-SK" w:eastAsia="de-DE"/>
        </w:rPr>
        <w:t xml:space="preserve"> </w:t>
      </w:r>
      <w:r w:rsidR="00037B62" w:rsidRPr="00B96B4F">
        <w:rPr>
          <w:rFonts w:cs="Segoe UI"/>
          <w:szCs w:val="22"/>
          <w:lang w:val="sk-SK" w:eastAsia="de-DE"/>
        </w:rPr>
        <w:t>Spoločnosť H</w:t>
      </w:r>
      <w:r w:rsidR="00A44119" w:rsidRPr="00B96B4F">
        <w:rPr>
          <w:rFonts w:cs="Segoe UI"/>
          <w:szCs w:val="22"/>
          <w:lang w:val="sk-SK" w:eastAsia="de-DE"/>
        </w:rPr>
        <w:t>enkel ďalej darovala viac než 5 mil. výrobkov pre osobnú hygienu a </w:t>
      </w:r>
      <w:r w:rsidR="00A95BBB" w:rsidRPr="00B96B4F">
        <w:rPr>
          <w:rFonts w:cs="Segoe UI"/>
          <w:szCs w:val="22"/>
          <w:lang w:val="sk-SK" w:eastAsia="de-DE"/>
        </w:rPr>
        <w:t>hygienu domácností</w:t>
      </w:r>
      <w:r w:rsidR="00A44119" w:rsidRPr="00B96B4F">
        <w:rPr>
          <w:rFonts w:cs="Segoe UI"/>
          <w:szCs w:val="22"/>
          <w:lang w:val="sk-SK" w:eastAsia="de-DE"/>
        </w:rPr>
        <w:t xml:space="preserve"> </w:t>
      </w:r>
      <w:r w:rsidR="00A95BBB" w:rsidRPr="00B96B4F">
        <w:rPr>
          <w:rFonts w:cs="Segoe UI"/>
          <w:szCs w:val="22"/>
          <w:lang w:val="sk-SK" w:eastAsia="de-DE"/>
        </w:rPr>
        <w:t xml:space="preserve">a vo svojich prevádzkach vyrába </w:t>
      </w:r>
      <w:r w:rsidR="00A95BBB" w:rsidRPr="00B96B4F">
        <w:rPr>
          <w:rFonts w:cs="Segoe UI"/>
          <w:szCs w:val="22"/>
          <w:lang w:val="sk-SK" w:eastAsia="de-DE"/>
        </w:rPr>
        <w:lastRenderedPageBreak/>
        <w:t>dezinfekčné prostriedky</w:t>
      </w:r>
      <w:r w:rsidR="00A44119" w:rsidRPr="00B96B4F">
        <w:rPr>
          <w:rFonts w:cs="Segoe UI"/>
          <w:szCs w:val="22"/>
          <w:lang w:val="sk-SK" w:eastAsia="de-DE"/>
        </w:rPr>
        <w:t>.</w:t>
      </w:r>
      <w:r w:rsidR="00F317B5" w:rsidRPr="00B96B4F">
        <w:rPr>
          <w:rFonts w:cs="Segoe UI"/>
          <w:szCs w:val="22"/>
          <w:lang w:val="sk-SK" w:eastAsia="de-DE"/>
        </w:rPr>
        <w:t xml:space="preserve"> </w:t>
      </w:r>
      <w:r w:rsidR="00A95BBB" w:rsidRPr="00B96B4F">
        <w:rPr>
          <w:rFonts w:cs="Segoe UI"/>
          <w:szCs w:val="22"/>
          <w:lang w:val="sk-SK" w:eastAsia="de-DE"/>
        </w:rPr>
        <w:t xml:space="preserve">Celosvetovo spoločnosť Henkel vyrobila a darovala viac než 111 000 litrov dezinfekčných prostriedkov </w:t>
      </w:r>
      <w:r w:rsidR="009707DA" w:rsidRPr="00B96B4F">
        <w:rPr>
          <w:rFonts w:cs="Segoe UI"/>
          <w:szCs w:val="22"/>
          <w:lang w:val="sk-SK" w:eastAsia="de-DE"/>
        </w:rPr>
        <w:t xml:space="preserve">v rámci pomoci </w:t>
      </w:r>
      <w:r w:rsidR="00A95BBB" w:rsidRPr="00B96B4F">
        <w:rPr>
          <w:rFonts w:cs="Segoe UI"/>
          <w:szCs w:val="22"/>
          <w:lang w:val="sk-SK" w:eastAsia="de-DE"/>
        </w:rPr>
        <w:t>zdravotníck</w:t>
      </w:r>
      <w:r w:rsidR="009707DA" w:rsidRPr="00B96B4F">
        <w:rPr>
          <w:rFonts w:cs="Segoe UI"/>
          <w:szCs w:val="22"/>
          <w:lang w:val="sk-SK" w:eastAsia="de-DE"/>
        </w:rPr>
        <w:t>ym</w:t>
      </w:r>
      <w:r w:rsidR="00A95BBB" w:rsidRPr="00B96B4F">
        <w:rPr>
          <w:rFonts w:cs="Segoe UI"/>
          <w:szCs w:val="22"/>
          <w:lang w:val="sk-SK" w:eastAsia="de-DE"/>
        </w:rPr>
        <w:t xml:space="preserve"> orgán</w:t>
      </w:r>
      <w:r w:rsidR="009707DA" w:rsidRPr="00B96B4F">
        <w:rPr>
          <w:rFonts w:cs="Segoe UI"/>
          <w:szCs w:val="22"/>
          <w:lang w:val="sk-SK" w:eastAsia="de-DE"/>
        </w:rPr>
        <w:t>om</w:t>
      </w:r>
      <w:r w:rsidR="00A95BBB" w:rsidRPr="00B96B4F">
        <w:rPr>
          <w:rFonts w:cs="Segoe UI"/>
          <w:szCs w:val="22"/>
          <w:lang w:val="sk-SK" w:eastAsia="de-DE"/>
        </w:rPr>
        <w:t xml:space="preserve"> a nemocnic</w:t>
      </w:r>
      <w:r w:rsidR="009707DA" w:rsidRPr="00B96B4F">
        <w:rPr>
          <w:rFonts w:cs="Segoe UI"/>
          <w:szCs w:val="22"/>
          <w:lang w:val="sk-SK" w:eastAsia="de-DE"/>
        </w:rPr>
        <w:t>iam</w:t>
      </w:r>
      <w:r w:rsidR="00A95BBB" w:rsidRPr="00B96B4F">
        <w:rPr>
          <w:rFonts w:cs="Segoe UI"/>
          <w:szCs w:val="22"/>
          <w:lang w:val="sk-SK" w:eastAsia="de-DE"/>
        </w:rPr>
        <w:t>.</w:t>
      </w:r>
      <w:r w:rsidR="00F317B5" w:rsidRPr="00B96B4F">
        <w:rPr>
          <w:rFonts w:cs="Segoe UI"/>
          <w:szCs w:val="22"/>
          <w:lang w:val="sk-SK" w:eastAsia="de-DE"/>
        </w:rPr>
        <w:t xml:space="preserve"> </w:t>
      </w:r>
      <w:r w:rsidR="00A95BBB" w:rsidRPr="00B96B4F">
        <w:rPr>
          <w:rFonts w:cs="Segoe UI"/>
          <w:szCs w:val="22"/>
          <w:lang w:val="sk-SK" w:eastAsia="de-DE"/>
        </w:rPr>
        <w:t>Doposiaľ podporila takmer 500 projektov súvisiacich s ochorením COVID-19 vo viac než 40 krajinách na celom svete</w:t>
      </w:r>
      <w:r w:rsidR="009707DA" w:rsidRPr="00B96B4F">
        <w:rPr>
          <w:rFonts w:cs="Segoe UI"/>
          <w:szCs w:val="22"/>
          <w:lang w:val="sk-SK" w:eastAsia="de-DE"/>
        </w:rPr>
        <w:t xml:space="preserve"> </w:t>
      </w:r>
      <w:r w:rsidR="008E3D3B" w:rsidRPr="00B96B4F">
        <w:rPr>
          <w:rFonts w:cs="Segoe UI"/>
          <w:szCs w:val="22"/>
          <w:lang w:val="sk-SK" w:eastAsia="de-DE"/>
        </w:rPr>
        <w:t xml:space="preserve">s cieľom </w:t>
      </w:r>
      <w:r w:rsidR="009707DA" w:rsidRPr="00B96B4F">
        <w:rPr>
          <w:rFonts w:cs="Segoe UI"/>
          <w:szCs w:val="22"/>
          <w:lang w:val="sk-SK" w:eastAsia="de-DE"/>
        </w:rPr>
        <w:t>pom</w:t>
      </w:r>
      <w:r w:rsidR="008E3D3B" w:rsidRPr="00B96B4F">
        <w:rPr>
          <w:rFonts w:cs="Segoe UI"/>
          <w:szCs w:val="22"/>
          <w:lang w:val="sk-SK" w:eastAsia="de-DE"/>
        </w:rPr>
        <w:t xml:space="preserve">ôcť </w:t>
      </w:r>
      <w:r w:rsidR="00A95BBB" w:rsidRPr="00B96B4F">
        <w:rPr>
          <w:rFonts w:cs="Segoe UI"/>
          <w:szCs w:val="22"/>
          <w:lang w:val="sk-SK" w:eastAsia="de-DE"/>
        </w:rPr>
        <w:t xml:space="preserve">takmer 5 miliónom ľudí, ktorí potrebujú </w:t>
      </w:r>
      <w:r w:rsidR="009707DA" w:rsidRPr="00B96B4F">
        <w:rPr>
          <w:rFonts w:cs="Segoe UI"/>
          <w:szCs w:val="22"/>
          <w:lang w:val="sk-SK" w:eastAsia="de-DE"/>
        </w:rPr>
        <w:t xml:space="preserve">podporu v dôsledku </w:t>
      </w:r>
      <w:r w:rsidR="00A95BBB" w:rsidRPr="00B96B4F">
        <w:rPr>
          <w:rFonts w:cs="Segoe UI"/>
          <w:szCs w:val="22"/>
          <w:lang w:val="sk-SK" w:eastAsia="de-DE"/>
        </w:rPr>
        <w:t>ochorenia COVID-19.</w:t>
      </w:r>
    </w:p>
    <w:p w14:paraId="2A5AF576" w14:textId="77777777" w:rsidR="00846017" w:rsidRPr="00B96B4F" w:rsidRDefault="00846017" w:rsidP="00846017">
      <w:pPr>
        <w:rPr>
          <w:rFonts w:cs="Segoe UI"/>
          <w:szCs w:val="22"/>
          <w:lang w:val="sk-SK" w:eastAsia="de-DE"/>
        </w:rPr>
      </w:pPr>
    </w:p>
    <w:p w14:paraId="7E8784FB" w14:textId="77777777" w:rsidR="00846017" w:rsidRPr="00B96B4F" w:rsidRDefault="00A95BBB" w:rsidP="00AE17EA">
      <w:pPr>
        <w:spacing w:line="280" w:lineRule="auto"/>
        <w:rPr>
          <w:rFonts w:cs="Segoe UI"/>
          <w:szCs w:val="22"/>
          <w:lang w:val="sk-SK"/>
        </w:rPr>
      </w:pPr>
      <w:r w:rsidRPr="008A4984">
        <w:rPr>
          <w:rFonts w:cs="Segoe UI"/>
          <w:i/>
          <w:iCs/>
          <w:szCs w:val="22"/>
          <w:lang w:val="sk-SK" w:eastAsia="de-DE"/>
        </w:rPr>
        <w:t>„Bude</w:t>
      </w:r>
      <w:r w:rsidR="009707DA" w:rsidRPr="008A4984">
        <w:rPr>
          <w:rFonts w:cs="Segoe UI"/>
          <w:i/>
          <w:iCs/>
          <w:szCs w:val="22"/>
          <w:lang w:val="sk-SK" w:eastAsia="de-DE"/>
        </w:rPr>
        <w:t>me</w:t>
      </w:r>
      <w:r w:rsidRPr="008A4984">
        <w:rPr>
          <w:rFonts w:cs="Segoe UI"/>
          <w:i/>
          <w:iCs/>
          <w:szCs w:val="22"/>
          <w:lang w:val="sk-SK" w:eastAsia="de-DE"/>
        </w:rPr>
        <w:t xml:space="preserve"> sa musieť neustále prispôsobovať vývoju krízy.</w:t>
      </w:r>
      <w:r w:rsidR="00846017" w:rsidRPr="008A4984">
        <w:rPr>
          <w:rFonts w:cs="Segoe UI"/>
          <w:i/>
          <w:iCs/>
          <w:szCs w:val="22"/>
          <w:lang w:val="sk-SK" w:eastAsia="de-DE"/>
        </w:rPr>
        <w:t xml:space="preserve"> </w:t>
      </w:r>
      <w:r w:rsidRPr="008A4984">
        <w:rPr>
          <w:rFonts w:cs="Segoe UI"/>
          <w:i/>
          <w:iCs/>
          <w:szCs w:val="22"/>
          <w:lang w:val="sk-SK" w:eastAsia="de-DE"/>
        </w:rPr>
        <w:t>Na akékoľvek narušenie našich trhov budeme reagovať flexibilne a rýchlo.</w:t>
      </w:r>
      <w:r w:rsidR="00846017" w:rsidRPr="008A4984">
        <w:rPr>
          <w:rFonts w:cs="Segoe UI"/>
          <w:i/>
          <w:iCs/>
          <w:szCs w:val="22"/>
          <w:lang w:val="sk-SK" w:eastAsia="de-DE"/>
        </w:rPr>
        <w:t xml:space="preserve"> </w:t>
      </w:r>
      <w:bookmarkStart w:id="2" w:name="_Hlk1487071"/>
      <w:r w:rsidR="009707DA" w:rsidRPr="008A4984">
        <w:rPr>
          <w:rFonts w:cs="Segoe UI"/>
          <w:i/>
          <w:iCs/>
          <w:szCs w:val="22"/>
          <w:lang w:val="sk-SK" w:eastAsia="de-DE"/>
        </w:rPr>
        <w:t xml:space="preserve">Budeme aktívnymi spolutvorcami </w:t>
      </w:r>
      <w:r w:rsidRPr="008A4984">
        <w:rPr>
          <w:rFonts w:cs="Segoe UI"/>
          <w:i/>
          <w:iCs/>
          <w:szCs w:val="22"/>
          <w:lang w:val="sk-SK" w:eastAsia="de-DE"/>
        </w:rPr>
        <w:t>zm</w:t>
      </w:r>
      <w:r w:rsidR="009707DA" w:rsidRPr="008A4984">
        <w:rPr>
          <w:rFonts w:cs="Segoe UI"/>
          <w:i/>
          <w:iCs/>
          <w:szCs w:val="22"/>
          <w:lang w:val="sk-SK" w:eastAsia="de-DE"/>
        </w:rPr>
        <w:t xml:space="preserve">ien a </w:t>
      </w:r>
      <w:r w:rsidR="00AE17EA" w:rsidRPr="008A4984">
        <w:rPr>
          <w:rFonts w:cs="Segoe UI"/>
          <w:i/>
          <w:iCs/>
          <w:szCs w:val="22"/>
          <w:lang w:val="sk-SK" w:eastAsia="de-DE"/>
        </w:rPr>
        <w:t>priekopníkmi</w:t>
      </w:r>
      <w:r w:rsidR="009707DA" w:rsidRPr="008A4984">
        <w:rPr>
          <w:rFonts w:cs="Segoe UI"/>
          <w:i/>
          <w:iCs/>
          <w:szCs w:val="22"/>
          <w:lang w:val="sk-SK" w:eastAsia="de-DE"/>
        </w:rPr>
        <w:t xml:space="preserve"> v nových oblastiach</w:t>
      </w:r>
      <w:r w:rsidRPr="008A4984">
        <w:rPr>
          <w:rFonts w:cs="Segoe UI"/>
          <w:i/>
          <w:iCs/>
          <w:szCs w:val="22"/>
          <w:lang w:val="sk-SK" w:eastAsia="de-DE"/>
        </w:rPr>
        <w:t>,</w:t>
      </w:r>
      <w:r w:rsidR="00AE17EA" w:rsidRPr="008A4984">
        <w:rPr>
          <w:rFonts w:cs="Segoe UI"/>
          <w:i/>
          <w:iCs/>
          <w:szCs w:val="22"/>
          <w:lang w:val="sk-SK" w:eastAsia="de-DE"/>
        </w:rPr>
        <w:t>“</w:t>
      </w:r>
      <w:r w:rsidRPr="00B96B4F">
        <w:rPr>
          <w:rFonts w:cs="Segoe UI"/>
          <w:szCs w:val="22"/>
          <w:lang w:val="sk-SK" w:eastAsia="de-DE"/>
        </w:rPr>
        <w:t xml:space="preserve"> </w:t>
      </w:r>
      <w:r w:rsidR="00AE17EA" w:rsidRPr="00B96B4F">
        <w:rPr>
          <w:rFonts w:cs="Segoe UI"/>
          <w:szCs w:val="22"/>
          <w:lang w:val="sk-SK" w:eastAsia="de-DE"/>
        </w:rPr>
        <w:t xml:space="preserve">zhrnul </w:t>
      </w:r>
      <w:r w:rsidRPr="00B96B4F">
        <w:rPr>
          <w:rFonts w:cs="Segoe UI"/>
          <w:szCs w:val="22"/>
          <w:lang w:val="sk-SK" w:eastAsia="de-DE"/>
        </w:rPr>
        <w:t xml:space="preserve">Carsten </w:t>
      </w:r>
      <w:proofErr w:type="spellStart"/>
      <w:r w:rsidRPr="00B96B4F">
        <w:rPr>
          <w:rFonts w:cs="Segoe UI"/>
          <w:szCs w:val="22"/>
          <w:lang w:val="sk-SK" w:eastAsia="de-DE"/>
        </w:rPr>
        <w:t>Knobel</w:t>
      </w:r>
      <w:proofErr w:type="spellEnd"/>
      <w:r w:rsidRPr="00B96B4F">
        <w:rPr>
          <w:rFonts w:cs="Segoe UI"/>
          <w:szCs w:val="22"/>
          <w:lang w:val="sk-SK" w:eastAsia="de-DE"/>
        </w:rPr>
        <w:t>.</w:t>
      </w:r>
      <w:r w:rsidR="00846017" w:rsidRPr="00B96B4F">
        <w:rPr>
          <w:rFonts w:cs="Segoe UI"/>
          <w:szCs w:val="22"/>
          <w:lang w:val="sk-SK" w:eastAsia="de-DE"/>
        </w:rPr>
        <w:t xml:space="preserve"> </w:t>
      </w:r>
      <w:r w:rsidR="00AE17EA" w:rsidRPr="008A4984">
        <w:rPr>
          <w:rFonts w:cs="Segoe UI"/>
          <w:i/>
          <w:iCs/>
          <w:szCs w:val="22"/>
          <w:lang w:val="sk-SK"/>
        </w:rPr>
        <w:t xml:space="preserve">„Som presvedčený, že vďaka nášmu odhodlanému globálnemu tímu, nášmu novému strategickému rámcu zameranému na účelný rast, vďaka našej silnej súvahovej pozícii a finančnej flexibilite, ako aj schopnosti generovať silný cash </w:t>
      </w:r>
      <w:proofErr w:type="spellStart"/>
      <w:r w:rsidR="00AE17EA" w:rsidRPr="008A4984">
        <w:rPr>
          <w:rFonts w:cs="Segoe UI"/>
          <w:i/>
          <w:iCs/>
          <w:szCs w:val="22"/>
          <w:lang w:val="sk-SK"/>
        </w:rPr>
        <w:t>flow</w:t>
      </w:r>
      <w:proofErr w:type="spellEnd"/>
      <w:r w:rsidR="00AE17EA" w:rsidRPr="008A4984">
        <w:rPr>
          <w:rFonts w:cs="Segoe UI"/>
          <w:i/>
          <w:iCs/>
          <w:szCs w:val="22"/>
          <w:lang w:val="sk-SK"/>
        </w:rPr>
        <w:t xml:space="preserve"> máme dobré predpoklady, aby sme si s touto zložitou situáciou poradili, a že z krízy vyjdeme ešte silnejší,“</w:t>
      </w:r>
      <w:r w:rsidR="00AE17EA" w:rsidRPr="00B96B4F">
        <w:rPr>
          <w:rFonts w:cs="Segoe UI"/>
          <w:szCs w:val="22"/>
          <w:lang w:val="sk-SK"/>
        </w:rPr>
        <w:t xml:space="preserve"> dodal Carsten </w:t>
      </w:r>
      <w:proofErr w:type="spellStart"/>
      <w:r w:rsidR="00AE17EA" w:rsidRPr="00B96B4F">
        <w:rPr>
          <w:rFonts w:cs="Segoe UI"/>
          <w:szCs w:val="22"/>
          <w:lang w:val="sk-SK"/>
        </w:rPr>
        <w:t>Knobel</w:t>
      </w:r>
      <w:proofErr w:type="spellEnd"/>
      <w:r w:rsidR="00AE17EA" w:rsidRPr="00B96B4F">
        <w:rPr>
          <w:rFonts w:cs="Segoe UI"/>
          <w:szCs w:val="22"/>
          <w:lang w:val="sk-SK"/>
        </w:rPr>
        <w:t>.</w:t>
      </w:r>
    </w:p>
    <w:bookmarkEnd w:id="2"/>
    <w:p w14:paraId="30059E93" w14:textId="77777777" w:rsidR="006074CD" w:rsidRPr="00B96B4F" w:rsidRDefault="006074CD">
      <w:pPr>
        <w:spacing w:line="240" w:lineRule="auto"/>
        <w:jc w:val="left"/>
        <w:rPr>
          <w:rStyle w:val="AboutandContactHeadline"/>
          <w:highlight w:val="magenta"/>
          <w:lang w:val="sk-SK"/>
        </w:rPr>
      </w:pPr>
    </w:p>
    <w:p w14:paraId="62A13DF3" w14:textId="77777777" w:rsidR="00C97830" w:rsidRPr="00B96B4F" w:rsidRDefault="00C97830">
      <w:pPr>
        <w:spacing w:line="240" w:lineRule="auto"/>
        <w:jc w:val="left"/>
        <w:rPr>
          <w:rStyle w:val="AboutandContactHeadline"/>
          <w:lang w:val="sk-SK"/>
        </w:rPr>
      </w:pPr>
      <w:r w:rsidRPr="00B96B4F">
        <w:rPr>
          <w:rStyle w:val="AboutandContactHeadline"/>
          <w:lang w:val="sk-SK"/>
        </w:rPr>
        <w:br w:type="page"/>
      </w:r>
    </w:p>
    <w:p w14:paraId="5ED2773B" w14:textId="77777777" w:rsidR="00C97830" w:rsidRPr="00B96B4F" w:rsidRDefault="00D76C73" w:rsidP="00D76C73">
      <w:pPr>
        <w:spacing w:line="280" w:lineRule="auto"/>
        <w:rPr>
          <w:rFonts w:asciiTheme="minorHAnsi" w:hAnsiTheme="minorHAnsi" w:cstheme="minorHAnsi"/>
          <w:lang w:val="sk-SK"/>
        </w:rPr>
      </w:pPr>
      <w:r w:rsidRPr="00B96B4F">
        <w:rPr>
          <w:rFonts w:asciiTheme="minorHAnsi" w:hAnsiTheme="minorHAnsi" w:cstheme="minorHAnsi"/>
          <w:b/>
          <w:color w:val="E2000F"/>
          <w:sz w:val="30"/>
          <w:lang w:val="sk-SK"/>
        </w:rPr>
        <w:lastRenderedPageBreak/>
        <w:t>Hlavné údaje za 2. štvrťrok 2020 (Q2) a za šesť mesiacov roka 2020 (1-6)</w:t>
      </w:r>
    </w:p>
    <w:p w14:paraId="4B34F81C" w14:textId="77777777" w:rsidR="00C97830" w:rsidRPr="00B96B4F" w:rsidRDefault="00C97830" w:rsidP="00C97830">
      <w:pPr>
        <w:rPr>
          <w:rFonts w:asciiTheme="minorHAnsi" w:hAnsiTheme="minorHAnsi" w:cstheme="minorHAnsi"/>
          <w:b/>
          <w:color w:val="000000"/>
          <w:sz w:val="19"/>
          <w:lang w:val="sk-SK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73"/>
        <w:gridCol w:w="1254"/>
        <w:gridCol w:w="1309"/>
        <w:gridCol w:w="1241"/>
        <w:gridCol w:w="1361"/>
      </w:tblGrid>
      <w:tr w:rsidR="00C97830" w:rsidRPr="00B96B4F" w14:paraId="678F6506" w14:textId="77777777" w:rsidTr="00140B74">
        <w:tc>
          <w:tcPr>
            <w:tcW w:w="447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A1F36AB" w14:textId="77777777" w:rsidR="00C97830" w:rsidRPr="00B96B4F" w:rsidRDefault="004C42F7" w:rsidP="0095034D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sk-SK"/>
              </w:rPr>
              <w:t>v</w:t>
            </w:r>
            <w:r w:rsidR="00D76C73" w:rsidRPr="00B96B4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sk-SK"/>
              </w:rPr>
              <w:t xml:space="preserve"> miliónoch eur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A811890" w14:textId="77777777" w:rsidR="00C97830" w:rsidRPr="00B96B4F" w:rsidRDefault="00D76C73" w:rsidP="0095034D">
            <w:pPr>
              <w:pStyle w:val="Obsahtabuky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96B4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Obrat</w:t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5980901" w14:textId="77777777" w:rsidR="00C97830" w:rsidRPr="00B96B4F" w:rsidRDefault="00D76C73" w:rsidP="0095034D">
            <w:pPr>
              <w:pStyle w:val="Obsahtabuky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96B4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EBIT</w:t>
            </w:r>
          </w:p>
        </w:tc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49E4A26" w14:textId="77777777" w:rsidR="00C97830" w:rsidRPr="00B96B4F" w:rsidRDefault="00D76C73" w:rsidP="0095034D">
            <w:pPr>
              <w:pStyle w:val="Obsahtabuky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96B4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Marža EBIT</w:t>
            </w:r>
          </w:p>
        </w:tc>
      </w:tr>
      <w:tr w:rsidR="00C97830" w:rsidRPr="00B96B4F" w14:paraId="2AF9AACE" w14:textId="77777777" w:rsidTr="00140B74">
        <w:tc>
          <w:tcPr>
            <w:tcW w:w="4473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323937D" w14:textId="77777777" w:rsidR="00C97830" w:rsidRPr="00B96B4F" w:rsidRDefault="00C97830" w:rsidP="00C97830">
            <w:pPr>
              <w:pStyle w:val="Obsahtabuky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6DDE301" w14:textId="77777777" w:rsidR="00C97830" w:rsidRPr="00B96B4F" w:rsidRDefault="00C97830" w:rsidP="00C97830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sk-SK"/>
              </w:rPr>
              <w:t>Q2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95A4083" w14:textId="77777777" w:rsidR="00C97830" w:rsidRPr="00B96B4F" w:rsidRDefault="00C97830" w:rsidP="00C97830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sk-SK"/>
              </w:rPr>
              <w:t>1-6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6698CF6" w14:textId="77777777" w:rsidR="00C97830" w:rsidRPr="00B96B4F" w:rsidRDefault="00C97830" w:rsidP="00C97830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sk-SK"/>
              </w:rPr>
              <w:t>1-6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A51B0D4" w14:textId="77777777" w:rsidR="00C97830" w:rsidRPr="00B96B4F" w:rsidRDefault="00C97830" w:rsidP="00C97830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sk-SK"/>
              </w:rPr>
              <w:t>1-6</w:t>
            </w:r>
          </w:p>
        </w:tc>
      </w:tr>
      <w:tr w:rsidR="00C97830" w:rsidRPr="00B96B4F" w14:paraId="5B3AAF0A" w14:textId="77777777" w:rsidTr="00140B74">
        <w:tc>
          <w:tcPr>
            <w:tcW w:w="9638" w:type="dxa"/>
            <w:gridSpan w:val="5"/>
            <w:tcBorders>
              <w:bottom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1A68FE" w14:textId="77777777" w:rsidR="00C97830" w:rsidRPr="00B96B4F" w:rsidRDefault="00C97830" w:rsidP="00C97830">
            <w:pPr>
              <w:spacing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sk-SK"/>
              </w:rPr>
              <w:t>Adhesive Technologies</w:t>
            </w:r>
          </w:p>
        </w:tc>
      </w:tr>
      <w:tr w:rsidR="00C97830" w:rsidRPr="00B96B4F" w14:paraId="340436BF" w14:textId="77777777" w:rsidTr="009211F4">
        <w:tc>
          <w:tcPr>
            <w:tcW w:w="4473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59F982" w14:textId="77777777" w:rsidR="00C97830" w:rsidRPr="00B96B4F" w:rsidRDefault="00C97830" w:rsidP="00C97830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2020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7C5D921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1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 xml:space="preserve"> </w:t>
            </w: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944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C2785DB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4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 xml:space="preserve"> </w:t>
            </w: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153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346E53F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532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1D56EB0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12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,</w:t>
            </w: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8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 xml:space="preserve"> %</w:t>
            </w:r>
          </w:p>
        </w:tc>
      </w:tr>
      <w:tr w:rsidR="00C97830" w:rsidRPr="00B96B4F" w14:paraId="43FA310B" w14:textId="77777777" w:rsidTr="009211F4">
        <w:tc>
          <w:tcPr>
            <w:tcW w:w="4473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B50AF1" w14:textId="77777777" w:rsidR="00C97830" w:rsidRPr="00B96B4F" w:rsidRDefault="00C97830" w:rsidP="00C97830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2019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C7172F3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2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 xml:space="preserve"> </w:t>
            </w: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422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753C559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4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 xml:space="preserve"> </w:t>
            </w: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731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3C69E7B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825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5BAA288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17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,</w:t>
            </w: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4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 xml:space="preserve"> %</w:t>
            </w:r>
          </w:p>
        </w:tc>
      </w:tr>
      <w:tr w:rsidR="00C97830" w:rsidRPr="00B96B4F" w14:paraId="1D4FC4B4" w14:textId="77777777" w:rsidTr="009211F4">
        <w:tc>
          <w:tcPr>
            <w:tcW w:w="4473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385393" w14:textId="77777777" w:rsidR="00C97830" w:rsidRPr="00B96B4F" w:rsidRDefault="00D76C73" w:rsidP="0095034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organický rast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BEB33C6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-17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,</w:t>
            </w: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4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 xml:space="preserve"> %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92E190F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-10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,</w:t>
            </w: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9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 xml:space="preserve"> %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8841E08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-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F80DA9E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-</w:t>
            </w:r>
          </w:p>
        </w:tc>
      </w:tr>
      <w:tr w:rsidR="00C97830" w:rsidRPr="00B96B4F" w14:paraId="3AA7FF22" w14:textId="77777777" w:rsidTr="009211F4">
        <w:tc>
          <w:tcPr>
            <w:tcW w:w="4473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39F70C" w14:textId="77777777" w:rsidR="00C97830" w:rsidRPr="00B96B4F" w:rsidRDefault="00D76C73" w:rsidP="0095034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2020 upravený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2C7500B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-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35670D1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-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632CBF6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543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5C7522B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13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,</w:t>
            </w: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1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 xml:space="preserve"> %</w:t>
            </w:r>
          </w:p>
        </w:tc>
      </w:tr>
      <w:tr w:rsidR="00C97830" w:rsidRPr="00B96B4F" w14:paraId="3C602686" w14:textId="77777777" w:rsidTr="009211F4">
        <w:tc>
          <w:tcPr>
            <w:tcW w:w="4473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F38814" w14:textId="77777777" w:rsidR="00C97830" w:rsidRPr="00B96B4F" w:rsidRDefault="00D76C73" w:rsidP="0095034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2019 upravený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EB8411A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-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DA67A7B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-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6B59A39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857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FEA58DE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18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,</w:t>
            </w: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1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 xml:space="preserve"> %</w:t>
            </w:r>
          </w:p>
        </w:tc>
      </w:tr>
      <w:tr w:rsidR="00C97830" w:rsidRPr="00B96B4F" w14:paraId="150002A0" w14:textId="77777777" w:rsidTr="00140B74">
        <w:tc>
          <w:tcPr>
            <w:tcW w:w="9638" w:type="dxa"/>
            <w:gridSpan w:val="5"/>
            <w:tcBorders>
              <w:bottom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B2AF68" w14:textId="77777777" w:rsidR="00C97830" w:rsidRPr="00B96B4F" w:rsidRDefault="00C97830" w:rsidP="00C97830">
            <w:pPr>
              <w:spacing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 w:rsidRPr="00B96B4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sk-SK"/>
              </w:rPr>
              <w:t>Beauty</w:t>
            </w:r>
            <w:proofErr w:type="spellEnd"/>
            <w:r w:rsidRPr="00B96B4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96B4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sk-SK"/>
              </w:rPr>
              <w:t>Care</w:t>
            </w:r>
            <w:proofErr w:type="spellEnd"/>
          </w:p>
        </w:tc>
      </w:tr>
      <w:tr w:rsidR="00C97830" w:rsidRPr="00B96B4F" w14:paraId="4B8F79C6" w14:textId="77777777" w:rsidTr="009211F4">
        <w:tc>
          <w:tcPr>
            <w:tcW w:w="4473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715F6F" w14:textId="77777777" w:rsidR="00C97830" w:rsidRPr="00B96B4F" w:rsidRDefault="00C97830" w:rsidP="00C97830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2020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466FEB6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883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E4680B4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1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 xml:space="preserve"> </w:t>
            </w: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818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1C46B81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148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75D2633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8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,</w:t>
            </w: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1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 xml:space="preserve"> %</w:t>
            </w:r>
          </w:p>
        </w:tc>
      </w:tr>
      <w:tr w:rsidR="00C97830" w:rsidRPr="00B96B4F" w14:paraId="3338FDEF" w14:textId="77777777" w:rsidTr="009211F4">
        <w:tc>
          <w:tcPr>
            <w:tcW w:w="4473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3F7586" w14:textId="77777777" w:rsidR="00C97830" w:rsidRPr="00B96B4F" w:rsidRDefault="00C97830" w:rsidP="00C97830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2019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F8C724A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1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 xml:space="preserve"> </w:t>
            </w: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002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A096E34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1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 xml:space="preserve"> </w:t>
            </w: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962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6D59B41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234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BB1E8B3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11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,</w:t>
            </w: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9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 xml:space="preserve"> %</w:t>
            </w:r>
          </w:p>
        </w:tc>
      </w:tr>
      <w:tr w:rsidR="00C97830" w:rsidRPr="00B96B4F" w14:paraId="3F7C249D" w14:textId="77777777" w:rsidTr="009211F4">
        <w:tc>
          <w:tcPr>
            <w:tcW w:w="4473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728AAC" w14:textId="77777777" w:rsidR="00C97830" w:rsidRPr="00B96B4F" w:rsidRDefault="00D76C73" w:rsidP="00C97830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organický rast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13EC1F3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-12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,</w:t>
            </w: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8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 xml:space="preserve"> %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FA35C79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-8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,</w:t>
            </w: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5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 xml:space="preserve"> %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91F5596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-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2234E36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-</w:t>
            </w:r>
          </w:p>
        </w:tc>
      </w:tr>
      <w:tr w:rsidR="00C97830" w:rsidRPr="00B96B4F" w14:paraId="241D0ADA" w14:textId="77777777" w:rsidTr="009211F4">
        <w:tc>
          <w:tcPr>
            <w:tcW w:w="4473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958151" w14:textId="77777777" w:rsidR="00C97830" w:rsidRPr="00B96B4F" w:rsidRDefault="00D76C73" w:rsidP="00C97830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2020 upravený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A8EB194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-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F3F5A9A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-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C8385A3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172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CAA80D4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9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,</w:t>
            </w: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4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 xml:space="preserve"> %</w:t>
            </w:r>
          </w:p>
        </w:tc>
      </w:tr>
      <w:tr w:rsidR="00C97830" w:rsidRPr="00B96B4F" w14:paraId="7725FC48" w14:textId="77777777" w:rsidTr="009211F4">
        <w:tc>
          <w:tcPr>
            <w:tcW w:w="4473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360BC4" w14:textId="77777777" w:rsidR="00C97830" w:rsidRPr="00B96B4F" w:rsidRDefault="00140B74" w:rsidP="00C97830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2019 upravený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96E0503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-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CC347BE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-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AA3FD0B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266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02F719A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13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,</w:t>
            </w: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5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 xml:space="preserve"> %</w:t>
            </w:r>
          </w:p>
        </w:tc>
      </w:tr>
      <w:tr w:rsidR="00C97830" w:rsidRPr="00B96B4F" w14:paraId="13441FA8" w14:textId="77777777" w:rsidTr="00140B74">
        <w:tc>
          <w:tcPr>
            <w:tcW w:w="9638" w:type="dxa"/>
            <w:gridSpan w:val="5"/>
            <w:tcBorders>
              <w:bottom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4C401C" w14:textId="77777777" w:rsidR="00C97830" w:rsidRPr="00B96B4F" w:rsidRDefault="00C97830" w:rsidP="00C97830">
            <w:pPr>
              <w:spacing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sk-SK"/>
              </w:rPr>
              <w:t xml:space="preserve">Laundry &amp; Home </w:t>
            </w:r>
            <w:proofErr w:type="spellStart"/>
            <w:r w:rsidRPr="00B96B4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sk-SK"/>
              </w:rPr>
              <w:t>Care</w:t>
            </w:r>
            <w:proofErr w:type="spellEnd"/>
          </w:p>
        </w:tc>
      </w:tr>
      <w:tr w:rsidR="00C97830" w:rsidRPr="00B96B4F" w14:paraId="4CD38919" w14:textId="77777777" w:rsidTr="009211F4">
        <w:tc>
          <w:tcPr>
            <w:tcW w:w="4473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7F2D53" w14:textId="77777777" w:rsidR="00C97830" w:rsidRPr="00B96B4F" w:rsidRDefault="00C97830" w:rsidP="00C97830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2020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4FA92F5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1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 xml:space="preserve"> </w:t>
            </w: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705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BE4979F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3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 xml:space="preserve"> </w:t>
            </w: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460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B9987B4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500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BF7CF2B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14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,</w:t>
            </w: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4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 xml:space="preserve"> %</w:t>
            </w:r>
          </w:p>
        </w:tc>
      </w:tr>
      <w:tr w:rsidR="00C97830" w:rsidRPr="00B96B4F" w14:paraId="040AD7B5" w14:textId="77777777" w:rsidTr="009211F4">
        <w:tc>
          <w:tcPr>
            <w:tcW w:w="4473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3F742C" w14:textId="77777777" w:rsidR="00C97830" w:rsidRPr="00B96B4F" w:rsidRDefault="00C97830" w:rsidP="00C97830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2019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F58B200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1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 xml:space="preserve"> </w:t>
            </w: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666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8B160B3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3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 xml:space="preserve"> </w:t>
            </w: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334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7D77D6F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483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0F3CCF6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14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,</w:t>
            </w: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5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 xml:space="preserve"> %</w:t>
            </w:r>
          </w:p>
        </w:tc>
      </w:tr>
      <w:tr w:rsidR="00C97830" w:rsidRPr="00B96B4F" w14:paraId="2BE2C1B1" w14:textId="77777777" w:rsidTr="009211F4">
        <w:tc>
          <w:tcPr>
            <w:tcW w:w="4473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01E22B" w14:textId="77777777" w:rsidR="00C97830" w:rsidRPr="00B96B4F" w:rsidRDefault="00D76C73" w:rsidP="00C97830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organický rast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64E53ED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4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,</w:t>
            </w: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4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 xml:space="preserve"> %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5F68FCD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4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,</w:t>
            </w: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9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 xml:space="preserve"> %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EF78A1B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-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97A1776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-</w:t>
            </w:r>
          </w:p>
        </w:tc>
      </w:tr>
      <w:tr w:rsidR="00C97830" w:rsidRPr="00B96B4F" w14:paraId="103A8ECD" w14:textId="77777777" w:rsidTr="009211F4">
        <w:tc>
          <w:tcPr>
            <w:tcW w:w="4473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2D6324" w14:textId="77777777" w:rsidR="00C97830" w:rsidRPr="00B96B4F" w:rsidRDefault="00D76C73" w:rsidP="00C97830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2020 upravený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9412CA1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-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459DA14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-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61016F1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531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24D080B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15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,</w:t>
            </w: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3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 xml:space="preserve"> %</w:t>
            </w:r>
          </w:p>
        </w:tc>
      </w:tr>
      <w:tr w:rsidR="00C97830" w:rsidRPr="00B96B4F" w14:paraId="7A9F9F5D" w14:textId="77777777" w:rsidTr="009211F4">
        <w:tc>
          <w:tcPr>
            <w:tcW w:w="4473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50B3E" w14:textId="77777777" w:rsidR="00C97830" w:rsidRPr="00B96B4F" w:rsidRDefault="00140B74" w:rsidP="00C97830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2019 upravený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80D08E9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-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71BC61D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-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F8BF67D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565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77BFCD7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16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,</w:t>
            </w: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9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 xml:space="preserve"> %</w:t>
            </w:r>
          </w:p>
        </w:tc>
      </w:tr>
      <w:tr w:rsidR="00C97830" w:rsidRPr="00B96B4F" w14:paraId="358B15E1" w14:textId="77777777" w:rsidTr="00140B74">
        <w:tc>
          <w:tcPr>
            <w:tcW w:w="9638" w:type="dxa"/>
            <w:gridSpan w:val="5"/>
            <w:tcBorders>
              <w:bottom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B1BC21" w14:textId="77777777" w:rsidR="00C97830" w:rsidRPr="00B96B4F" w:rsidRDefault="00C97830" w:rsidP="00C97830">
            <w:pPr>
              <w:spacing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sk-SK"/>
              </w:rPr>
              <w:t>Henkel</w:t>
            </w:r>
          </w:p>
        </w:tc>
      </w:tr>
      <w:tr w:rsidR="00C97830" w:rsidRPr="00B96B4F" w14:paraId="3ACD17EF" w14:textId="77777777" w:rsidTr="009211F4">
        <w:tc>
          <w:tcPr>
            <w:tcW w:w="4473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D3350D" w14:textId="77777777" w:rsidR="00C97830" w:rsidRPr="00B96B4F" w:rsidRDefault="00C97830" w:rsidP="00C97830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2020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8A7052B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4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 xml:space="preserve"> </w:t>
            </w: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558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A7E2D78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9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 xml:space="preserve"> </w:t>
            </w: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485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5A32F2E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1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 xml:space="preserve"> </w:t>
            </w: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094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055E8B4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11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,</w:t>
            </w: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5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 xml:space="preserve"> %</w:t>
            </w:r>
          </w:p>
        </w:tc>
      </w:tr>
      <w:tr w:rsidR="00C97830" w:rsidRPr="00B96B4F" w14:paraId="12109A37" w14:textId="77777777" w:rsidTr="009211F4">
        <w:tc>
          <w:tcPr>
            <w:tcW w:w="4473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1BFDCB" w14:textId="77777777" w:rsidR="00C97830" w:rsidRPr="00B96B4F" w:rsidRDefault="00C97830" w:rsidP="00C97830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2019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1E44A02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5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 xml:space="preserve"> </w:t>
            </w: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121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DF812D4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10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 xml:space="preserve"> </w:t>
            </w: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090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0F742A2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1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 xml:space="preserve"> </w:t>
            </w: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492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8C3FEBD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14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,</w:t>
            </w: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8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 xml:space="preserve"> %</w:t>
            </w:r>
          </w:p>
        </w:tc>
      </w:tr>
      <w:tr w:rsidR="00C97830" w:rsidRPr="00B96B4F" w14:paraId="62524B83" w14:textId="77777777" w:rsidTr="009211F4">
        <w:tc>
          <w:tcPr>
            <w:tcW w:w="4473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F8E5B5" w14:textId="77777777" w:rsidR="00C97830" w:rsidRPr="00B96B4F" w:rsidRDefault="00140B74" w:rsidP="00C97830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organický rast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4910D4B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-9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,</w:t>
            </w: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4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 xml:space="preserve"> %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BB7ED75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-5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,</w:t>
            </w: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2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 xml:space="preserve"> %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A1D7AF8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-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8035149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-</w:t>
            </w:r>
          </w:p>
        </w:tc>
      </w:tr>
      <w:tr w:rsidR="00C97830" w:rsidRPr="00B96B4F" w14:paraId="7A6F19C7" w14:textId="77777777" w:rsidTr="009211F4">
        <w:tc>
          <w:tcPr>
            <w:tcW w:w="4473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27D34F" w14:textId="77777777" w:rsidR="00C97830" w:rsidRPr="00B96B4F" w:rsidRDefault="00D76C73" w:rsidP="00C97830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2020 upravený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4E234B3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-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50C76F0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-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A3BD312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1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 xml:space="preserve"> </w:t>
            </w: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191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41D1302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12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,</w:t>
            </w: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6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 xml:space="preserve"> %</w:t>
            </w:r>
          </w:p>
        </w:tc>
      </w:tr>
      <w:tr w:rsidR="00C97830" w:rsidRPr="00B96B4F" w14:paraId="58DD5C1A" w14:textId="77777777" w:rsidTr="009211F4">
        <w:tc>
          <w:tcPr>
            <w:tcW w:w="4473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3CD045" w14:textId="77777777" w:rsidR="00C97830" w:rsidRPr="00B96B4F" w:rsidRDefault="00140B74" w:rsidP="00C97830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2019 upravený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F0EACFA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-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10EB85B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-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CC3441C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1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 xml:space="preserve"> </w:t>
            </w: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641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A18EA31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16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,</w:t>
            </w: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3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 xml:space="preserve"> %</w:t>
            </w:r>
          </w:p>
        </w:tc>
      </w:tr>
      <w:tr w:rsidR="00C97830" w:rsidRPr="00B96B4F" w14:paraId="42858999" w14:textId="77777777" w:rsidTr="00140B74">
        <w:tc>
          <w:tcPr>
            <w:tcW w:w="9638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23266A" w14:textId="77777777" w:rsidR="00C97830" w:rsidRPr="00B96B4F" w:rsidRDefault="00C97830" w:rsidP="00C97830">
            <w:pPr>
              <w:pStyle w:val="Obsahtabuk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97830" w:rsidRPr="00B96B4F" w14:paraId="5D11E46B" w14:textId="77777777" w:rsidTr="00140B74">
        <w:tc>
          <w:tcPr>
            <w:tcW w:w="4473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FC8B4D" w14:textId="77777777" w:rsidR="00C97830" w:rsidRPr="00B96B4F" w:rsidRDefault="00C97830" w:rsidP="00C97830">
            <w:pPr>
              <w:pStyle w:val="Obsahtabuky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96B4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Henkel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78BED8" w14:textId="77777777" w:rsidR="00C97830" w:rsidRPr="00B96B4F" w:rsidRDefault="00C97830" w:rsidP="00C97830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sk-SK"/>
              </w:rPr>
              <w:t xml:space="preserve">1-6 </w:t>
            </w:r>
          </w:p>
          <w:p w14:paraId="093E5550" w14:textId="77777777" w:rsidR="00C97830" w:rsidRPr="00B96B4F" w:rsidRDefault="00C97830" w:rsidP="00C97830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sk-SK"/>
              </w:rPr>
              <w:t>2019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5BA6AB" w14:textId="77777777" w:rsidR="00C97830" w:rsidRPr="00B96B4F" w:rsidRDefault="00C97830" w:rsidP="00C97830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sk-SK"/>
              </w:rPr>
              <w:t xml:space="preserve">1-6 </w:t>
            </w:r>
          </w:p>
          <w:p w14:paraId="5215C855" w14:textId="77777777" w:rsidR="00C97830" w:rsidRPr="00B96B4F" w:rsidRDefault="00C97830" w:rsidP="00C97830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sk-SK"/>
              </w:rPr>
              <w:t>2020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B35965" w14:textId="77777777" w:rsidR="00C97830" w:rsidRPr="00B96B4F" w:rsidRDefault="00140B74" w:rsidP="0095034D">
            <w:pPr>
              <w:pStyle w:val="Obsahtabuky"/>
              <w:jc w:val="center"/>
              <w:rPr>
                <w:rFonts w:asciiTheme="minorHAnsi" w:hAnsiTheme="minorHAnsi" w:cstheme="minorHAnsi"/>
              </w:rPr>
            </w:pPr>
            <w:r w:rsidRPr="00B96B4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Zmena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793C7B" w14:textId="77777777" w:rsidR="00C97830" w:rsidRPr="00B96B4F" w:rsidRDefault="00C97830" w:rsidP="00C97830">
            <w:pPr>
              <w:pStyle w:val="Obsahtabuky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97830" w:rsidRPr="00B96B4F" w14:paraId="3AD8062C" w14:textId="77777777" w:rsidTr="009211F4">
        <w:tc>
          <w:tcPr>
            <w:tcW w:w="4473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74BD62" w14:textId="77777777" w:rsidR="00C97830" w:rsidRPr="00B96B4F" w:rsidRDefault="00140B74" w:rsidP="0095034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Výnosy na prioritnú akciu v eurách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3920A48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2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,</w:t>
            </w: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51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4A1300B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1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,</w:t>
            </w: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79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6BCDF34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-28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,</w:t>
            </w: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7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 xml:space="preserve"> %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CB9320" w14:textId="77777777" w:rsidR="00C97830" w:rsidRPr="00B96B4F" w:rsidRDefault="00C97830" w:rsidP="00C97830">
            <w:pPr>
              <w:spacing w:line="240" w:lineRule="auto"/>
              <w:rPr>
                <w:rFonts w:asciiTheme="minorHAnsi" w:hAnsiTheme="minorHAnsi" w:cstheme="minorHAnsi"/>
                <w:color w:val="000000"/>
                <w:lang w:val="sk-SK"/>
              </w:rPr>
            </w:pPr>
          </w:p>
        </w:tc>
      </w:tr>
      <w:tr w:rsidR="00C97830" w:rsidRPr="00B96B4F" w14:paraId="6010E2E4" w14:textId="77777777" w:rsidTr="009211F4">
        <w:tc>
          <w:tcPr>
            <w:tcW w:w="4473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718DC5" w14:textId="77777777" w:rsidR="00C97830" w:rsidRPr="00B96B4F" w:rsidRDefault="00140B74" w:rsidP="0095034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Upravené výnosy na prioritnú akciu v eurách</w:t>
            </w:r>
            <w:r w:rsidR="00C97830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 xml:space="preserve"> </w:t>
            </w:r>
            <w:r w:rsidR="00C97830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vertAlign w:val="superscript"/>
                <w:lang w:val="sk-SK"/>
              </w:rPr>
              <w:t>1)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B58727D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2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,</w:t>
            </w: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77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B2D20E5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1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,</w:t>
            </w: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96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D53B1DA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-29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,</w:t>
            </w: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2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 xml:space="preserve"> %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DAEF07" w14:textId="77777777" w:rsidR="00C97830" w:rsidRPr="00B96B4F" w:rsidRDefault="00C97830" w:rsidP="00C97830">
            <w:pPr>
              <w:spacing w:line="240" w:lineRule="auto"/>
              <w:rPr>
                <w:rFonts w:asciiTheme="minorHAnsi" w:hAnsiTheme="minorHAnsi" w:cstheme="minorHAnsi"/>
                <w:color w:val="000000"/>
                <w:lang w:val="sk-SK"/>
              </w:rPr>
            </w:pPr>
          </w:p>
        </w:tc>
      </w:tr>
      <w:tr w:rsidR="00C97830" w:rsidRPr="00B96B4F" w14:paraId="6DBDD7B9" w14:textId="77777777" w:rsidTr="009211F4">
        <w:tc>
          <w:tcPr>
            <w:tcW w:w="4473" w:type="dxa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DD2EB5" w14:textId="77777777" w:rsidR="00C97830" w:rsidRPr="00B96B4F" w:rsidRDefault="004C42F7" w:rsidP="0095034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 xml:space="preserve">         p</w:t>
            </w:r>
            <w:r w:rsidR="00140B7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ri konštantných kurzových sadzbách</w:t>
            </w:r>
          </w:p>
        </w:tc>
        <w:tc>
          <w:tcPr>
            <w:tcW w:w="1254" w:type="dxa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A557C1D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lang w:val="sk-SK"/>
              </w:rPr>
            </w:pPr>
          </w:p>
        </w:tc>
        <w:tc>
          <w:tcPr>
            <w:tcW w:w="1309" w:type="dxa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C8764BE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lang w:val="sk-SK"/>
              </w:rPr>
            </w:pPr>
          </w:p>
        </w:tc>
        <w:tc>
          <w:tcPr>
            <w:tcW w:w="1241" w:type="dxa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1308F56" w14:textId="77777777" w:rsidR="00C97830" w:rsidRPr="00B96B4F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-28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,</w:t>
            </w:r>
            <w:r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2</w:t>
            </w:r>
            <w:r w:rsidR="009211F4" w:rsidRPr="00B96B4F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 xml:space="preserve"> %</w:t>
            </w:r>
          </w:p>
        </w:tc>
        <w:tc>
          <w:tcPr>
            <w:tcW w:w="1361" w:type="dxa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F7A691" w14:textId="77777777" w:rsidR="00C97830" w:rsidRPr="00B96B4F" w:rsidRDefault="00C97830" w:rsidP="00C97830">
            <w:pPr>
              <w:spacing w:line="240" w:lineRule="auto"/>
              <w:rPr>
                <w:rFonts w:asciiTheme="minorHAnsi" w:hAnsiTheme="minorHAnsi" w:cstheme="minorHAnsi"/>
                <w:color w:val="000000"/>
                <w:lang w:val="sk-SK"/>
              </w:rPr>
            </w:pPr>
          </w:p>
        </w:tc>
      </w:tr>
    </w:tbl>
    <w:p w14:paraId="2709C640" w14:textId="77777777" w:rsidR="00C97830" w:rsidRPr="00B96B4F" w:rsidRDefault="00C97830" w:rsidP="00C97830">
      <w:pPr>
        <w:rPr>
          <w:rFonts w:asciiTheme="minorHAnsi" w:hAnsiTheme="minorHAnsi" w:cstheme="minorHAnsi"/>
          <w:b/>
          <w:color w:val="000000"/>
          <w:sz w:val="19"/>
          <w:lang w:val="sk-SK"/>
        </w:rPr>
      </w:pPr>
    </w:p>
    <w:p w14:paraId="3D074A69" w14:textId="77777777" w:rsidR="00C97830" w:rsidRPr="00B96B4F" w:rsidRDefault="00C97830" w:rsidP="00C97830">
      <w:pPr>
        <w:rPr>
          <w:rFonts w:asciiTheme="minorHAnsi" w:hAnsiTheme="minorHAnsi" w:cstheme="minorHAnsi"/>
          <w:b/>
          <w:color w:val="000000"/>
          <w:sz w:val="19"/>
          <w:lang w:val="sk-SK"/>
        </w:rPr>
      </w:pPr>
    </w:p>
    <w:p w14:paraId="5BBE6AB8" w14:textId="77777777" w:rsidR="00C97830" w:rsidRPr="00B96B4F" w:rsidRDefault="00C97830" w:rsidP="00140B74">
      <w:pPr>
        <w:spacing w:line="280" w:lineRule="auto"/>
        <w:rPr>
          <w:rFonts w:asciiTheme="minorHAnsi" w:hAnsiTheme="minorHAnsi" w:cstheme="minorHAnsi"/>
          <w:lang w:val="sk-SK"/>
        </w:rPr>
      </w:pPr>
      <w:r w:rsidRPr="00B96B4F">
        <w:rPr>
          <w:rFonts w:asciiTheme="minorHAnsi" w:hAnsiTheme="minorHAnsi" w:cstheme="minorHAnsi"/>
          <w:color w:val="000000"/>
          <w:sz w:val="14"/>
          <w:szCs w:val="14"/>
          <w:vertAlign w:val="superscript"/>
          <w:lang w:val="sk-SK"/>
        </w:rPr>
        <w:t>1)</w:t>
      </w:r>
      <w:r w:rsidRPr="00B96B4F">
        <w:rPr>
          <w:rFonts w:asciiTheme="minorHAnsi" w:hAnsiTheme="minorHAnsi" w:cstheme="minorHAnsi"/>
          <w:color w:val="000000"/>
          <w:sz w:val="8"/>
          <w:lang w:val="sk-SK"/>
        </w:rPr>
        <w:t xml:space="preserve"> </w:t>
      </w:r>
      <w:r w:rsidR="00140B74" w:rsidRPr="00B96B4F">
        <w:rPr>
          <w:rFonts w:asciiTheme="minorHAnsi" w:hAnsiTheme="minorHAnsi" w:cstheme="minorHAnsi"/>
          <w:color w:val="000000"/>
          <w:sz w:val="12"/>
          <w:lang w:val="sk-SK"/>
        </w:rPr>
        <w:t>Upravené o jednorazové výdavky/príjmy a náklady na reštrukturalizáciu.</w:t>
      </w:r>
    </w:p>
    <w:p w14:paraId="3311071C" w14:textId="77777777" w:rsidR="00C97830" w:rsidRPr="00B96B4F" w:rsidRDefault="00C97830" w:rsidP="00140B74">
      <w:pPr>
        <w:spacing w:line="280" w:lineRule="auto"/>
        <w:rPr>
          <w:rFonts w:asciiTheme="minorHAnsi" w:hAnsiTheme="minorHAnsi" w:cstheme="minorHAnsi"/>
          <w:lang w:val="sk-SK"/>
        </w:rPr>
      </w:pPr>
      <w:r w:rsidRPr="00B96B4F">
        <w:rPr>
          <w:rFonts w:asciiTheme="minorHAnsi" w:hAnsiTheme="minorHAnsi" w:cstheme="minorHAnsi"/>
          <w:b/>
          <w:color w:val="000000"/>
          <w:sz w:val="12"/>
          <w:lang w:val="sk-SK"/>
        </w:rPr>
        <w:t xml:space="preserve">Henkel AG &amp; Co. </w:t>
      </w:r>
      <w:proofErr w:type="spellStart"/>
      <w:r w:rsidRPr="00B96B4F">
        <w:rPr>
          <w:rFonts w:asciiTheme="minorHAnsi" w:hAnsiTheme="minorHAnsi" w:cstheme="minorHAnsi"/>
          <w:b/>
          <w:color w:val="000000"/>
          <w:sz w:val="12"/>
          <w:lang w:val="sk-SK"/>
        </w:rPr>
        <w:t>KGaA</w:t>
      </w:r>
      <w:proofErr w:type="spellEnd"/>
      <w:r w:rsidRPr="00B96B4F">
        <w:rPr>
          <w:rFonts w:asciiTheme="minorHAnsi" w:hAnsiTheme="minorHAnsi" w:cstheme="minorHAnsi"/>
          <w:b/>
          <w:color w:val="000000"/>
          <w:sz w:val="12"/>
          <w:lang w:val="sk-SK"/>
        </w:rPr>
        <w:t xml:space="preserve">, Investor </w:t>
      </w:r>
      <w:proofErr w:type="spellStart"/>
      <w:r w:rsidRPr="00B96B4F">
        <w:rPr>
          <w:rFonts w:asciiTheme="minorHAnsi" w:hAnsiTheme="minorHAnsi" w:cstheme="minorHAnsi"/>
          <w:b/>
          <w:color w:val="000000"/>
          <w:sz w:val="12"/>
          <w:lang w:val="sk-SK"/>
        </w:rPr>
        <w:t>Relations</w:t>
      </w:r>
      <w:proofErr w:type="spellEnd"/>
      <w:r w:rsidR="00140B74" w:rsidRPr="00B96B4F">
        <w:rPr>
          <w:rFonts w:asciiTheme="minorHAnsi" w:hAnsiTheme="minorHAnsi" w:cstheme="minorHAnsi"/>
          <w:b/>
          <w:color w:val="000000"/>
          <w:sz w:val="12"/>
          <w:lang w:val="sk-SK"/>
        </w:rPr>
        <w:t xml:space="preserve"> (vzťahy s investormi)</w:t>
      </w:r>
    </w:p>
    <w:p w14:paraId="2F4A9716" w14:textId="5038FE41" w:rsidR="00DB59E8" w:rsidRDefault="00DB59E8">
      <w:pPr>
        <w:spacing w:line="240" w:lineRule="auto"/>
        <w:jc w:val="left"/>
        <w:rPr>
          <w:rStyle w:val="AboutandContactHeadline"/>
          <w:rFonts w:asciiTheme="minorHAnsi" w:hAnsiTheme="minorHAnsi" w:cstheme="minorHAnsi"/>
          <w:lang w:val="sk-SK"/>
        </w:rPr>
      </w:pPr>
    </w:p>
    <w:p w14:paraId="357EEA6A" w14:textId="77777777" w:rsidR="002A2C17" w:rsidRDefault="002A2C17">
      <w:pPr>
        <w:spacing w:line="240" w:lineRule="auto"/>
        <w:jc w:val="left"/>
        <w:rPr>
          <w:rStyle w:val="AboutandContactHeadline"/>
          <w:rFonts w:asciiTheme="minorHAnsi" w:hAnsiTheme="minorHAnsi" w:cstheme="minorHAnsi"/>
          <w:lang w:val="sk-SK"/>
        </w:rPr>
      </w:pPr>
    </w:p>
    <w:p w14:paraId="59F8AD21" w14:textId="3416C08D" w:rsidR="006C2F97" w:rsidRDefault="006C2F97">
      <w:pPr>
        <w:spacing w:line="240" w:lineRule="auto"/>
        <w:jc w:val="left"/>
        <w:rPr>
          <w:rStyle w:val="AboutandContactHeadline"/>
          <w:rFonts w:asciiTheme="minorHAnsi" w:hAnsiTheme="minorHAnsi" w:cstheme="minorHAnsi"/>
          <w:lang w:val="sk-SK"/>
        </w:rPr>
      </w:pPr>
    </w:p>
    <w:p w14:paraId="4E4B073C" w14:textId="77777777" w:rsidR="00762C3A" w:rsidRDefault="00762C3A" w:rsidP="00762C3A">
      <w:pPr>
        <w:spacing w:line="280" w:lineRule="auto"/>
        <w:rPr>
          <w:b/>
          <w:bCs/>
          <w:szCs w:val="20"/>
          <w:lang w:val="sk-SK"/>
        </w:rPr>
      </w:pPr>
    </w:p>
    <w:p w14:paraId="2D5FB3D6" w14:textId="367F5775" w:rsidR="00762C3A" w:rsidRPr="002A2C17" w:rsidRDefault="00762C3A" w:rsidP="00762C3A">
      <w:pPr>
        <w:spacing w:line="280" w:lineRule="auto"/>
        <w:rPr>
          <w:rFonts w:ascii="Arial" w:hAnsi="Arial" w:cs="Arial"/>
          <w:sz w:val="20"/>
          <w:szCs w:val="20"/>
          <w:lang w:val="sk-SK" w:eastAsia="zh-CN"/>
        </w:rPr>
      </w:pPr>
      <w:r w:rsidRPr="002A2C17">
        <w:rPr>
          <w:rFonts w:ascii="Arial" w:hAnsi="Arial" w:cs="Arial"/>
          <w:b/>
          <w:bCs/>
          <w:sz w:val="20"/>
          <w:szCs w:val="20"/>
          <w:lang w:val="sk-SK"/>
        </w:rPr>
        <w:lastRenderedPageBreak/>
        <w:t>O spoločnosti Henkel</w:t>
      </w:r>
    </w:p>
    <w:p w14:paraId="4B82F487" w14:textId="77777777" w:rsidR="00762C3A" w:rsidRPr="002A2C17" w:rsidRDefault="00762C3A" w:rsidP="00762C3A">
      <w:pPr>
        <w:spacing w:line="280" w:lineRule="auto"/>
        <w:rPr>
          <w:rFonts w:ascii="Arial" w:hAnsi="Arial" w:cs="Arial"/>
          <w:sz w:val="20"/>
          <w:szCs w:val="20"/>
          <w:lang w:val="sk-SK"/>
        </w:rPr>
      </w:pPr>
      <w:r w:rsidRPr="002A2C17">
        <w:rPr>
          <w:rFonts w:ascii="Arial" w:hAnsi="Arial" w:cs="Arial"/>
          <w:sz w:val="20"/>
          <w:szCs w:val="20"/>
          <w:lang w:val="sk-SK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Adhesive Technologies celosvetovým lídrom na trhu v rámci všetkých priemyselných segmentov. V oblastiach Laundry &amp; Home </w:t>
      </w:r>
      <w:proofErr w:type="spellStart"/>
      <w:r w:rsidRPr="002A2C17">
        <w:rPr>
          <w:rFonts w:ascii="Arial" w:hAnsi="Arial" w:cs="Arial"/>
          <w:sz w:val="20"/>
          <w:szCs w:val="20"/>
          <w:lang w:val="sk-SK"/>
        </w:rPr>
        <w:t>Care</w:t>
      </w:r>
      <w:proofErr w:type="spellEnd"/>
      <w:r w:rsidRPr="002A2C17">
        <w:rPr>
          <w:rFonts w:ascii="Arial" w:hAnsi="Arial" w:cs="Arial"/>
          <w:sz w:val="20"/>
          <w:szCs w:val="20"/>
          <w:lang w:val="sk-SK"/>
        </w:rPr>
        <w:t xml:space="preserve"> a </w:t>
      </w:r>
      <w:proofErr w:type="spellStart"/>
      <w:r w:rsidRPr="002A2C17">
        <w:rPr>
          <w:rFonts w:ascii="Arial" w:hAnsi="Arial" w:cs="Arial"/>
          <w:sz w:val="20"/>
          <w:szCs w:val="20"/>
          <w:lang w:val="sk-SK"/>
        </w:rPr>
        <w:t>Beauty</w:t>
      </w:r>
      <w:proofErr w:type="spellEnd"/>
      <w:r w:rsidRPr="002A2C17">
        <w:rPr>
          <w:rFonts w:ascii="Arial" w:hAnsi="Arial" w:cs="Arial"/>
          <w:sz w:val="20"/>
          <w:szCs w:val="20"/>
          <w:lang w:val="sk-SK"/>
        </w:rPr>
        <w:t xml:space="preserve"> </w:t>
      </w:r>
      <w:proofErr w:type="spellStart"/>
      <w:r w:rsidRPr="002A2C17">
        <w:rPr>
          <w:rFonts w:ascii="Arial" w:hAnsi="Arial" w:cs="Arial"/>
          <w:sz w:val="20"/>
          <w:szCs w:val="20"/>
          <w:lang w:val="sk-SK"/>
        </w:rPr>
        <w:t>Care</w:t>
      </w:r>
      <w:proofErr w:type="spellEnd"/>
      <w:r w:rsidRPr="002A2C17">
        <w:rPr>
          <w:rFonts w:ascii="Arial" w:hAnsi="Arial" w:cs="Arial"/>
          <w:sz w:val="20"/>
          <w:szCs w:val="20"/>
          <w:lang w:val="sk-SK"/>
        </w:rPr>
        <w:t xml:space="preserve"> je Henkel na vedúcich pozíciách na viacerých trhoch a v kategóriách vo svete. Spoločnosť bola založená v roku 1876 a má za sebou viac než 140 úspešných rokov. V roku 2019 dosiahla obrat vo výške 20 mld. eur a upravený prevádzkový zisk približne vo výške 3,2 mld. eur. Henkel zamestnáva viac než 52 000 ľudí po celom svete, ktorí spolu tvoria zanietený a veľmi rôznorodý tím, ktorý spája silná firemná kultúra a spoločný záujem vytvárať trvalo udržateľné hodnoty a ktorý zdieľa spoločné hodnoty. Ako uznávaný líder v oblasti udržateľnosti je Henkel na popredných priečkach v mnohých medzinárodných indexoch a hodnoteniach. Prioritné akcie spoločnosti Henkel sú kótované na nemeckom akciovom indexe DAX. Viac informácií nájdete na stránke </w:t>
      </w:r>
      <w:hyperlink r:id="rId12" w:history="1">
        <w:r w:rsidRPr="002A2C17">
          <w:rPr>
            <w:rStyle w:val="Hyperlink"/>
            <w:rFonts w:ascii="Arial" w:hAnsi="Arial" w:cs="Arial"/>
            <w:sz w:val="20"/>
            <w:szCs w:val="20"/>
            <w:lang w:val="sk-SK"/>
          </w:rPr>
          <w:t>www.henkel.com</w:t>
        </w:r>
      </w:hyperlink>
      <w:r w:rsidRPr="002A2C17">
        <w:rPr>
          <w:rFonts w:ascii="Arial" w:hAnsi="Arial" w:cs="Arial"/>
          <w:color w:val="000000"/>
          <w:sz w:val="20"/>
          <w:szCs w:val="20"/>
          <w:lang w:val="sk-SK"/>
        </w:rPr>
        <w:t>.</w:t>
      </w:r>
    </w:p>
    <w:p w14:paraId="79EBCC6F" w14:textId="77777777" w:rsidR="00762C3A" w:rsidRPr="002A2C17" w:rsidRDefault="00762C3A" w:rsidP="00762C3A">
      <w:pPr>
        <w:spacing w:line="280" w:lineRule="auto"/>
        <w:rPr>
          <w:rFonts w:ascii="Arial" w:hAnsi="Arial" w:cs="Arial"/>
          <w:color w:val="000000"/>
          <w:sz w:val="20"/>
          <w:szCs w:val="20"/>
          <w:lang w:val="sk-SK"/>
        </w:rPr>
      </w:pPr>
    </w:p>
    <w:p w14:paraId="660EC604" w14:textId="77777777" w:rsidR="00762C3A" w:rsidRPr="002A2C17" w:rsidRDefault="00762C3A" w:rsidP="00762C3A">
      <w:pPr>
        <w:spacing w:line="240" w:lineRule="auto"/>
        <w:rPr>
          <w:rFonts w:ascii="Arial" w:hAnsi="Arial" w:cs="Arial"/>
          <w:sz w:val="20"/>
          <w:szCs w:val="20"/>
          <w:lang w:val="sk-SK"/>
        </w:rPr>
      </w:pPr>
      <w:r w:rsidRPr="002A2C17">
        <w:rPr>
          <w:rFonts w:ascii="Arial" w:hAnsi="Arial" w:cs="Arial"/>
          <w:sz w:val="20"/>
          <w:szCs w:val="20"/>
          <w:lang w:val="sk-SK" w:bidi="sk-SK"/>
        </w:rPr>
        <w:t>Na Slovensku pôsobí Henkel vo všetkých troch strategických oblastiach už od roku 1991. Henkel Slovensko predáva viac ako 50 značiek a dnes zamestnáva viac ako 1 900 pracovníkov.</w:t>
      </w:r>
    </w:p>
    <w:p w14:paraId="5FCF85DB" w14:textId="77777777" w:rsidR="00762C3A" w:rsidRPr="002A2C17" w:rsidRDefault="00762C3A" w:rsidP="00762C3A">
      <w:pPr>
        <w:rPr>
          <w:rFonts w:ascii="Arial" w:hAnsi="Arial" w:cs="Arial"/>
          <w:bCs/>
          <w:sz w:val="20"/>
          <w:szCs w:val="20"/>
        </w:rPr>
      </w:pPr>
    </w:p>
    <w:p w14:paraId="374F0CCF" w14:textId="77777777" w:rsidR="00762C3A" w:rsidRDefault="00762C3A" w:rsidP="00762C3A">
      <w:pPr>
        <w:rPr>
          <w:bCs/>
          <w:sz w:val="14"/>
          <w:szCs w:val="14"/>
        </w:rPr>
      </w:pPr>
    </w:p>
    <w:p w14:paraId="6EAB2A67" w14:textId="77777777" w:rsidR="00762C3A" w:rsidRPr="00EA061F" w:rsidRDefault="00762C3A" w:rsidP="00762C3A">
      <w:pPr>
        <w:spacing w:line="280" w:lineRule="auto"/>
        <w:rPr>
          <w:bCs/>
          <w:sz w:val="14"/>
          <w:szCs w:val="14"/>
        </w:rPr>
      </w:pPr>
      <w:r w:rsidRPr="002029DC">
        <w:rPr>
          <w:bCs/>
          <w:sz w:val="14"/>
          <w:szCs w:val="14"/>
          <w:lang w:val="sk-SK"/>
        </w:rPr>
        <w:t xml:space="preserve">Tento dokument obsahuje výhľadové stanoviská opierajúce sa o aktuálne odhady a predpoklady vypracované manažmentom spoločnosti Henkel AG &amp; Co. </w:t>
      </w:r>
      <w:proofErr w:type="spellStart"/>
      <w:r w:rsidRPr="002029DC">
        <w:rPr>
          <w:bCs/>
          <w:sz w:val="14"/>
          <w:szCs w:val="14"/>
          <w:lang w:val="sk-SK"/>
        </w:rPr>
        <w:t>KGaA</w:t>
      </w:r>
      <w:proofErr w:type="spellEnd"/>
      <w:r w:rsidRPr="002029DC">
        <w:rPr>
          <w:bCs/>
          <w:sz w:val="14"/>
          <w:szCs w:val="14"/>
          <w:lang w:val="sk-SK"/>
        </w:rPr>
        <w:t>.</w:t>
      </w:r>
      <w:r w:rsidRPr="00EA061F">
        <w:rPr>
          <w:bCs/>
          <w:sz w:val="14"/>
          <w:szCs w:val="14"/>
        </w:rPr>
        <w:t xml:space="preserve"> </w:t>
      </w:r>
      <w:r w:rsidRPr="002029DC">
        <w:rPr>
          <w:bCs/>
          <w:sz w:val="14"/>
          <w:szCs w:val="14"/>
          <w:lang w:val="sk-SK"/>
        </w:rPr>
        <w:t>Stanoviská týkajúce sa budúceho vývoja charakterizuje použitie takých slovných zvratov ako „očakávať“, „zamýšľať“, „plánovať“, „predpokladať“, „domnievať sa“, „odhadovať“ a podobných výrazov.</w:t>
      </w:r>
      <w:r w:rsidRPr="00EA061F">
        <w:rPr>
          <w:bCs/>
          <w:sz w:val="14"/>
          <w:szCs w:val="14"/>
        </w:rPr>
        <w:t xml:space="preserve"> </w:t>
      </w:r>
      <w:r w:rsidRPr="002029DC">
        <w:rPr>
          <w:bCs/>
          <w:sz w:val="14"/>
          <w:szCs w:val="14"/>
          <w:lang w:val="sk-SK"/>
        </w:rPr>
        <w:t>Takéto stanoviská nie je možné chápať ako zaručujúce akýmkoľvek spôsobom, že dané predikcie sú presné.</w:t>
      </w:r>
      <w:r w:rsidRPr="00EA061F">
        <w:rPr>
          <w:bCs/>
          <w:sz w:val="14"/>
          <w:szCs w:val="14"/>
        </w:rPr>
        <w:t xml:space="preserve"> </w:t>
      </w:r>
      <w:r w:rsidRPr="002029DC">
        <w:rPr>
          <w:bCs/>
          <w:sz w:val="14"/>
          <w:szCs w:val="14"/>
          <w:lang w:val="sk-SK"/>
        </w:rPr>
        <w:t xml:space="preserve">Budúca výkonnosť ako aj reálne dosiahnuté výsledky spoločnosti Henkel AG &amp; Co. </w:t>
      </w:r>
      <w:proofErr w:type="spellStart"/>
      <w:r w:rsidRPr="002029DC">
        <w:rPr>
          <w:bCs/>
          <w:sz w:val="14"/>
          <w:szCs w:val="14"/>
          <w:lang w:val="sk-SK"/>
        </w:rPr>
        <w:t>KGaA</w:t>
      </w:r>
      <w:proofErr w:type="spellEnd"/>
      <w:r w:rsidRPr="002029DC">
        <w:rPr>
          <w:bCs/>
          <w:sz w:val="14"/>
          <w:szCs w:val="14"/>
          <w:lang w:val="sk-SK"/>
        </w:rPr>
        <w:t xml:space="preserve"> a jej sesterských spoločností závisia od celého radu rizikových faktorov a neistôt, a preto sa môžu podstatne odkláňať od výhľadových stanovísk.</w:t>
      </w:r>
      <w:r w:rsidRPr="00EA061F">
        <w:rPr>
          <w:bCs/>
          <w:sz w:val="14"/>
          <w:szCs w:val="14"/>
        </w:rPr>
        <w:t xml:space="preserve"> </w:t>
      </w:r>
      <w:r w:rsidRPr="002029DC">
        <w:rPr>
          <w:bCs/>
          <w:sz w:val="14"/>
          <w:szCs w:val="14"/>
          <w:lang w:val="sk-SK"/>
        </w:rPr>
        <w:t>Na mnohé z nich spoločnosť Henkel nemá priamy dosah a vopred ich nie je možné presne odhadnúť, ako napríklad, aké bude ekonomické prostredie v budúcnosti a aké budú kroky konkurentov a iných subjektov pôsobiacich na trhu.</w:t>
      </w:r>
      <w:r w:rsidRPr="00EA061F">
        <w:rPr>
          <w:bCs/>
          <w:sz w:val="14"/>
          <w:szCs w:val="14"/>
        </w:rPr>
        <w:t xml:space="preserve"> </w:t>
      </w:r>
      <w:r w:rsidRPr="002029DC">
        <w:rPr>
          <w:bCs/>
          <w:sz w:val="14"/>
          <w:szCs w:val="14"/>
          <w:lang w:val="sk-SK"/>
        </w:rPr>
        <w:t>Spoločnosť Henkel nemá v úmysle a ani neprijme kroky na účely aktualizácie týchto stanovísk.</w:t>
      </w:r>
      <w:r w:rsidRPr="00EA061F">
        <w:rPr>
          <w:bCs/>
          <w:sz w:val="14"/>
          <w:szCs w:val="14"/>
        </w:rPr>
        <w:t xml:space="preserve"> </w:t>
      </w:r>
    </w:p>
    <w:p w14:paraId="37869D04" w14:textId="77777777" w:rsidR="00762C3A" w:rsidRPr="00EA061F" w:rsidRDefault="00762C3A" w:rsidP="00762C3A">
      <w:pPr>
        <w:rPr>
          <w:bCs/>
          <w:sz w:val="14"/>
          <w:szCs w:val="14"/>
        </w:rPr>
      </w:pPr>
    </w:p>
    <w:p w14:paraId="42427600" w14:textId="77777777" w:rsidR="00762C3A" w:rsidRPr="00EA061F" w:rsidRDefault="00762C3A" w:rsidP="00762C3A">
      <w:pPr>
        <w:spacing w:line="280" w:lineRule="auto"/>
        <w:rPr>
          <w:bCs/>
          <w:sz w:val="14"/>
          <w:szCs w:val="14"/>
        </w:rPr>
      </w:pPr>
      <w:r w:rsidRPr="00EC4654">
        <w:rPr>
          <w:bCs/>
          <w:sz w:val="14"/>
          <w:szCs w:val="14"/>
          <w:lang w:val="sk-SK"/>
        </w:rPr>
        <w:t>Tento dokument obsahuje doplňujúce finančné ukazovatele, ktoré nie sú jednoznačne definované v platnom rámci finančného výkazníctva, ktoré predstavujú alebo môžu predstavovať alternatívne ukazovatele finančnej výkonnosti.</w:t>
      </w:r>
      <w:r>
        <w:rPr>
          <w:bCs/>
          <w:sz w:val="14"/>
          <w:szCs w:val="14"/>
          <w:lang w:val="sk-SK"/>
        </w:rPr>
        <w:t xml:space="preserve"> </w:t>
      </w:r>
      <w:r w:rsidRPr="00EC4654">
        <w:rPr>
          <w:bCs/>
          <w:sz w:val="14"/>
          <w:szCs w:val="14"/>
          <w:lang w:val="sk-SK"/>
        </w:rPr>
        <w:t>Tieto doplňujúce finančné ukazovatele by sa nemali vykladať osobitne alebo ako alternatívne ukazovatele k ukazovateľom čistých aktív a finančných pozícií spoločnosti Henkel alebo k výsledkom podnikania, ktoré sú v súlade s platným rámcom finančného výkazníctva prezentované v konsolidovanej účtovnej závierke spoločnosti.</w:t>
      </w:r>
      <w:r w:rsidRPr="00EA061F">
        <w:rPr>
          <w:bCs/>
          <w:sz w:val="14"/>
          <w:szCs w:val="14"/>
        </w:rPr>
        <w:t xml:space="preserve"> </w:t>
      </w:r>
      <w:r w:rsidRPr="00EC4654">
        <w:rPr>
          <w:bCs/>
          <w:sz w:val="14"/>
          <w:szCs w:val="14"/>
          <w:lang w:val="sk-SK"/>
        </w:rPr>
        <w:t>Iné spoločnosti, ktoré vykazujú alebo uvádzajú alternatívne ukazovatele výkonnosti s podobnými názvami, môžu počítať ich hodnoty odlišne.</w:t>
      </w:r>
    </w:p>
    <w:p w14:paraId="0AB5A5C9" w14:textId="77777777" w:rsidR="00762C3A" w:rsidRPr="00EA061F" w:rsidRDefault="00762C3A" w:rsidP="00762C3A">
      <w:pPr>
        <w:rPr>
          <w:bCs/>
          <w:sz w:val="14"/>
          <w:szCs w:val="14"/>
        </w:rPr>
      </w:pPr>
    </w:p>
    <w:p w14:paraId="75A5C3F1" w14:textId="77777777" w:rsidR="00762C3A" w:rsidRPr="00EA061F" w:rsidRDefault="00762C3A" w:rsidP="00762C3A">
      <w:pPr>
        <w:spacing w:line="280" w:lineRule="auto"/>
        <w:rPr>
          <w:bCs/>
          <w:sz w:val="14"/>
          <w:szCs w:val="14"/>
        </w:rPr>
      </w:pPr>
      <w:r w:rsidRPr="00AC7C94">
        <w:rPr>
          <w:bCs/>
          <w:sz w:val="14"/>
          <w:szCs w:val="14"/>
          <w:lang w:val="sk-SK"/>
        </w:rPr>
        <w:t xml:space="preserve">Tento dokument slúži výlučne na informačné účely a nepredstavuje investičnú radu ani ponuku na predaj alebo kúpu akýchkoľvek cenných papierov. </w:t>
      </w:r>
    </w:p>
    <w:p w14:paraId="735AF008" w14:textId="77777777" w:rsidR="00762C3A" w:rsidRDefault="00762C3A" w:rsidP="00762C3A">
      <w:pPr>
        <w:spacing w:line="240" w:lineRule="auto"/>
        <w:rPr>
          <w:bCs/>
          <w:sz w:val="16"/>
          <w:lang w:eastAsia="de-DE"/>
        </w:rPr>
      </w:pPr>
    </w:p>
    <w:p w14:paraId="02B749F0" w14:textId="77777777" w:rsidR="00762C3A" w:rsidRPr="00862621" w:rsidRDefault="00762C3A" w:rsidP="00762C3A">
      <w:pPr>
        <w:spacing w:line="240" w:lineRule="auto"/>
        <w:rPr>
          <w:rFonts w:cs="Arial"/>
          <w:b/>
          <w:szCs w:val="20"/>
          <w:lang w:val="sk-SK" w:eastAsia="de-DE"/>
        </w:rPr>
      </w:pPr>
    </w:p>
    <w:p w14:paraId="4C9C265F" w14:textId="77777777" w:rsidR="00762C3A" w:rsidRPr="0045611C" w:rsidRDefault="00762C3A" w:rsidP="00762C3A">
      <w:pPr>
        <w:spacing w:line="240" w:lineRule="auto"/>
        <w:rPr>
          <w:rFonts w:cs="Arial"/>
          <w:b/>
          <w:sz w:val="24"/>
          <w:lang w:val="sk-SK" w:eastAsia="de-DE"/>
        </w:rPr>
      </w:pPr>
    </w:p>
    <w:p w14:paraId="1D78EE79" w14:textId="0BE9839A" w:rsidR="00762C3A" w:rsidRPr="002A2C17" w:rsidRDefault="00762C3A" w:rsidP="00762C3A">
      <w:pPr>
        <w:spacing w:line="240" w:lineRule="auto"/>
        <w:rPr>
          <w:rFonts w:ascii="Arial" w:hAnsi="Arial" w:cs="Arial"/>
          <w:b/>
          <w:sz w:val="20"/>
          <w:szCs w:val="20"/>
          <w:lang w:val="sk-SK" w:eastAsia="de-DE"/>
        </w:rPr>
      </w:pPr>
      <w:r w:rsidRPr="002A2C17">
        <w:rPr>
          <w:rFonts w:ascii="Arial" w:hAnsi="Arial" w:cs="Arial"/>
          <w:b/>
          <w:sz w:val="20"/>
          <w:szCs w:val="20"/>
          <w:lang w:val="sk-SK" w:eastAsia="de-DE"/>
        </w:rPr>
        <w:t xml:space="preserve">Kontakt      </w:t>
      </w:r>
      <w:r w:rsidRPr="002A2C17">
        <w:rPr>
          <w:rFonts w:ascii="Arial" w:hAnsi="Arial" w:cs="Arial"/>
          <w:sz w:val="20"/>
          <w:szCs w:val="20"/>
          <w:lang w:val="sk-SK"/>
        </w:rPr>
        <w:t>Zuzana Kaňuchová</w:t>
      </w:r>
      <w:r w:rsidRPr="002A2C17">
        <w:rPr>
          <w:rFonts w:ascii="Arial" w:hAnsi="Arial" w:cs="Arial"/>
          <w:sz w:val="20"/>
          <w:szCs w:val="20"/>
          <w:lang w:val="sk-SK"/>
        </w:rPr>
        <w:tab/>
      </w:r>
      <w:r w:rsidRPr="002A2C17">
        <w:rPr>
          <w:rFonts w:ascii="Arial" w:hAnsi="Arial" w:cs="Arial"/>
          <w:sz w:val="20"/>
          <w:szCs w:val="20"/>
          <w:lang w:val="sk-SK"/>
        </w:rPr>
        <w:tab/>
      </w:r>
      <w:r w:rsidRPr="002A2C17">
        <w:rPr>
          <w:rFonts w:ascii="Arial" w:hAnsi="Arial" w:cs="Arial"/>
          <w:sz w:val="20"/>
          <w:szCs w:val="20"/>
          <w:lang w:val="sk-SK"/>
        </w:rPr>
        <w:tab/>
      </w:r>
      <w:r w:rsidRPr="002A2C17">
        <w:rPr>
          <w:rFonts w:ascii="Arial" w:hAnsi="Arial" w:cs="Arial"/>
          <w:sz w:val="20"/>
          <w:szCs w:val="20"/>
          <w:lang w:val="sk-SK"/>
        </w:rPr>
        <w:tab/>
      </w:r>
    </w:p>
    <w:p w14:paraId="436147E9" w14:textId="186A7115" w:rsidR="00762C3A" w:rsidRPr="002A2C17" w:rsidRDefault="00762C3A" w:rsidP="00762C3A">
      <w:pPr>
        <w:tabs>
          <w:tab w:val="left" w:pos="1080"/>
          <w:tab w:val="left" w:pos="4500"/>
        </w:tabs>
        <w:spacing w:line="240" w:lineRule="auto"/>
        <w:rPr>
          <w:rFonts w:ascii="Arial" w:hAnsi="Arial" w:cs="Arial"/>
          <w:sz w:val="20"/>
          <w:szCs w:val="20"/>
          <w:lang w:val="sk-SK"/>
        </w:rPr>
      </w:pPr>
      <w:r w:rsidRPr="002A2C17">
        <w:rPr>
          <w:rFonts w:ascii="Arial" w:hAnsi="Arial" w:cs="Arial"/>
          <w:sz w:val="20"/>
          <w:szCs w:val="20"/>
          <w:lang w:val="sk-SK"/>
        </w:rPr>
        <w:tab/>
        <w:t>Riaditeľka korporátnej komunikácie</w:t>
      </w:r>
      <w:r w:rsidRPr="002A2C17">
        <w:rPr>
          <w:rFonts w:ascii="Arial" w:hAnsi="Arial" w:cs="Arial"/>
          <w:sz w:val="20"/>
          <w:szCs w:val="20"/>
          <w:lang w:val="sk-SK"/>
        </w:rPr>
        <w:tab/>
      </w:r>
      <w:r w:rsidRPr="002A2C17">
        <w:rPr>
          <w:rFonts w:ascii="Arial" w:hAnsi="Arial" w:cs="Arial"/>
          <w:sz w:val="20"/>
          <w:szCs w:val="20"/>
          <w:lang w:val="sk-SK"/>
        </w:rPr>
        <w:tab/>
      </w:r>
    </w:p>
    <w:p w14:paraId="06109914" w14:textId="4680E6B4" w:rsidR="00762C3A" w:rsidRPr="002A2C17" w:rsidRDefault="00762C3A" w:rsidP="00762C3A">
      <w:pPr>
        <w:tabs>
          <w:tab w:val="left" w:pos="1080"/>
          <w:tab w:val="left" w:pos="4500"/>
        </w:tabs>
        <w:spacing w:line="240" w:lineRule="auto"/>
        <w:rPr>
          <w:rFonts w:ascii="Arial" w:hAnsi="Arial" w:cs="Arial"/>
          <w:sz w:val="20"/>
          <w:szCs w:val="20"/>
          <w:lang w:val="sk-SK"/>
        </w:rPr>
      </w:pPr>
      <w:r w:rsidRPr="002A2C17">
        <w:rPr>
          <w:rFonts w:ascii="Arial" w:hAnsi="Arial" w:cs="Arial"/>
          <w:sz w:val="20"/>
          <w:szCs w:val="20"/>
          <w:lang w:val="sk-SK"/>
        </w:rPr>
        <w:t>Telefón:</w:t>
      </w:r>
      <w:r w:rsidRPr="002A2C17">
        <w:rPr>
          <w:rFonts w:ascii="Arial" w:hAnsi="Arial" w:cs="Arial"/>
          <w:sz w:val="20"/>
          <w:szCs w:val="20"/>
          <w:lang w:val="sk-SK"/>
        </w:rPr>
        <w:tab/>
        <w:t>+421 917 160 597</w:t>
      </w:r>
      <w:r w:rsidRPr="002A2C17">
        <w:rPr>
          <w:rFonts w:ascii="Arial" w:hAnsi="Arial" w:cs="Arial"/>
          <w:sz w:val="20"/>
          <w:szCs w:val="20"/>
          <w:lang w:val="sk-SK"/>
        </w:rPr>
        <w:tab/>
      </w:r>
      <w:r w:rsidRPr="002A2C17">
        <w:rPr>
          <w:rFonts w:ascii="Arial" w:hAnsi="Arial" w:cs="Arial"/>
          <w:sz w:val="20"/>
          <w:szCs w:val="20"/>
          <w:lang w:val="sk-SK"/>
        </w:rPr>
        <w:tab/>
      </w:r>
    </w:p>
    <w:p w14:paraId="45CD492A" w14:textId="1A0BC2B3" w:rsidR="00762C3A" w:rsidRPr="002A2C17" w:rsidRDefault="00762C3A" w:rsidP="00762C3A">
      <w:pPr>
        <w:tabs>
          <w:tab w:val="left" w:pos="1134"/>
        </w:tabs>
        <w:spacing w:line="240" w:lineRule="auto"/>
        <w:rPr>
          <w:rStyle w:val="Hyperlink"/>
          <w:rFonts w:ascii="Arial" w:hAnsi="Arial" w:cs="Arial"/>
          <w:sz w:val="20"/>
          <w:szCs w:val="20"/>
          <w:lang w:val="sk-SK"/>
        </w:rPr>
      </w:pPr>
      <w:r w:rsidRPr="002A2C17">
        <w:rPr>
          <w:rFonts w:ascii="Arial" w:hAnsi="Arial" w:cs="Arial"/>
          <w:sz w:val="20"/>
          <w:szCs w:val="20"/>
          <w:lang w:val="sk-SK"/>
        </w:rPr>
        <w:t>E-mail:</w:t>
      </w:r>
      <w:r w:rsidRPr="002A2C17">
        <w:rPr>
          <w:rFonts w:ascii="Arial" w:hAnsi="Arial" w:cs="Arial"/>
          <w:sz w:val="20"/>
          <w:szCs w:val="20"/>
          <w:lang w:val="sk-SK"/>
        </w:rPr>
        <w:tab/>
      </w:r>
      <w:hyperlink r:id="rId13" w:history="1">
        <w:r w:rsidRPr="002A2C17">
          <w:rPr>
            <w:rStyle w:val="Hyperlink"/>
            <w:rFonts w:ascii="Arial" w:hAnsi="Arial" w:cs="Arial"/>
            <w:sz w:val="20"/>
            <w:szCs w:val="20"/>
            <w:lang w:val="sk-SK" w:eastAsia="cs-CZ"/>
          </w:rPr>
          <w:t>zuzana.kanuchova@henkel.com</w:t>
        </w:r>
      </w:hyperlink>
      <w:r w:rsidRPr="002A2C17">
        <w:rPr>
          <w:rFonts w:ascii="Arial" w:hAnsi="Arial" w:cs="Arial"/>
          <w:sz w:val="20"/>
          <w:szCs w:val="20"/>
          <w:lang w:val="sk-SK" w:eastAsia="cs-CZ"/>
        </w:rPr>
        <w:tab/>
      </w:r>
      <w:r w:rsidRPr="002A2C17">
        <w:rPr>
          <w:rFonts w:ascii="Arial" w:hAnsi="Arial" w:cs="Arial"/>
          <w:sz w:val="20"/>
          <w:szCs w:val="20"/>
          <w:lang w:val="sk-SK" w:eastAsia="cs-CZ"/>
        </w:rPr>
        <w:tab/>
      </w:r>
    </w:p>
    <w:p w14:paraId="6F7CB33C" w14:textId="77777777" w:rsidR="00762C3A" w:rsidRPr="002A2C17" w:rsidRDefault="00762C3A" w:rsidP="00762C3A">
      <w:pPr>
        <w:rPr>
          <w:rFonts w:ascii="Arial" w:hAnsi="Arial" w:cs="Arial"/>
          <w:sz w:val="20"/>
          <w:szCs w:val="20"/>
          <w:lang w:val="sk-SK"/>
        </w:rPr>
      </w:pPr>
    </w:p>
    <w:p w14:paraId="1DF502FB" w14:textId="77777777" w:rsidR="00762C3A" w:rsidRDefault="00762C3A" w:rsidP="00762C3A">
      <w:pPr>
        <w:spacing w:line="360" w:lineRule="auto"/>
        <w:rPr>
          <w:sz w:val="24"/>
          <w:lang w:val="sk-SK"/>
        </w:rPr>
      </w:pPr>
    </w:p>
    <w:p w14:paraId="67E5BAD6" w14:textId="77777777" w:rsidR="006C2F97" w:rsidRPr="00B96B4F" w:rsidRDefault="006C2F97">
      <w:pPr>
        <w:spacing w:line="240" w:lineRule="auto"/>
        <w:jc w:val="left"/>
        <w:rPr>
          <w:rStyle w:val="AboutandContactHeadline"/>
          <w:rFonts w:asciiTheme="minorHAnsi" w:hAnsiTheme="minorHAnsi" w:cstheme="minorHAnsi"/>
          <w:lang w:val="sk-SK"/>
        </w:rPr>
      </w:pPr>
    </w:p>
    <w:sectPr w:rsidR="006C2F97" w:rsidRPr="00B96B4F" w:rsidSect="00DC2465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AF3CE" w14:textId="77777777" w:rsidR="00C10DB5" w:rsidRDefault="00C10DB5">
      <w:r>
        <w:separator/>
      </w:r>
    </w:p>
  </w:endnote>
  <w:endnote w:type="continuationSeparator" w:id="0">
    <w:p w14:paraId="373C912B" w14:textId="77777777" w:rsidR="00C10DB5" w:rsidRDefault="00C1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7147D" w14:textId="77777777" w:rsidR="00C10DB5" w:rsidRPr="00112A28" w:rsidRDefault="00C10DB5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6074CD">
      <w:t xml:space="preserve">Strana </w:t>
    </w:r>
    <w:r w:rsidR="008A4984">
      <w:fldChar w:fldCharType="begin"/>
    </w:r>
    <w:r w:rsidR="008A4984">
      <w:instrText xml:space="preserve"> PAGE  \* Arabic  \* MERGEFORMAT </w:instrText>
    </w:r>
    <w:r w:rsidR="008A4984">
      <w:fldChar w:fldCharType="separate"/>
    </w:r>
    <w:r w:rsidR="005B6BDE">
      <w:t>4</w:t>
    </w:r>
    <w:r w:rsidR="008A4984">
      <w:fldChar w:fldCharType="end"/>
    </w:r>
    <w:r w:rsidRPr="00BF6E82">
      <w:t>/</w:t>
    </w:r>
    <w:r w:rsidR="0097496A">
      <w:fldChar w:fldCharType="begin"/>
    </w:r>
    <w:r w:rsidR="0097496A">
      <w:instrText xml:space="preserve"> NUMPAGES  \* Arabic  \* MERGEFORMAT </w:instrText>
    </w:r>
    <w:r w:rsidR="0097496A">
      <w:fldChar w:fldCharType="separate"/>
    </w:r>
    <w:r w:rsidR="005B6BDE">
      <w:t>9</w:t>
    </w:r>
    <w:r w:rsidR="0097496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03E9F" w14:textId="4B248C64" w:rsidR="00C10DB5" w:rsidRPr="00992A11" w:rsidRDefault="006C2F97" w:rsidP="00992A11">
    <w:pPr>
      <w:pStyle w:val="Footer"/>
    </w:pPr>
    <w:r>
      <w:drawing>
        <wp:inline distT="0" distB="0" distL="0" distR="0" wp14:anchorId="542AC067" wp14:editId="18FB9E01">
          <wp:extent cx="5768975" cy="367030"/>
          <wp:effectExtent l="0" t="0" r="3175" b="0"/>
          <wp:docPr id="19" name="Obrázo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8975" cy="367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5034D">
      <w:t xml:space="preserve">Strana </w:t>
    </w:r>
    <w:r w:rsidR="008A4984">
      <w:fldChar w:fldCharType="begin"/>
    </w:r>
    <w:r w:rsidR="008A4984">
      <w:instrText xml:space="preserve"> PAGE  \* Arabic  \* MERGEFORMAT </w:instrText>
    </w:r>
    <w:r w:rsidR="008A4984">
      <w:fldChar w:fldCharType="separate"/>
    </w:r>
    <w:r w:rsidR="005B6BDE">
      <w:t>1</w:t>
    </w:r>
    <w:r w:rsidR="008A4984">
      <w:fldChar w:fldCharType="end"/>
    </w:r>
    <w:r w:rsidR="00C10DB5" w:rsidRPr="00992A11">
      <w:t>/</w:t>
    </w:r>
    <w:r w:rsidR="0097496A">
      <w:fldChar w:fldCharType="begin"/>
    </w:r>
    <w:r w:rsidR="0097496A">
      <w:instrText xml:space="preserve"> NUMPAGES  \* Arabic  \* MERGEFORMAT </w:instrText>
    </w:r>
    <w:r w:rsidR="0097496A">
      <w:fldChar w:fldCharType="separate"/>
    </w:r>
    <w:r w:rsidR="005B6BDE">
      <w:t>9</w:t>
    </w:r>
    <w:r w:rsidR="0097496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48F52" w14:textId="77777777" w:rsidR="00C10DB5" w:rsidRDefault="00C10DB5">
      <w:r>
        <w:separator/>
      </w:r>
    </w:p>
  </w:footnote>
  <w:footnote w:type="continuationSeparator" w:id="0">
    <w:p w14:paraId="103ED833" w14:textId="77777777" w:rsidR="00C10DB5" w:rsidRDefault="00C10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97973" w14:textId="77777777" w:rsidR="00C10DB5" w:rsidRDefault="00C10DB5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5CDE7" w14:textId="209D5C3D" w:rsidR="00C10DB5" w:rsidRPr="00EB46D9" w:rsidRDefault="00C10DB5" w:rsidP="00EB46D9">
    <w:pPr>
      <w:pStyle w:val="Header"/>
    </w:pPr>
    <w:r w:rsidRPr="00EB46D9">
      <w:rPr>
        <w:noProof/>
        <w:lang w:val="sk-SK" w:eastAsia="sk-SK"/>
      </w:rPr>
      <w:drawing>
        <wp:anchor distT="0" distB="0" distL="114300" distR="114300" simplePos="0" relativeHeight="251658752" behindDoc="0" locked="1" layoutInCell="1" allowOverlap="1" wp14:anchorId="614AC631" wp14:editId="0CA23C31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A4984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46EBD6FA" wp14:editId="1D5D5548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0" b="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5D2415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uA0wAAAANoAAAAPAAAAZHJzL2Rvd25yZXYueG1sRI/BasMw&#10;EETvhf6D2EJvjdwU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hNbgNMAAAADaAAAADwAAAAAA&#10;AAAAAAAAAAAHAgAAZHJzL2Rvd25yZXYueG1sUEsFBgAAAAADAAMAtwAAAPQCAAAAAA==&#10;" stroked="f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3hAwAAAANoAAAAPAAAAZHJzL2Rvd25yZXYueG1sRI/BasMw&#10;EETvhf6D2EJvjdxQ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Cz94QMAAAADaAAAADwAAAAAA&#10;AAAAAAAAAAAHAgAAZHJzL2Rvd25yZXYueG1sUEsFBgAAAAADAAMAtwAAAPQCAAAAAA==&#10;" stroked="f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93bwAAAANoAAAAPAAAAZHJzL2Rvd25yZXYueG1sRI/BasMw&#10;EETvhf6D2EJvjdxAQ+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ZHPd28AAAADaAAAADwAAAAAA&#10;AAAAAAAAAAAHAgAAZHJzL2Rvd25yZXYueG1sUEsFBgAAAAADAAMAtwAAAPQCAAAAAA==&#10;" stroked="f"/>
              <w10:wrap anchorx="page" anchory="page"/>
            </v:group>
          </w:pict>
        </mc:Fallback>
      </mc:AlternateContent>
    </w:r>
    <w:r w:rsidR="0095034D">
      <w:rPr>
        <w:noProof/>
      </w:rPr>
      <w:t>Tlačová 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32E5A"/>
    <w:multiLevelType w:val="hybridMultilevel"/>
    <w:tmpl w:val="FFB21E8A"/>
    <w:lvl w:ilvl="0" w:tplc="6636C5FC">
      <w:start w:val="14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F4B6752"/>
    <w:multiLevelType w:val="hybridMultilevel"/>
    <w:tmpl w:val="19E81A96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069EB"/>
    <w:rsid w:val="00006A45"/>
    <w:rsid w:val="00011CCC"/>
    <w:rsid w:val="000160DF"/>
    <w:rsid w:val="00021C67"/>
    <w:rsid w:val="000301F0"/>
    <w:rsid w:val="00030557"/>
    <w:rsid w:val="00030F51"/>
    <w:rsid w:val="00035A84"/>
    <w:rsid w:val="00037B62"/>
    <w:rsid w:val="00040CC9"/>
    <w:rsid w:val="000425ED"/>
    <w:rsid w:val="000510FC"/>
    <w:rsid w:val="00051E86"/>
    <w:rsid w:val="000575F9"/>
    <w:rsid w:val="000618FC"/>
    <w:rsid w:val="00067071"/>
    <w:rsid w:val="00080D10"/>
    <w:rsid w:val="000823B5"/>
    <w:rsid w:val="0008357F"/>
    <w:rsid w:val="0008406B"/>
    <w:rsid w:val="000A4C15"/>
    <w:rsid w:val="000B5D2F"/>
    <w:rsid w:val="000B695A"/>
    <w:rsid w:val="000C210A"/>
    <w:rsid w:val="000C56DD"/>
    <w:rsid w:val="000D1672"/>
    <w:rsid w:val="000E2F62"/>
    <w:rsid w:val="000E38ED"/>
    <w:rsid w:val="000E5D89"/>
    <w:rsid w:val="000E7F24"/>
    <w:rsid w:val="000F03BE"/>
    <w:rsid w:val="000F1757"/>
    <w:rsid w:val="000F225B"/>
    <w:rsid w:val="000F39B4"/>
    <w:rsid w:val="000F7FAF"/>
    <w:rsid w:val="00105975"/>
    <w:rsid w:val="00111F4D"/>
    <w:rsid w:val="00112A28"/>
    <w:rsid w:val="00115230"/>
    <w:rsid w:val="00115B5F"/>
    <w:rsid w:val="001162B4"/>
    <w:rsid w:val="00122CBC"/>
    <w:rsid w:val="00126C65"/>
    <w:rsid w:val="00126D4A"/>
    <w:rsid w:val="00132DA9"/>
    <w:rsid w:val="0013305B"/>
    <w:rsid w:val="00133B99"/>
    <w:rsid w:val="0013569C"/>
    <w:rsid w:val="00140B74"/>
    <w:rsid w:val="00141CC2"/>
    <w:rsid w:val="001443BD"/>
    <w:rsid w:val="001577E9"/>
    <w:rsid w:val="0016138C"/>
    <w:rsid w:val="001731CE"/>
    <w:rsid w:val="00194E20"/>
    <w:rsid w:val="0019510D"/>
    <w:rsid w:val="001A3600"/>
    <w:rsid w:val="001B7C20"/>
    <w:rsid w:val="001C0B32"/>
    <w:rsid w:val="001C4BE1"/>
    <w:rsid w:val="001D7ADF"/>
    <w:rsid w:val="001E0F71"/>
    <w:rsid w:val="001E6D05"/>
    <w:rsid w:val="001E73E8"/>
    <w:rsid w:val="001E7C28"/>
    <w:rsid w:val="001F1BDF"/>
    <w:rsid w:val="001F7110"/>
    <w:rsid w:val="001F7E96"/>
    <w:rsid w:val="002005F5"/>
    <w:rsid w:val="00202284"/>
    <w:rsid w:val="0020528D"/>
    <w:rsid w:val="00212488"/>
    <w:rsid w:val="002129A6"/>
    <w:rsid w:val="00220628"/>
    <w:rsid w:val="002260C7"/>
    <w:rsid w:val="002304D2"/>
    <w:rsid w:val="00233D04"/>
    <w:rsid w:val="00234ABD"/>
    <w:rsid w:val="00236491"/>
    <w:rsid w:val="00236E2A"/>
    <w:rsid w:val="00237F62"/>
    <w:rsid w:val="00243828"/>
    <w:rsid w:val="0024586A"/>
    <w:rsid w:val="002518A2"/>
    <w:rsid w:val="00256F0C"/>
    <w:rsid w:val="00262C05"/>
    <w:rsid w:val="00274CBA"/>
    <w:rsid w:val="00281D14"/>
    <w:rsid w:val="00282C13"/>
    <w:rsid w:val="002A0DF7"/>
    <w:rsid w:val="002A2975"/>
    <w:rsid w:val="002A2C17"/>
    <w:rsid w:val="002A460D"/>
    <w:rsid w:val="002A5EE9"/>
    <w:rsid w:val="002A60E0"/>
    <w:rsid w:val="002C1344"/>
    <w:rsid w:val="002C252E"/>
    <w:rsid w:val="002C6773"/>
    <w:rsid w:val="002D2A3D"/>
    <w:rsid w:val="002D4BF0"/>
    <w:rsid w:val="002D74CF"/>
    <w:rsid w:val="002E0B17"/>
    <w:rsid w:val="002E4FFB"/>
    <w:rsid w:val="002E7DED"/>
    <w:rsid w:val="002F7E11"/>
    <w:rsid w:val="00304087"/>
    <w:rsid w:val="00310ACD"/>
    <w:rsid w:val="00311CF3"/>
    <w:rsid w:val="0031379F"/>
    <w:rsid w:val="00320A26"/>
    <w:rsid w:val="00321344"/>
    <w:rsid w:val="0033451C"/>
    <w:rsid w:val="00335B1D"/>
    <w:rsid w:val="00336854"/>
    <w:rsid w:val="0034015C"/>
    <w:rsid w:val="003442F4"/>
    <w:rsid w:val="00353705"/>
    <w:rsid w:val="003562E8"/>
    <w:rsid w:val="0036357D"/>
    <w:rsid w:val="00363B91"/>
    <w:rsid w:val="003649BC"/>
    <w:rsid w:val="00364F7E"/>
    <w:rsid w:val="00365E44"/>
    <w:rsid w:val="003662B1"/>
    <w:rsid w:val="00367AA1"/>
    <w:rsid w:val="00370A5B"/>
    <w:rsid w:val="00372E36"/>
    <w:rsid w:val="00376EE9"/>
    <w:rsid w:val="00376FFC"/>
    <w:rsid w:val="00377CBB"/>
    <w:rsid w:val="00384F62"/>
    <w:rsid w:val="00385438"/>
    <w:rsid w:val="003877B6"/>
    <w:rsid w:val="00391539"/>
    <w:rsid w:val="00393887"/>
    <w:rsid w:val="00394C6B"/>
    <w:rsid w:val="003A4E62"/>
    <w:rsid w:val="003B1069"/>
    <w:rsid w:val="003B390A"/>
    <w:rsid w:val="003C15DE"/>
    <w:rsid w:val="003C2889"/>
    <w:rsid w:val="003C4EB2"/>
    <w:rsid w:val="003E30F1"/>
    <w:rsid w:val="003E46C9"/>
    <w:rsid w:val="003F1AF3"/>
    <w:rsid w:val="003F4D8D"/>
    <w:rsid w:val="0040386D"/>
    <w:rsid w:val="004313E7"/>
    <w:rsid w:val="00444A70"/>
    <w:rsid w:val="00447616"/>
    <w:rsid w:val="0044763B"/>
    <w:rsid w:val="00456A53"/>
    <w:rsid w:val="0046266D"/>
    <w:rsid w:val="004629B3"/>
    <w:rsid w:val="0046376E"/>
    <w:rsid w:val="0046690F"/>
    <w:rsid w:val="00472FEC"/>
    <w:rsid w:val="00483634"/>
    <w:rsid w:val="00490A03"/>
    <w:rsid w:val="00493327"/>
    <w:rsid w:val="00493A29"/>
    <w:rsid w:val="00494DBE"/>
    <w:rsid w:val="00495CE6"/>
    <w:rsid w:val="004A144D"/>
    <w:rsid w:val="004A323C"/>
    <w:rsid w:val="004B4509"/>
    <w:rsid w:val="004B54E8"/>
    <w:rsid w:val="004C42F7"/>
    <w:rsid w:val="004C4FEB"/>
    <w:rsid w:val="004C6B79"/>
    <w:rsid w:val="004C7039"/>
    <w:rsid w:val="004D059B"/>
    <w:rsid w:val="004D0B60"/>
    <w:rsid w:val="004D0E64"/>
    <w:rsid w:val="004D48A8"/>
    <w:rsid w:val="004D4CB6"/>
    <w:rsid w:val="004E3341"/>
    <w:rsid w:val="004E356F"/>
    <w:rsid w:val="004E558C"/>
    <w:rsid w:val="004F10C1"/>
    <w:rsid w:val="004F5AD9"/>
    <w:rsid w:val="00502E62"/>
    <w:rsid w:val="00506B8A"/>
    <w:rsid w:val="0052212B"/>
    <w:rsid w:val="005266EA"/>
    <w:rsid w:val="00534B46"/>
    <w:rsid w:val="00540358"/>
    <w:rsid w:val="00540D47"/>
    <w:rsid w:val="005463C3"/>
    <w:rsid w:val="00550864"/>
    <w:rsid w:val="00550882"/>
    <w:rsid w:val="005529B8"/>
    <w:rsid w:val="0055571E"/>
    <w:rsid w:val="00556F67"/>
    <w:rsid w:val="005652E8"/>
    <w:rsid w:val="00576BDA"/>
    <w:rsid w:val="005833F0"/>
    <w:rsid w:val="00586CAF"/>
    <w:rsid w:val="005873E9"/>
    <w:rsid w:val="00591180"/>
    <w:rsid w:val="00595D92"/>
    <w:rsid w:val="0059722C"/>
    <w:rsid w:val="00597D07"/>
    <w:rsid w:val="005A3846"/>
    <w:rsid w:val="005B0C0B"/>
    <w:rsid w:val="005B2CD2"/>
    <w:rsid w:val="005B6A58"/>
    <w:rsid w:val="005B6BDE"/>
    <w:rsid w:val="005C7112"/>
    <w:rsid w:val="005D0561"/>
    <w:rsid w:val="005D0AD9"/>
    <w:rsid w:val="005D22F6"/>
    <w:rsid w:val="005E0C30"/>
    <w:rsid w:val="005E3FBB"/>
    <w:rsid w:val="005E69D9"/>
    <w:rsid w:val="005F27F4"/>
    <w:rsid w:val="005F3239"/>
    <w:rsid w:val="005F6567"/>
    <w:rsid w:val="00607094"/>
    <w:rsid w:val="00607256"/>
    <w:rsid w:val="006074CD"/>
    <w:rsid w:val="006144B1"/>
    <w:rsid w:val="00623F74"/>
    <w:rsid w:val="0062480A"/>
    <w:rsid w:val="006335F1"/>
    <w:rsid w:val="006345B6"/>
    <w:rsid w:val="00635616"/>
    <w:rsid w:val="00635712"/>
    <w:rsid w:val="006368FF"/>
    <w:rsid w:val="0064107F"/>
    <w:rsid w:val="0064285D"/>
    <w:rsid w:val="00643D8A"/>
    <w:rsid w:val="00652229"/>
    <w:rsid w:val="00652793"/>
    <w:rsid w:val="006626CA"/>
    <w:rsid w:val="00663487"/>
    <w:rsid w:val="00672382"/>
    <w:rsid w:val="0068219D"/>
    <w:rsid w:val="00682643"/>
    <w:rsid w:val="00682EB9"/>
    <w:rsid w:val="0068441A"/>
    <w:rsid w:val="00690B19"/>
    <w:rsid w:val="00694E97"/>
    <w:rsid w:val="006A0A3C"/>
    <w:rsid w:val="006A79F0"/>
    <w:rsid w:val="006B47EE"/>
    <w:rsid w:val="006B499F"/>
    <w:rsid w:val="006C2F97"/>
    <w:rsid w:val="006C33BE"/>
    <w:rsid w:val="006C7E78"/>
    <w:rsid w:val="006D098F"/>
    <w:rsid w:val="006D4996"/>
    <w:rsid w:val="006D54AB"/>
    <w:rsid w:val="006E1FA9"/>
    <w:rsid w:val="006E3006"/>
    <w:rsid w:val="006E5032"/>
    <w:rsid w:val="006E5BDA"/>
    <w:rsid w:val="006F0FC7"/>
    <w:rsid w:val="006F39A9"/>
    <w:rsid w:val="006F670F"/>
    <w:rsid w:val="00702921"/>
    <w:rsid w:val="00703272"/>
    <w:rsid w:val="0070733C"/>
    <w:rsid w:val="00710C5D"/>
    <w:rsid w:val="0071348C"/>
    <w:rsid w:val="00717273"/>
    <w:rsid w:val="00720FD4"/>
    <w:rsid w:val="007218A2"/>
    <w:rsid w:val="00724AF2"/>
    <w:rsid w:val="0073096C"/>
    <w:rsid w:val="00733A46"/>
    <w:rsid w:val="00741A2F"/>
    <w:rsid w:val="00742398"/>
    <w:rsid w:val="007432A9"/>
    <w:rsid w:val="007507B5"/>
    <w:rsid w:val="0075091D"/>
    <w:rsid w:val="00753A24"/>
    <w:rsid w:val="0075430D"/>
    <w:rsid w:val="007614A9"/>
    <w:rsid w:val="00762C3A"/>
    <w:rsid w:val="00772188"/>
    <w:rsid w:val="0077222A"/>
    <w:rsid w:val="007813D0"/>
    <w:rsid w:val="007845AC"/>
    <w:rsid w:val="00785993"/>
    <w:rsid w:val="007866E2"/>
    <w:rsid w:val="00786BA3"/>
    <w:rsid w:val="0079202F"/>
    <w:rsid w:val="00795AF2"/>
    <w:rsid w:val="007A2AAD"/>
    <w:rsid w:val="007A4432"/>
    <w:rsid w:val="007A6409"/>
    <w:rsid w:val="007A784E"/>
    <w:rsid w:val="007B499C"/>
    <w:rsid w:val="007B4D4B"/>
    <w:rsid w:val="007B58C6"/>
    <w:rsid w:val="007D2A02"/>
    <w:rsid w:val="007D62A4"/>
    <w:rsid w:val="007E6EA1"/>
    <w:rsid w:val="007F0F63"/>
    <w:rsid w:val="007F2B1E"/>
    <w:rsid w:val="007F62B4"/>
    <w:rsid w:val="00800B32"/>
    <w:rsid w:val="00801517"/>
    <w:rsid w:val="0080725B"/>
    <w:rsid w:val="008120CB"/>
    <w:rsid w:val="00813492"/>
    <w:rsid w:val="00817343"/>
    <w:rsid w:val="00817AE8"/>
    <w:rsid w:val="00817DE8"/>
    <w:rsid w:val="008229F5"/>
    <w:rsid w:val="0082699A"/>
    <w:rsid w:val="00832633"/>
    <w:rsid w:val="00833CEB"/>
    <w:rsid w:val="008372D2"/>
    <w:rsid w:val="008377BC"/>
    <w:rsid w:val="00844C17"/>
    <w:rsid w:val="00846017"/>
    <w:rsid w:val="00847726"/>
    <w:rsid w:val="00852511"/>
    <w:rsid w:val="00857408"/>
    <w:rsid w:val="008578A9"/>
    <w:rsid w:val="0086072A"/>
    <w:rsid w:val="0086088F"/>
    <w:rsid w:val="008614F1"/>
    <w:rsid w:val="008639B3"/>
    <w:rsid w:val="00863C1A"/>
    <w:rsid w:val="00870604"/>
    <w:rsid w:val="008712FE"/>
    <w:rsid w:val="0087142D"/>
    <w:rsid w:val="00873416"/>
    <w:rsid w:val="00873956"/>
    <w:rsid w:val="008774BD"/>
    <w:rsid w:val="008803FE"/>
    <w:rsid w:val="00880E72"/>
    <w:rsid w:val="008825EE"/>
    <w:rsid w:val="0088596E"/>
    <w:rsid w:val="0089796A"/>
    <w:rsid w:val="008A2375"/>
    <w:rsid w:val="008A4984"/>
    <w:rsid w:val="008B30DE"/>
    <w:rsid w:val="008D76C5"/>
    <w:rsid w:val="008E0A04"/>
    <w:rsid w:val="008E0AFA"/>
    <w:rsid w:val="008E3D3B"/>
    <w:rsid w:val="008E75D3"/>
    <w:rsid w:val="008F0CE4"/>
    <w:rsid w:val="008F125E"/>
    <w:rsid w:val="008F4D2F"/>
    <w:rsid w:val="00906292"/>
    <w:rsid w:val="00914B5B"/>
    <w:rsid w:val="00917162"/>
    <w:rsid w:val="009178AA"/>
    <w:rsid w:val="009211F4"/>
    <w:rsid w:val="009251CC"/>
    <w:rsid w:val="0092714E"/>
    <w:rsid w:val="00942002"/>
    <w:rsid w:val="00947885"/>
    <w:rsid w:val="0095034D"/>
    <w:rsid w:val="009504AB"/>
    <w:rsid w:val="00952168"/>
    <w:rsid w:val="009527FE"/>
    <w:rsid w:val="009529B2"/>
    <w:rsid w:val="0096704A"/>
    <w:rsid w:val="009707DA"/>
    <w:rsid w:val="009739A0"/>
    <w:rsid w:val="0097496A"/>
    <w:rsid w:val="00974F84"/>
    <w:rsid w:val="009767C7"/>
    <w:rsid w:val="0098579A"/>
    <w:rsid w:val="009918DD"/>
    <w:rsid w:val="0099195A"/>
    <w:rsid w:val="00992A11"/>
    <w:rsid w:val="00994681"/>
    <w:rsid w:val="0099486A"/>
    <w:rsid w:val="009A0E26"/>
    <w:rsid w:val="009A16EC"/>
    <w:rsid w:val="009A1F86"/>
    <w:rsid w:val="009A22C2"/>
    <w:rsid w:val="009B29B7"/>
    <w:rsid w:val="009B3B37"/>
    <w:rsid w:val="009B7D1F"/>
    <w:rsid w:val="009C088E"/>
    <w:rsid w:val="009C4D35"/>
    <w:rsid w:val="009D1522"/>
    <w:rsid w:val="009D7252"/>
    <w:rsid w:val="009E5EB4"/>
    <w:rsid w:val="009F610E"/>
    <w:rsid w:val="00A014E3"/>
    <w:rsid w:val="00A044D6"/>
    <w:rsid w:val="00A04ADB"/>
    <w:rsid w:val="00A05F11"/>
    <w:rsid w:val="00A11E0F"/>
    <w:rsid w:val="00A1534C"/>
    <w:rsid w:val="00A26CB6"/>
    <w:rsid w:val="00A32F82"/>
    <w:rsid w:val="00A32F8B"/>
    <w:rsid w:val="00A3756F"/>
    <w:rsid w:val="00A42D6F"/>
    <w:rsid w:val="00A44119"/>
    <w:rsid w:val="00A45A62"/>
    <w:rsid w:val="00A54AC5"/>
    <w:rsid w:val="00A55DC3"/>
    <w:rsid w:val="00A56D41"/>
    <w:rsid w:val="00A602C5"/>
    <w:rsid w:val="00A60529"/>
    <w:rsid w:val="00A61353"/>
    <w:rsid w:val="00A61481"/>
    <w:rsid w:val="00A66DB1"/>
    <w:rsid w:val="00A67A92"/>
    <w:rsid w:val="00A87870"/>
    <w:rsid w:val="00A91A70"/>
    <w:rsid w:val="00A95BBB"/>
    <w:rsid w:val="00A97316"/>
    <w:rsid w:val="00AA1B85"/>
    <w:rsid w:val="00AA54C6"/>
    <w:rsid w:val="00AA6523"/>
    <w:rsid w:val="00AB1CB6"/>
    <w:rsid w:val="00AB1D9A"/>
    <w:rsid w:val="00AC01BF"/>
    <w:rsid w:val="00AD0C22"/>
    <w:rsid w:val="00AD442C"/>
    <w:rsid w:val="00AD44FE"/>
    <w:rsid w:val="00AD5A37"/>
    <w:rsid w:val="00AE17EA"/>
    <w:rsid w:val="00AE400C"/>
    <w:rsid w:val="00AE49F1"/>
    <w:rsid w:val="00AE5532"/>
    <w:rsid w:val="00AE7205"/>
    <w:rsid w:val="00B05CCA"/>
    <w:rsid w:val="00B05EEC"/>
    <w:rsid w:val="00B14271"/>
    <w:rsid w:val="00B16270"/>
    <w:rsid w:val="00B2685D"/>
    <w:rsid w:val="00B2756F"/>
    <w:rsid w:val="00B30351"/>
    <w:rsid w:val="00B33C2A"/>
    <w:rsid w:val="00B35967"/>
    <w:rsid w:val="00B422EC"/>
    <w:rsid w:val="00B54885"/>
    <w:rsid w:val="00B634AB"/>
    <w:rsid w:val="00B726D4"/>
    <w:rsid w:val="00B81455"/>
    <w:rsid w:val="00B8214F"/>
    <w:rsid w:val="00B82B48"/>
    <w:rsid w:val="00B86A4F"/>
    <w:rsid w:val="00B93035"/>
    <w:rsid w:val="00B958E8"/>
    <w:rsid w:val="00B96B4F"/>
    <w:rsid w:val="00B97E4A"/>
    <w:rsid w:val="00BA09B2"/>
    <w:rsid w:val="00BA465D"/>
    <w:rsid w:val="00BA5B46"/>
    <w:rsid w:val="00BA749A"/>
    <w:rsid w:val="00BB2D73"/>
    <w:rsid w:val="00BB45BA"/>
    <w:rsid w:val="00BB5D0B"/>
    <w:rsid w:val="00BC0995"/>
    <w:rsid w:val="00BE2D0A"/>
    <w:rsid w:val="00BE47D4"/>
    <w:rsid w:val="00BE793A"/>
    <w:rsid w:val="00BF2B82"/>
    <w:rsid w:val="00BF432A"/>
    <w:rsid w:val="00BF6E82"/>
    <w:rsid w:val="00C060C7"/>
    <w:rsid w:val="00C10DB5"/>
    <w:rsid w:val="00C21BDB"/>
    <w:rsid w:val="00C24C17"/>
    <w:rsid w:val="00C3758F"/>
    <w:rsid w:val="00C40B88"/>
    <w:rsid w:val="00C44489"/>
    <w:rsid w:val="00C47D87"/>
    <w:rsid w:val="00C5376E"/>
    <w:rsid w:val="00C5701B"/>
    <w:rsid w:val="00C6485C"/>
    <w:rsid w:val="00C66218"/>
    <w:rsid w:val="00C672DD"/>
    <w:rsid w:val="00C677C9"/>
    <w:rsid w:val="00C808A6"/>
    <w:rsid w:val="00C97091"/>
    <w:rsid w:val="00C97260"/>
    <w:rsid w:val="00C97830"/>
    <w:rsid w:val="00CA2001"/>
    <w:rsid w:val="00CB576F"/>
    <w:rsid w:val="00CB5B6C"/>
    <w:rsid w:val="00CC052E"/>
    <w:rsid w:val="00CD16BE"/>
    <w:rsid w:val="00CD4616"/>
    <w:rsid w:val="00CD56AF"/>
    <w:rsid w:val="00CE33D5"/>
    <w:rsid w:val="00CE50BC"/>
    <w:rsid w:val="00CF5D37"/>
    <w:rsid w:val="00CF6F33"/>
    <w:rsid w:val="00D02248"/>
    <w:rsid w:val="00D063B8"/>
    <w:rsid w:val="00D06825"/>
    <w:rsid w:val="00D17E3B"/>
    <w:rsid w:val="00D2306F"/>
    <w:rsid w:val="00D23C09"/>
    <w:rsid w:val="00D23CED"/>
    <w:rsid w:val="00D24BD2"/>
    <w:rsid w:val="00D2573D"/>
    <w:rsid w:val="00D260A2"/>
    <w:rsid w:val="00D30CC6"/>
    <w:rsid w:val="00D3260C"/>
    <w:rsid w:val="00D35790"/>
    <w:rsid w:val="00D36D36"/>
    <w:rsid w:val="00D535AC"/>
    <w:rsid w:val="00D5611E"/>
    <w:rsid w:val="00D5653B"/>
    <w:rsid w:val="00D62EF1"/>
    <w:rsid w:val="00D6309D"/>
    <w:rsid w:val="00D63776"/>
    <w:rsid w:val="00D644CA"/>
    <w:rsid w:val="00D64EA0"/>
    <w:rsid w:val="00D66FC2"/>
    <w:rsid w:val="00D7044E"/>
    <w:rsid w:val="00D7175E"/>
    <w:rsid w:val="00D76C73"/>
    <w:rsid w:val="00D76C7E"/>
    <w:rsid w:val="00D771DE"/>
    <w:rsid w:val="00D7776D"/>
    <w:rsid w:val="00D92179"/>
    <w:rsid w:val="00D922C6"/>
    <w:rsid w:val="00D9293F"/>
    <w:rsid w:val="00D93598"/>
    <w:rsid w:val="00D9510E"/>
    <w:rsid w:val="00DA1E18"/>
    <w:rsid w:val="00DA2009"/>
    <w:rsid w:val="00DA2626"/>
    <w:rsid w:val="00DB05B1"/>
    <w:rsid w:val="00DB3786"/>
    <w:rsid w:val="00DB59E8"/>
    <w:rsid w:val="00DB5A79"/>
    <w:rsid w:val="00DB7A82"/>
    <w:rsid w:val="00DC2465"/>
    <w:rsid w:val="00DC7D48"/>
    <w:rsid w:val="00DD512E"/>
    <w:rsid w:val="00DE0C30"/>
    <w:rsid w:val="00DE1177"/>
    <w:rsid w:val="00DE2CEA"/>
    <w:rsid w:val="00DE6A3C"/>
    <w:rsid w:val="00DE74F4"/>
    <w:rsid w:val="00DE7F97"/>
    <w:rsid w:val="00DF1010"/>
    <w:rsid w:val="00DF216B"/>
    <w:rsid w:val="00DF5AEA"/>
    <w:rsid w:val="00DF63F6"/>
    <w:rsid w:val="00DF7BD0"/>
    <w:rsid w:val="00E0237E"/>
    <w:rsid w:val="00E05783"/>
    <w:rsid w:val="00E13747"/>
    <w:rsid w:val="00E14758"/>
    <w:rsid w:val="00E21088"/>
    <w:rsid w:val="00E24632"/>
    <w:rsid w:val="00E25AEA"/>
    <w:rsid w:val="00E30D26"/>
    <w:rsid w:val="00E30DEF"/>
    <w:rsid w:val="00E30ED2"/>
    <w:rsid w:val="00E31276"/>
    <w:rsid w:val="00E34666"/>
    <w:rsid w:val="00E37F70"/>
    <w:rsid w:val="00E41377"/>
    <w:rsid w:val="00E41985"/>
    <w:rsid w:val="00E446C1"/>
    <w:rsid w:val="00E545D7"/>
    <w:rsid w:val="00E547FE"/>
    <w:rsid w:val="00E60ECA"/>
    <w:rsid w:val="00E6155E"/>
    <w:rsid w:val="00E663B6"/>
    <w:rsid w:val="00E74710"/>
    <w:rsid w:val="00E758B9"/>
    <w:rsid w:val="00E81E19"/>
    <w:rsid w:val="00E85569"/>
    <w:rsid w:val="00E856AF"/>
    <w:rsid w:val="00E86B83"/>
    <w:rsid w:val="00E87C64"/>
    <w:rsid w:val="00E903B9"/>
    <w:rsid w:val="00E93A01"/>
    <w:rsid w:val="00E93FF8"/>
    <w:rsid w:val="00E96EAF"/>
    <w:rsid w:val="00EA1752"/>
    <w:rsid w:val="00EA5A89"/>
    <w:rsid w:val="00EA5BDB"/>
    <w:rsid w:val="00EB46D9"/>
    <w:rsid w:val="00EC0E64"/>
    <w:rsid w:val="00EC142D"/>
    <w:rsid w:val="00EC1E16"/>
    <w:rsid w:val="00EC2DD1"/>
    <w:rsid w:val="00ED0024"/>
    <w:rsid w:val="00ED0F85"/>
    <w:rsid w:val="00ED2B5C"/>
    <w:rsid w:val="00ED2E1E"/>
    <w:rsid w:val="00ED3269"/>
    <w:rsid w:val="00ED3A18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440"/>
    <w:rsid w:val="00F275C0"/>
    <w:rsid w:val="00F317B5"/>
    <w:rsid w:val="00F346B6"/>
    <w:rsid w:val="00F36145"/>
    <w:rsid w:val="00F376DB"/>
    <w:rsid w:val="00F37BDD"/>
    <w:rsid w:val="00F41503"/>
    <w:rsid w:val="00F46207"/>
    <w:rsid w:val="00F466C8"/>
    <w:rsid w:val="00F469A9"/>
    <w:rsid w:val="00F46B50"/>
    <w:rsid w:val="00F50B46"/>
    <w:rsid w:val="00F50D1F"/>
    <w:rsid w:val="00F51545"/>
    <w:rsid w:val="00F635FC"/>
    <w:rsid w:val="00F63D03"/>
    <w:rsid w:val="00F65E2F"/>
    <w:rsid w:val="00F67DF1"/>
    <w:rsid w:val="00F8309B"/>
    <w:rsid w:val="00F833C9"/>
    <w:rsid w:val="00F90064"/>
    <w:rsid w:val="00F9245F"/>
    <w:rsid w:val="00F9586C"/>
    <w:rsid w:val="00F95A8D"/>
    <w:rsid w:val="00F96AFD"/>
    <w:rsid w:val="00FA1398"/>
    <w:rsid w:val="00FA2E19"/>
    <w:rsid w:val="00FA3EAE"/>
    <w:rsid w:val="00FA697F"/>
    <w:rsid w:val="00FB3846"/>
    <w:rsid w:val="00FB5521"/>
    <w:rsid w:val="00FB610D"/>
    <w:rsid w:val="00FC2032"/>
    <w:rsid w:val="00FC21FA"/>
    <w:rsid w:val="00FC4477"/>
    <w:rsid w:val="00FC465C"/>
    <w:rsid w:val="00FC46FB"/>
    <w:rsid w:val="00FC7B66"/>
    <w:rsid w:val="00FD155E"/>
    <w:rsid w:val="00FD2BD3"/>
    <w:rsid w:val="00FD4CCA"/>
    <w:rsid w:val="00FE2A9E"/>
    <w:rsid w:val="00FE34B3"/>
    <w:rsid w:val="00FE46B7"/>
    <w:rsid w:val="00FF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A589417"/>
  <w15:docId w15:val="{F9CD9135-F71B-4658-AEB6-09504B93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customStyle="1" w:styleId="Nevyrieenzmienka1">
    <w:name w:val="Nevyriešená zmienka1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ListParagraph">
    <w:name w:val="List Paragraph"/>
    <w:basedOn w:val="Normal"/>
    <w:uiPriority w:val="34"/>
    <w:qFormat/>
    <w:rsid w:val="00635616"/>
    <w:pPr>
      <w:ind w:left="720"/>
      <w:contextualSpacing/>
    </w:pPr>
  </w:style>
  <w:style w:type="character" w:styleId="CommentReference">
    <w:name w:val="annotation reference"/>
    <w:rsid w:val="008460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017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rsid w:val="00846017"/>
    <w:rPr>
      <w:rFonts w:ascii="Arial" w:hAnsi="Arial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rsid w:val="0020528D"/>
    <w:pPr>
      <w:spacing w:line="240" w:lineRule="auto"/>
      <w:jc w:val="both"/>
    </w:pPr>
    <w:rPr>
      <w:rFonts w:ascii="Segoe UI" w:hAnsi="Segoe U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20528D"/>
    <w:rPr>
      <w:rFonts w:ascii="Arial" w:hAnsi="Arial"/>
      <w:b/>
      <w:bCs/>
      <w:sz w:val="20"/>
      <w:szCs w:val="20"/>
      <w:lang w:val="de-DE"/>
    </w:rPr>
  </w:style>
  <w:style w:type="paragraph" w:customStyle="1" w:styleId="Obsahtabuky">
    <w:name w:val="Obsah tabuľky"/>
    <w:basedOn w:val="Normal"/>
    <w:qFormat/>
    <w:rsid w:val="00C97830"/>
    <w:pPr>
      <w:suppressLineNumbers/>
      <w:spacing w:line="240" w:lineRule="auto"/>
      <w:jc w:val="left"/>
    </w:pPr>
    <w:rPr>
      <w:rFonts w:ascii="Liberation Serif" w:eastAsia="NSimSun" w:hAnsi="Liberation Serif" w:cs="Lucida Sans"/>
      <w:kern w:val="2"/>
      <w:sz w:val="24"/>
      <w:lang w:val="sk-SK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zuzana.kanuchova@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E597FC69D7D41B730E55848FD6EAB" ma:contentTypeVersion="13" ma:contentTypeDescription="Create a new document." ma:contentTypeScope="" ma:versionID="0bd439bb7db1c11f7cafcadd6b5a65ce">
  <xsd:schema xmlns:xsd="http://www.w3.org/2001/XMLSchema" xmlns:xs="http://www.w3.org/2001/XMLSchema" xmlns:p="http://schemas.microsoft.com/office/2006/metadata/properties" xmlns:ns3="a4e290b9-c7ca-42dc-b7ad-52c336761d12" xmlns:ns4="4b231ab5-4db4-4050-9234-4df8de93caf3" targetNamespace="http://schemas.microsoft.com/office/2006/metadata/properties" ma:root="true" ma:fieldsID="9f905b692c2ba8474a3a603adbe5cb40" ns3:_="" ns4:_="">
    <xsd:import namespace="a4e290b9-c7ca-42dc-b7ad-52c336761d12"/>
    <xsd:import namespace="4b231ab5-4db4-4050-9234-4df8de93ca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290b9-c7ca-42dc-b7ad-52c336761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31ab5-4db4-4050-9234-4df8de93ca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F3245D12-BDB4-413F-ABB3-2AF0CF323A38}">
  <ds:schemaRefs>
    <ds:schemaRef ds:uri="4b231ab5-4db4-4050-9234-4df8de93caf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4e290b9-c7ca-42dc-b7ad-52c336761d1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7B39523-6995-4CDF-8856-E85C6D0DFE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FA69FD-498D-4C9B-B8A7-C19CB0760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290b9-c7ca-42dc-b7ad-52c336761d12"/>
    <ds:schemaRef ds:uri="4b231ab5-4db4-4050-9234-4df8de93c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8F7E255-CD72-412E-8477-8DFE148822F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10</Pages>
  <Words>3421</Words>
  <Characters>19504</Characters>
  <Application>Microsoft Office Word</Application>
  <DocSecurity>4</DocSecurity>
  <Lines>162</Lines>
  <Paragraphs>45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22880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Henkel</dc:creator>
  <cp:lastModifiedBy>Zuzana Kanuchova</cp:lastModifiedBy>
  <cp:revision>2</cp:revision>
  <cp:lastPrinted>2020-08-05T16:24:00Z</cp:lastPrinted>
  <dcterms:created xsi:type="dcterms:W3CDTF">2020-08-24T10:41:00Z</dcterms:created>
  <dcterms:modified xsi:type="dcterms:W3CDTF">2020-08-24T10:41:00Z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0x010100DCAE597FC69D7D41B730E55848FD6EAB</vt:lpwstr>
  </property>
</Properties>
</file>