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2FC81EA0" w:rsidR="00B422EC" w:rsidRPr="001D7568" w:rsidRDefault="00F4089B" w:rsidP="00643D8A">
      <w:pPr>
        <w:pStyle w:val="MonthDayYear"/>
        <w:rPr>
          <w:lang w:val="sk-SK"/>
        </w:rPr>
      </w:pPr>
      <w:r>
        <w:rPr>
          <w:lang w:val="sk-SK"/>
        </w:rPr>
        <w:t>17</w:t>
      </w:r>
      <w:r w:rsidR="00B86F4F">
        <w:rPr>
          <w:lang w:val="sk-SK"/>
        </w:rPr>
        <w:t>. s</w:t>
      </w:r>
      <w:r w:rsidR="00EA5F8C">
        <w:rPr>
          <w:lang w:val="sk-SK"/>
        </w:rPr>
        <w:t>eptember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36B72C0" w14:textId="77777777" w:rsidR="00C51B88" w:rsidRDefault="00C51B88" w:rsidP="0084769D">
      <w:pPr>
        <w:rPr>
          <w:rFonts w:cs="Segoe UI"/>
          <w:szCs w:val="22"/>
          <w:lang w:val="sk-SK"/>
        </w:rPr>
      </w:pPr>
    </w:p>
    <w:p w14:paraId="04CC524F" w14:textId="77777777" w:rsidR="006B4030" w:rsidRPr="009559D8" w:rsidRDefault="006B4030" w:rsidP="006B4030">
      <w:pPr>
        <w:spacing w:line="280" w:lineRule="auto"/>
        <w:rPr>
          <w:rFonts w:ascii="Calibri" w:hAnsi="Calibri" w:cs="Calibri"/>
          <w:szCs w:val="22"/>
          <w:lang w:val="sk-SK"/>
        </w:rPr>
      </w:pPr>
      <w:r w:rsidRPr="009559D8">
        <w:rPr>
          <w:rFonts w:ascii="Calibri" w:hAnsi="Calibri" w:cs="Calibri"/>
          <w:szCs w:val="22"/>
          <w:lang w:val="sk-SK"/>
        </w:rPr>
        <w:t xml:space="preserve">Značky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KeyPrint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a </w:t>
      </w:r>
      <w:proofErr w:type="spellStart"/>
      <w:r w:rsidRPr="009559D8">
        <w:rPr>
          <w:rFonts w:ascii="Calibri" w:hAnsi="Calibri" w:cs="Calibri"/>
          <w:szCs w:val="22"/>
          <w:lang w:val="sk-SK"/>
        </w:rPr>
        <w:t>Loctite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spájajú sily pri výrobe stomatologických komponentov </w:t>
      </w:r>
    </w:p>
    <w:p w14:paraId="2D7E66E9" w14:textId="77777777" w:rsidR="006B4030" w:rsidRPr="009559D8" w:rsidRDefault="006B4030" w:rsidP="006B4030">
      <w:pPr>
        <w:rPr>
          <w:rFonts w:ascii="Calibri" w:hAnsi="Calibri" w:cs="Calibri"/>
          <w:szCs w:val="22"/>
          <w:lang w:val="sk-SK"/>
        </w:rPr>
      </w:pPr>
      <w:r w:rsidRPr="009559D8">
        <w:rPr>
          <w:rFonts w:ascii="Calibri" w:hAnsi="Calibri" w:cs="Calibri"/>
          <w:szCs w:val="22"/>
          <w:lang w:val="sk-SK"/>
        </w:rPr>
        <w:t xml:space="preserve"> </w:t>
      </w:r>
    </w:p>
    <w:p w14:paraId="653EB3B0" w14:textId="77777777" w:rsidR="006B4030" w:rsidRPr="009559D8" w:rsidRDefault="006B4030" w:rsidP="006B4030">
      <w:pPr>
        <w:spacing w:line="280" w:lineRule="auto"/>
        <w:rPr>
          <w:rFonts w:ascii="Calibri" w:hAnsi="Calibri" w:cs="Calibri"/>
          <w:b/>
          <w:sz w:val="32"/>
          <w:szCs w:val="32"/>
          <w:lang w:val="sk-SK"/>
        </w:rPr>
      </w:pPr>
      <w:r w:rsidRPr="009559D8">
        <w:rPr>
          <w:rFonts w:ascii="Calibri" w:hAnsi="Calibri" w:cs="Calibri"/>
          <w:b/>
          <w:sz w:val="32"/>
          <w:szCs w:val="32"/>
          <w:lang w:val="sk-SK"/>
        </w:rPr>
        <w:t xml:space="preserve">Henkel a </w:t>
      </w:r>
      <w:proofErr w:type="spellStart"/>
      <w:r w:rsidRPr="009559D8">
        <w:rPr>
          <w:rFonts w:ascii="Calibri" w:hAnsi="Calibri" w:cs="Calibri"/>
          <w:b/>
          <w:sz w:val="32"/>
          <w:szCs w:val="32"/>
          <w:lang w:val="sk-SK"/>
        </w:rPr>
        <w:t>Keystone</w:t>
      </w:r>
      <w:proofErr w:type="spellEnd"/>
      <w:r w:rsidRPr="009559D8">
        <w:rPr>
          <w:rFonts w:ascii="Calibri" w:hAnsi="Calibri" w:cs="Calibri"/>
          <w:b/>
          <w:sz w:val="32"/>
          <w:szCs w:val="32"/>
          <w:lang w:val="sk-SK"/>
        </w:rPr>
        <w:t xml:space="preserve"> spolupracujú na riešeniach v oblasti 3D tlače pre stomatologický priemysel</w:t>
      </w:r>
    </w:p>
    <w:p w14:paraId="318045DF" w14:textId="77777777" w:rsidR="006B4030" w:rsidRPr="009559D8" w:rsidRDefault="006B4030" w:rsidP="006B4030">
      <w:pPr>
        <w:rPr>
          <w:rFonts w:ascii="Calibri" w:hAnsi="Calibri" w:cs="Calibri"/>
          <w:b/>
          <w:szCs w:val="22"/>
          <w:lang w:val="sk-SK"/>
        </w:rPr>
      </w:pPr>
      <w:r w:rsidRPr="009559D8">
        <w:rPr>
          <w:rFonts w:ascii="Calibri" w:hAnsi="Calibri" w:cs="Calibri"/>
          <w:b/>
          <w:szCs w:val="22"/>
          <w:lang w:val="sk-SK"/>
        </w:rPr>
        <w:t xml:space="preserve"> </w:t>
      </w:r>
    </w:p>
    <w:p w14:paraId="21055B2C" w14:textId="77777777" w:rsidR="006B4030" w:rsidRPr="009559D8" w:rsidRDefault="006B4030" w:rsidP="006B4030">
      <w:pPr>
        <w:spacing w:line="280" w:lineRule="auto"/>
        <w:rPr>
          <w:rFonts w:ascii="Calibri" w:hAnsi="Calibri" w:cs="Calibri"/>
          <w:b/>
          <w:szCs w:val="22"/>
          <w:lang w:val="sk-SK"/>
        </w:rPr>
      </w:pPr>
      <w:proofErr w:type="spellStart"/>
      <w:r w:rsidRPr="009559D8">
        <w:rPr>
          <w:rFonts w:ascii="Calibri" w:hAnsi="Calibri" w:cs="Calibri"/>
          <w:b/>
          <w:szCs w:val="22"/>
          <w:lang w:val="sk-SK"/>
        </w:rPr>
        <w:t>Düsseldorf</w:t>
      </w:r>
      <w:proofErr w:type="spellEnd"/>
      <w:r w:rsidRPr="009559D8">
        <w:rPr>
          <w:rFonts w:ascii="Calibri" w:hAnsi="Calibri" w:cs="Calibri"/>
          <w:b/>
          <w:szCs w:val="22"/>
          <w:lang w:val="sk-SK"/>
        </w:rPr>
        <w:t xml:space="preserve"> – Spoločnosti Henkel a </w:t>
      </w:r>
      <w:proofErr w:type="spellStart"/>
      <w:r w:rsidRPr="009559D8">
        <w:rPr>
          <w:rFonts w:ascii="Calibri" w:hAnsi="Calibri" w:cs="Calibri"/>
          <w:b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b/>
          <w:szCs w:val="22"/>
          <w:lang w:val="sk-SK"/>
        </w:rPr>
        <w:t xml:space="preserve"> </w:t>
      </w:r>
      <w:proofErr w:type="spellStart"/>
      <w:r w:rsidRPr="009559D8">
        <w:rPr>
          <w:rFonts w:ascii="Calibri" w:hAnsi="Calibri" w:cs="Calibri"/>
          <w:b/>
          <w:szCs w:val="22"/>
          <w:lang w:val="sk-SK"/>
        </w:rPr>
        <w:t>Industries</w:t>
      </w:r>
      <w:proofErr w:type="spellEnd"/>
      <w:r w:rsidRPr="009559D8">
        <w:rPr>
          <w:rFonts w:ascii="Calibri" w:hAnsi="Calibri" w:cs="Calibri"/>
          <w:b/>
          <w:szCs w:val="22"/>
          <w:lang w:val="sk-SK"/>
        </w:rPr>
        <w:t xml:space="preserve"> (</w:t>
      </w:r>
      <w:proofErr w:type="spellStart"/>
      <w:r w:rsidRPr="009559D8">
        <w:rPr>
          <w:rFonts w:ascii="Calibri" w:hAnsi="Calibri" w:cs="Calibri"/>
          <w:b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b/>
          <w:szCs w:val="22"/>
          <w:lang w:val="sk-SK"/>
        </w:rPr>
        <w:t xml:space="preserve">) oznámili svoju spoluprácu na vývoji riešení v oblasti aditívnej výroby pre stomatologický priemysel. Spolupráca umožní spoločnosti Henkel doplniť možnosti použitia v stomatológii do svojho portfólia 3D tlače, ktoré je jedným z prvých trhov, kde vývoj prototypov prešiel do komerčného uplatnenia živíc v hotových výrobkoch. Získaním partnera z radov popredných globálnych výrobcov materiálov, akým je Henkel, sa spoločnosť </w:t>
      </w:r>
      <w:proofErr w:type="spellStart"/>
      <w:r w:rsidRPr="009559D8">
        <w:rPr>
          <w:rFonts w:ascii="Calibri" w:hAnsi="Calibri" w:cs="Calibri"/>
          <w:b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b/>
          <w:szCs w:val="22"/>
          <w:lang w:val="sk-SK"/>
        </w:rPr>
        <w:t xml:space="preserve"> snaží ďalej rozšíriť svoju činnosť v tomto odvetví. </w:t>
      </w:r>
    </w:p>
    <w:p w14:paraId="658774AF" w14:textId="77777777" w:rsidR="006B4030" w:rsidRPr="009559D8" w:rsidRDefault="006B4030" w:rsidP="006B4030">
      <w:pPr>
        <w:rPr>
          <w:rFonts w:ascii="Calibri" w:hAnsi="Calibri" w:cs="Calibri"/>
          <w:szCs w:val="22"/>
          <w:lang w:val="sk-SK"/>
        </w:rPr>
      </w:pPr>
      <w:r w:rsidRPr="009559D8">
        <w:rPr>
          <w:rFonts w:ascii="Calibri" w:hAnsi="Calibri" w:cs="Calibri"/>
          <w:szCs w:val="22"/>
          <w:lang w:val="sk-SK"/>
        </w:rPr>
        <w:t xml:space="preserve"> </w:t>
      </w:r>
    </w:p>
    <w:p w14:paraId="18944547" w14:textId="77777777" w:rsidR="006B4030" w:rsidRPr="009559D8" w:rsidRDefault="006B4030" w:rsidP="006B4030">
      <w:pPr>
        <w:spacing w:line="280" w:lineRule="auto"/>
        <w:rPr>
          <w:rFonts w:ascii="Calibri" w:hAnsi="Calibri" w:cs="Calibri"/>
          <w:szCs w:val="22"/>
          <w:lang w:val="sk-SK"/>
        </w:rPr>
      </w:pPr>
      <w:r w:rsidRPr="009559D8">
        <w:rPr>
          <w:rFonts w:ascii="Calibri" w:hAnsi="Calibri" w:cs="Calibri"/>
          <w:szCs w:val="22"/>
          <w:lang w:val="sk-SK"/>
        </w:rPr>
        <w:t xml:space="preserve">Henkel je popredným svetovým výrobcom </w:t>
      </w:r>
      <w:r w:rsidRPr="009559D8">
        <w:rPr>
          <w:rFonts w:ascii="Calibri" w:hAnsi="Calibri" w:cs="Calibri"/>
          <w:bCs/>
          <w:szCs w:val="22"/>
          <w:lang w:val="sk-SK"/>
        </w:rPr>
        <w:t>progresívnych materiálov a služieb v oblasti aditívnej výroby pre širokú škálu odvetvových segmentov</w:t>
      </w:r>
      <w:r w:rsidRPr="009559D8">
        <w:rPr>
          <w:rFonts w:ascii="Calibri" w:hAnsi="Calibri" w:cs="Calibri"/>
          <w:szCs w:val="22"/>
          <w:lang w:val="sk-SK"/>
        </w:rPr>
        <w:t xml:space="preserve">. Pod svojou značkou </w:t>
      </w:r>
      <w:proofErr w:type="spellStart"/>
      <w:r w:rsidRPr="009559D8">
        <w:rPr>
          <w:rFonts w:ascii="Calibri" w:hAnsi="Calibri" w:cs="Calibri"/>
          <w:szCs w:val="22"/>
          <w:lang w:val="sk-SK"/>
        </w:rPr>
        <w:t>Loctite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vyvíja a uvádza na trh nové riešenia, ktoré umožňujú používanie 3D tlače v odvetviach, ako sú napr. letecký a automobilový priemysel, strojárstvo a spotrebný tovar.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je popredným výrobcom stomatologických výrobkov v oblasti digitálnych technológií, v laboratórnom a operačnom prostredí a v oblasti prevencie. Má viac než 100 rokov skúseností v stomatologickom priemysle a svoje inovatívne portfólio prispôsobených riešení pre 3D tlač ponúka pod značkou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KeyPrint</w:t>
      </w:r>
      <w:proofErr w:type="spellEnd"/>
      <w:r w:rsidRPr="009559D8">
        <w:rPr>
          <w:rFonts w:ascii="Calibri" w:hAnsi="Calibri" w:cs="Calibri"/>
          <w:szCs w:val="22"/>
          <w:lang w:val="sk-SK"/>
        </w:rPr>
        <w:t>.</w:t>
      </w:r>
    </w:p>
    <w:p w14:paraId="0B327742" w14:textId="77777777" w:rsidR="006B4030" w:rsidRPr="009559D8" w:rsidRDefault="006B4030" w:rsidP="006B4030">
      <w:pPr>
        <w:rPr>
          <w:rFonts w:ascii="Calibri" w:hAnsi="Calibri" w:cs="Calibri"/>
          <w:szCs w:val="22"/>
          <w:lang w:val="sk-SK"/>
        </w:rPr>
      </w:pPr>
    </w:p>
    <w:p w14:paraId="2A15D6E0" w14:textId="77777777" w:rsidR="006B4030" w:rsidRPr="009559D8" w:rsidRDefault="006B4030" w:rsidP="006B4030">
      <w:pPr>
        <w:shd w:val="clear" w:color="auto" w:fill="FFFFFF"/>
        <w:spacing w:line="280" w:lineRule="auto"/>
        <w:rPr>
          <w:rFonts w:ascii="Calibri" w:hAnsi="Calibri" w:cs="Calibri"/>
          <w:i/>
          <w:iCs/>
          <w:szCs w:val="22"/>
          <w:lang w:val="sk-SK"/>
        </w:rPr>
      </w:pPr>
      <w:r w:rsidRPr="009559D8">
        <w:rPr>
          <w:rFonts w:ascii="Calibri" w:hAnsi="Calibri" w:cs="Calibri"/>
          <w:i/>
          <w:iCs/>
          <w:szCs w:val="22"/>
          <w:lang w:val="sk-SK"/>
        </w:rPr>
        <w:t xml:space="preserve">„Máme veľkú radosť, že sme našli takého prirodzeného partnera, akým je </w:t>
      </w:r>
      <w:proofErr w:type="spellStart"/>
      <w:r w:rsidRPr="009559D8">
        <w:rPr>
          <w:rFonts w:ascii="Calibri" w:hAnsi="Calibri" w:cs="Calibri"/>
          <w:i/>
          <w:iCs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i/>
          <w:iCs/>
          <w:szCs w:val="22"/>
          <w:lang w:val="sk-SK"/>
        </w:rPr>
        <w:t>,“</w:t>
      </w:r>
      <w:r w:rsidRPr="009559D8">
        <w:rPr>
          <w:rFonts w:ascii="Calibri" w:hAnsi="Calibri" w:cs="Calibri"/>
          <w:szCs w:val="22"/>
          <w:lang w:val="sk-SK"/>
        </w:rPr>
        <w:t xml:space="preserve"> povedal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Ken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</w:t>
      </w:r>
      <w:proofErr w:type="spellStart"/>
      <w:r w:rsidRPr="009559D8">
        <w:rPr>
          <w:rFonts w:ascii="Calibri" w:hAnsi="Calibri" w:cs="Calibri"/>
          <w:szCs w:val="22"/>
          <w:lang w:val="sk-SK"/>
        </w:rPr>
        <w:t>Kisner</w:t>
      </w:r>
      <w:proofErr w:type="spellEnd"/>
      <w:r w:rsidRPr="009559D8">
        <w:rPr>
          <w:rFonts w:ascii="Calibri" w:hAnsi="Calibri" w:cs="Calibri"/>
          <w:szCs w:val="22"/>
          <w:lang w:val="sk-SK"/>
        </w:rPr>
        <w:t>, ktorý v spoločnosti Henkel zodpovedá za Inovácie v oblasti 3D tlače (</w:t>
      </w:r>
      <w:proofErr w:type="spellStart"/>
      <w:r w:rsidRPr="009559D8">
        <w:rPr>
          <w:rFonts w:ascii="Calibri" w:hAnsi="Calibri" w:cs="Calibri"/>
          <w:szCs w:val="22"/>
          <w:lang w:val="sk-SK"/>
        </w:rPr>
        <w:t>Innovation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</w:t>
      </w:r>
      <w:proofErr w:type="spellStart"/>
      <w:r w:rsidRPr="009559D8">
        <w:rPr>
          <w:rFonts w:ascii="Calibri" w:hAnsi="Calibri" w:cs="Calibri"/>
          <w:szCs w:val="22"/>
          <w:lang w:val="sk-SK"/>
        </w:rPr>
        <w:t>for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3D </w:t>
      </w:r>
      <w:proofErr w:type="spellStart"/>
      <w:r w:rsidRPr="009559D8">
        <w:rPr>
          <w:rFonts w:ascii="Calibri" w:hAnsi="Calibri" w:cs="Calibri"/>
          <w:szCs w:val="22"/>
          <w:lang w:val="sk-SK"/>
        </w:rPr>
        <w:t>Printing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). </w:t>
      </w:r>
      <w:r w:rsidRPr="009559D8">
        <w:rPr>
          <w:rFonts w:ascii="Calibri" w:hAnsi="Calibri" w:cs="Calibri"/>
          <w:i/>
          <w:iCs/>
          <w:szCs w:val="22"/>
          <w:lang w:val="sk-SK"/>
        </w:rPr>
        <w:t xml:space="preserve">„Kombináciou ich dlhoročného know-how v  stomatologickom priemysle a našich širokých odborných znalostí v oblasti materiálov, ako aj nášho prístupu na trh, sa otvoria nové príležitosti na vývoj a komerčné uplatnenie kvalitných riešení pre trhy so stomatologickými výrobkami. Naše schopnosti rýchlej inovácie budú v podmienkach takéhoto dynamického trhu veľmi užitočné, pričom dlhoročná tradícia spoločnosti </w:t>
      </w:r>
      <w:proofErr w:type="spellStart"/>
      <w:r w:rsidRPr="009559D8">
        <w:rPr>
          <w:rFonts w:ascii="Calibri" w:hAnsi="Calibri" w:cs="Calibri"/>
          <w:i/>
          <w:iCs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i/>
          <w:iCs/>
          <w:szCs w:val="22"/>
          <w:lang w:val="sk-SK"/>
        </w:rPr>
        <w:t xml:space="preserve"> v oblasti výroby zdravotníckych pomôcok na báze polymérov, ktoré spĺňajú normy ISO, má pre nás obrovskú hodnotu.“ </w:t>
      </w:r>
    </w:p>
    <w:p w14:paraId="22E1162F" w14:textId="77777777" w:rsidR="006B4030" w:rsidRPr="009559D8" w:rsidRDefault="006B4030" w:rsidP="006B4030">
      <w:pPr>
        <w:shd w:val="clear" w:color="auto" w:fill="FFFFFF"/>
        <w:rPr>
          <w:rFonts w:ascii="Calibri" w:hAnsi="Calibri" w:cs="Calibri"/>
          <w:szCs w:val="22"/>
          <w:lang w:val="sk-SK"/>
        </w:rPr>
      </w:pPr>
      <w:r w:rsidRPr="009559D8">
        <w:rPr>
          <w:rFonts w:ascii="Calibri" w:hAnsi="Calibri" w:cs="Calibri"/>
          <w:szCs w:val="22"/>
          <w:lang w:val="sk-SK"/>
        </w:rPr>
        <w:t xml:space="preserve"> </w:t>
      </w:r>
    </w:p>
    <w:p w14:paraId="301CD581" w14:textId="77777777" w:rsidR="006B4030" w:rsidRPr="009559D8" w:rsidRDefault="006B4030" w:rsidP="006B4030">
      <w:pPr>
        <w:spacing w:line="280" w:lineRule="auto"/>
        <w:rPr>
          <w:rFonts w:ascii="Calibri" w:hAnsi="Calibri" w:cs="Calibri"/>
          <w:i/>
          <w:iCs/>
          <w:szCs w:val="22"/>
          <w:lang w:val="sk-SK"/>
        </w:rPr>
      </w:pPr>
      <w:r w:rsidRPr="009559D8">
        <w:rPr>
          <w:rFonts w:ascii="Calibri" w:hAnsi="Calibri" w:cs="Calibri"/>
          <w:i/>
          <w:iCs/>
          <w:szCs w:val="22"/>
          <w:lang w:val="sk-SK"/>
        </w:rPr>
        <w:t>„Teší nás, že sme mohli vstúpiť do partnerstva s popredným svetovým výrobcom a jeho tímom odborníkov,“</w:t>
      </w:r>
      <w:r w:rsidRPr="009559D8">
        <w:rPr>
          <w:rFonts w:ascii="Calibri" w:hAnsi="Calibri" w:cs="Calibri"/>
          <w:szCs w:val="22"/>
          <w:lang w:val="sk-SK"/>
        </w:rPr>
        <w:t xml:space="preserve"> doplnil </w:t>
      </w:r>
      <w:proofErr w:type="spellStart"/>
      <w:r w:rsidRPr="009559D8">
        <w:rPr>
          <w:rFonts w:ascii="Calibri" w:hAnsi="Calibri" w:cs="Calibri"/>
          <w:szCs w:val="22"/>
          <w:lang w:val="sk-SK"/>
        </w:rPr>
        <w:t>Ira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</w:t>
      </w:r>
      <w:proofErr w:type="spellStart"/>
      <w:r w:rsidRPr="009559D8">
        <w:rPr>
          <w:rFonts w:ascii="Calibri" w:hAnsi="Calibri" w:cs="Calibri"/>
          <w:szCs w:val="22"/>
          <w:lang w:val="sk-SK"/>
        </w:rPr>
        <w:t>Rosenau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, prezident v spoločnosti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szCs w:val="22"/>
          <w:lang w:val="sk-SK"/>
        </w:rPr>
        <w:t>. „</w:t>
      </w:r>
      <w:r w:rsidRPr="009559D8">
        <w:rPr>
          <w:rFonts w:ascii="Calibri" w:hAnsi="Calibri" w:cs="Calibri"/>
          <w:i/>
          <w:iCs/>
          <w:szCs w:val="22"/>
          <w:lang w:val="sk-SK"/>
        </w:rPr>
        <w:t xml:space="preserve">Odborné znalosti a globálna prítomnosť spoločnosti Henkel nám umožnia ďalej prinášať naše inovatívne riešenia v oblasti 3D tlače </w:t>
      </w:r>
      <w:r w:rsidRPr="009559D8">
        <w:rPr>
          <w:rFonts w:ascii="Calibri" w:hAnsi="Calibri" w:cs="Calibri"/>
          <w:i/>
          <w:iCs/>
          <w:szCs w:val="22"/>
          <w:lang w:val="sk-SK"/>
        </w:rPr>
        <w:lastRenderedPageBreak/>
        <w:t>do všetkých kútov celosvetového trhu so stomatologickými výrobkami. Spolupráca je vzájomne výhodná pre obe spoločnosti a ponúka príležitosti na ďalší rast.“</w:t>
      </w:r>
    </w:p>
    <w:p w14:paraId="5D3773D4" w14:textId="77777777" w:rsidR="006B4030" w:rsidRPr="009559D8" w:rsidRDefault="006B4030" w:rsidP="006B4030">
      <w:pPr>
        <w:rPr>
          <w:rFonts w:ascii="Calibri" w:hAnsi="Calibri" w:cs="Calibri"/>
          <w:szCs w:val="22"/>
          <w:lang w:val="sk-SK"/>
        </w:rPr>
      </w:pPr>
    </w:p>
    <w:p w14:paraId="33636E2C" w14:textId="77777777" w:rsidR="006B4030" w:rsidRPr="009559D8" w:rsidRDefault="006B4030" w:rsidP="006B4030">
      <w:pPr>
        <w:spacing w:after="160" w:line="280" w:lineRule="auto"/>
        <w:rPr>
          <w:rFonts w:ascii="Calibri" w:hAnsi="Calibri" w:cs="Calibri"/>
          <w:szCs w:val="22"/>
          <w:lang w:val="sk-SK"/>
        </w:rPr>
      </w:pPr>
      <w:proofErr w:type="spellStart"/>
      <w:r w:rsidRPr="009559D8">
        <w:rPr>
          <w:rFonts w:ascii="Calibri" w:hAnsi="Calibri" w:cs="Calibri"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je už mnoho rokov partnerom korporácie </w:t>
      </w:r>
      <w:proofErr w:type="spellStart"/>
      <w:r w:rsidRPr="009559D8">
        <w:rPr>
          <w:rFonts w:ascii="Calibri" w:hAnsi="Calibri" w:cs="Calibri"/>
          <w:szCs w:val="22"/>
          <w:lang w:val="sk-SK"/>
        </w:rPr>
        <w:t>Molecule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Corp., ktorú spoločnosť Henkel nadobudla v roku 2019. Okrem toho majú obe spoločnosti dlhodobé obchodné vzťahy s poprednými OEM výrobcami tlačiarní. V rámci svojej rozšírenej spolupráce budú Henkel a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Keystone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ďalej podporovať širšie zavádzanie produktového radu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KeyPrint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prostredníctvom zintenzívnenia validácií a partnerstiev s výrobcami 3D tlačiarní a rýchlou inováciou nových materiálov tak, aby prispôsobené 3D riešenia mohli pomáhať stomatologickým pracovníkom a pacientom. Kombináciou značiek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KeyPrint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a </w:t>
      </w:r>
      <w:proofErr w:type="spellStart"/>
      <w:r w:rsidRPr="009559D8">
        <w:rPr>
          <w:rFonts w:ascii="Calibri" w:hAnsi="Calibri" w:cs="Calibri"/>
          <w:szCs w:val="22"/>
          <w:lang w:val="sk-SK"/>
        </w:rPr>
        <w:t>Loctite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sa spoja sily obidvoch spoločností v prospech spotrebiteľov na trhu so stomatologickými výrobkami a zefektívni sa výroba stomatologických komponentov, ako sú napr. unikátne živice na nočné chrániče a dlahy </w:t>
      </w:r>
      <w:proofErr w:type="spellStart"/>
      <w:r w:rsidRPr="009559D8">
        <w:rPr>
          <w:rFonts w:ascii="Calibri" w:hAnsi="Calibri" w:cs="Calibri"/>
          <w:szCs w:val="22"/>
          <w:lang w:val="sk-SK"/>
        </w:rPr>
        <w:t>KeySplint</w:t>
      </w:r>
      <w:proofErr w:type="spellEnd"/>
      <w:r w:rsidRPr="009559D8">
        <w:rPr>
          <w:rFonts w:ascii="Calibri" w:hAnsi="Calibri" w:cs="Calibri"/>
          <w:szCs w:val="22"/>
          <w:lang w:val="sk-SK"/>
        </w:rPr>
        <w:t xml:space="preserve"> Soft. Obe spoločnosti budú spoločne pracovať na budovaní príležitostí, zvyšovaní povedomia v rámci trhu a uvádzaní riešení v oblasti 3D tlače na globálny trh.</w:t>
      </w:r>
    </w:p>
    <w:p w14:paraId="088665E1" w14:textId="77777777" w:rsidR="006B4030" w:rsidRPr="009559D8" w:rsidRDefault="006B4030" w:rsidP="006B4030">
      <w:pPr>
        <w:rPr>
          <w:rStyle w:val="AboutandContactBody"/>
          <w:rFonts w:ascii="Calibri" w:hAnsi="Calibri" w:cs="Calibri"/>
          <w:szCs w:val="18"/>
          <w:lang w:val="sk-SK"/>
        </w:rPr>
      </w:pPr>
    </w:p>
    <w:p w14:paraId="26FF1EB0" w14:textId="77777777" w:rsidR="006B4030" w:rsidRPr="009559D8" w:rsidRDefault="006B4030" w:rsidP="006B4030">
      <w:pPr>
        <w:spacing w:line="280" w:lineRule="auto"/>
        <w:rPr>
          <w:rFonts w:ascii="Calibri" w:hAnsi="Calibri" w:cs="Calibri"/>
          <w:sz w:val="18"/>
          <w:szCs w:val="18"/>
          <w:lang w:val="sk-SK"/>
        </w:rPr>
      </w:pPr>
      <w:r w:rsidRPr="009559D8">
        <w:rPr>
          <w:rFonts w:ascii="Calibri" w:hAnsi="Calibri" w:cs="Calibri"/>
          <w:b/>
          <w:sz w:val="18"/>
          <w:szCs w:val="18"/>
          <w:lang w:val="sk-SK"/>
        </w:rPr>
        <w:t xml:space="preserve">O spoločnosti </w:t>
      </w:r>
      <w:proofErr w:type="spellStart"/>
      <w:r w:rsidRPr="009559D8">
        <w:rPr>
          <w:rFonts w:ascii="Calibri" w:hAnsi="Calibri" w:cs="Calibri"/>
          <w:b/>
          <w:sz w:val="18"/>
          <w:szCs w:val="18"/>
          <w:lang w:val="sk-SK"/>
        </w:rPr>
        <w:t>Keystone</w:t>
      </w:r>
      <w:proofErr w:type="spellEnd"/>
    </w:p>
    <w:p w14:paraId="24491763" w14:textId="77777777" w:rsidR="006B4030" w:rsidRPr="009559D8" w:rsidRDefault="006B4030" w:rsidP="006B4030">
      <w:pPr>
        <w:spacing w:line="280" w:lineRule="auto"/>
        <w:rPr>
          <w:rFonts w:ascii="Calibri" w:hAnsi="Calibri" w:cs="Calibri"/>
          <w:sz w:val="18"/>
          <w:szCs w:val="18"/>
          <w:lang w:val="sk-SK"/>
        </w:rPr>
      </w:pPr>
      <w:r w:rsidRPr="009559D8">
        <w:rPr>
          <w:rFonts w:ascii="Calibri" w:hAnsi="Calibri" w:cs="Calibri"/>
          <w:sz w:val="18"/>
          <w:szCs w:val="18"/>
          <w:lang w:val="sk-SK"/>
        </w:rPr>
        <w:t xml:space="preserve">Skupina spoločností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Keystone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, ktoré pôsobia v stomatologickom priemysle, sa zameriava najmä na spotrebný tovar používaný v rámci digitálnych technológií, v laboratórnom a operačnom prostredí, ako aj v oblasti prevencie.  Sme globálnym dodávateľom so širokou sieťou, ktorá pozostáva z viac než 800 distribučných partnerov v oblasti stomatologického priemyslu v USA a vo viac než 70 krajinách na celom svete.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Keystone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vyvíja prvotriedne výrobky vo svojom odvetví, ako napr. inovatívny produktový rad živíc na 3D tlač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KeyPrint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®, vysokopevný materiál na umelý chrup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Diamond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D®, produktový rad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termoplastických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materiálov Pro-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Form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®, inovatívne a patentom chránené výrobky pre laboratóriá, ako sú napr. keramický sprej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Enamelite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na glazúry a profylaktická pasta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Gelato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Prophy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Paste, ktorá vyhrala súťaž Najlepší výrobok roka organizovanú časopisom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Dental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Advisor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.  Spoločnosť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Keystone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už takmer tridsať rokov navrhuje zloženie najmodernejších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biokompatibilných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patentovaných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fotopolymérnych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živíc pre stomatologický priemysel a nechtovú kozmetiku, pričom tieto živice aj vyrába. Je držiteľom licencie Amerického úradu pre kontrolu potravín a liekov (FDA) a certifikátov ISO 13485 (zdravotnícke pomôcky) a 22716, vrátane certifikátov pre správnu výrobnú prax (GMP) a medzinárodných registrácií produktov. Ak sa chcete dozvedieť viac informácií, navštívte https://dental.keystoneindustries.com, pridajte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Like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na stránke spoločnosti </w:t>
      </w:r>
      <w:proofErr w:type="spellStart"/>
      <w:r w:rsidRPr="009559D8">
        <w:rPr>
          <w:rFonts w:ascii="Calibri" w:hAnsi="Calibri" w:cs="Calibri"/>
          <w:sz w:val="18"/>
          <w:szCs w:val="18"/>
          <w:lang w:val="sk-SK"/>
        </w:rPr>
        <w:t>Keystone</w:t>
      </w:r>
      <w:proofErr w:type="spellEnd"/>
      <w:r w:rsidRPr="009559D8">
        <w:rPr>
          <w:rFonts w:ascii="Calibri" w:hAnsi="Calibri" w:cs="Calibri"/>
          <w:sz w:val="18"/>
          <w:szCs w:val="18"/>
          <w:lang w:val="sk-SK"/>
        </w:rPr>
        <w:t xml:space="preserve"> na Facebooku alebo nás sledujte na Instagrame a Twitteri.</w:t>
      </w:r>
    </w:p>
    <w:p w14:paraId="2312F574" w14:textId="77777777" w:rsidR="006B4030" w:rsidRPr="009559D8" w:rsidRDefault="006B4030" w:rsidP="006B4030">
      <w:pPr>
        <w:spacing w:line="360" w:lineRule="auto"/>
        <w:rPr>
          <w:rStyle w:val="AboutandContactBody"/>
          <w:rFonts w:ascii="Calibri" w:hAnsi="Calibri" w:cs="Calibri"/>
          <w:szCs w:val="18"/>
          <w:lang w:val="sk-SK"/>
        </w:rPr>
      </w:pPr>
    </w:p>
    <w:p w14:paraId="295F175E" w14:textId="77777777" w:rsidR="006B4030" w:rsidRPr="009559D8" w:rsidRDefault="006B4030" w:rsidP="006B4030">
      <w:pPr>
        <w:spacing w:line="280" w:lineRule="auto"/>
        <w:rPr>
          <w:rStyle w:val="AboutandContactBody"/>
          <w:rFonts w:ascii="Calibri" w:hAnsi="Calibri" w:cs="Calibri"/>
          <w:szCs w:val="18"/>
          <w:lang w:val="sk-SK"/>
        </w:rPr>
      </w:pPr>
      <w:r w:rsidRPr="009559D8">
        <w:rPr>
          <w:rStyle w:val="AboutandContactBody"/>
          <w:rFonts w:ascii="Calibri" w:hAnsi="Calibri" w:cs="Calibri"/>
          <w:szCs w:val="18"/>
          <w:lang w:val="sk-SK"/>
        </w:rPr>
        <w:t xml:space="preserve">Henkel a </w:t>
      </w:r>
      <w:proofErr w:type="spellStart"/>
      <w:r w:rsidRPr="009559D8">
        <w:rPr>
          <w:rStyle w:val="AboutandContactBody"/>
          <w:rFonts w:ascii="Calibri" w:hAnsi="Calibri" w:cs="Calibri"/>
          <w:szCs w:val="18"/>
          <w:lang w:val="sk-SK"/>
        </w:rPr>
        <w:t>Keystone</w:t>
      </w:r>
      <w:proofErr w:type="spellEnd"/>
      <w:r w:rsidRPr="009559D8">
        <w:rPr>
          <w:rStyle w:val="AboutandContactBody"/>
          <w:rFonts w:ascii="Calibri" w:hAnsi="Calibri" w:cs="Calibri"/>
          <w:szCs w:val="18"/>
          <w:lang w:val="sk-SK"/>
        </w:rPr>
        <w:t xml:space="preserve"> spolupracujú na riešeniach v oblasti 3D tlače pre stomatologický priemysel</w:t>
      </w:r>
    </w:p>
    <w:p w14:paraId="40103BC7" w14:textId="77777777" w:rsidR="006B4030" w:rsidRPr="009559D8" w:rsidRDefault="006B4030" w:rsidP="006B4030">
      <w:pPr>
        <w:rPr>
          <w:rStyle w:val="AboutandContactBody"/>
          <w:rFonts w:ascii="Calibri" w:hAnsi="Calibri" w:cs="Calibri"/>
          <w:szCs w:val="18"/>
          <w:lang w:val="sk-SK"/>
        </w:rPr>
      </w:pPr>
    </w:p>
    <w:p w14:paraId="49D217D6" w14:textId="77777777" w:rsidR="006B4030" w:rsidRPr="009559D8" w:rsidRDefault="006B4030" w:rsidP="006B4030">
      <w:pPr>
        <w:spacing w:line="280" w:lineRule="auto"/>
        <w:rPr>
          <w:rStyle w:val="AboutandContactBody"/>
          <w:rFonts w:ascii="Calibri" w:hAnsi="Calibri" w:cs="Calibri"/>
          <w:szCs w:val="18"/>
          <w:lang w:val="sk-SK"/>
        </w:rPr>
      </w:pPr>
      <w:r w:rsidRPr="009559D8">
        <w:rPr>
          <w:rStyle w:val="AboutandContactBody"/>
          <w:rFonts w:ascii="Calibri" w:hAnsi="Calibri" w:cs="Calibri"/>
          <w:szCs w:val="18"/>
          <w:lang w:val="sk-SK"/>
        </w:rPr>
        <w:t xml:space="preserve">Prispôsobené riešenia pre stomatologický priemysel predávané pod značkou </w:t>
      </w:r>
      <w:proofErr w:type="spellStart"/>
      <w:r w:rsidRPr="009559D8">
        <w:rPr>
          <w:rStyle w:val="AboutandContactBody"/>
          <w:rFonts w:ascii="Calibri" w:hAnsi="Calibri" w:cs="Calibri"/>
          <w:szCs w:val="18"/>
          <w:lang w:val="sk-SK"/>
        </w:rPr>
        <w:t>KeyPrint</w:t>
      </w:r>
      <w:proofErr w:type="spellEnd"/>
    </w:p>
    <w:p w14:paraId="42A7C079" w14:textId="388FC889" w:rsidR="00B368BD" w:rsidRDefault="00B368BD" w:rsidP="0084769D">
      <w:pPr>
        <w:rPr>
          <w:rStyle w:val="AboutandContactHeadline"/>
          <w:lang w:val="sk-SK"/>
        </w:rPr>
      </w:pPr>
    </w:p>
    <w:p w14:paraId="7F0CFCCB" w14:textId="77777777" w:rsidR="00B368BD" w:rsidRPr="00E66FF2" w:rsidRDefault="00B368BD" w:rsidP="0084769D">
      <w:pPr>
        <w:rPr>
          <w:rStyle w:val="AboutandContactHeadline"/>
          <w:lang w:val="sk-SK"/>
        </w:rPr>
      </w:pPr>
    </w:p>
    <w:p w14:paraId="160E7297" w14:textId="77777777" w:rsidR="00C50C62" w:rsidRPr="0045611C" w:rsidRDefault="00C50C62" w:rsidP="00C50C62">
      <w:pPr>
        <w:spacing w:line="280" w:lineRule="auto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t>O spoločnosti Henkel</w:t>
      </w:r>
    </w:p>
    <w:p w14:paraId="434EBEC8" w14:textId="77777777" w:rsidR="00C50C62" w:rsidRPr="00676300" w:rsidRDefault="00C50C62" w:rsidP="00C50C62">
      <w:pPr>
        <w:spacing w:line="280" w:lineRule="auto"/>
        <w:rPr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45611C">
        <w:rPr>
          <w:szCs w:val="20"/>
          <w:lang w:val="sk-SK"/>
        </w:rPr>
        <w:t>Adhesive</w:t>
      </w:r>
      <w:proofErr w:type="spellEnd"/>
      <w:r w:rsidRPr="0045611C">
        <w:rPr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45611C">
        <w:rPr>
          <w:szCs w:val="20"/>
          <w:lang w:val="sk-SK"/>
        </w:rPr>
        <w:t>Laundry</w:t>
      </w:r>
      <w:proofErr w:type="spellEnd"/>
      <w:r w:rsidRPr="0045611C">
        <w:rPr>
          <w:szCs w:val="20"/>
          <w:lang w:val="sk-SK"/>
        </w:rPr>
        <w:t xml:space="preserve">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 xml:space="preserve">V roku 2019 dosiahla obrat vo výške 20 mld. eur a upravený prevádzkový zisk približne vo výške 3,2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 xml:space="preserve">ur. Henkel zamestnáva </w:t>
      </w:r>
      <w:r w:rsidRPr="00F500F8">
        <w:rPr>
          <w:szCs w:val="20"/>
          <w:lang w:val="sk-SK"/>
        </w:rPr>
        <w:lastRenderedPageBreak/>
        <w:t>viac než 52 000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061FC6">
          <w:rPr>
            <w:rStyle w:val="Hypertextovprepojenie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45611C" w:rsidRDefault="00C50C62" w:rsidP="00C50C62">
      <w:pPr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45611C" w:rsidRDefault="00C50C62" w:rsidP="00C50C62">
      <w:pPr>
        <w:spacing w:line="280" w:lineRule="auto"/>
        <w:rPr>
          <w:sz w:val="24"/>
          <w:lang w:val="sk-SK"/>
        </w:rPr>
      </w:pPr>
    </w:p>
    <w:p w14:paraId="5716F14E" w14:textId="77777777" w:rsidR="00C50C62" w:rsidRPr="0045611C" w:rsidRDefault="00C50C62" w:rsidP="00C50C62">
      <w:pPr>
        <w:spacing w:line="240" w:lineRule="auto"/>
        <w:rPr>
          <w:bCs/>
          <w:sz w:val="24"/>
          <w:lang w:val="sk-SK" w:eastAsia="de-DE"/>
        </w:rPr>
      </w:pPr>
    </w:p>
    <w:p w14:paraId="26342723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9CE2F79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Zuzana </w:t>
      </w:r>
      <w:proofErr w:type="spellStart"/>
      <w:r w:rsidRPr="00676A4C">
        <w:rPr>
          <w:rFonts w:cs="Arial"/>
          <w:szCs w:val="20"/>
          <w:lang w:val="sk-SK" w:bidi="sk-SK"/>
        </w:rPr>
        <w:t>Kaňuchová</w:t>
      </w:r>
      <w:proofErr w:type="spellEnd"/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Riaditeľka </w:t>
      </w:r>
      <w:proofErr w:type="spellStart"/>
      <w:r w:rsidRPr="00676A4C">
        <w:rPr>
          <w:rFonts w:cs="Arial"/>
          <w:szCs w:val="20"/>
          <w:lang w:val="sk-SK" w:bidi="sk-SK"/>
        </w:rPr>
        <w:t>korporátnej</w:t>
      </w:r>
      <w:proofErr w:type="spellEnd"/>
      <w:r w:rsidRPr="00676A4C">
        <w:rPr>
          <w:rFonts w:cs="Arial"/>
          <w:szCs w:val="20"/>
          <w:lang w:val="sk-SK" w:bidi="sk-SK"/>
        </w:rPr>
        <w:t xml:space="preserve">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2" w:history="1">
        <w:r w:rsidRPr="008F1DC2">
          <w:rPr>
            <w:rStyle w:val="Hypertextovprepojenie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493A" w14:textId="77777777" w:rsidR="00FF4F1E" w:rsidRDefault="00FF4F1E">
      <w:r>
        <w:separator/>
      </w:r>
    </w:p>
  </w:endnote>
  <w:endnote w:type="continuationSeparator" w:id="0">
    <w:p w14:paraId="6D8E22F9" w14:textId="77777777" w:rsidR="00FF4F1E" w:rsidRDefault="00F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6B4030">
      <w:fldChar w:fldCharType="begin"/>
    </w:r>
    <w:r w:rsidR="006B4030">
      <w:instrText xml:space="preserve"> NUMPAGES  \* Arabic  \* MERGEFORMAT </w:instrText>
    </w:r>
    <w:r w:rsidR="006B4030">
      <w:fldChar w:fldCharType="separate"/>
    </w:r>
    <w:r w:rsidR="00AD749D">
      <w:t>4</w:t>
    </w:r>
    <w:r w:rsidR="006B403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7B3F" w14:textId="77777777" w:rsidR="00FF4F1E" w:rsidRDefault="00FF4F1E">
      <w:bookmarkStart w:id="0" w:name="_Hlk47541104"/>
      <w:bookmarkEnd w:id="0"/>
      <w:r>
        <w:separator/>
      </w:r>
    </w:p>
  </w:footnote>
  <w:footnote w:type="continuationSeparator" w:id="0">
    <w:p w14:paraId="39F82401" w14:textId="77777777" w:rsidR="00FF4F1E" w:rsidRDefault="00FF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B5578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368BD"/>
    <w:rsid w:val="00B422EC"/>
    <w:rsid w:val="00B63C6C"/>
    <w:rsid w:val="00B726D4"/>
    <w:rsid w:val="00B8214F"/>
    <w:rsid w:val="00B86A4F"/>
    <w:rsid w:val="00B86F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51D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ed4518-919d-4839-afd6-808ec5b6ae4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915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Monika Villemová</cp:lastModifiedBy>
  <cp:revision>3</cp:revision>
  <cp:lastPrinted>2016-11-16T02:11:00Z</cp:lastPrinted>
  <dcterms:created xsi:type="dcterms:W3CDTF">2020-10-09T06:24:00Z</dcterms:created>
  <dcterms:modified xsi:type="dcterms:W3CDTF">2020-10-09T06:25:00Z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