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2FC81EA0" w:rsidR="00B422EC" w:rsidRPr="001D7568" w:rsidRDefault="00F4089B" w:rsidP="00643D8A">
      <w:pPr>
        <w:pStyle w:val="MonthDayYear"/>
        <w:rPr>
          <w:lang w:val="sk-SK"/>
        </w:rPr>
      </w:pPr>
      <w:r>
        <w:rPr>
          <w:lang w:val="sk-SK"/>
        </w:rPr>
        <w:t>17</w:t>
      </w:r>
      <w:r w:rsidR="00B86F4F">
        <w:rPr>
          <w:lang w:val="sk-SK"/>
        </w:rPr>
        <w:t>. s</w:t>
      </w:r>
      <w:r w:rsidR="00EA5F8C">
        <w:rPr>
          <w:lang w:val="sk-SK"/>
        </w:rPr>
        <w:t>eptember</w:t>
      </w:r>
      <w:r w:rsidR="00263D3E" w:rsidRPr="001D7568">
        <w:rPr>
          <w:lang w:val="sk-SK"/>
        </w:rPr>
        <w:t xml:space="preserve"> </w:t>
      </w:r>
      <w:r w:rsidR="00BF6E82" w:rsidRPr="001D7568">
        <w:rPr>
          <w:lang w:val="sk-SK"/>
        </w:rPr>
        <w:t>20</w:t>
      </w:r>
      <w:r w:rsidR="00F635FC" w:rsidRPr="001D7568">
        <w:rPr>
          <w:lang w:val="sk-SK"/>
        </w:rPr>
        <w:t>20</w:t>
      </w:r>
    </w:p>
    <w:p w14:paraId="036B72C0" w14:textId="77777777" w:rsidR="00C51B88" w:rsidRDefault="00C51B88" w:rsidP="0084769D">
      <w:pPr>
        <w:rPr>
          <w:rFonts w:cs="Segoe UI"/>
          <w:szCs w:val="22"/>
          <w:lang w:val="sk-SK"/>
        </w:rPr>
      </w:pPr>
    </w:p>
    <w:p w14:paraId="55D45093" w14:textId="77777777" w:rsidR="00F4089B" w:rsidRPr="004C36C6" w:rsidRDefault="00F4089B" w:rsidP="00F4089B">
      <w:pPr>
        <w:pStyle w:val="Topline"/>
        <w:spacing w:line="280" w:lineRule="auto"/>
        <w:rPr>
          <w:lang w:val="sk-SK"/>
        </w:rPr>
      </w:pPr>
      <w:r w:rsidRPr="004C36C6">
        <w:rPr>
          <w:lang w:val="sk-SK"/>
        </w:rPr>
        <w:t>Nová definícia priemyselných štandardov v oblasti povrchových úprav pre papierové obaly s cieľom podporiť obehové hospodárstvo</w:t>
      </w:r>
    </w:p>
    <w:p w14:paraId="4D23EF25" w14:textId="77777777" w:rsidR="00F4089B" w:rsidRPr="004C36C6" w:rsidRDefault="00F4089B" w:rsidP="00F4089B">
      <w:pPr>
        <w:spacing w:line="280" w:lineRule="auto"/>
        <w:rPr>
          <w:rStyle w:val="Headline"/>
          <w:sz w:val="36"/>
          <w:szCs w:val="36"/>
          <w:lang w:val="sk-SK"/>
        </w:rPr>
      </w:pPr>
      <w:r w:rsidRPr="004C36C6">
        <w:rPr>
          <w:rStyle w:val="Headline"/>
          <w:sz w:val="36"/>
          <w:szCs w:val="36"/>
          <w:lang w:val="sk-SK"/>
        </w:rPr>
        <w:t>Inovatívne riešenia povrchových úprav od spoločnosti Henkel podporia recykláciu papierových obalov</w:t>
      </w:r>
    </w:p>
    <w:p w14:paraId="769A2CD0" w14:textId="77777777" w:rsidR="00F4089B" w:rsidRPr="004C36C6" w:rsidRDefault="00F4089B" w:rsidP="00F4089B">
      <w:pPr>
        <w:rPr>
          <w:lang w:val="sk-SK"/>
        </w:rPr>
      </w:pPr>
    </w:p>
    <w:p w14:paraId="13B6279E" w14:textId="77777777" w:rsidR="00F4089B" w:rsidRPr="004C36C6" w:rsidRDefault="00F4089B" w:rsidP="00F4089B">
      <w:pPr>
        <w:autoSpaceDE w:val="0"/>
        <w:autoSpaceDN w:val="0"/>
        <w:adjustRightInd w:val="0"/>
        <w:spacing w:line="280" w:lineRule="auto"/>
        <w:rPr>
          <w:b/>
          <w:bCs/>
          <w:sz w:val="24"/>
          <w:lang w:val="sk-SK"/>
        </w:rPr>
      </w:pPr>
      <w:proofErr w:type="spellStart"/>
      <w:r w:rsidRPr="004C36C6">
        <w:rPr>
          <w:b/>
          <w:bCs/>
          <w:sz w:val="24"/>
          <w:lang w:val="sk-SK"/>
        </w:rPr>
        <w:t>Düsseldorf</w:t>
      </w:r>
      <w:proofErr w:type="spellEnd"/>
      <w:r w:rsidRPr="004C36C6">
        <w:rPr>
          <w:b/>
          <w:bCs/>
          <w:sz w:val="24"/>
          <w:lang w:val="sk-SK"/>
        </w:rPr>
        <w:t xml:space="preserve"> – Spoločnosť Henkel ako popredný výrobca lepidiel a povrchových úprav pre obalové materiály úzko spolupracuje so svojimi partnermi s cieľom podporiť obehové hospodárstvo vyvíjaním nových obalových riešení na základe udržateľného a zároveň funkčného prístupu. Od minuloročného </w:t>
      </w:r>
      <w:r>
        <w:rPr>
          <w:b/>
          <w:bCs/>
          <w:sz w:val="24"/>
          <w:lang w:val="sk-SK"/>
        </w:rPr>
        <w:t xml:space="preserve">uvedenia </w:t>
      </w:r>
      <w:r w:rsidRPr="004C36C6">
        <w:rPr>
          <w:b/>
          <w:bCs/>
          <w:sz w:val="24"/>
          <w:lang w:val="sk-SK"/>
        </w:rPr>
        <w:t>produktového radu RE, ktorý je „navrhnutý s ohľadom na recykláciu“, spoločnosť rozšírila svoje portfólio aj o nové uzatvárateľné povrchové úpravy pre papier, ktoré možno aplikovať za tepla aj za studena. Tieto produkty sú certifikované ako kompatibilné s recykláciou papiera a umožňujú vytvárať množstvo nových obalových riešení.</w:t>
      </w:r>
    </w:p>
    <w:p w14:paraId="4E1A9C35" w14:textId="77777777" w:rsidR="00F4089B" w:rsidRPr="004C36C6" w:rsidRDefault="00F4089B" w:rsidP="00F4089B">
      <w:pPr>
        <w:spacing w:line="240" w:lineRule="auto"/>
        <w:rPr>
          <w:rFonts w:ascii="Times New Roman" w:hAnsi="Times New Roman"/>
          <w:sz w:val="24"/>
          <w:lang w:val="sk-SK" w:eastAsia="de-DE"/>
        </w:rPr>
      </w:pPr>
    </w:p>
    <w:p w14:paraId="6DE785DA" w14:textId="77777777" w:rsidR="00F4089B" w:rsidRPr="00377325" w:rsidRDefault="00F4089B" w:rsidP="00F4089B">
      <w:pPr>
        <w:autoSpaceDE w:val="0"/>
        <w:autoSpaceDN w:val="0"/>
        <w:adjustRightInd w:val="0"/>
        <w:spacing w:line="280" w:lineRule="auto"/>
        <w:rPr>
          <w:i/>
          <w:iCs/>
          <w:sz w:val="24"/>
          <w:lang w:val="sk-SK"/>
        </w:rPr>
      </w:pPr>
      <w:r w:rsidRPr="004C36C6">
        <w:rPr>
          <w:sz w:val="24"/>
          <w:lang w:val="sk-SK"/>
        </w:rPr>
        <w:t xml:space="preserve">Udržateľnosť je z celkového hľadiska jedným z najdôležitejších faktorov pri obalových materiáloch, ktoré sa používajú na tovary. Pri navrhovaní obalov vhodných na recykláciu a kompatibilných s obehovým hospodárstvom treba v prvom kroku zabezpečiť, aby sa lepidlá a povrchové úpravy mohli aplikovať na alternatívne obalové materiály, ako napr. papier, pri použití na rôzne potravinárske a nepotravinárske účely. </w:t>
      </w:r>
      <w:r w:rsidRPr="00377325">
        <w:rPr>
          <w:i/>
          <w:iCs/>
          <w:sz w:val="24"/>
          <w:lang w:val="sk-SK"/>
        </w:rPr>
        <w:t xml:space="preserve">„Hlavným účelom obalov je ochrana – a tento aspekt naďalej zostáva základným prvkom našej stratégie. K tomu patrí aj vývoj lepidiel a povrchových úprav, ktoré zlepšia </w:t>
      </w:r>
      <w:proofErr w:type="spellStart"/>
      <w:r w:rsidRPr="00377325">
        <w:rPr>
          <w:i/>
          <w:iCs/>
          <w:sz w:val="24"/>
          <w:lang w:val="sk-SK"/>
        </w:rPr>
        <w:t>recyklovateľnosť</w:t>
      </w:r>
      <w:proofErr w:type="spellEnd"/>
      <w:r w:rsidRPr="00377325">
        <w:rPr>
          <w:i/>
          <w:iCs/>
          <w:sz w:val="24"/>
          <w:lang w:val="sk-SK"/>
        </w:rPr>
        <w:t xml:space="preserve"> a umožnia zavádzanie nových obalových riešení,“</w:t>
      </w:r>
      <w:r w:rsidRPr="004C36C6">
        <w:rPr>
          <w:sz w:val="24"/>
          <w:lang w:val="sk-SK"/>
        </w:rPr>
        <w:t xml:space="preserve"> vysvetľuje Alexander </w:t>
      </w:r>
      <w:proofErr w:type="spellStart"/>
      <w:r w:rsidRPr="004C36C6">
        <w:rPr>
          <w:sz w:val="24"/>
          <w:lang w:val="sk-SK"/>
        </w:rPr>
        <w:t>Bockisch</w:t>
      </w:r>
      <w:proofErr w:type="spellEnd"/>
      <w:r w:rsidRPr="004C36C6">
        <w:rPr>
          <w:sz w:val="24"/>
          <w:lang w:val="sk-SK"/>
        </w:rPr>
        <w:t>, vedúci sekcie globálnych trhových stratégií v oblasti flexibilných obalov (</w:t>
      </w:r>
      <w:proofErr w:type="spellStart"/>
      <w:r w:rsidRPr="004C36C6">
        <w:rPr>
          <w:sz w:val="24"/>
          <w:lang w:val="sk-SK"/>
        </w:rPr>
        <w:t>Global</w:t>
      </w:r>
      <w:proofErr w:type="spellEnd"/>
      <w:r w:rsidRPr="004C36C6">
        <w:rPr>
          <w:sz w:val="24"/>
          <w:lang w:val="sk-SK"/>
        </w:rPr>
        <w:t xml:space="preserve"> </w:t>
      </w:r>
      <w:proofErr w:type="spellStart"/>
      <w:r w:rsidRPr="004C36C6">
        <w:rPr>
          <w:sz w:val="24"/>
          <w:lang w:val="sk-SK"/>
        </w:rPr>
        <w:t>Market</w:t>
      </w:r>
      <w:proofErr w:type="spellEnd"/>
      <w:r w:rsidRPr="004C36C6">
        <w:rPr>
          <w:sz w:val="24"/>
          <w:lang w:val="sk-SK"/>
        </w:rPr>
        <w:t xml:space="preserve"> </w:t>
      </w:r>
      <w:proofErr w:type="spellStart"/>
      <w:r w:rsidRPr="004C36C6">
        <w:rPr>
          <w:sz w:val="24"/>
          <w:lang w:val="sk-SK"/>
        </w:rPr>
        <w:t>Strategy</w:t>
      </w:r>
      <w:proofErr w:type="spellEnd"/>
      <w:r w:rsidRPr="004C36C6">
        <w:rPr>
          <w:sz w:val="24"/>
          <w:lang w:val="sk-SK"/>
        </w:rPr>
        <w:t xml:space="preserve"> </w:t>
      </w:r>
      <w:proofErr w:type="spellStart"/>
      <w:r w:rsidRPr="004C36C6">
        <w:rPr>
          <w:sz w:val="24"/>
          <w:lang w:val="sk-SK"/>
        </w:rPr>
        <w:t>for</w:t>
      </w:r>
      <w:proofErr w:type="spellEnd"/>
      <w:r w:rsidRPr="004C36C6">
        <w:rPr>
          <w:sz w:val="24"/>
          <w:lang w:val="sk-SK"/>
        </w:rPr>
        <w:t xml:space="preserve"> </w:t>
      </w:r>
      <w:proofErr w:type="spellStart"/>
      <w:r w:rsidRPr="004C36C6">
        <w:rPr>
          <w:sz w:val="24"/>
          <w:lang w:val="sk-SK"/>
        </w:rPr>
        <w:t>Flexible</w:t>
      </w:r>
      <w:proofErr w:type="spellEnd"/>
      <w:r w:rsidRPr="004C36C6">
        <w:rPr>
          <w:sz w:val="24"/>
          <w:lang w:val="sk-SK"/>
        </w:rPr>
        <w:t xml:space="preserve"> </w:t>
      </w:r>
      <w:proofErr w:type="spellStart"/>
      <w:r w:rsidRPr="004C36C6">
        <w:rPr>
          <w:sz w:val="24"/>
          <w:lang w:val="sk-SK"/>
        </w:rPr>
        <w:t>Packaging</w:t>
      </w:r>
      <w:proofErr w:type="spellEnd"/>
      <w:r w:rsidRPr="004C36C6">
        <w:rPr>
          <w:sz w:val="24"/>
          <w:lang w:val="sk-SK"/>
        </w:rPr>
        <w:t>) v</w:t>
      </w:r>
      <w:r>
        <w:rPr>
          <w:sz w:val="24"/>
          <w:lang w:val="sk-SK"/>
        </w:rPr>
        <w:t> </w:t>
      </w:r>
      <w:r w:rsidRPr="004C36C6">
        <w:rPr>
          <w:sz w:val="24"/>
          <w:lang w:val="sk-SK"/>
        </w:rPr>
        <w:t xml:space="preserve">spoločnosti Henkel. </w:t>
      </w:r>
      <w:r w:rsidRPr="00377325">
        <w:rPr>
          <w:i/>
          <w:iCs/>
          <w:sz w:val="24"/>
          <w:lang w:val="sk-SK"/>
        </w:rPr>
        <w:t xml:space="preserve">„Naše dve najnovšie koncepcie </w:t>
      </w:r>
      <w:r w:rsidRPr="00377325">
        <w:rPr>
          <w:i/>
          <w:iCs/>
          <w:sz w:val="24"/>
          <w:lang w:val="sk-SK"/>
        </w:rPr>
        <w:lastRenderedPageBreak/>
        <w:t xml:space="preserve">boli certifikované ako recyklovateľné a môžu nahradiť plastové obaly. Oba typy uzatvárateľných povrchových úprav umožňujú plnú </w:t>
      </w:r>
      <w:proofErr w:type="spellStart"/>
      <w:r w:rsidRPr="00377325">
        <w:rPr>
          <w:i/>
          <w:iCs/>
          <w:sz w:val="24"/>
          <w:lang w:val="sk-SK"/>
        </w:rPr>
        <w:t>recyklovateľ</w:t>
      </w:r>
      <w:r>
        <w:rPr>
          <w:i/>
          <w:iCs/>
          <w:sz w:val="24"/>
          <w:lang w:val="sk-SK"/>
        </w:rPr>
        <w:t>n</w:t>
      </w:r>
      <w:r w:rsidRPr="00377325">
        <w:rPr>
          <w:i/>
          <w:iCs/>
          <w:sz w:val="24"/>
          <w:lang w:val="sk-SK"/>
        </w:rPr>
        <w:t>osť</w:t>
      </w:r>
      <w:proofErr w:type="spellEnd"/>
      <w:r w:rsidRPr="00377325">
        <w:rPr>
          <w:i/>
          <w:iCs/>
          <w:sz w:val="24"/>
          <w:lang w:val="sk-SK"/>
        </w:rPr>
        <w:t xml:space="preserve"> papierových obalov pri použití na potravinárske aj nepotravinárske účely. Podľa </w:t>
      </w:r>
      <w:proofErr w:type="spellStart"/>
      <w:r w:rsidRPr="00377325">
        <w:rPr>
          <w:i/>
          <w:iCs/>
          <w:sz w:val="24"/>
          <w:lang w:val="sk-SK"/>
        </w:rPr>
        <w:t>Euromonitora</w:t>
      </w:r>
      <w:proofErr w:type="spellEnd"/>
      <w:r w:rsidRPr="00377325">
        <w:rPr>
          <w:i/>
          <w:iCs/>
          <w:sz w:val="24"/>
          <w:lang w:val="sk-SK"/>
        </w:rPr>
        <w:t xml:space="preserve"> by sa používanie flexibilného papiera v prevádzkach s občerstvením v západnej Európe malo v období rokov 2019 až 2024 zvýšiť o 20 % na 41 miliónov jednotiek. Pokiaľ ide o čokoládové cukrovinky, flexibilný papier zostáva okrajovým segmentom trhu, pretože v globálnom meradle predstavuje menej než 2 % druhotných obalov. Podľa nášho názoru tento segment predstavuje významný potenciál pre rast, ak budeme úzko spolupracovať s našimi partnermi v rámci hodnotového reťazca na vývoji správnych obalových riešení, napr. zabezpečením plnej </w:t>
      </w:r>
      <w:proofErr w:type="spellStart"/>
      <w:r w:rsidRPr="00377325">
        <w:rPr>
          <w:i/>
          <w:iCs/>
          <w:sz w:val="24"/>
          <w:lang w:val="sk-SK"/>
        </w:rPr>
        <w:t>recyklovateľnosti</w:t>
      </w:r>
      <w:proofErr w:type="spellEnd"/>
      <w:r w:rsidRPr="00377325">
        <w:rPr>
          <w:i/>
          <w:iCs/>
          <w:sz w:val="24"/>
          <w:lang w:val="sk-SK"/>
        </w:rPr>
        <w:t xml:space="preserve"> našich najnovších uzatvárateľných povrchových úprav pre papier.“</w:t>
      </w:r>
    </w:p>
    <w:p w14:paraId="6606EBE9" w14:textId="77777777" w:rsidR="00F4089B" w:rsidRPr="004C36C6" w:rsidRDefault="00F4089B" w:rsidP="00F4089B">
      <w:pPr>
        <w:autoSpaceDE w:val="0"/>
        <w:autoSpaceDN w:val="0"/>
        <w:adjustRightInd w:val="0"/>
        <w:spacing w:line="271" w:lineRule="auto"/>
        <w:rPr>
          <w:sz w:val="24"/>
          <w:lang w:val="sk-SK"/>
        </w:rPr>
      </w:pPr>
    </w:p>
    <w:p w14:paraId="32954341" w14:textId="77777777" w:rsidR="00F4089B" w:rsidRPr="004C36C6" w:rsidRDefault="00F4089B" w:rsidP="00F4089B">
      <w:pPr>
        <w:autoSpaceDE w:val="0"/>
        <w:autoSpaceDN w:val="0"/>
        <w:adjustRightInd w:val="0"/>
        <w:spacing w:line="280" w:lineRule="auto"/>
        <w:rPr>
          <w:b/>
          <w:bCs/>
          <w:sz w:val="24"/>
          <w:lang w:val="sk-SK"/>
        </w:rPr>
      </w:pPr>
      <w:r w:rsidRPr="004C36C6">
        <w:rPr>
          <w:b/>
          <w:bCs/>
          <w:sz w:val="24"/>
          <w:lang w:val="sk-SK"/>
        </w:rPr>
        <w:t>Jeden produktový rad povrchových úprav pre papier, množstvo oblastí použitia</w:t>
      </w:r>
    </w:p>
    <w:p w14:paraId="2341E6E3" w14:textId="77777777" w:rsidR="00F4089B" w:rsidRPr="004C36C6" w:rsidRDefault="00F4089B" w:rsidP="00F4089B">
      <w:pPr>
        <w:autoSpaceDE w:val="0"/>
        <w:autoSpaceDN w:val="0"/>
        <w:adjustRightInd w:val="0"/>
        <w:spacing w:line="271" w:lineRule="auto"/>
        <w:rPr>
          <w:sz w:val="24"/>
          <w:lang w:val="sk-SK"/>
        </w:rPr>
      </w:pPr>
    </w:p>
    <w:p w14:paraId="324356E0" w14:textId="77777777" w:rsidR="00F4089B" w:rsidRPr="002D4F14" w:rsidRDefault="00F4089B" w:rsidP="00F4089B">
      <w:pPr>
        <w:autoSpaceDE w:val="0"/>
        <w:autoSpaceDN w:val="0"/>
        <w:adjustRightInd w:val="0"/>
        <w:spacing w:line="280" w:lineRule="auto"/>
        <w:rPr>
          <w:i/>
          <w:iCs/>
          <w:sz w:val="24"/>
          <w:lang w:val="sk-SK"/>
        </w:rPr>
      </w:pPr>
      <w:r w:rsidRPr="004C36C6">
        <w:rPr>
          <w:sz w:val="24"/>
          <w:lang w:val="sk-SK"/>
        </w:rPr>
        <w:t xml:space="preserve">Povrchové úpravy zabezpečujú pevnú adhéziu k papieru, ako aj navzájom, a sú priekopníckym riešením z hľadiska spätného získavania celulózy, bezpečnosti potravín a flexibility papiera. Ich parametre z hľadiska výroby ďalej dvíhajú latku vzhľadom na schopnosť zachovať konzistentné vlastnosti spojov aj pri vysokých strojových rýchlostiach. </w:t>
      </w:r>
      <w:r w:rsidRPr="002D4F14">
        <w:rPr>
          <w:i/>
          <w:iCs/>
          <w:sz w:val="24"/>
          <w:lang w:val="sk-SK"/>
        </w:rPr>
        <w:t>„S našimi partnermi sme úzko spolupracovali na návrhu riešení, ktoré by boli jednak recyklovateľné, a zároveň by spĺňali požiadavky v odvetví z hľadiska výkonnostných parametrov,“</w:t>
      </w:r>
      <w:r w:rsidRPr="004C36C6">
        <w:rPr>
          <w:sz w:val="24"/>
          <w:lang w:val="sk-SK"/>
        </w:rPr>
        <w:t xml:space="preserve"> vysvetľuje </w:t>
      </w:r>
      <w:proofErr w:type="spellStart"/>
      <w:r w:rsidRPr="004C36C6">
        <w:rPr>
          <w:sz w:val="24"/>
          <w:lang w:val="sk-SK"/>
        </w:rPr>
        <w:t>Davide</w:t>
      </w:r>
      <w:proofErr w:type="spellEnd"/>
      <w:r w:rsidRPr="004C36C6">
        <w:rPr>
          <w:sz w:val="24"/>
          <w:lang w:val="sk-SK"/>
        </w:rPr>
        <w:t xml:space="preserve"> </w:t>
      </w:r>
      <w:proofErr w:type="spellStart"/>
      <w:r w:rsidRPr="004C36C6">
        <w:rPr>
          <w:sz w:val="24"/>
          <w:lang w:val="sk-SK"/>
        </w:rPr>
        <w:t>Coppola</w:t>
      </w:r>
      <w:proofErr w:type="spellEnd"/>
      <w:r w:rsidRPr="004C36C6">
        <w:rPr>
          <w:sz w:val="24"/>
          <w:lang w:val="sk-SK"/>
        </w:rPr>
        <w:t>, manažér pre sekciu vývoja povrchových úprav (</w:t>
      </w:r>
      <w:proofErr w:type="spellStart"/>
      <w:r w:rsidRPr="004C36C6">
        <w:rPr>
          <w:sz w:val="24"/>
          <w:lang w:val="sk-SK"/>
        </w:rPr>
        <w:t>European</w:t>
      </w:r>
      <w:proofErr w:type="spellEnd"/>
      <w:r w:rsidRPr="004C36C6">
        <w:rPr>
          <w:sz w:val="24"/>
          <w:lang w:val="sk-SK"/>
        </w:rPr>
        <w:t xml:space="preserve"> Business </w:t>
      </w:r>
      <w:proofErr w:type="spellStart"/>
      <w:r w:rsidRPr="004C36C6">
        <w:rPr>
          <w:sz w:val="24"/>
          <w:lang w:val="sk-SK"/>
        </w:rPr>
        <w:t>Development</w:t>
      </w:r>
      <w:proofErr w:type="spellEnd"/>
      <w:r w:rsidRPr="004C36C6">
        <w:rPr>
          <w:sz w:val="24"/>
          <w:lang w:val="sk-SK"/>
        </w:rPr>
        <w:t xml:space="preserve"> Manager </w:t>
      </w:r>
      <w:proofErr w:type="spellStart"/>
      <w:r w:rsidRPr="004C36C6">
        <w:rPr>
          <w:sz w:val="24"/>
          <w:lang w:val="sk-SK"/>
        </w:rPr>
        <w:t>Coatings</w:t>
      </w:r>
      <w:proofErr w:type="spellEnd"/>
      <w:r w:rsidRPr="004C36C6">
        <w:rPr>
          <w:sz w:val="24"/>
          <w:lang w:val="sk-SK"/>
        </w:rPr>
        <w:t xml:space="preserve">). </w:t>
      </w:r>
      <w:r w:rsidRPr="002D4F14">
        <w:rPr>
          <w:i/>
          <w:iCs/>
          <w:sz w:val="24"/>
          <w:lang w:val="sk-SK"/>
        </w:rPr>
        <w:t xml:space="preserve">„Produkty </w:t>
      </w:r>
      <w:proofErr w:type="spellStart"/>
      <w:r w:rsidRPr="002D4F14">
        <w:rPr>
          <w:i/>
          <w:iCs/>
          <w:sz w:val="24"/>
          <w:lang w:val="sk-SK"/>
        </w:rPr>
        <w:t>Loctite</w:t>
      </w:r>
      <w:proofErr w:type="spellEnd"/>
      <w:r w:rsidRPr="002D4F14">
        <w:rPr>
          <w:i/>
          <w:iCs/>
          <w:sz w:val="24"/>
          <w:lang w:val="sk-SK"/>
        </w:rPr>
        <w:t xml:space="preserve"> </w:t>
      </w:r>
      <w:proofErr w:type="spellStart"/>
      <w:r w:rsidRPr="002D4F14">
        <w:rPr>
          <w:i/>
          <w:iCs/>
          <w:sz w:val="24"/>
          <w:lang w:val="sk-SK"/>
        </w:rPr>
        <w:t>Liofol</w:t>
      </w:r>
      <w:proofErr w:type="spellEnd"/>
      <w:r w:rsidRPr="002D4F14">
        <w:rPr>
          <w:i/>
          <w:iCs/>
          <w:sz w:val="24"/>
          <w:lang w:val="sk-SK"/>
        </w:rPr>
        <w:t xml:space="preserve"> HS 2809-22 RE a CS 22-422 RE boli podrobené rozsiahlym testom a sú certifikované z hľadiska </w:t>
      </w:r>
      <w:proofErr w:type="spellStart"/>
      <w:r w:rsidRPr="002D4F14">
        <w:rPr>
          <w:i/>
          <w:iCs/>
          <w:sz w:val="24"/>
          <w:lang w:val="sk-SK"/>
        </w:rPr>
        <w:t>recyklovateľnosti</w:t>
      </w:r>
      <w:proofErr w:type="spellEnd"/>
      <w:r w:rsidRPr="002D4F14">
        <w:rPr>
          <w:i/>
          <w:iCs/>
          <w:sz w:val="24"/>
          <w:lang w:val="sk-SK"/>
        </w:rPr>
        <w:t xml:space="preserve"> a charakteristík v oblasti bezpečnosti potravín. Môžeme ponúknuť povrchové úpravy a lepidlá určené pre papierové obaly v rámci širokej oblasti uplatnenia bez toho, aby sme museli zľaviť z nárokov na požadované výkonnostné parametre alebo bezpečnosť“. </w:t>
      </w:r>
    </w:p>
    <w:p w14:paraId="5C68A2FE" w14:textId="77777777" w:rsidR="00F4089B" w:rsidRPr="004C36C6" w:rsidRDefault="00F4089B" w:rsidP="00F4089B">
      <w:pPr>
        <w:autoSpaceDE w:val="0"/>
        <w:autoSpaceDN w:val="0"/>
        <w:adjustRightInd w:val="0"/>
        <w:spacing w:line="271" w:lineRule="auto"/>
        <w:rPr>
          <w:sz w:val="24"/>
          <w:lang w:val="sk-SK"/>
        </w:rPr>
      </w:pPr>
    </w:p>
    <w:p w14:paraId="3541DF63" w14:textId="77777777" w:rsidR="00F4089B" w:rsidRPr="004C36C6" w:rsidRDefault="00F4089B" w:rsidP="00F4089B">
      <w:pPr>
        <w:autoSpaceDE w:val="0"/>
        <w:autoSpaceDN w:val="0"/>
        <w:adjustRightInd w:val="0"/>
        <w:spacing w:line="280" w:lineRule="auto"/>
        <w:rPr>
          <w:sz w:val="24"/>
          <w:lang w:val="sk-SK"/>
        </w:rPr>
      </w:pPr>
      <w:proofErr w:type="spellStart"/>
      <w:r w:rsidRPr="004C36C6">
        <w:rPr>
          <w:sz w:val="24"/>
          <w:lang w:val="sk-SK"/>
        </w:rPr>
        <w:t>Loctite</w:t>
      </w:r>
      <w:proofErr w:type="spellEnd"/>
      <w:r w:rsidRPr="004C36C6">
        <w:rPr>
          <w:sz w:val="24"/>
          <w:lang w:val="sk-SK"/>
        </w:rPr>
        <w:t xml:space="preserve"> </w:t>
      </w:r>
      <w:proofErr w:type="spellStart"/>
      <w:r w:rsidRPr="004C36C6">
        <w:rPr>
          <w:sz w:val="24"/>
          <w:lang w:val="sk-SK"/>
        </w:rPr>
        <w:t>Liofol</w:t>
      </w:r>
      <w:proofErr w:type="spellEnd"/>
      <w:r w:rsidRPr="004C36C6">
        <w:rPr>
          <w:sz w:val="24"/>
          <w:lang w:val="sk-SK"/>
        </w:rPr>
        <w:t xml:space="preserve"> HS 2809-22 RE je univerzálna povrchová úprava so širokým uplatnením od hygienických výrobkov a čajových vrecúšok až po tašky na náradie používané v priemysle či obaly na čokoládu. </w:t>
      </w:r>
      <w:proofErr w:type="spellStart"/>
      <w:r w:rsidRPr="004C36C6">
        <w:rPr>
          <w:sz w:val="24"/>
          <w:lang w:val="sk-SK"/>
        </w:rPr>
        <w:t>Loctite</w:t>
      </w:r>
      <w:proofErr w:type="spellEnd"/>
      <w:r w:rsidRPr="004C36C6">
        <w:rPr>
          <w:sz w:val="24"/>
          <w:lang w:val="sk-SK"/>
        </w:rPr>
        <w:t xml:space="preserve"> </w:t>
      </w:r>
      <w:proofErr w:type="spellStart"/>
      <w:r w:rsidRPr="004C36C6">
        <w:rPr>
          <w:sz w:val="24"/>
          <w:lang w:val="sk-SK"/>
        </w:rPr>
        <w:t>Liofol</w:t>
      </w:r>
      <w:proofErr w:type="spellEnd"/>
      <w:r w:rsidRPr="004C36C6">
        <w:rPr>
          <w:sz w:val="24"/>
          <w:lang w:val="sk-SK"/>
        </w:rPr>
        <w:t xml:space="preserve"> CS 22-422 RE možno tiež použiť na množstvo účelov od zberateľských kartičiek až po obaly na cereálne tyčinky a keksy, mrazené potraviny a zmrzlinu. Obidve inovácie ponúkajú výbornú blokovú odolnosť, ktorá umožní lepšie odvíjanie z cievky, pričom odpadá potreba použitia ochranného </w:t>
      </w:r>
      <w:r w:rsidRPr="004C36C6">
        <w:rPr>
          <w:sz w:val="24"/>
          <w:lang w:val="sk-SK"/>
        </w:rPr>
        <w:lastRenderedPageBreak/>
        <w:t xml:space="preserve">laku pre potlač a zároveň sú kompatibilné so všetkými druhmi atramentov. Z pohľadu možnosti spätného získavania celulózy, ktorá bola overená nezávislými inštitúciami, ide jednoznačne o ideálne riešenie pre recykláciu papiera. </w:t>
      </w:r>
    </w:p>
    <w:p w14:paraId="3B23AF22" w14:textId="77777777" w:rsidR="00F4089B" w:rsidRPr="004C36C6" w:rsidRDefault="00F4089B" w:rsidP="00F4089B">
      <w:pPr>
        <w:autoSpaceDE w:val="0"/>
        <w:autoSpaceDN w:val="0"/>
        <w:adjustRightInd w:val="0"/>
        <w:spacing w:line="271" w:lineRule="auto"/>
        <w:rPr>
          <w:sz w:val="24"/>
          <w:lang w:val="sk-SK"/>
        </w:rPr>
      </w:pPr>
    </w:p>
    <w:p w14:paraId="630280D8" w14:textId="77777777" w:rsidR="00F4089B" w:rsidRPr="004C36C6" w:rsidRDefault="00F4089B" w:rsidP="00F4089B">
      <w:pPr>
        <w:autoSpaceDE w:val="0"/>
        <w:autoSpaceDN w:val="0"/>
        <w:adjustRightInd w:val="0"/>
        <w:spacing w:line="280" w:lineRule="auto"/>
        <w:rPr>
          <w:rStyle w:val="AboutandContactBody"/>
          <w:sz w:val="24"/>
          <w:lang w:val="sk-SK"/>
        </w:rPr>
      </w:pPr>
      <w:r w:rsidRPr="004C36C6">
        <w:rPr>
          <w:sz w:val="24"/>
          <w:lang w:val="sk-SK"/>
        </w:rPr>
        <w:t xml:space="preserve">Vzhľadom na </w:t>
      </w:r>
      <w:proofErr w:type="spellStart"/>
      <w:r w:rsidRPr="004C36C6">
        <w:rPr>
          <w:sz w:val="24"/>
          <w:lang w:val="sk-SK"/>
        </w:rPr>
        <w:t>recyklovateľnosť</w:t>
      </w:r>
      <w:proofErr w:type="spellEnd"/>
      <w:r w:rsidRPr="004C36C6">
        <w:rPr>
          <w:sz w:val="24"/>
          <w:lang w:val="sk-SK"/>
        </w:rPr>
        <w:t xml:space="preserve"> a parametre vysokej kvality tvoria oba produkty prirodzenú súčasť produktového radu RE spoločnosti Henkel a sú prínosom pre celý hodnotový reťazec</w:t>
      </w:r>
      <w:r>
        <w:rPr>
          <w:sz w:val="24"/>
          <w:lang w:val="sk-SK"/>
        </w:rPr>
        <w:t xml:space="preserve">, pokiaľ ide o </w:t>
      </w:r>
      <w:r w:rsidRPr="004C36C6">
        <w:rPr>
          <w:sz w:val="24"/>
          <w:lang w:val="sk-SK"/>
        </w:rPr>
        <w:t xml:space="preserve">prechod z plastových obalov na alternatívne riešenia z papiera. </w:t>
      </w:r>
    </w:p>
    <w:p w14:paraId="7215C1F9" w14:textId="77777777" w:rsidR="00F4089B" w:rsidRPr="004C36C6" w:rsidRDefault="00F4089B" w:rsidP="00F4089B">
      <w:pPr>
        <w:rPr>
          <w:rFonts w:cs="Segoe UI"/>
          <w:szCs w:val="22"/>
          <w:lang w:val="sk-SK"/>
        </w:rPr>
      </w:pPr>
    </w:p>
    <w:p w14:paraId="47BF4FB0" w14:textId="77777777" w:rsidR="00F4089B" w:rsidRPr="004C36C6" w:rsidRDefault="00F4089B" w:rsidP="00F4089B">
      <w:pPr>
        <w:rPr>
          <w:rFonts w:asciiTheme="minorHAnsi" w:hAnsiTheme="minorHAnsi" w:cs="Calibri"/>
          <w:b/>
          <w:sz w:val="18"/>
          <w:szCs w:val="18"/>
          <w:lang w:val="sk-SK"/>
        </w:rPr>
      </w:pPr>
    </w:p>
    <w:p w14:paraId="1160F1E0" w14:textId="77777777" w:rsidR="00F4089B" w:rsidRPr="004C36C6" w:rsidRDefault="00F4089B" w:rsidP="00F4089B">
      <w:pPr>
        <w:spacing w:line="280" w:lineRule="auto"/>
        <w:rPr>
          <w:rFonts w:asciiTheme="minorHAnsi" w:hAnsiTheme="minorHAnsi" w:cs="Calibri"/>
          <w:b/>
          <w:sz w:val="18"/>
          <w:szCs w:val="18"/>
          <w:lang w:val="sk-SK"/>
        </w:rPr>
      </w:pPr>
      <w:r w:rsidRPr="004C36C6">
        <w:rPr>
          <w:rFonts w:asciiTheme="minorHAnsi" w:hAnsiTheme="minorHAnsi" w:cs="Calibri"/>
          <w:b/>
          <w:sz w:val="18"/>
          <w:szCs w:val="18"/>
          <w:lang w:val="sk-SK"/>
        </w:rPr>
        <w:t xml:space="preserve">K dispozícii je táto fotodokumentácia: </w:t>
      </w:r>
    </w:p>
    <w:p w14:paraId="4F2BD72C" w14:textId="77777777" w:rsidR="00F4089B" w:rsidRPr="004C36C6" w:rsidRDefault="00F4089B" w:rsidP="00F4089B">
      <w:pPr>
        <w:spacing w:line="280" w:lineRule="auto"/>
        <w:rPr>
          <w:sz w:val="18"/>
          <w:szCs w:val="18"/>
          <w:lang w:val="sk-SK"/>
        </w:rPr>
      </w:pPr>
      <w:r w:rsidRPr="004C36C6">
        <w:rPr>
          <w:sz w:val="18"/>
          <w:szCs w:val="18"/>
          <w:lang w:val="sk-SK"/>
        </w:rPr>
        <w:t xml:space="preserve">Povrchové úpravy spoločnosti Henkel umožňujú výrobu plne recyklovateľných papierových obalov na potravinárske aj nepotravinárske účely, ako napr. hygienické výrobky (uzatvárateľné za tepla). </w:t>
      </w:r>
    </w:p>
    <w:p w14:paraId="5FEA80AF" w14:textId="77777777" w:rsidR="00F4089B" w:rsidRPr="004C36C6" w:rsidRDefault="00F4089B" w:rsidP="00F4089B">
      <w:pPr>
        <w:rPr>
          <w:rStyle w:val="AboutandContactBody"/>
          <w:lang w:val="sk-SK"/>
        </w:rPr>
      </w:pPr>
    </w:p>
    <w:p w14:paraId="4257A146" w14:textId="77777777" w:rsidR="00F4089B" w:rsidRPr="004C36C6" w:rsidRDefault="00F4089B" w:rsidP="00F4089B">
      <w:pPr>
        <w:spacing w:line="280" w:lineRule="auto"/>
        <w:rPr>
          <w:rStyle w:val="AboutandContactBody"/>
          <w:szCs w:val="18"/>
          <w:lang w:val="sk-SK"/>
        </w:rPr>
      </w:pPr>
      <w:r w:rsidRPr="004C36C6">
        <w:rPr>
          <w:sz w:val="18"/>
          <w:szCs w:val="18"/>
          <w:lang w:val="sk-SK"/>
        </w:rPr>
        <w:t xml:space="preserve">Povrchové úpravy spoločnosti Henkel umožňujú výrobu plne recyklovateľných papierových obalov na potravinárske aj nepotravinárske účely, ako napr. cukrovinky (uzatvárateľné za studena). </w:t>
      </w:r>
    </w:p>
    <w:p w14:paraId="47B83AA1" w14:textId="2D70277D" w:rsidR="0084769D" w:rsidRDefault="0084769D" w:rsidP="0084769D">
      <w:pPr>
        <w:rPr>
          <w:rStyle w:val="AboutandContactHeadline"/>
          <w:lang w:val="sk-SK"/>
        </w:rPr>
      </w:pPr>
    </w:p>
    <w:p w14:paraId="42A7C079" w14:textId="388FC889" w:rsidR="00B368BD" w:rsidRDefault="00B368BD" w:rsidP="0084769D">
      <w:pPr>
        <w:rPr>
          <w:rStyle w:val="AboutandContactHeadline"/>
          <w:lang w:val="sk-SK"/>
        </w:rPr>
      </w:pPr>
    </w:p>
    <w:p w14:paraId="7F0CFCCB" w14:textId="77777777" w:rsidR="00B368BD" w:rsidRPr="00E66FF2" w:rsidRDefault="00B368BD" w:rsidP="0084769D">
      <w:pPr>
        <w:rPr>
          <w:rStyle w:val="AboutandContactHeadline"/>
          <w:lang w:val="sk-SK"/>
        </w:rPr>
      </w:pPr>
    </w:p>
    <w:p w14:paraId="160E7297" w14:textId="77777777" w:rsidR="00C50C62" w:rsidRPr="0045611C" w:rsidRDefault="00C50C62" w:rsidP="00C50C62">
      <w:pPr>
        <w:spacing w:line="280" w:lineRule="auto"/>
        <w:rPr>
          <w:rFonts w:ascii="Calibri" w:hAnsi="Calibri"/>
          <w:szCs w:val="20"/>
          <w:lang w:val="sk-SK" w:eastAsia="zh-CN"/>
        </w:rPr>
      </w:pPr>
      <w:r w:rsidRPr="0045611C">
        <w:rPr>
          <w:b/>
          <w:bCs/>
          <w:szCs w:val="20"/>
          <w:lang w:val="sk-SK"/>
        </w:rPr>
        <w:t>O spoločnosti Henkel</w:t>
      </w:r>
    </w:p>
    <w:p w14:paraId="434EBEC8" w14:textId="77777777" w:rsidR="00C50C62" w:rsidRPr="00676300" w:rsidRDefault="00C50C62" w:rsidP="00C50C62">
      <w:pPr>
        <w:spacing w:line="280" w:lineRule="auto"/>
        <w:rPr>
          <w:szCs w:val="20"/>
          <w:lang w:val="sk-SK"/>
        </w:rPr>
      </w:pPr>
      <w:r w:rsidRPr="0045611C">
        <w:rPr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45611C">
        <w:rPr>
          <w:szCs w:val="20"/>
          <w:lang w:val="sk-SK"/>
        </w:rPr>
        <w:t>Adhesive</w:t>
      </w:r>
      <w:proofErr w:type="spellEnd"/>
      <w:r w:rsidRPr="0045611C">
        <w:rPr>
          <w:szCs w:val="20"/>
          <w:lang w:val="sk-SK"/>
        </w:rPr>
        <w:t xml:space="preserve"> Technologies celosvetovým lídrom na trhu v rámci všetkých priemyselných segmentov. V oblastiach </w:t>
      </w:r>
      <w:proofErr w:type="spellStart"/>
      <w:r w:rsidRPr="0045611C">
        <w:rPr>
          <w:szCs w:val="20"/>
          <w:lang w:val="sk-SK"/>
        </w:rPr>
        <w:t>Laundry</w:t>
      </w:r>
      <w:proofErr w:type="spellEnd"/>
      <w:r w:rsidRPr="0045611C">
        <w:rPr>
          <w:szCs w:val="20"/>
          <w:lang w:val="sk-SK"/>
        </w:rPr>
        <w:t xml:space="preserve"> &amp; Home </w:t>
      </w:r>
      <w:proofErr w:type="spellStart"/>
      <w:r w:rsidRPr="0045611C">
        <w:rPr>
          <w:szCs w:val="20"/>
          <w:lang w:val="sk-SK"/>
        </w:rPr>
        <w:t>Care</w:t>
      </w:r>
      <w:proofErr w:type="spellEnd"/>
      <w:r w:rsidRPr="0045611C">
        <w:rPr>
          <w:szCs w:val="20"/>
          <w:lang w:val="sk-SK"/>
        </w:rPr>
        <w:t xml:space="preserve"> a </w:t>
      </w:r>
      <w:proofErr w:type="spellStart"/>
      <w:r w:rsidRPr="0045611C">
        <w:rPr>
          <w:szCs w:val="20"/>
          <w:lang w:val="sk-SK"/>
        </w:rPr>
        <w:t>Beauty</w:t>
      </w:r>
      <w:proofErr w:type="spellEnd"/>
      <w:r w:rsidRPr="0045611C">
        <w:rPr>
          <w:szCs w:val="20"/>
          <w:lang w:val="sk-SK"/>
        </w:rPr>
        <w:t xml:space="preserve"> </w:t>
      </w:r>
      <w:proofErr w:type="spellStart"/>
      <w:r w:rsidRPr="0045611C">
        <w:rPr>
          <w:szCs w:val="20"/>
          <w:lang w:val="sk-SK"/>
        </w:rPr>
        <w:t>Care</w:t>
      </w:r>
      <w:proofErr w:type="spellEnd"/>
      <w:r w:rsidRPr="0045611C">
        <w:rPr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</w:t>
      </w:r>
      <w:r w:rsidRPr="00F500F8">
        <w:rPr>
          <w:szCs w:val="20"/>
          <w:lang w:val="sk-SK"/>
        </w:rPr>
        <w:t xml:space="preserve">V roku 2019 dosiahla obrat vo výške 20 mld. eur a upravený prevádzkový zisk približne vo výške 3,2 mld. </w:t>
      </w:r>
      <w:r>
        <w:rPr>
          <w:szCs w:val="20"/>
          <w:lang w:val="sk-SK"/>
        </w:rPr>
        <w:t>e</w:t>
      </w:r>
      <w:r w:rsidRPr="00F500F8">
        <w:rPr>
          <w:szCs w:val="20"/>
          <w:lang w:val="sk-SK"/>
        </w:rPr>
        <w:t>ur. Henkel zamestnáva viac než 52 000 ľudí</w:t>
      </w:r>
      <w:r w:rsidRPr="0045611C">
        <w:rPr>
          <w:szCs w:val="20"/>
          <w:lang w:val="sk-SK"/>
        </w:rPr>
        <w:t xml:space="preserve">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1" w:history="1">
        <w:r w:rsidRPr="00061FC6">
          <w:rPr>
            <w:rStyle w:val="Hypertextovprepojenie"/>
            <w:szCs w:val="20"/>
            <w:lang w:val="sk-SK"/>
          </w:rPr>
          <w:t>www.henkel.com</w:t>
        </w:r>
      </w:hyperlink>
      <w:r w:rsidRPr="0045611C">
        <w:rPr>
          <w:color w:val="000000"/>
          <w:szCs w:val="20"/>
          <w:lang w:val="sk-SK"/>
        </w:rPr>
        <w:t>.</w:t>
      </w:r>
    </w:p>
    <w:p w14:paraId="3EF9D3C6" w14:textId="77777777" w:rsidR="00C50C62" w:rsidRPr="0045611C" w:rsidRDefault="00C50C62" w:rsidP="00C50C62">
      <w:pPr>
        <w:spacing w:line="280" w:lineRule="auto"/>
        <w:rPr>
          <w:color w:val="000000"/>
          <w:szCs w:val="20"/>
          <w:lang w:val="sk-SK"/>
        </w:rPr>
      </w:pPr>
    </w:p>
    <w:p w14:paraId="113E39F6" w14:textId="77777777" w:rsidR="00C50C62" w:rsidRPr="0045611C" w:rsidRDefault="00C50C62" w:rsidP="00C50C62">
      <w:pPr>
        <w:spacing w:line="240" w:lineRule="auto"/>
        <w:rPr>
          <w:rFonts w:cs="Arial"/>
          <w:szCs w:val="20"/>
          <w:lang w:val="sk-SK"/>
        </w:rPr>
      </w:pPr>
      <w:r w:rsidRPr="0045611C">
        <w:rPr>
          <w:rFonts w:cs="Arial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1B423C7B" w14:textId="77777777" w:rsidR="00C50C62" w:rsidRPr="0045611C" w:rsidRDefault="00C50C62" w:rsidP="00C50C62">
      <w:pPr>
        <w:spacing w:line="280" w:lineRule="auto"/>
        <w:rPr>
          <w:sz w:val="24"/>
          <w:lang w:val="sk-SK"/>
        </w:rPr>
      </w:pPr>
    </w:p>
    <w:p w14:paraId="5716F14E" w14:textId="77777777" w:rsidR="00C50C62" w:rsidRPr="0045611C" w:rsidRDefault="00C50C62" w:rsidP="00C50C62">
      <w:pPr>
        <w:spacing w:line="240" w:lineRule="auto"/>
        <w:rPr>
          <w:bCs/>
          <w:sz w:val="24"/>
          <w:lang w:val="sk-SK" w:eastAsia="de-DE"/>
        </w:rPr>
      </w:pPr>
    </w:p>
    <w:p w14:paraId="26342723" w14:textId="77777777" w:rsidR="00C50C62" w:rsidRPr="0045611C" w:rsidRDefault="00C50C62" w:rsidP="00C50C62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39CE2F79" w14:textId="77777777" w:rsidR="00C50C62" w:rsidRPr="0045611C" w:rsidRDefault="00C50C62" w:rsidP="00C50C62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360012EB" w14:textId="77777777" w:rsidR="00C50C62" w:rsidRDefault="00C50C62" w:rsidP="00C50C62">
      <w:pPr>
        <w:spacing w:line="240" w:lineRule="auto"/>
        <w:rPr>
          <w:rFonts w:cs="Arial"/>
          <w:b/>
          <w:szCs w:val="20"/>
          <w:lang w:val="sk-SK" w:eastAsia="de-DE"/>
        </w:rPr>
      </w:pPr>
      <w:r w:rsidRPr="00862621">
        <w:rPr>
          <w:rFonts w:cs="Arial"/>
          <w:b/>
          <w:szCs w:val="20"/>
          <w:lang w:val="sk-SK" w:eastAsia="de-DE"/>
        </w:rPr>
        <w:t>Kontakt</w:t>
      </w:r>
      <w:r>
        <w:rPr>
          <w:rFonts w:cs="Arial"/>
          <w:b/>
          <w:szCs w:val="20"/>
          <w:lang w:val="sk-SK" w:eastAsia="de-DE"/>
        </w:rPr>
        <w:t xml:space="preserve">  </w:t>
      </w:r>
    </w:p>
    <w:p w14:paraId="3BE292AB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 xml:space="preserve">Zuzana </w:t>
      </w:r>
      <w:proofErr w:type="spellStart"/>
      <w:r w:rsidRPr="00676A4C">
        <w:rPr>
          <w:rFonts w:cs="Arial"/>
          <w:szCs w:val="20"/>
          <w:lang w:val="sk-SK" w:bidi="sk-SK"/>
        </w:rPr>
        <w:t>Kaňuchová</w:t>
      </w:r>
      <w:proofErr w:type="spellEnd"/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7E218707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 xml:space="preserve">Riaditeľka </w:t>
      </w:r>
      <w:proofErr w:type="spellStart"/>
      <w:r w:rsidRPr="00676A4C">
        <w:rPr>
          <w:rFonts w:cs="Arial"/>
          <w:szCs w:val="20"/>
          <w:lang w:val="sk-SK" w:bidi="sk-SK"/>
        </w:rPr>
        <w:t>korporátnej</w:t>
      </w:r>
      <w:proofErr w:type="spellEnd"/>
      <w:r w:rsidRPr="00676A4C">
        <w:rPr>
          <w:rFonts w:cs="Arial"/>
          <w:szCs w:val="20"/>
          <w:lang w:val="sk-SK" w:bidi="sk-SK"/>
        </w:rPr>
        <w:t xml:space="preserve"> komunikácie</w:t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674620BC" w14:textId="77777777" w:rsidR="00C50C62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 w:bidi="sk-SK"/>
        </w:rPr>
      </w:pPr>
    </w:p>
    <w:p w14:paraId="0862BC9E" w14:textId="77777777" w:rsidR="00C50C62" w:rsidRPr="00676A4C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>Telefón:</w:t>
      </w:r>
      <w:r>
        <w:rPr>
          <w:rFonts w:cs="Arial"/>
          <w:szCs w:val="20"/>
          <w:lang w:val="sk-SK" w:bidi="sk-SK"/>
        </w:rPr>
        <w:t xml:space="preserve"> </w:t>
      </w:r>
      <w:r w:rsidRPr="00676A4C">
        <w:rPr>
          <w:rFonts w:cs="Arial"/>
          <w:szCs w:val="20"/>
          <w:lang w:val="sk-SK" w:bidi="sk-SK"/>
        </w:rPr>
        <w:t>+421 917 160 597</w:t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4EEAB797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>E-mail:</w:t>
      </w:r>
      <w:r w:rsidRPr="00676A4C">
        <w:rPr>
          <w:rFonts w:cs="Arial"/>
          <w:szCs w:val="20"/>
          <w:lang w:val="sk-SK" w:bidi="sk-SK"/>
        </w:rPr>
        <w:tab/>
      </w:r>
      <w:r>
        <w:rPr>
          <w:rFonts w:cs="Arial"/>
          <w:szCs w:val="20"/>
          <w:lang w:val="sk-SK" w:bidi="sk-SK"/>
        </w:rPr>
        <w:t xml:space="preserve">  </w:t>
      </w:r>
      <w:hyperlink r:id="rId12" w:history="1">
        <w:r w:rsidRPr="008F1DC2">
          <w:rPr>
            <w:rStyle w:val="Hypertextovprepojenie"/>
            <w:lang w:bidi="sk-SK"/>
          </w:rPr>
          <w:t>zuzana.kanuchova@henkel.com</w:t>
        </w:r>
      </w:hyperlink>
      <w:r w:rsidRPr="00862621">
        <w:rPr>
          <w:rFonts w:cs="Arial"/>
          <w:szCs w:val="20"/>
          <w:lang w:val="sk-SK" w:bidi="sk-SK"/>
        </w:rPr>
        <w:tab/>
      </w:r>
    </w:p>
    <w:p w14:paraId="1D91EC8E" w14:textId="77777777" w:rsidR="00C50C62" w:rsidRPr="0045611C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/>
        </w:rPr>
      </w:pPr>
      <w:r w:rsidRPr="0045611C">
        <w:rPr>
          <w:rFonts w:cs="Arial"/>
          <w:szCs w:val="20"/>
          <w:lang w:val="sk-SK"/>
        </w:rPr>
        <w:tab/>
      </w:r>
    </w:p>
    <w:p w14:paraId="121A4D26" w14:textId="77777777" w:rsidR="00C50C62" w:rsidRPr="001D7568" w:rsidRDefault="00C50C62" w:rsidP="001577E9">
      <w:pPr>
        <w:rPr>
          <w:sz w:val="18"/>
          <w:szCs w:val="18"/>
          <w:lang w:val="sk-SK"/>
        </w:rPr>
      </w:pPr>
    </w:p>
    <w:sectPr w:rsidR="00C50C62" w:rsidRPr="001D7568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5493A" w14:textId="77777777" w:rsidR="00FF4F1E" w:rsidRDefault="00FF4F1E">
      <w:r>
        <w:separator/>
      </w:r>
    </w:p>
  </w:endnote>
  <w:endnote w:type="continuationSeparator" w:id="0">
    <w:p w14:paraId="6D8E22F9" w14:textId="77777777" w:rsidR="00FF4F1E" w:rsidRDefault="00FF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77B3F" w14:textId="77777777" w:rsidR="00FF4F1E" w:rsidRDefault="00FF4F1E">
      <w:bookmarkStart w:id="0" w:name="_Hlk47541104"/>
      <w:bookmarkEnd w:id="0"/>
      <w:r>
        <w:separator/>
      </w:r>
    </w:p>
  </w:footnote>
  <w:footnote w:type="continuationSeparator" w:id="0">
    <w:p w14:paraId="39F82401" w14:textId="77777777" w:rsidR="00FF4F1E" w:rsidRDefault="00FF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9264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9087E"/>
    <w:rsid w:val="00097CF3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3245"/>
    <w:rsid w:val="001A59E3"/>
    <w:rsid w:val="001B743B"/>
    <w:rsid w:val="001B7C20"/>
    <w:rsid w:val="001C0B32"/>
    <w:rsid w:val="001C4BE1"/>
    <w:rsid w:val="001D7568"/>
    <w:rsid w:val="001D7ADF"/>
    <w:rsid w:val="001E0F71"/>
    <w:rsid w:val="001E6D05"/>
    <w:rsid w:val="001E7C28"/>
    <w:rsid w:val="001F1BDF"/>
    <w:rsid w:val="001F7110"/>
    <w:rsid w:val="001F7E96"/>
    <w:rsid w:val="00202284"/>
    <w:rsid w:val="00206C15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63D3E"/>
    <w:rsid w:val="00281D14"/>
    <w:rsid w:val="00282C13"/>
    <w:rsid w:val="002A0DF7"/>
    <w:rsid w:val="002A2975"/>
    <w:rsid w:val="002A60E0"/>
    <w:rsid w:val="002B0810"/>
    <w:rsid w:val="002C252E"/>
    <w:rsid w:val="002C6773"/>
    <w:rsid w:val="002D2A3D"/>
    <w:rsid w:val="002E0B17"/>
    <w:rsid w:val="002E4FFB"/>
    <w:rsid w:val="002E7DED"/>
    <w:rsid w:val="002F666E"/>
    <w:rsid w:val="002F7E11"/>
    <w:rsid w:val="00302D10"/>
    <w:rsid w:val="00304087"/>
    <w:rsid w:val="00310ACD"/>
    <w:rsid w:val="0031379F"/>
    <w:rsid w:val="00317C01"/>
    <w:rsid w:val="00320A26"/>
    <w:rsid w:val="00321344"/>
    <w:rsid w:val="00323AB5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0597"/>
    <w:rsid w:val="003A4E62"/>
    <w:rsid w:val="003B1069"/>
    <w:rsid w:val="003B390A"/>
    <w:rsid w:val="003B4C4C"/>
    <w:rsid w:val="003C04FE"/>
    <w:rsid w:val="003C15DE"/>
    <w:rsid w:val="003C4EB2"/>
    <w:rsid w:val="003E2CEF"/>
    <w:rsid w:val="003F1AF3"/>
    <w:rsid w:val="003F4D8D"/>
    <w:rsid w:val="004074DB"/>
    <w:rsid w:val="004313E7"/>
    <w:rsid w:val="0044763B"/>
    <w:rsid w:val="004629B3"/>
    <w:rsid w:val="0046376E"/>
    <w:rsid w:val="0046690F"/>
    <w:rsid w:val="00472640"/>
    <w:rsid w:val="00472FEC"/>
    <w:rsid w:val="00490A03"/>
    <w:rsid w:val="00493327"/>
    <w:rsid w:val="00494DBE"/>
    <w:rsid w:val="00495CE6"/>
    <w:rsid w:val="004968A1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6767"/>
    <w:rsid w:val="00506B8A"/>
    <w:rsid w:val="005118BD"/>
    <w:rsid w:val="0052212B"/>
    <w:rsid w:val="00534B46"/>
    <w:rsid w:val="00540358"/>
    <w:rsid w:val="00540D47"/>
    <w:rsid w:val="00550864"/>
    <w:rsid w:val="0055571E"/>
    <w:rsid w:val="00556F67"/>
    <w:rsid w:val="00575350"/>
    <w:rsid w:val="005833F0"/>
    <w:rsid w:val="005854C8"/>
    <w:rsid w:val="0058684E"/>
    <w:rsid w:val="00586CAF"/>
    <w:rsid w:val="005873E9"/>
    <w:rsid w:val="0058794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5BFE"/>
    <w:rsid w:val="00607256"/>
    <w:rsid w:val="006141A6"/>
    <w:rsid w:val="006144B1"/>
    <w:rsid w:val="006209A6"/>
    <w:rsid w:val="006335F1"/>
    <w:rsid w:val="006345B6"/>
    <w:rsid w:val="00635712"/>
    <w:rsid w:val="00643D8A"/>
    <w:rsid w:val="00644595"/>
    <w:rsid w:val="00652229"/>
    <w:rsid w:val="00652793"/>
    <w:rsid w:val="00652E4F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06C1"/>
    <w:rsid w:val="006B47EE"/>
    <w:rsid w:val="006B499F"/>
    <w:rsid w:val="006D1AF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67DF"/>
    <w:rsid w:val="008372D2"/>
    <w:rsid w:val="008377BC"/>
    <w:rsid w:val="00844C17"/>
    <w:rsid w:val="0084769D"/>
    <w:rsid w:val="00847726"/>
    <w:rsid w:val="0084790A"/>
    <w:rsid w:val="00852511"/>
    <w:rsid w:val="008614F1"/>
    <w:rsid w:val="008639B3"/>
    <w:rsid w:val="00863C1A"/>
    <w:rsid w:val="00866171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58D7"/>
    <w:rsid w:val="008E75D3"/>
    <w:rsid w:val="008F125E"/>
    <w:rsid w:val="008F4D2F"/>
    <w:rsid w:val="00906292"/>
    <w:rsid w:val="00917162"/>
    <w:rsid w:val="009242D9"/>
    <w:rsid w:val="009251CC"/>
    <w:rsid w:val="00926FF4"/>
    <w:rsid w:val="0092714E"/>
    <w:rsid w:val="00942002"/>
    <w:rsid w:val="00945889"/>
    <w:rsid w:val="00947885"/>
    <w:rsid w:val="00952168"/>
    <w:rsid w:val="009527FE"/>
    <w:rsid w:val="00962C60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D749D"/>
    <w:rsid w:val="00AE49F1"/>
    <w:rsid w:val="00B05CCA"/>
    <w:rsid w:val="00B14271"/>
    <w:rsid w:val="00B16270"/>
    <w:rsid w:val="00B2685D"/>
    <w:rsid w:val="00B30351"/>
    <w:rsid w:val="00B33C2A"/>
    <w:rsid w:val="00B368BD"/>
    <w:rsid w:val="00B422EC"/>
    <w:rsid w:val="00B63C6C"/>
    <w:rsid w:val="00B726D4"/>
    <w:rsid w:val="00B8214F"/>
    <w:rsid w:val="00B86A4F"/>
    <w:rsid w:val="00B86F4F"/>
    <w:rsid w:val="00B93035"/>
    <w:rsid w:val="00B958E8"/>
    <w:rsid w:val="00B97E4A"/>
    <w:rsid w:val="00BA09B2"/>
    <w:rsid w:val="00BA5B46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7D87"/>
    <w:rsid w:val="00C50A63"/>
    <w:rsid w:val="00C50C62"/>
    <w:rsid w:val="00C51B88"/>
    <w:rsid w:val="00C5376E"/>
    <w:rsid w:val="00C565D4"/>
    <w:rsid w:val="00C570AB"/>
    <w:rsid w:val="00C743A7"/>
    <w:rsid w:val="00C808A6"/>
    <w:rsid w:val="00C97091"/>
    <w:rsid w:val="00C97260"/>
    <w:rsid w:val="00CA2001"/>
    <w:rsid w:val="00CB5B6C"/>
    <w:rsid w:val="00CC052E"/>
    <w:rsid w:val="00CD140C"/>
    <w:rsid w:val="00CD16BE"/>
    <w:rsid w:val="00CD4616"/>
    <w:rsid w:val="00CD56AF"/>
    <w:rsid w:val="00CE0734"/>
    <w:rsid w:val="00CE33D5"/>
    <w:rsid w:val="00CE6A6E"/>
    <w:rsid w:val="00CF16DC"/>
    <w:rsid w:val="00CF5D37"/>
    <w:rsid w:val="00CF6F33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4221"/>
    <w:rsid w:val="00D476DF"/>
    <w:rsid w:val="00D5051D"/>
    <w:rsid w:val="00D5653B"/>
    <w:rsid w:val="00D61492"/>
    <w:rsid w:val="00D62EF1"/>
    <w:rsid w:val="00D6309D"/>
    <w:rsid w:val="00D644CA"/>
    <w:rsid w:val="00D66FC2"/>
    <w:rsid w:val="00D76C7E"/>
    <w:rsid w:val="00D771DE"/>
    <w:rsid w:val="00D7776D"/>
    <w:rsid w:val="00D91F92"/>
    <w:rsid w:val="00D9293F"/>
    <w:rsid w:val="00D93598"/>
    <w:rsid w:val="00DA1086"/>
    <w:rsid w:val="00DA1E18"/>
    <w:rsid w:val="00DA2009"/>
    <w:rsid w:val="00DA2EB3"/>
    <w:rsid w:val="00DB05B1"/>
    <w:rsid w:val="00DB5A79"/>
    <w:rsid w:val="00DB5D40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5F8C"/>
    <w:rsid w:val="00EB46D9"/>
    <w:rsid w:val="00EC142D"/>
    <w:rsid w:val="00EC1E16"/>
    <w:rsid w:val="00EC254A"/>
    <w:rsid w:val="00ED0024"/>
    <w:rsid w:val="00ED0F85"/>
    <w:rsid w:val="00ED2B5C"/>
    <w:rsid w:val="00ED3269"/>
    <w:rsid w:val="00EE1A8C"/>
    <w:rsid w:val="00EE4643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70E9"/>
    <w:rsid w:val="00F275C0"/>
    <w:rsid w:val="00F346B6"/>
    <w:rsid w:val="00F3614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E497938"/>
  <w14:defaultImageDpi w14:val="0"/>
  <w15:docId w15:val="{DE8EDA27-AB69-47A2-9662-2E0553A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kanuchova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3815E-ECE2-417B-9519-ED7304B92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bed4518-919d-4839-afd6-808ec5b6ae4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4</Pages>
  <Words>891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Driving Food Safety and Efficiency in Packaging with Henkel’s Technomelt Supra Pro</vt:lpstr>
    </vt:vector>
  </TitlesOfParts>
  <Company>Henkel AG &amp; Co. KGaA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Monika Villemová</cp:lastModifiedBy>
  <cp:revision>3</cp:revision>
  <cp:lastPrinted>2016-11-16T02:11:00Z</cp:lastPrinted>
  <dcterms:created xsi:type="dcterms:W3CDTF">2020-10-09T06:20:00Z</dcterms:created>
  <dcterms:modified xsi:type="dcterms:W3CDTF">2020-10-09T06:21:00Z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