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723263EC" w:rsidR="00B422EC" w:rsidRDefault="00A71FB8" w:rsidP="00A71FB8">
      <w:pPr>
        <w:pStyle w:val="MonthDayYear"/>
        <w:tabs>
          <w:tab w:val="left" w:pos="7513"/>
        </w:tabs>
      </w:pPr>
      <w:r>
        <w:t xml:space="preserve">9 de </w:t>
      </w:r>
      <w:proofErr w:type="spellStart"/>
      <w:r>
        <w:t>octubre</w:t>
      </w:r>
      <w:proofErr w:type="spellEnd"/>
      <w:r>
        <w:t xml:space="preserve"> de </w:t>
      </w:r>
      <w:r w:rsidR="00BF6E82" w:rsidRPr="00BF28A0">
        <w:t>20</w:t>
      </w:r>
      <w:r w:rsidR="00F635FC" w:rsidRPr="00BF28A0">
        <w:t>20</w:t>
      </w:r>
    </w:p>
    <w:p w14:paraId="171D5CA6" w14:textId="77777777" w:rsidR="00DA53FA" w:rsidRPr="00BF28A0" w:rsidRDefault="00DA53FA" w:rsidP="00E41377">
      <w:pPr>
        <w:pStyle w:val="MonthDayYear"/>
        <w:tabs>
          <w:tab w:val="left" w:pos="7513"/>
        </w:tabs>
        <w:jc w:val="left"/>
      </w:pPr>
    </w:p>
    <w:p w14:paraId="55ED08AD" w14:textId="77777777" w:rsidR="00936506" w:rsidRPr="00DA53FA" w:rsidRDefault="00936506" w:rsidP="00936506"/>
    <w:p w14:paraId="6DCD29A9" w14:textId="77777777"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Henkel informa el desarrollo de ventas en el tercer trimestre basado en cifras preliminares</w:t>
      </w:r>
    </w:p>
    <w:p w14:paraId="72C41F91" w14:textId="1873F871" w:rsidR="00147F6F" w:rsidRPr="00C55719" w:rsidRDefault="00147F6F" w:rsidP="00C55719">
      <w:pPr>
        <w:rPr>
          <w:b/>
          <w:bCs/>
          <w:sz w:val="32"/>
          <w:lang w:val="es-AR"/>
        </w:rPr>
      </w:pPr>
      <w:r w:rsidRPr="00C55719">
        <w:rPr>
          <w:b/>
          <w:bCs/>
          <w:sz w:val="32"/>
          <w:lang w:val="es-AR"/>
        </w:rPr>
        <w:t>Henkel presenta un fuerte crecimiento orgánico de las ventas en el tercer trimestre y anuncia una nueva p</w:t>
      </w:r>
      <w:r w:rsidR="00C55719" w:rsidRPr="00C55719">
        <w:rPr>
          <w:b/>
          <w:bCs/>
          <w:sz w:val="32"/>
          <w:lang w:val="es-AR"/>
        </w:rPr>
        <w:t>er</w:t>
      </w:r>
      <w:r w:rsidR="00C55719">
        <w:rPr>
          <w:b/>
          <w:bCs/>
          <w:sz w:val="32"/>
          <w:lang w:val="es-AR"/>
        </w:rPr>
        <w:t>spectiva</w:t>
      </w:r>
      <w:r w:rsidRPr="00C55719">
        <w:rPr>
          <w:b/>
          <w:bCs/>
          <w:sz w:val="32"/>
          <w:lang w:val="es-AR"/>
        </w:rPr>
        <w:t xml:space="preserve"> para el año fiscal 2020</w:t>
      </w:r>
    </w:p>
    <w:p w14:paraId="55F91FA5" w14:textId="77777777" w:rsidR="00147F6F" w:rsidRPr="00147F6F" w:rsidRDefault="00147F6F" w:rsidP="00147F6F">
      <w:pPr>
        <w:tabs>
          <w:tab w:val="left" w:pos="1080"/>
          <w:tab w:val="left" w:pos="4500"/>
        </w:tabs>
        <w:rPr>
          <w:rFonts w:asciiTheme="majorHAnsi" w:hAnsiTheme="majorHAnsi" w:cstheme="majorHAnsi"/>
          <w:bCs/>
          <w:szCs w:val="22"/>
          <w:lang w:val="es-AR"/>
        </w:rPr>
      </w:pPr>
    </w:p>
    <w:p w14:paraId="68FC0285" w14:textId="77777777" w:rsidR="00147F6F" w:rsidRPr="006E18BD" w:rsidRDefault="00147F6F" w:rsidP="00147F6F">
      <w:pPr>
        <w:pStyle w:val="Prrafodelista"/>
        <w:numPr>
          <w:ilvl w:val="0"/>
          <w:numId w:val="13"/>
        </w:numPr>
        <w:tabs>
          <w:tab w:val="left" w:pos="1080"/>
          <w:tab w:val="left" w:pos="4500"/>
        </w:tabs>
        <w:rPr>
          <w:rFonts w:asciiTheme="majorHAnsi" w:hAnsiTheme="majorHAnsi" w:cstheme="majorHAnsi"/>
          <w:b/>
          <w:szCs w:val="22"/>
          <w:lang w:val="es-AR"/>
        </w:rPr>
      </w:pPr>
      <w:r w:rsidRPr="006E18BD">
        <w:rPr>
          <w:rFonts w:asciiTheme="majorHAnsi" w:hAnsiTheme="majorHAnsi" w:cstheme="majorHAnsi"/>
          <w:b/>
          <w:szCs w:val="22"/>
          <w:lang w:val="es-AR"/>
        </w:rPr>
        <w:t>Fuerte crecimiento orgánico de las ventas de +3,9% en el tercer trimestre</w:t>
      </w:r>
    </w:p>
    <w:p w14:paraId="26F9AA78" w14:textId="77777777" w:rsidR="00147F6F" w:rsidRPr="006E18BD" w:rsidRDefault="00147F6F" w:rsidP="00147F6F">
      <w:pPr>
        <w:pStyle w:val="Prrafodelista"/>
        <w:numPr>
          <w:ilvl w:val="0"/>
          <w:numId w:val="13"/>
        </w:numPr>
        <w:tabs>
          <w:tab w:val="left" w:pos="1080"/>
          <w:tab w:val="left" w:pos="4500"/>
        </w:tabs>
        <w:rPr>
          <w:rFonts w:asciiTheme="majorHAnsi" w:hAnsiTheme="majorHAnsi" w:cstheme="majorHAnsi"/>
          <w:b/>
          <w:szCs w:val="22"/>
          <w:lang w:val="es-AR"/>
        </w:rPr>
      </w:pPr>
      <w:r w:rsidRPr="006E18BD">
        <w:rPr>
          <w:rFonts w:asciiTheme="majorHAnsi" w:hAnsiTheme="majorHAnsi" w:cstheme="majorHAnsi"/>
          <w:b/>
          <w:szCs w:val="22"/>
          <w:lang w:val="es-AR"/>
        </w:rPr>
        <w:t>Todas las divisiones de la compañía presentan un crecimiento orgánico de las ventas</w:t>
      </w:r>
    </w:p>
    <w:p w14:paraId="530D84A0" w14:textId="252EFE7E" w:rsidR="00147F6F" w:rsidRDefault="00147F6F" w:rsidP="00147F6F">
      <w:pPr>
        <w:pStyle w:val="Prrafodelista"/>
        <w:numPr>
          <w:ilvl w:val="0"/>
          <w:numId w:val="13"/>
        </w:numPr>
        <w:tabs>
          <w:tab w:val="left" w:pos="1080"/>
          <w:tab w:val="left" w:pos="4500"/>
        </w:tabs>
        <w:rPr>
          <w:rFonts w:asciiTheme="majorHAnsi" w:hAnsiTheme="majorHAnsi" w:cstheme="majorHAnsi"/>
          <w:b/>
          <w:szCs w:val="22"/>
          <w:lang w:val="es-AR"/>
        </w:rPr>
      </w:pPr>
      <w:r w:rsidRPr="006E18BD">
        <w:rPr>
          <w:rFonts w:asciiTheme="majorHAnsi" w:hAnsiTheme="majorHAnsi" w:cstheme="majorHAnsi"/>
          <w:b/>
          <w:szCs w:val="22"/>
          <w:lang w:val="es-AR"/>
        </w:rPr>
        <w:t>P</w:t>
      </w:r>
      <w:r w:rsidR="00C55719">
        <w:rPr>
          <w:rFonts w:asciiTheme="majorHAnsi" w:hAnsiTheme="majorHAnsi" w:cstheme="majorHAnsi"/>
          <w:b/>
          <w:szCs w:val="22"/>
          <w:lang w:val="es-AR"/>
        </w:rPr>
        <w:t>erspectiva</w:t>
      </w:r>
      <w:r w:rsidRPr="006E18BD">
        <w:rPr>
          <w:rFonts w:asciiTheme="majorHAnsi" w:hAnsiTheme="majorHAnsi" w:cstheme="majorHAnsi"/>
          <w:b/>
          <w:szCs w:val="22"/>
          <w:lang w:val="es-AR"/>
        </w:rPr>
        <w:t xml:space="preserve"> para el año fiscal 2020:</w:t>
      </w:r>
    </w:p>
    <w:p w14:paraId="2C8A51B3" w14:textId="77777777" w:rsidR="006E18BD" w:rsidRPr="006E18BD" w:rsidRDefault="006E18BD" w:rsidP="006E18BD">
      <w:pPr>
        <w:pStyle w:val="Prrafodelista"/>
        <w:tabs>
          <w:tab w:val="left" w:pos="1080"/>
          <w:tab w:val="left" w:pos="4500"/>
        </w:tabs>
        <w:rPr>
          <w:rFonts w:asciiTheme="majorHAnsi" w:hAnsiTheme="majorHAnsi" w:cstheme="majorHAnsi"/>
          <w:b/>
          <w:szCs w:val="22"/>
          <w:lang w:val="es-AR"/>
        </w:rPr>
      </w:pPr>
    </w:p>
    <w:p w14:paraId="48A5CF75" w14:textId="4944B872" w:rsidR="00147F6F" w:rsidRPr="006E18BD" w:rsidRDefault="00147F6F" w:rsidP="006E18BD">
      <w:pPr>
        <w:pStyle w:val="Prrafodelista"/>
        <w:numPr>
          <w:ilvl w:val="2"/>
          <w:numId w:val="13"/>
        </w:numPr>
        <w:tabs>
          <w:tab w:val="left" w:pos="1080"/>
          <w:tab w:val="left" w:pos="4500"/>
        </w:tabs>
        <w:rPr>
          <w:rFonts w:asciiTheme="majorHAnsi" w:hAnsiTheme="majorHAnsi" w:cstheme="majorHAnsi"/>
          <w:b/>
          <w:szCs w:val="22"/>
          <w:lang w:val="es-AR"/>
        </w:rPr>
      </w:pPr>
      <w:r w:rsidRPr="006E18BD">
        <w:rPr>
          <w:rFonts w:asciiTheme="majorHAnsi" w:hAnsiTheme="majorHAnsi" w:cstheme="majorHAnsi"/>
          <w:b/>
          <w:szCs w:val="22"/>
          <w:lang w:val="es-AR"/>
        </w:rPr>
        <w:t>Crecimiento orgánico de las ventas: entre un -1,0% y un -2,0%</w:t>
      </w:r>
    </w:p>
    <w:p w14:paraId="1C149379" w14:textId="1E7374D6" w:rsidR="00147F6F" w:rsidRPr="006E18BD" w:rsidRDefault="00147F6F" w:rsidP="006E18BD">
      <w:pPr>
        <w:pStyle w:val="Prrafodelista"/>
        <w:numPr>
          <w:ilvl w:val="2"/>
          <w:numId w:val="13"/>
        </w:numPr>
        <w:tabs>
          <w:tab w:val="left" w:pos="1080"/>
          <w:tab w:val="left" w:pos="4500"/>
        </w:tabs>
        <w:rPr>
          <w:rFonts w:asciiTheme="majorHAnsi" w:hAnsiTheme="majorHAnsi" w:cstheme="majorHAnsi"/>
          <w:b/>
          <w:szCs w:val="22"/>
          <w:lang w:val="es-AR"/>
        </w:rPr>
      </w:pPr>
      <w:r w:rsidRPr="006E18BD">
        <w:rPr>
          <w:rFonts w:asciiTheme="majorHAnsi" w:hAnsiTheme="majorHAnsi" w:cstheme="majorHAnsi"/>
          <w:b/>
          <w:szCs w:val="22"/>
          <w:lang w:val="es-AR"/>
        </w:rPr>
        <w:t>Margen EBIT depurado</w:t>
      </w:r>
      <w:r w:rsidR="006E18BD" w:rsidRPr="006E18BD">
        <w:rPr>
          <w:rStyle w:val="Textoennegrita"/>
          <w:rFonts w:ascii="Helvetica" w:hAnsi="Helvetica" w:cs="Helvetica"/>
          <w:b w:val="0"/>
          <w:color w:val="222222"/>
          <w:sz w:val="20"/>
          <w:szCs w:val="20"/>
          <w:shd w:val="clear" w:color="auto" w:fill="FFFFFF"/>
          <w:vertAlign w:val="superscript"/>
          <w:lang w:val="es-AR"/>
        </w:rPr>
        <w:t>1</w:t>
      </w:r>
      <w:r w:rsidRPr="006E18BD">
        <w:rPr>
          <w:rFonts w:asciiTheme="majorHAnsi" w:hAnsiTheme="majorHAnsi" w:cstheme="majorHAnsi"/>
          <w:b/>
          <w:szCs w:val="22"/>
          <w:lang w:val="es-AR"/>
        </w:rPr>
        <w:t>: entre un 13,0% y un 13,5%</w:t>
      </w:r>
    </w:p>
    <w:p w14:paraId="5C6A45DF" w14:textId="609729EA" w:rsidR="00147F6F" w:rsidRPr="006E18BD" w:rsidRDefault="00147F6F" w:rsidP="006E18BD">
      <w:pPr>
        <w:pStyle w:val="Prrafodelista"/>
        <w:numPr>
          <w:ilvl w:val="2"/>
          <w:numId w:val="13"/>
        </w:numPr>
        <w:tabs>
          <w:tab w:val="left" w:pos="1080"/>
          <w:tab w:val="left" w:pos="4500"/>
        </w:tabs>
        <w:rPr>
          <w:rFonts w:asciiTheme="majorHAnsi" w:hAnsiTheme="majorHAnsi" w:cstheme="majorHAnsi"/>
          <w:b/>
          <w:szCs w:val="22"/>
          <w:lang w:val="es-AR"/>
        </w:rPr>
      </w:pPr>
      <w:r w:rsidRPr="006E18BD">
        <w:rPr>
          <w:rFonts w:asciiTheme="majorHAnsi" w:hAnsiTheme="majorHAnsi" w:cstheme="majorHAnsi"/>
          <w:b/>
          <w:szCs w:val="22"/>
          <w:lang w:val="es-AR"/>
        </w:rPr>
        <w:t>Beneficio por acción preferente depurado (EPS)</w:t>
      </w:r>
      <w:r w:rsidR="006E18BD" w:rsidRPr="006E18BD">
        <w:rPr>
          <w:rStyle w:val="Textoennegrita"/>
          <w:rFonts w:ascii="Helvetica" w:hAnsi="Helvetica" w:cs="Helvetica"/>
          <w:b w:val="0"/>
          <w:color w:val="222222"/>
          <w:sz w:val="20"/>
          <w:szCs w:val="20"/>
          <w:shd w:val="clear" w:color="auto" w:fill="FFFFFF"/>
          <w:vertAlign w:val="superscript"/>
          <w:lang w:val="es-AR"/>
        </w:rPr>
        <w:t>1</w:t>
      </w:r>
      <w:r w:rsidRPr="006E18BD">
        <w:rPr>
          <w:rFonts w:asciiTheme="majorHAnsi" w:hAnsiTheme="majorHAnsi" w:cstheme="majorHAnsi"/>
          <w:b/>
          <w:szCs w:val="22"/>
          <w:lang w:val="es-AR"/>
        </w:rPr>
        <w:t xml:space="preserve"> a tipos de cambio constantes:</w:t>
      </w:r>
      <w:r w:rsidR="006E18BD" w:rsidRPr="006E18BD">
        <w:rPr>
          <w:rFonts w:asciiTheme="majorHAnsi" w:hAnsiTheme="majorHAnsi" w:cstheme="majorHAnsi"/>
          <w:b/>
          <w:szCs w:val="22"/>
          <w:lang w:val="es-AR"/>
        </w:rPr>
        <w:t xml:space="preserve"> </w:t>
      </w:r>
      <w:r w:rsidRPr="006E18BD">
        <w:rPr>
          <w:rFonts w:asciiTheme="majorHAnsi" w:hAnsiTheme="majorHAnsi" w:cstheme="majorHAnsi"/>
          <w:b/>
          <w:szCs w:val="22"/>
          <w:lang w:val="es-AR"/>
        </w:rPr>
        <w:t>disminución en un rango entre el -18% y el -22%</w:t>
      </w:r>
    </w:p>
    <w:p w14:paraId="1CCE5DE9" w14:textId="77777777" w:rsidR="00147F6F" w:rsidRDefault="00147F6F" w:rsidP="00147F6F">
      <w:pPr>
        <w:tabs>
          <w:tab w:val="left" w:pos="1080"/>
          <w:tab w:val="left" w:pos="4500"/>
        </w:tabs>
        <w:rPr>
          <w:rFonts w:asciiTheme="majorHAnsi" w:hAnsiTheme="majorHAnsi" w:cstheme="majorHAnsi"/>
          <w:bCs/>
          <w:szCs w:val="22"/>
          <w:lang w:val="es-AR"/>
        </w:rPr>
      </w:pPr>
    </w:p>
    <w:p w14:paraId="74076FB3" w14:textId="5D85E2D6" w:rsidR="00147F6F" w:rsidRDefault="00147F6F" w:rsidP="00147F6F">
      <w:pPr>
        <w:tabs>
          <w:tab w:val="left" w:pos="1080"/>
          <w:tab w:val="left" w:pos="4500"/>
        </w:tabs>
        <w:rPr>
          <w:rFonts w:asciiTheme="majorHAnsi" w:hAnsiTheme="majorHAnsi" w:cstheme="majorHAnsi"/>
          <w:bCs/>
          <w:szCs w:val="22"/>
          <w:lang w:val="es-AR"/>
        </w:rPr>
      </w:pPr>
      <w:r w:rsidRPr="006E18BD">
        <w:rPr>
          <w:rFonts w:asciiTheme="majorHAnsi" w:hAnsiTheme="majorHAnsi" w:cstheme="majorHAnsi"/>
          <w:bCs/>
          <w:i/>
          <w:iCs/>
          <w:szCs w:val="22"/>
          <w:lang w:val="es-AR"/>
        </w:rPr>
        <w:t xml:space="preserve">“A pesar de que continuamos en un entorno económico </w:t>
      </w:r>
      <w:r w:rsidR="006E18BD">
        <w:rPr>
          <w:rFonts w:asciiTheme="majorHAnsi" w:hAnsiTheme="majorHAnsi" w:cstheme="majorHAnsi"/>
          <w:bCs/>
          <w:i/>
          <w:iCs/>
          <w:szCs w:val="22"/>
          <w:lang w:val="es-AR"/>
        </w:rPr>
        <w:t xml:space="preserve">difícil </w:t>
      </w:r>
      <w:r w:rsidRPr="006E18BD">
        <w:rPr>
          <w:rFonts w:asciiTheme="majorHAnsi" w:hAnsiTheme="majorHAnsi" w:cstheme="majorHAnsi"/>
          <w:bCs/>
          <w:i/>
          <w:iCs/>
          <w:szCs w:val="22"/>
          <w:lang w:val="es-AR"/>
        </w:rPr>
        <w:t xml:space="preserve">como resultado de la crisis sanitaria, según las cifras de ventas preliminares, Henkel </w:t>
      </w:r>
      <w:r w:rsidR="006E18BD">
        <w:rPr>
          <w:rFonts w:asciiTheme="majorHAnsi" w:hAnsiTheme="majorHAnsi" w:cstheme="majorHAnsi"/>
          <w:bCs/>
          <w:i/>
          <w:iCs/>
          <w:szCs w:val="22"/>
          <w:lang w:val="es-AR"/>
        </w:rPr>
        <w:t>logró</w:t>
      </w:r>
      <w:r w:rsidRPr="006E18BD">
        <w:rPr>
          <w:rFonts w:asciiTheme="majorHAnsi" w:hAnsiTheme="majorHAnsi" w:cstheme="majorHAnsi"/>
          <w:bCs/>
          <w:i/>
          <w:iCs/>
          <w:szCs w:val="22"/>
          <w:lang w:val="es-AR"/>
        </w:rPr>
        <w:t xml:space="preserve"> un fuerte crecimiento orgánico de las ventas del +3,9% en el tercer trimestre. Las ventas </w:t>
      </w:r>
      <w:r w:rsidR="006E18BD">
        <w:rPr>
          <w:rFonts w:asciiTheme="majorHAnsi" w:hAnsiTheme="majorHAnsi" w:cstheme="majorHAnsi"/>
          <w:bCs/>
          <w:i/>
          <w:iCs/>
          <w:szCs w:val="22"/>
          <w:lang w:val="es-AR"/>
        </w:rPr>
        <w:t>alcanzaron</w:t>
      </w:r>
      <w:r w:rsidRPr="006E18BD">
        <w:rPr>
          <w:rFonts w:asciiTheme="majorHAnsi" w:hAnsiTheme="majorHAnsi" w:cstheme="majorHAnsi"/>
          <w:bCs/>
          <w:i/>
          <w:iCs/>
          <w:szCs w:val="22"/>
          <w:lang w:val="es-AR"/>
        </w:rPr>
        <w:t xml:space="preserve"> alrededor de los 5.000 millones de euros y todas las divisiones de la compañía </w:t>
      </w:r>
      <w:r w:rsidR="006E18BD">
        <w:rPr>
          <w:rFonts w:asciiTheme="majorHAnsi" w:hAnsiTheme="majorHAnsi" w:cstheme="majorHAnsi"/>
          <w:bCs/>
          <w:i/>
          <w:iCs/>
          <w:szCs w:val="22"/>
          <w:lang w:val="es-AR"/>
        </w:rPr>
        <w:t>presentaron</w:t>
      </w:r>
      <w:r w:rsidRPr="006E18BD">
        <w:rPr>
          <w:rFonts w:asciiTheme="majorHAnsi" w:hAnsiTheme="majorHAnsi" w:cstheme="majorHAnsi"/>
          <w:bCs/>
          <w:i/>
          <w:iCs/>
          <w:szCs w:val="22"/>
          <w:lang w:val="es-AR"/>
        </w:rPr>
        <w:t xml:space="preserve"> un buen rendimiento”</w:t>
      </w:r>
      <w:r w:rsidRPr="00147F6F">
        <w:rPr>
          <w:rFonts w:asciiTheme="majorHAnsi" w:hAnsiTheme="majorHAnsi" w:cstheme="majorHAnsi"/>
          <w:bCs/>
          <w:szCs w:val="22"/>
          <w:lang w:val="es-AR"/>
        </w:rPr>
        <w:t xml:space="preserve">, comenta </w:t>
      </w:r>
      <w:proofErr w:type="spellStart"/>
      <w:r w:rsidRPr="00147F6F">
        <w:rPr>
          <w:rFonts w:asciiTheme="majorHAnsi" w:hAnsiTheme="majorHAnsi" w:cstheme="majorHAnsi"/>
          <w:bCs/>
          <w:szCs w:val="22"/>
          <w:lang w:val="es-AR"/>
        </w:rPr>
        <w:t>Carsten</w:t>
      </w:r>
      <w:proofErr w:type="spellEnd"/>
      <w:r w:rsidRPr="00147F6F">
        <w:rPr>
          <w:rFonts w:asciiTheme="majorHAnsi" w:hAnsiTheme="majorHAnsi" w:cstheme="majorHAnsi"/>
          <w:bCs/>
          <w:szCs w:val="22"/>
          <w:lang w:val="es-AR"/>
        </w:rPr>
        <w:t xml:space="preserve"> </w:t>
      </w:r>
      <w:proofErr w:type="spellStart"/>
      <w:r w:rsidRPr="00147F6F">
        <w:rPr>
          <w:rFonts w:asciiTheme="majorHAnsi" w:hAnsiTheme="majorHAnsi" w:cstheme="majorHAnsi"/>
          <w:bCs/>
          <w:szCs w:val="22"/>
          <w:lang w:val="es-AR"/>
        </w:rPr>
        <w:t>Knobel</w:t>
      </w:r>
      <w:proofErr w:type="spellEnd"/>
      <w:r w:rsidRPr="00147F6F">
        <w:rPr>
          <w:rFonts w:asciiTheme="majorHAnsi" w:hAnsiTheme="majorHAnsi" w:cstheme="majorHAnsi"/>
          <w:bCs/>
          <w:szCs w:val="22"/>
          <w:lang w:val="es-AR"/>
        </w:rPr>
        <w:t>, CEO de Henkel.</w:t>
      </w:r>
    </w:p>
    <w:p w14:paraId="60F82830" w14:textId="77777777" w:rsidR="006E18BD" w:rsidRPr="00147F6F" w:rsidRDefault="006E18BD" w:rsidP="00147F6F">
      <w:pPr>
        <w:tabs>
          <w:tab w:val="left" w:pos="1080"/>
          <w:tab w:val="left" w:pos="4500"/>
        </w:tabs>
        <w:rPr>
          <w:rFonts w:asciiTheme="majorHAnsi" w:hAnsiTheme="majorHAnsi" w:cstheme="majorHAnsi"/>
          <w:bCs/>
          <w:szCs w:val="22"/>
          <w:lang w:val="es-AR"/>
        </w:rPr>
      </w:pPr>
    </w:p>
    <w:p w14:paraId="5C551140" w14:textId="666AEC8B" w:rsidR="00147F6F" w:rsidRDefault="00147F6F" w:rsidP="00147F6F">
      <w:pPr>
        <w:tabs>
          <w:tab w:val="left" w:pos="1080"/>
          <w:tab w:val="left" w:pos="4500"/>
        </w:tabs>
        <w:rPr>
          <w:rFonts w:asciiTheme="majorHAnsi" w:hAnsiTheme="majorHAnsi" w:cstheme="majorHAnsi"/>
          <w:bCs/>
          <w:szCs w:val="22"/>
          <w:lang w:val="es-AR"/>
        </w:rPr>
      </w:pPr>
      <w:r w:rsidRPr="006E18BD">
        <w:rPr>
          <w:rFonts w:asciiTheme="majorHAnsi" w:hAnsiTheme="majorHAnsi" w:cstheme="majorHAnsi"/>
          <w:bCs/>
          <w:i/>
          <w:iCs/>
          <w:szCs w:val="22"/>
          <w:lang w:val="es-AR"/>
        </w:rPr>
        <w:t xml:space="preserve">“En </w:t>
      </w:r>
      <w:proofErr w:type="spellStart"/>
      <w:r w:rsidRPr="006E18BD">
        <w:rPr>
          <w:rFonts w:asciiTheme="majorHAnsi" w:hAnsiTheme="majorHAnsi" w:cstheme="majorHAnsi"/>
          <w:bCs/>
          <w:i/>
          <w:iCs/>
          <w:szCs w:val="22"/>
          <w:lang w:val="es-AR"/>
        </w:rPr>
        <w:t>Adhesive</w:t>
      </w:r>
      <w:proofErr w:type="spellEnd"/>
      <w:r w:rsidRPr="006E18BD">
        <w:rPr>
          <w:rFonts w:asciiTheme="majorHAnsi" w:hAnsiTheme="majorHAnsi" w:cstheme="majorHAnsi"/>
          <w:bCs/>
          <w:i/>
          <w:iCs/>
          <w:szCs w:val="22"/>
          <w:lang w:val="es-AR"/>
        </w:rPr>
        <w:t xml:space="preserve"> Technologies, todas las áreas de negocio </w:t>
      </w:r>
      <w:r w:rsidR="00467B19">
        <w:rPr>
          <w:rFonts w:asciiTheme="majorHAnsi" w:hAnsiTheme="majorHAnsi" w:cstheme="majorHAnsi"/>
          <w:bCs/>
          <w:i/>
          <w:iCs/>
          <w:szCs w:val="22"/>
          <w:lang w:val="es-AR"/>
        </w:rPr>
        <w:t>presentaron</w:t>
      </w:r>
      <w:r w:rsidRPr="006E18BD">
        <w:rPr>
          <w:rFonts w:asciiTheme="majorHAnsi" w:hAnsiTheme="majorHAnsi" w:cstheme="majorHAnsi"/>
          <w:bCs/>
          <w:i/>
          <w:iCs/>
          <w:szCs w:val="22"/>
          <w:lang w:val="es-AR"/>
        </w:rPr>
        <w:t xml:space="preserve"> una recuperación en comparación con el segundo trimestre. En la división </w:t>
      </w:r>
      <w:proofErr w:type="spellStart"/>
      <w:r w:rsidRPr="006E18BD">
        <w:rPr>
          <w:rFonts w:asciiTheme="majorHAnsi" w:hAnsiTheme="majorHAnsi" w:cstheme="majorHAnsi"/>
          <w:bCs/>
          <w:i/>
          <w:iCs/>
          <w:szCs w:val="22"/>
          <w:lang w:val="es-AR"/>
        </w:rPr>
        <w:t>Beauty</w:t>
      </w:r>
      <w:proofErr w:type="spellEnd"/>
      <w:r w:rsidRPr="006E18BD">
        <w:rPr>
          <w:rFonts w:asciiTheme="majorHAnsi" w:hAnsiTheme="majorHAnsi" w:cstheme="majorHAnsi"/>
          <w:bCs/>
          <w:i/>
          <w:iCs/>
          <w:szCs w:val="22"/>
          <w:lang w:val="es-AR"/>
        </w:rPr>
        <w:t xml:space="preserve"> </w:t>
      </w:r>
      <w:proofErr w:type="spellStart"/>
      <w:r w:rsidRPr="006E18BD">
        <w:rPr>
          <w:rFonts w:asciiTheme="majorHAnsi" w:hAnsiTheme="majorHAnsi" w:cstheme="majorHAnsi"/>
          <w:bCs/>
          <w:i/>
          <w:iCs/>
          <w:szCs w:val="22"/>
          <w:lang w:val="es-AR"/>
        </w:rPr>
        <w:t>Care</w:t>
      </w:r>
      <w:proofErr w:type="spellEnd"/>
      <w:r w:rsidRPr="006E18BD">
        <w:rPr>
          <w:rFonts w:asciiTheme="majorHAnsi" w:hAnsiTheme="majorHAnsi" w:cstheme="majorHAnsi"/>
          <w:bCs/>
          <w:i/>
          <w:iCs/>
          <w:szCs w:val="22"/>
          <w:lang w:val="es-AR"/>
        </w:rPr>
        <w:t xml:space="preserve">, el negocio de las peluquerías también </w:t>
      </w:r>
      <w:r w:rsidR="00467B19">
        <w:rPr>
          <w:rFonts w:asciiTheme="majorHAnsi" w:hAnsiTheme="majorHAnsi" w:cstheme="majorHAnsi"/>
          <w:bCs/>
          <w:i/>
          <w:iCs/>
          <w:szCs w:val="22"/>
          <w:lang w:val="es-AR"/>
        </w:rPr>
        <w:t>mostró</w:t>
      </w:r>
      <w:r w:rsidRPr="006E18BD">
        <w:rPr>
          <w:rFonts w:asciiTheme="majorHAnsi" w:hAnsiTheme="majorHAnsi" w:cstheme="majorHAnsi"/>
          <w:bCs/>
          <w:i/>
          <w:iCs/>
          <w:szCs w:val="22"/>
          <w:lang w:val="es-AR"/>
        </w:rPr>
        <w:t xml:space="preserve"> una recuperación en comparación con el segundo trimestre y el negocio</w:t>
      </w:r>
      <w:r w:rsidR="00467B19">
        <w:rPr>
          <w:rFonts w:asciiTheme="majorHAnsi" w:hAnsiTheme="majorHAnsi" w:cstheme="majorHAnsi"/>
          <w:bCs/>
          <w:i/>
          <w:iCs/>
          <w:szCs w:val="22"/>
          <w:lang w:val="es-AR"/>
        </w:rPr>
        <w:t xml:space="preserve"> minorista</w:t>
      </w:r>
      <w:r w:rsidRPr="006E18BD">
        <w:rPr>
          <w:rFonts w:asciiTheme="majorHAnsi" w:hAnsiTheme="majorHAnsi" w:cstheme="majorHAnsi"/>
          <w:bCs/>
          <w:i/>
          <w:iCs/>
          <w:szCs w:val="22"/>
          <w:lang w:val="es-AR"/>
        </w:rPr>
        <w:t xml:space="preserve"> </w:t>
      </w:r>
      <w:r w:rsidR="00467B19">
        <w:rPr>
          <w:rFonts w:asciiTheme="majorHAnsi" w:hAnsiTheme="majorHAnsi" w:cstheme="majorHAnsi"/>
          <w:bCs/>
          <w:i/>
          <w:iCs/>
          <w:szCs w:val="22"/>
          <w:lang w:val="es-AR"/>
        </w:rPr>
        <w:t>logró</w:t>
      </w:r>
      <w:r w:rsidRPr="006E18BD">
        <w:rPr>
          <w:rFonts w:asciiTheme="majorHAnsi" w:hAnsiTheme="majorHAnsi" w:cstheme="majorHAnsi"/>
          <w:bCs/>
          <w:i/>
          <w:iCs/>
          <w:szCs w:val="22"/>
          <w:lang w:val="es-AR"/>
        </w:rPr>
        <w:t xml:space="preserve"> un crecimiento orgánico significativo de las ventas en comparación con el mismo trimest</w:t>
      </w:r>
      <w:r w:rsidR="00467B19">
        <w:rPr>
          <w:rFonts w:asciiTheme="majorHAnsi" w:hAnsiTheme="majorHAnsi" w:cstheme="majorHAnsi"/>
          <w:bCs/>
          <w:i/>
          <w:iCs/>
          <w:szCs w:val="22"/>
          <w:lang w:val="es-AR"/>
        </w:rPr>
        <w:t>r</w:t>
      </w:r>
      <w:r w:rsidRPr="006E18BD">
        <w:rPr>
          <w:rFonts w:asciiTheme="majorHAnsi" w:hAnsiTheme="majorHAnsi" w:cstheme="majorHAnsi"/>
          <w:bCs/>
          <w:i/>
          <w:iCs/>
          <w:szCs w:val="22"/>
          <w:lang w:val="es-AR"/>
        </w:rPr>
        <w:t xml:space="preserve">e del año anterior. </w:t>
      </w:r>
      <w:proofErr w:type="spellStart"/>
      <w:r w:rsidRPr="006E18BD">
        <w:rPr>
          <w:rFonts w:asciiTheme="majorHAnsi" w:hAnsiTheme="majorHAnsi" w:cstheme="majorHAnsi"/>
          <w:bCs/>
          <w:i/>
          <w:iCs/>
          <w:szCs w:val="22"/>
          <w:lang w:val="es-AR"/>
        </w:rPr>
        <w:t>Laundry</w:t>
      </w:r>
      <w:proofErr w:type="spellEnd"/>
      <w:r w:rsidRPr="006E18BD">
        <w:rPr>
          <w:rFonts w:asciiTheme="majorHAnsi" w:hAnsiTheme="majorHAnsi" w:cstheme="majorHAnsi"/>
          <w:bCs/>
          <w:i/>
          <w:iCs/>
          <w:szCs w:val="22"/>
          <w:lang w:val="es-AR"/>
        </w:rPr>
        <w:t xml:space="preserve"> &amp; Home </w:t>
      </w:r>
      <w:proofErr w:type="spellStart"/>
      <w:r w:rsidRPr="006E18BD">
        <w:rPr>
          <w:rFonts w:asciiTheme="majorHAnsi" w:hAnsiTheme="majorHAnsi" w:cstheme="majorHAnsi"/>
          <w:bCs/>
          <w:i/>
          <w:iCs/>
          <w:szCs w:val="22"/>
          <w:lang w:val="es-AR"/>
        </w:rPr>
        <w:t>Care</w:t>
      </w:r>
      <w:proofErr w:type="spellEnd"/>
      <w:r w:rsidRPr="006E18BD">
        <w:rPr>
          <w:rFonts w:asciiTheme="majorHAnsi" w:hAnsiTheme="majorHAnsi" w:cstheme="majorHAnsi"/>
          <w:bCs/>
          <w:i/>
          <w:iCs/>
          <w:szCs w:val="22"/>
          <w:lang w:val="es-AR"/>
        </w:rPr>
        <w:t xml:space="preserve"> también </w:t>
      </w:r>
      <w:r w:rsidR="00467B19">
        <w:rPr>
          <w:rFonts w:asciiTheme="majorHAnsi" w:hAnsiTheme="majorHAnsi" w:cstheme="majorHAnsi"/>
          <w:bCs/>
          <w:i/>
          <w:iCs/>
          <w:szCs w:val="22"/>
          <w:lang w:val="es-AR"/>
        </w:rPr>
        <w:t>registró</w:t>
      </w:r>
      <w:r w:rsidRPr="006E18BD">
        <w:rPr>
          <w:rFonts w:asciiTheme="majorHAnsi" w:hAnsiTheme="majorHAnsi" w:cstheme="majorHAnsi"/>
          <w:bCs/>
          <w:i/>
          <w:iCs/>
          <w:szCs w:val="22"/>
          <w:lang w:val="es-AR"/>
        </w:rPr>
        <w:t xml:space="preserve"> un crecimiento significativo, manteniendo su exitoso rendimiento”</w:t>
      </w:r>
      <w:r w:rsidRPr="00147F6F">
        <w:rPr>
          <w:rFonts w:asciiTheme="majorHAnsi" w:hAnsiTheme="majorHAnsi" w:cstheme="majorHAnsi"/>
          <w:bCs/>
          <w:szCs w:val="22"/>
          <w:lang w:val="es-AR"/>
        </w:rPr>
        <w:t xml:space="preserve">, añade </w:t>
      </w:r>
      <w:proofErr w:type="spellStart"/>
      <w:r w:rsidRPr="00147F6F">
        <w:rPr>
          <w:rFonts w:asciiTheme="majorHAnsi" w:hAnsiTheme="majorHAnsi" w:cstheme="majorHAnsi"/>
          <w:bCs/>
          <w:szCs w:val="22"/>
          <w:lang w:val="es-AR"/>
        </w:rPr>
        <w:t>Knobel</w:t>
      </w:r>
      <w:proofErr w:type="spellEnd"/>
      <w:r w:rsidRPr="00147F6F">
        <w:rPr>
          <w:rFonts w:asciiTheme="majorHAnsi" w:hAnsiTheme="majorHAnsi" w:cstheme="majorHAnsi"/>
          <w:bCs/>
          <w:szCs w:val="22"/>
          <w:lang w:val="es-AR"/>
        </w:rPr>
        <w:t>.</w:t>
      </w:r>
    </w:p>
    <w:p w14:paraId="0E3FBDE7" w14:textId="77777777" w:rsidR="006E18BD" w:rsidRPr="00147F6F" w:rsidRDefault="006E18BD" w:rsidP="00147F6F">
      <w:pPr>
        <w:tabs>
          <w:tab w:val="left" w:pos="1080"/>
          <w:tab w:val="left" w:pos="4500"/>
        </w:tabs>
        <w:rPr>
          <w:rFonts w:asciiTheme="majorHAnsi" w:hAnsiTheme="majorHAnsi" w:cstheme="majorHAnsi"/>
          <w:bCs/>
          <w:szCs w:val="22"/>
          <w:lang w:val="es-AR"/>
        </w:rPr>
      </w:pPr>
    </w:p>
    <w:p w14:paraId="46839B64" w14:textId="034A3983" w:rsidR="00147F6F" w:rsidRPr="007A4E54" w:rsidRDefault="00147F6F" w:rsidP="00147F6F">
      <w:pPr>
        <w:tabs>
          <w:tab w:val="left" w:pos="1080"/>
          <w:tab w:val="left" w:pos="4500"/>
        </w:tabs>
        <w:rPr>
          <w:rFonts w:asciiTheme="majorHAnsi" w:hAnsiTheme="majorHAnsi" w:cstheme="majorHAnsi"/>
          <w:b/>
          <w:szCs w:val="22"/>
          <w:lang w:val="es-AR"/>
        </w:rPr>
      </w:pPr>
      <w:r w:rsidRPr="007A4E54">
        <w:rPr>
          <w:rFonts w:asciiTheme="majorHAnsi" w:hAnsiTheme="majorHAnsi" w:cstheme="majorHAnsi"/>
          <w:b/>
          <w:szCs w:val="22"/>
          <w:lang w:val="es-AR"/>
        </w:rPr>
        <w:lastRenderedPageBreak/>
        <w:t xml:space="preserve">En base a los resultados preliminares de la actividad comercial en los primeros nueve meses de 2020, Henkel </w:t>
      </w:r>
      <w:r w:rsidR="00C55719" w:rsidRPr="007A4E54">
        <w:rPr>
          <w:rFonts w:asciiTheme="majorHAnsi" w:hAnsiTheme="majorHAnsi" w:cstheme="majorHAnsi"/>
          <w:b/>
          <w:szCs w:val="22"/>
          <w:lang w:val="es-AR"/>
        </w:rPr>
        <w:t>proporcionó</w:t>
      </w:r>
      <w:r w:rsidRPr="007A4E54">
        <w:rPr>
          <w:rFonts w:asciiTheme="majorHAnsi" w:hAnsiTheme="majorHAnsi" w:cstheme="majorHAnsi"/>
          <w:b/>
          <w:szCs w:val="22"/>
          <w:lang w:val="es-AR"/>
        </w:rPr>
        <w:t xml:space="preserve"> una nueva p</w:t>
      </w:r>
      <w:r w:rsidR="00C55719" w:rsidRPr="007A4E54">
        <w:rPr>
          <w:rFonts w:asciiTheme="majorHAnsi" w:hAnsiTheme="majorHAnsi" w:cstheme="majorHAnsi"/>
          <w:b/>
          <w:szCs w:val="22"/>
          <w:lang w:val="es-AR"/>
        </w:rPr>
        <w:t>erspectiva</w:t>
      </w:r>
      <w:r w:rsidRPr="007A4E54">
        <w:rPr>
          <w:rFonts w:asciiTheme="majorHAnsi" w:hAnsiTheme="majorHAnsi" w:cstheme="majorHAnsi"/>
          <w:b/>
          <w:szCs w:val="22"/>
          <w:lang w:val="es-AR"/>
        </w:rPr>
        <w:t xml:space="preserve"> para el año fiscal 2020, habiendo retirado en abril de este mismo año la previsión inicial debido al alto nivel de incertidumbre causado por la pandemia de COVID-19.</w:t>
      </w:r>
    </w:p>
    <w:p w14:paraId="6977FBF0" w14:textId="77777777" w:rsidR="00467B19" w:rsidRPr="007A4E54" w:rsidRDefault="00467B19" w:rsidP="00147F6F">
      <w:pPr>
        <w:tabs>
          <w:tab w:val="left" w:pos="1080"/>
          <w:tab w:val="left" w:pos="4500"/>
        </w:tabs>
        <w:rPr>
          <w:rFonts w:asciiTheme="majorHAnsi" w:hAnsiTheme="majorHAnsi" w:cstheme="majorHAnsi"/>
          <w:b/>
          <w:szCs w:val="22"/>
          <w:lang w:val="es-AR"/>
        </w:rPr>
      </w:pPr>
    </w:p>
    <w:p w14:paraId="41ED2EAF" w14:textId="2B6BD87B" w:rsidR="00147F6F" w:rsidRPr="007A4E54" w:rsidRDefault="00147F6F" w:rsidP="00147F6F">
      <w:pPr>
        <w:tabs>
          <w:tab w:val="left" w:pos="1080"/>
          <w:tab w:val="left" w:pos="4500"/>
        </w:tabs>
        <w:rPr>
          <w:rFonts w:asciiTheme="majorHAnsi" w:hAnsiTheme="majorHAnsi" w:cstheme="majorHAnsi"/>
          <w:b/>
          <w:szCs w:val="22"/>
          <w:lang w:val="es-AR"/>
        </w:rPr>
      </w:pPr>
      <w:r w:rsidRPr="007A4E54">
        <w:rPr>
          <w:rFonts w:asciiTheme="majorHAnsi" w:hAnsiTheme="majorHAnsi" w:cstheme="majorHAnsi"/>
          <w:b/>
          <w:szCs w:val="22"/>
          <w:lang w:val="es-AR"/>
        </w:rPr>
        <w:t>Para el Grupo, Henkel espera un crecimiento orgánico de las ventas entre un -1,0% y un -2,0% en el año fiscal 2020. A pesar del estricto control de cost</w:t>
      </w:r>
      <w:r w:rsidR="00C55719" w:rsidRPr="007A4E54">
        <w:rPr>
          <w:rFonts w:asciiTheme="majorHAnsi" w:hAnsiTheme="majorHAnsi" w:cstheme="majorHAnsi"/>
          <w:b/>
          <w:szCs w:val="22"/>
          <w:lang w:val="es-AR"/>
        </w:rPr>
        <w:t>o</w:t>
      </w:r>
      <w:r w:rsidRPr="007A4E54">
        <w:rPr>
          <w:rFonts w:asciiTheme="majorHAnsi" w:hAnsiTheme="majorHAnsi" w:cstheme="majorHAnsi"/>
          <w:b/>
          <w:szCs w:val="22"/>
          <w:lang w:val="es-AR"/>
        </w:rPr>
        <w:t>s, el desarrollo de las ganancias durante todo el año se verá relativamente más afectado que el de las ventas, debido a la significativa disminución en la demanda en el negocio industrial y en el negocio de Peluquería, así como el incremento de inversiones en marketing, publicidad, digitalización e IT. A nivel de Grupo, Henkel espera un margen EBIT depurado en un rango de entre el 13,0% y el 13,5% y, además, que el beneficio por acción preferente depurado (EPS) disminuya en un rango de entre un -18% y un -22% a tipos de cambio constantes.</w:t>
      </w:r>
    </w:p>
    <w:p w14:paraId="69185BBD" w14:textId="77777777" w:rsidR="00467B19" w:rsidRDefault="00467B19" w:rsidP="00147F6F">
      <w:pPr>
        <w:tabs>
          <w:tab w:val="left" w:pos="1080"/>
          <w:tab w:val="left" w:pos="4500"/>
        </w:tabs>
        <w:rPr>
          <w:rFonts w:asciiTheme="majorHAnsi" w:hAnsiTheme="majorHAnsi" w:cstheme="majorHAnsi"/>
          <w:bCs/>
          <w:szCs w:val="22"/>
          <w:lang w:val="es-AR"/>
        </w:rPr>
      </w:pPr>
    </w:p>
    <w:p w14:paraId="4324C3DE" w14:textId="7BDC07F7" w:rsidR="00147F6F" w:rsidRPr="00147F6F" w:rsidRDefault="00147F6F" w:rsidP="00147F6F">
      <w:pPr>
        <w:tabs>
          <w:tab w:val="left" w:pos="1080"/>
          <w:tab w:val="left" w:pos="4500"/>
        </w:tabs>
        <w:rPr>
          <w:rFonts w:asciiTheme="majorHAnsi" w:hAnsiTheme="majorHAnsi" w:cstheme="majorHAnsi"/>
          <w:bCs/>
          <w:szCs w:val="22"/>
          <w:lang w:val="es-AR"/>
        </w:rPr>
      </w:pPr>
      <w:r w:rsidRPr="003D2C36">
        <w:rPr>
          <w:rFonts w:asciiTheme="majorHAnsi" w:hAnsiTheme="majorHAnsi" w:cstheme="majorHAnsi"/>
          <w:bCs/>
          <w:i/>
          <w:iCs/>
          <w:szCs w:val="22"/>
          <w:lang w:val="es-AR"/>
        </w:rPr>
        <w:t>"El desarrollo de las ventas orgánicas en el tercer trimestre refleja nuestro</w:t>
      </w:r>
      <w:r w:rsidR="003D2C36">
        <w:rPr>
          <w:rFonts w:asciiTheme="majorHAnsi" w:hAnsiTheme="majorHAnsi" w:cstheme="majorHAnsi"/>
          <w:bCs/>
          <w:i/>
          <w:iCs/>
          <w:szCs w:val="22"/>
          <w:lang w:val="es-AR"/>
        </w:rPr>
        <w:t xml:space="preserve"> porfolio</w:t>
      </w:r>
      <w:r w:rsidRPr="003D2C36">
        <w:rPr>
          <w:rFonts w:asciiTheme="majorHAnsi" w:hAnsiTheme="majorHAnsi" w:cstheme="majorHAnsi"/>
          <w:bCs/>
          <w:i/>
          <w:iCs/>
          <w:szCs w:val="22"/>
          <w:lang w:val="es-AR"/>
        </w:rPr>
        <w:t xml:space="preserve"> sólido y diversificado con marcas </w:t>
      </w:r>
      <w:r w:rsidR="003D2C36">
        <w:rPr>
          <w:rFonts w:asciiTheme="majorHAnsi" w:hAnsiTheme="majorHAnsi" w:cstheme="majorHAnsi"/>
          <w:bCs/>
          <w:i/>
          <w:iCs/>
          <w:szCs w:val="22"/>
          <w:lang w:val="es-AR"/>
        </w:rPr>
        <w:t>exitosas</w:t>
      </w:r>
      <w:r w:rsidRPr="003D2C36">
        <w:rPr>
          <w:rFonts w:asciiTheme="majorHAnsi" w:hAnsiTheme="majorHAnsi" w:cstheme="majorHAnsi"/>
          <w:bCs/>
          <w:i/>
          <w:iCs/>
          <w:szCs w:val="22"/>
          <w:lang w:val="es-AR"/>
        </w:rPr>
        <w:t xml:space="preserve"> y tecnologías innovadoras para nuestros clientes tanto en el negocio de bienes de consumo como industrial. Nos complace especialmente que todas nuestras unidades de negocio hayan mostrado un desarrollo positivo. Esto </w:t>
      </w:r>
      <w:proofErr w:type="spellStart"/>
      <w:r w:rsidR="003D2C36">
        <w:rPr>
          <w:rFonts w:asciiTheme="majorHAnsi" w:hAnsiTheme="majorHAnsi" w:cstheme="majorHAnsi"/>
          <w:bCs/>
          <w:i/>
          <w:iCs/>
          <w:szCs w:val="22"/>
          <w:lang w:val="es-AR"/>
        </w:rPr>
        <w:t>se</w:t>
      </w:r>
      <w:proofErr w:type="spellEnd"/>
      <w:r w:rsidR="003D2C36">
        <w:rPr>
          <w:rFonts w:asciiTheme="majorHAnsi" w:hAnsiTheme="majorHAnsi" w:cstheme="majorHAnsi"/>
          <w:bCs/>
          <w:i/>
          <w:iCs/>
          <w:szCs w:val="22"/>
          <w:lang w:val="es-AR"/>
        </w:rPr>
        <w:t xml:space="preserve"> debió</w:t>
      </w:r>
      <w:r w:rsidRPr="003D2C36">
        <w:rPr>
          <w:rFonts w:asciiTheme="majorHAnsi" w:hAnsiTheme="majorHAnsi" w:cstheme="majorHAnsi"/>
          <w:bCs/>
          <w:i/>
          <w:iCs/>
          <w:szCs w:val="22"/>
          <w:lang w:val="es-AR"/>
        </w:rPr>
        <w:t>, en parte, a los efectos de recuperación del segundo trimestre, que estuvo muy afectado por la pandemia de COVID-19. Aun así, prevemos continuar sintiendo los efectos negativos de la pandemia también en el cuarto trimestre, aunque en nuestra p</w:t>
      </w:r>
      <w:r w:rsidR="003D2C36">
        <w:rPr>
          <w:rFonts w:asciiTheme="majorHAnsi" w:hAnsiTheme="majorHAnsi" w:cstheme="majorHAnsi"/>
          <w:bCs/>
          <w:i/>
          <w:iCs/>
          <w:szCs w:val="22"/>
          <w:lang w:val="es-AR"/>
        </w:rPr>
        <w:t>erspectiva</w:t>
      </w:r>
      <w:r w:rsidRPr="003D2C36">
        <w:rPr>
          <w:rFonts w:asciiTheme="majorHAnsi" w:hAnsiTheme="majorHAnsi" w:cstheme="majorHAnsi"/>
          <w:bCs/>
          <w:i/>
          <w:iCs/>
          <w:szCs w:val="22"/>
          <w:lang w:val="es-AR"/>
        </w:rPr>
        <w:t xml:space="preserve"> para el año no contemplamos un confinamiento general, como el que vivimos en muchos países durante el segundo trimestre. En general, estamos convencidos de estar en el camino correcto con nuestro enfoque estratégico en un crecimiento </w:t>
      </w:r>
      <w:r w:rsidR="003D2C36">
        <w:rPr>
          <w:rFonts w:asciiTheme="majorHAnsi" w:hAnsiTheme="majorHAnsi" w:cstheme="majorHAnsi"/>
          <w:bCs/>
          <w:i/>
          <w:iCs/>
          <w:szCs w:val="22"/>
          <w:lang w:val="es-AR"/>
        </w:rPr>
        <w:t>con propósito</w:t>
      </w:r>
      <w:r w:rsidRPr="003D2C36">
        <w:rPr>
          <w:rFonts w:asciiTheme="majorHAnsi" w:hAnsiTheme="majorHAnsi" w:cstheme="majorHAnsi"/>
          <w:bCs/>
          <w:i/>
          <w:iCs/>
          <w:szCs w:val="22"/>
          <w:lang w:val="es-AR"/>
        </w:rPr>
        <w:t xml:space="preserve"> y de que saldremos más fuertes de esta crisis. Queremos agradecer especialmente el trabajo de nuestros empleados alrededor del mundo que gracias a su compromiso están contribuyendo decisivamente a ello”</w:t>
      </w:r>
      <w:r w:rsidRPr="00147F6F">
        <w:rPr>
          <w:rFonts w:asciiTheme="majorHAnsi" w:hAnsiTheme="majorHAnsi" w:cstheme="majorHAnsi"/>
          <w:bCs/>
          <w:szCs w:val="22"/>
          <w:lang w:val="es-AR"/>
        </w:rPr>
        <w:t xml:space="preserve">, resume </w:t>
      </w:r>
      <w:proofErr w:type="spellStart"/>
      <w:r w:rsidRPr="00147F6F">
        <w:rPr>
          <w:rFonts w:asciiTheme="majorHAnsi" w:hAnsiTheme="majorHAnsi" w:cstheme="majorHAnsi"/>
          <w:bCs/>
          <w:szCs w:val="22"/>
          <w:lang w:val="es-AR"/>
        </w:rPr>
        <w:t>Carsten</w:t>
      </w:r>
      <w:proofErr w:type="spellEnd"/>
      <w:r w:rsidRPr="00147F6F">
        <w:rPr>
          <w:rFonts w:asciiTheme="majorHAnsi" w:hAnsiTheme="majorHAnsi" w:cstheme="majorHAnsi"/>
          <w:bCs/>
          <w:szCs w:val="22"/>
          <w:lang w:val="es-AR"/>
        </w:rPr>
        <w:t xml:space="preserve"> </w:t>
      </w:r>
      <w:proofErr w:type="spellStart"/>
      <w:r w:rsidRPr="00147F6F">
        <w:rPr>
          <w:rFonts w:asciiTheme="majorHAnsi" w:hAnsiTheme="majorHAnsi" w:cstheme="majorHAnsi"/>
          <w:bCs/>
          <w:szCs w:val="22"/>
          <w:lang w:val="es-AR"/>
        </w:rPr>
        <w:t>Knobel</w:t>
      </w:r>
      <w:proofErr w:type="spellEnd"/>
      <w:r w:rsidRPr="00147F6F">
        <w:rPr>
          <w:rFonts w:asciiTheme="majorHAnsi" w:hAnsiTheme="majorHAnsi" w:cstheme="majorHAnsi"/>
          <w:bCs/>
          <w:szCs w:val="22"/>
          <w:lang w:val="es-AR"/>
        </w:rPr>
        <w:t>.</w:t>
      </w:r>
    </w:p>
    <w:p w14:paraId="7E5DBBF5" w14:textId="77777777" w:rsidR="00467B19" w:rsidRDefault="00467B19" w:rsidP="00147F6F">
      <w:pPr>
        <w:tabs>
          <w:tab w:val="left" w:pos="1080"/>
          <w:tab w:val="left" w:pos="4500"/>
        </w:tabs>
        <w:rPr>
          <w:rFonts w:asciiTheme="majorHAnsi" w:hAnsiTheme="majorHAnsi" w:cstheme="majorHAnsi"/>
          <w:bCs/>
          <w:szCs w:val="22"/>
          <w:lang w:val="es-AR"/>
        </w:rPr>
      </w:pPr>
    </w:p>
    <w:p w14:paraId="747B02BF" w14:textId="6684592B" w:rsidR="00147F6F" w:rsidRPr="00467B19" w:rsidRDefault="00147F6F" w:rsidP="00147F6F">
      <w:pPr>
        <w:tabs>
          <w:tab w:val="left" w:pos="1080"/>
          <w:tab w:val="left" w:pos="4500"/>
        </w:tabs>
        <w:rPr>
          <w:rFonts w:asciiTheme="majorHAnsi" w:hAnsiTheme="majorHAnsi" w:cstheme="majorHAnsi"/>
          <w:b/>
          <w:szCs w:val="22"/>
          <w:lang w:val="es-AR"/>
        </w:rPr>
      </w:pPr>
      <w:r w:rsidRPr="00467B19">
        <w:rPr>
          <w:rFonts w:asciiTheme="majorHAnsi" w:hAnsiTheme="majorHAnsi" w:cstheme="majorHAnsi"/>
          <w:b/>
          <w:szCs w:val="22"/>
          <w:lang w:val="es-AR"/>
        </w:rPr>
        <w:t>Evolución preliminar de las ventas en el tercer trimestre</w:t>
      </w:r>
    </w:p>
    <w:p w14:paraId="49CA7578" w14:textId="77777777" w:rsidR="00467B19" w:rsidRDefault="00467B19" w:rsidP="00147F6F">
      <w:pPr>
        <w:tabs>
          <w:tab w:val="left" w:pos="1080"/>
          <w:tab w:val="left" w:pos="4500"/>
        </w:tabs>
        <w:rPr>
          <w:rFonts w:asciiTheme="majorHAnsi" w:hAnsiTheme="majorHAnsi" w:cstheme="majorHAnsi"/>
          <w:bCs/>
          <w:szCs w:val="22"/>
          <w:lang w:val="es-AR"/>
        </w:rPr>
      </w:pPr>
    </w:p>
    <w:p w14:paraId="2E255731" w14:textId="04256C0A" w:rsid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Según las cifras preliminares, Henkel </w:t>
      </w:r>
      <w:r w:rsidR="007A4E54">
        <w:rPr>
          <w:rFonts w:asciiTheme="majorHAnsi" w:hAnsiTheme="majorHAnsi" w:cstheme="majorHAnsi"/>
          <w:bCs/>
          <w:szCs w:val="22"/>
          <w:lang w:val="es-AR"/>
        </w:rPr>
        <w:t>presentó</w:t>
      </w:r>
      <w:r w:rsidRPr="00147F6F">
        <w:rPr>
          <w:rFonts w:asciiTheme="majorHAnsi" w:hAnsiTheme="majorHAnsi" w:cstheme="majorHAnsi"/>
          <w:bCs/>
          <w:szCs w:val="22"/>
          <w:lang w:val="es-AR"/>
        </w:rPr>
        <w:t xml:space="preserve"> un </w:t>
      </w:r>
      <w:r w:rsidRPr="007A4E54">
        <w:rPr>
          <w:rFonts w:asciiTheme="majorHAnsi" w:hAnsiTheme="majorHAnsi" w:cstheme="majorHAnsi"/>
          <w:b/>
          <w:szCs w:val="22"/>
          <w:lang w:val="es-AR"/>
        </w:rPr>
        <w:t>crecimiento orgánico de las ventas</w:t>
      </w:r>
      <w:r w:rsidRPr="00147F6F">
        <w:rPr>
          <w:rFonts w:asciiTheme="majorHAnsi" w:hAnsiTheme="majorHAnsi" w:cstheme="majorHAnsi"/>
          <w:bCs/>
          <w:szCs w:val="22"/>
          <w:lang w:val="es-AR"/>
        </w:rPr>
        <w:t xml:space="preserve">, que excluye el impacto de los efectos </w:t>
      </w:r>
      <w:r w:rsidR="007A4E54">
        <w:rPr>
          <w:rFonts w:asciiTheme="majorHAnsi" w:hAnsiTheme="majorHAnsi" w:cstheme="majorHAnsi"/>
          <w:bCs/>
          <w:szCs w:val="22"/>
          <w:lang w:val="es-AR"/>
        </w:rPr>
        <w:t>del tipo de cambio</w:t>
      </w:r>
      <w:r w:rsidRPr="00147F6F">
        <w:rPr>
          <w:rFonts w:asciiTheme="majorHAnsi" w:hAnsiTheme="majorHAnsi" w:cstheme="majorHAnsi"/>
          <w:bCs/>
          <w:szCs w:val="22"/>
          <w:lang w:val="es-AR"/>
        </w:rPr>
        <w:t xml:space="preserve"> y adquisiciones/desinversiones, de un +3,9%.</w:t>
      </w:r>
    </w:p>
    <w:p w14:paraId="2AAE60F3" w14:textId="77777777" w:rsidR="007A4E54" w:rsidRPr="00147F6F" w:rsidRDefault="007A4E54" w:rsidP="00147F6F">
      <w:pPr>
        <w:tabs>
          <w:tab w:val="left" w:pos="1080"/>
          <w:tab w:val="left" w:pos="4500"/>
        </w:tabs>
        <w:rPr>
          <w:rFonts w:asciiTheme="majorHAnsi" w:hAnsiTheme="majorHAnsi" w:cstheme="majorHAnsi"/>
          <w:bCs/>
          <w:szCs w:val="22"/>
          <w:lang w:val="es-AR"/>
        </w:rPr>
      </w:pPr>
    </w:p>
    <w:p w14:paraId="698ECBBD" w14:textId="4F4E5D3B" w:rsid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En base a las cifras preliminares, la unidad de negocio de </w:t>
      </w:r>
      <w:proofErr w:type="spellStart"/>
      <w:r w:rsidRPr="007A4E54">
        <w:rPr>
          <w:rFonts w:asciiTheme="majorHAnsi" w:hAnsiTheme="majorHAnsi" w:cstheme="majorHAnsi"/>
          <w:b/>
          <w:szCs w:val="22"/>
          <w:lang w:val="es-AR"/>
        </w:rPr>
        <w:t>Adhesive</w:t>
      </w:r>
      <w:proofErr w:type="spellEnd"/>
      <w:r w:rsidRPr="007A4E54">
        <w:rPr>
          <w:rFonts w:asciiTheme="majorHAnsi" w:hAnsiTheme="majorHAnsi" w:cstheme="majorHAnsi"/>
          <w:b/>
          <w:szCs w:val="22"/>
          <w:lang w:val="es-AR"/>
        </w:rPr>
        <w:t xml:space="preserve"> Technologies</w:t>
      </w:r>
      <w:r w:rsidRPr="00147F6F">
        <w:rPr>
          <w:rFonts w:asciiTheme="majorHAnsi" w:hAnsiTheme="majorHAnsi" w:cstheme="majorHAnsi"/>
          <w:bCs/>
          <w:szCs w:val="22"/>
          <w:lang w:val="es-AR"/>
        </w:rPr>
        <w:t xml:space="preserve"> </w:t>
      </w:r>
      <w:r w:rsidR="007A4E54">
        <w:rPr>
          <w:rFonts w:asciiTheme="majorHAnsi" w:hAnsiTheme="majorHAnsi" w:cstheme="majorHAnsi"/>
          <w:bCs/>
          <w:szCs w:val="22"/>
          <w:lang w:val="es-AR"/>
        </w:rPr>
        <w:t>logró</w:t>
      </w:r>
      <w:r w:rsidRPr="00147F6F">
        <w:rPr>
          <w:rFonts w:asciiTheme="majorHAnsi" w:hAnsiTheme="majorHAnsi" w:cstheme="majorHAnsi"/>
          <w:bCs/>
          <w:szCs w:val="22"/>
          <w:lang w:val="es-AR"/>
        </w:rPr>
        <w:t xml:space="preserve"> un crecimiento orgánico positivo de las ventas de un +1,3% en el tercer trimestre. En comparación con el segundo trimestre, se </w:t>
      </w:r>
      <w:r w:rsidR="007A4E54">
        <w:rPr>
          <w:rFonts w:asciiTheme="majorHAnsi" w:hAnsiTheme="majorHAnsi" w:cstheme="majorHAnsi"/>
          <w:bCs/>
          <w:szCs w:val="22"/>
          <w:lang w:val="es-AR"/>
        </w:rPr>
        <w:t>registró</w:t>
      </w:r>
      <w:r w:rsidRPr="00147F6F">
        <w:rPr>
          <w:rFonts w:asciiTheme="majorHAnsi" w:hAnsiTheme="majorHAnsi" w:cstheme="majorHAnsi"/>
          <w:bCs/>
          <w:szCs w:val="22"/>
          <w:lang w:val="es-AR"/>
        </w:rPr>
        <w:t xml:space="preserve"> una recuperación de la demanda en todas las áreas del negocio.</w:t>
      </w:r>
    </w:p>
    <w:p w14:paraId="262B02CE" w14:textId="16AF21EF"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Según las cifras preliminares, </w:t>
      </w:r>
      <w:proofErr w:type="spellStart"/>
      <w:r w:rsidRPr="007A4E54">
        <w:rPr>
          <w:rFonts w:asciiTheme="majorHAnsi" w:hAnsiTheme="majorHAnsi" w:cstheme="majorHAnsi"/>
          <w:b/>
          <w:szCs w:val="22"/>
          <w:lang w:val="es-AR"/>
        </w:rPr>
        <w:t>Beauty</w:t>
      </w:r>
      <w:proofErr w:type="spellEnd"/>
      <w:r w:rsidRPr="007A4E54">
        <w:rPr>
          <w:rFonts w:asciiTheme="majorHAnsi" w:hAnsiTheme="majorHAnsi" w:cstheme="majorHAnsi"/>
          <w:b/>
          <w:szCs w:val="22"/>
          <w:lang w:val="es-AR"/>
        </w:rPr>
        <w:t xml:space="preserve"> </w:t>
      </w:r>
      <w:proofErr w:type="spellStart"/>
      <w:r w:rsidRPr="007A4E54">
        <w:rPr>
          <w:rFonts w:asciiTheme="majorHAnsi" w:hAnsiTheme="majorHAnsi" w:cstheme="majorHAnsi"/>
          <w:b/>
          <w:szCs w:val="22"/>
          <w:lang w:val="es-AR"/>
        </w:rPr>
        <w:t>Care</w:t>
      </w:r>
      <w:proofErr w:type="spellEnd"/>
      <w:r w:rsidRPr="007A4E54">
        <w:rPr>
          <w:rFonts w:asciiTheme="majorHAnsi" w:hAnsiTheme="majorHAnsi" w:cstheme="majorHAnsi"/>
          <w:b/>
          <w:szCs w:val="22"/>
          <w:lang w:val="es-AR"/>
        </w:rPr>
        <w:t xml:space="preserve"> </w:t>
      </w:r>
      <w:r w:rsidR="007A4E54">
        <w:rPr>
          <w:rFonts w:asciiTheme="majorHAnsi" w:hAnsiTheme="majorHAnsi" w:cstheme="majorHAnsi"/>
          <w:bCs/>
          <w:szCs w:val="22"/>
          <w:lang w:val="es-AR"/>
        </w:rPr>
        <w:t>generó</w:t>
      </w:r>
      <w:r w:rsidRPr="00147F6F">
        <w:rPr>
          <w:rFonts w:asciiTheme="majorHAnsi" w:hAnsiTheme="majorHAnsi" w:cstheme="majorHAnsi"/>
          <w:bCs/>
          <w:szCs w:val="22"/>
          <w:lang w:val="es-AR"/>
        </w:rPr>
        <w:t xml:space="preserve"> un fuerte crecimiento orgánico de las ventas de +4,3%. Si bien el desarrollo del negocio de Peluquería ha sido inferior en comparación al mismo trimestre en el año anterior a pesar de una recuperación, el negocio de consumo </w:t>
      </w:r>
      <w:r w:rsidR="007A4E54">
        <w:rPr>
          <w:rFonts w:asciiTheme="majorHAnsi" w:hAnsiTheme="majorHAnsi" w:cstheme="majorHAnsi"/>
          <w:bCs/>
          <w:szCs w:val="22"/>
          <w:lang w:val="es-AR"/>
        </w:rPr>
        <w:t>logró</w:t>
      </w:r>
      <w:r w:rsidRPr="00147F6F">
        <w:rPr>
          <w:rFonts w:asciiTheme="majorHAnsi" w:hAnsiTheme="majorHAnsi" w:cstheme="majorHAnsi"/>
          <w:bCs/>
          <w:szCs w:val="22"/>
          <w:lang w:val="es-AR"/>
        </w:rPr>
        <w:t xml:space="preserve"> un crecimiento orgánico significativo de las ventas en el tercer trimestre.</w:t>
      </w:r>
    </w:p>
    <w:p w14:paraId="257943F5" w14:textId="77777777" w:rsidR="003D2C36" w:rsidRDefault="003D2C36" w:rsidP="00147F6F">
      <w:pPr>
        <w:tabs>
          <w:tab w:val="left" w:pos="1080"/>
          <w:tab w:val="left" w:pos="4500"/>
        </w:tabs>
        <w:rPr>
          <w:rFonts w:asciiTheme="majorHAnsi" w:hAnsiTheme="majorHAnsi" w:cstheme="majorHAnsi"/>
          <w:bCs/>
          <w:szCs w:val="22"/>
          <w:lang w:val="es-AR"/>
        </w:rPr>
      </w:pPr>
    </w:p>
    <w:p w14:paraId="5B1756F3" w14:textId="262646DD"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Gracias a la continua y fuerte demanda de los productos de </w:t>
      </w:r>
      <w:proofErr w:type="spellStart"/>
      <w:r w:rsidRPr="007A4E54">
        <w:rPr>
          <w:rFonts w:asciiTheme="majorHAnsi" w:hAnsiTheme="majorHAnsi" w:cstheme="majorHAnsi"/>
          <w:b/>
          <w:szCs w:val="22"/>
          <w:lang w:val="es-AR"/>
        </w:rPr>
        <w:t>Laundry</w:t>
      </w:r>
      <w:proofErr w:type="spellEnd"/>
      <w:r w:rsidRPr="007A4E54">
        <w:rPr>
          <w:rFonts w:asciiTheme="majorHAnsi" w:hAnsiTheme="majorHAnsi" w:cstheme="majorHAnsi"/>
          <w:b/>
          <w:szCs w:val="22"/>
          <w:lang w:val="es-AR"/>
        </w:rPr>
        <w:t xml:space="preserve"> &amp; Home </w:t>
      </w:r>
      <w:proofErr w:type="spellStart"/>
      <w:r w:rsidRPr="007A4E54">
        <w:rPr>
          <w:rFonts w:asciiTheme="majorHAnsi" w:hAnsiTheme="majorHAnsi" w:cstheme="majorHAnsi"/>
          <w:b/>
          <w:szCs w:val="22"/>
          <w:lang w:val="es-AR"/>
        </w:rPr>
        <w:t>Care</w:t>
      </w:r>
      <w:proofErr w:type="spellEnd"/>
      <w:r w:rsidRPr="00147F6F">
        <w:rPr>
          <w:rFonts w:asciiTheme="majorHAnsi" w:hAnsiTheme="majorHAnsi" w:cstheme="majorHAnsi"/>
          <w:bCs/>
          <w:szCs w:val="22"/>
          <w:lang w:val="es-AR"/>
        </w:rPr>
        <w:t>, así como a los efectos de recuperación del segundo trimestre, las cifras preliminares para esta unidad de negocio también indican un crecimiento orgánico significativo de las ventas en el tercer trimestre de un +7,7%.</w:t>
      </w:r>
    </w:p>
    <w:p w14:paraId="46FEBDDB" w14:textId="77777777" w:rsidR="003D2C36" w:rsidRDefault="003D2C36" w:rsidP="00147F6F">
      <w:pPr>
        <w:tabs>
          <w:tab w:val="left" w:pos="1080"/>
          <w:tab w:val="left" w:pos="4500"/>
        </w:tabs>
        <w:rPr>
          <w:rFonts w:asciiTheme="majorHAnsi" w:hAnsiTheme="majorHAnsi" w:cstheme="majorHAnsi"/>
          <w:bCs/>
          <w:szCs w:val="22"/>
          <w:lang w:val="es-AR"/>
        </w:rPr>
      </w:pPr>
    </w:p>
    <w:p w14:paraId="296F985F" w14:textId="3830E645"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Henkel publicará su declaración para el tercer trimestre de 2020 el 10 de noviembre.</w:t>
      </w:r>
    </w:p>
    <w:p w14:paraId="1607EE90" w14:textId="77777777" w:rsidR="003D2C36" w:rsidRDefault="003D2C36" w:rsidP="00147F6F">
      <w:pPr>
        <w:tabs>
          <w:tab w:val="left" w:pos="1080"/>
          <w:tab w:val="left" w:pos="4500"/>
        </w:tabs>
        <w:rPr>
          <w:rFonts w:asciiTheme="majorHAnsi" w:hAnsiTheme="majorHAnsi" w:cstheme="majorHAnsi"/>
          <w:bCs/>
          <w:szCs w:val="22"/>
          <w:lang w:val="es-AR"/>
        </w:rPr>
      </w:pPr>
    </w:p>
    <w:p w14:paraId="39354429" w14:textId="35C65DC4" w:rsidR="00147F6F" w:rsidRPr="003D2C36" w:rsidRDefault="00147F6F" w:rsidP="00147F6F">
      <w:pPr>
        <w:tabs>
          <w:tab w:val="left" w:pos="1080"/>
          <w:tab w:val="left" w:pos="4500"/>
        </w:tabs>
        <w:rPr>
          <w:rFonts w:asciiTheme="majorHAnsi" w:hAnsiTheme="majorHAnsi" w:cstheme="majorHAnsi"/>
          <w:b/>
          <w:szCs w:val="22"/>
          <w:lang w:val="es-AR"/>
        </w:rPr>
      </w:pPr>
      <w:r w:rsidRPr="003D2C36">
        <w:rPr>
          <w:rFonts w:asciiTheme="majorHAnsi" w:hAnsiTheme="majorHAnsi" w:cstheme="majorHAnsi"/>
          <w:b/>
          <w:szCs w:val="22"/>
          <w:lang w:val="es-AR"/>
        </w:rPr>
        <w:t>Evolución preliminar de las ventas en los primeros nueve meses de 2020</w:t>
      </w:r>
    </w:p>
    <w:p w14:paraId="4951BAF0" w14:textId="77777777" w:rsidR="003D2C36" w:rsidRDefault="003D2C36" w:rsidP="00147F6F">
      <w:pPr>
        <w:tabs>
          <w:tab w:val="left" w:pos="1080"/>
          <w:tab w:val="left" w:pos="4500"/>
        </w:tabs>
        <w:rPr>
          <w:rFonts w:asciiTheme="majorHAnsi" w:hAnsiTheme="majorHAnsi" w:cstheme="majorHAnsi"/>
          <w:bCs/>
          <w:szCs w:val="22"/>
          <w:lang w:val="es-AR"/>
        </w:rPr>
      </w:pPr>
    </w:p>
    <w:p w14:paraId="4B84B5F5" w14:textId="194B6307"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Según las cifras preliminares, Henkel </w:t>
      </w:r>
      <w:r w:rsidR="007A4E54">
        <w:rPr>
          <w:rFonts w:asciiTheme="majorHAnsi" w:hAnsiTheme="majorHAnsi" w:cstheme="majorHAnsi"/>
          <w:bCs/>
          <w:szCs w:val="22"/>
          <w:lang w:val="es-AR"/>
        </w:rPr>
        <w:t>registró</w:t>
      </w:r>
      <w:r w:rsidRPr="00147F6F">
        <w:rPr>
          <w:rFonts w:asciiTheme="majorHAnsi" w:hAnsiTheme="majorHAnsi" w:cstheme="majorHAnsi"/>
          <w:bCs/>
          <w:szCs w:val="22"/>
          <w:lang w:val="es-AR"/>
        </w:rPr>
        <w:t xml:space="preserve"> unas ventas totales</w:t>
      </w:r>
      <w:r w:rsidR="007A4E54">
        <w:rPr>
          <w:rFonts w:asciiTheme="majorHAnsi" w:hAnsiTheme="majorHAnsi" w:cstheme="majorHAnsi"/>
          <w:bCs/>
          <w:szCs w:val="22"/>
          <w:lang w:val="es-AR"/>
        </w:rPr>
        <w:t xml:space="preserve"> por</w:t>
      </w:r>
      <w:r w:rsidRPr="00147F6F">
        <w:rPr>
          <w:rFonts w:asciiTheme="majorHAnsi" w:hAnsiTheme="majorHAnsi" w:cstheme="majorHAnsi"/>
          <w:bCs/>
          <w:szCs w:val="22"/>
          <w:lang w:val="es-AR"/>
        </w:rPr>
        <w:t xml:space="preserve"> alrededor de 14.500 millones de euros en los primeros nueve meses de 2020. Esto se traduce en una disminución general de las ventas orgánicas de -2,1%.</w:t>
      </w:r>
    </w:p>
    <w:p w14:paraId="6935AABD" w14:textId="77777777" w:rsidR="003D2C36" w:rsidRDefault="003D2C36" w:rsidP="00147F6F">
      <w:pPr>
        <w:tabs>
          <w:tab w:val="left" w:pos="1080"/>
          <w:tab w:val="left" w:pos="4500"/>
        </w:tabs>
        <w:rPr>
          <w:rFonts w:asciiTheme="majorHAnsi" w:hAnsiTheme="majorHAnsi" w:cstheme="majorHAnsi"/>
          <w:bCs/>
          <w:szCs w:val="22"/>
          <w:lang w:val="es-AR"/>
        </w:rPr>
      </w:pPr>
    </w:p>
    <w:p w14:paraId="3D454268" w14:textId="19B89D93"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En los primeros nueve meses de 2020, la unidad de negocio de </w:t>
      </w:r>
      <w:proofErr w:type="spellStart"/>
      <w:r w:rsidRPr="00147F6F">
        <w:rPr>
          <w:rFonts w:asciiTheme="majorHAnsi" w:hAnsiTheme="majorHAnsi" w:cstheme="majorHAnsi"/>
          <w:bCs/>
          <w:szCs w:val="22"/>
          <w:lang w:val="es-AR"/>
        </w:rPr>
        <w:t>Adhesive</w:t>
      </w:r>
      <w:proofErr w:type="spellEnd"/>
      <w:r w:rsidRPr="00147F6F">
        <w:rPr>
          <w:rFonts w:asciiTheme="majorHAnsi" w:hAnsiTheme="majorHAnsi" w:cstheme="majorHAnsi"/>
          <w:bCs/>
          <w:szCs w:val="22"/>
          <w:lang w:val="es-AR"/>
        </w:rPr>
        <w:t xml:space="preserve"> Technologies </w:t>
      </w:r>
      <w:r w:rsidR="007A4E54">
        <w:rPr>
          <w:rFonts w:asciiTheme="majorHAnsi" w:hAnsiTheme="majorHAnsi" w:cstheme="majorHAnsi"/>
          <w:bCs/>
          <w:szCs w:val="22"/>
          <w:lang w:val="es-AR"/>
        </w:rPr>
        <w:t>registró</w:t>
      </w:r>
      <w:r w:rsidRPr="00147F6F">
        <w:rPr>
          <w:rFonts w:asciiTheme="majorHAnsi" w:hAnsiTheme="majorHAnsi" w:cstheme="majorHAnsi"/>
          <w:bCs/>
          <w:szCs w:val="22"/>
          <w:lang w:val="es-AR"/>
        </w:rPr>
        <w:t xml:space="preserve"> una disminución en las ventas orgánicas del -6,8%. Las ventas en la unidad de negocio </w:t>
      </w:r>
      <w:proofErr w:type="spellStart"/>
      <w:r w:rsidRPr="00147F6F">
        <w:rPr>
          <w:rFonts w:asciiTheme="majorHAnsi" w:hAnsiTheme="majorHAnsi" w:cstheme="majorHAnsi"/>
          <w:bCs/>
          <w:szCs w:val="22"/>
          <w:lang w:val="es-AR"/>
        </w:rPr>
        <w:t>Beauty</w:t>
      </w:r>
      <w:proofErr w:type="spellEnd"/>
      <w:r w:rsidRPr="00147F6F">
        <w:rPr>
          <w:rFonts w:asciiTheme="majorHAnsi" w:hAnsiTheme="majorHAnsi" w:cstheme="majorHAnsi"/>
          <w:bCs/>
          <w:szCs w:val="22"/>
          <w:lang w:val="es-AR"/>
        </w:rPr>
        <w:t xml:space="preserve"> </w:t>
      </w:r>
      <w:proofErr w:type="spellStart"/>
      <w:r w:rsidRPr="00147F6F">
        <w:rPr>
          <w:rFonts w:asciiTheme="majorHAnsi" w:hAnsiTheme="majorHAnsi" w:cstheme="majorHAnsi"/>
          <w:bCs/>
          <w:szCs w:val="22"/>
          <w:lang w:val="es-AR"/>
        </w:rPr>
        <w:t>Care</w:t>
      </w:r>
      <w:proofErr w:type="spellEnd"/>
      <w:r w:rsidRPr="00147F6F">
        <w:rPr>
          <w:rFonts w:asciiTheme="majorHAnsi" w:hAnsiTheme="majorHAnsi" w:cstheme="majorHAnsi"/>
          <w:bCs/>
          <w:szCs w:val="22"/>
          <w:lang w:val="es-AR"/>
        </w:rPr>
        <w:t xml:space="preserve"> </w:t>
      </w:r>
      <w:r w:rsidR="007A4E54">
        <w:rPr>
          <w:rFonts w:asciiTheme="majorHAnsi" w:hAnsiTheme="majorHAnsi" w:cstheme="majorHAnsi"/>
          <w:bCs/>
          <w:szCs w:val="22"/>
          <w:lang w:val="es-AR"/>
        </w:rPr>
        <w:t>disminuyeron</w:t>
      </w:r>
      <w:r w:rsidRPr="00147F6F">
        <w:rPr>
          <w:rFonts w:asciiTheme="majorHAnsi" w:hAnsiTheme="majorHAnsi" w:cstheme="majorHAnsi"/>
          <w:bCs/>
          <w:szCs w:val="22"/>
          <w:lang w:val="es-AR"/>
        </w:rPr>
        <w:t xml:space="preserve"> orgánicamente un -4,2%. La unidad de negocio </w:t>
      </w:r>
      <w:proofErr w:type="spellStart"/>
      <w:r w:rsidRPr="00147F6F">
        <w:rPr>
          <w:rFonts w:asciiTheme="majorHAnsi" w:hAnsiTheme="majorHAnsi" w:cstheme="majorHAnsi"/>
          <w:bCs/>
          <w:szCs w:val="22"/>
          <w:lang w:val="es-AR"/>
        </w:rPr>
        <w:t>Laundry</w:t>
      </w:r>
      <w:proofErr w:type="spellEnd"/>
      <w:r w:rsidRPr="00147F6F">
        <w:rPr>
          <w:rFonts w:asciiTheme="majorHAnsi" w:hAnsiTheme="majorHAnsi" w:cstheme="majorHAnsi"/>
          <w:bCs/>
          <w:szCs w:val="22"/>
          <w:lang w:val="es-AR"/>
        </w:rPr>
        <w:t xml:space="preserve"> &amp; Home </w:t>
      </w:r>
      <w:proofErr w:type="spellStart"/>
      <w:r w:rsidRPr="00147F6F">
        <w:rPr>
          <w:rFonts w:asciiTheme="majorHAnsi" w:hAnsiTheme="majorHAnsi" w:cstheme="majorHAnsi"/>
          <w:bCs/>
          <w:szCs w:val="22"/>
          <w:lang w:val="es-AR"/>
        </w:rPr>
        <w:t>Care</w:t>
      </w:r>
      <w:proofErr w:type="spellEnd"/>
      <w:r w:rsidRPr="00147F6F">
        <w:rPr>
          <w:rFonts w:asciiTheme="majorHAnsi" w:hAnsiTheme="majorHAnsi" w:cstheme="majorHAnsi"/>
          <w:bCs/>
          <w:szCs w:val="22"/>
          <w:lang w:val="es-AR"/>
        </w:rPr>
        <w:t xml:space="preserve"> </w:t>
      </w:r>
      <w:r w:rsidR="007A4E54">
        <w:rPr>
          <w:rFonts w:asciiTheme="majorHAnsi" w:hAnsiTheme="majorHAnsi" w:cstheme="majorHAnsi"/>
          <w:bCs/>
          <w:szCs w:val="22"/>
          <w:lang w:val="es-AR"/>
        </w:rPr>
        <w:t>logró</w:t>
      </w:r>
      <w:r w:rsidRPr="00147F6F">
        <w:rPr>
          <w:rFonts w:asciiTheme="majorHAnsi" w:hAnsiTheme="majorHAnsi" w:cstheme="majorHAnsi"/>
          <w:bCs/>
          <w:szCs w:val="22"/>
          <w:lang w:val="es-AR"/>
        </w:rPr>
        <w:t xml:space="preserve"> un fuerte crecimiento orgánico de las ventas del +5,8%.</w:t>
      </w:r>
    </w:p>
    <w:p w14:paraId="26E8032A" w14:textId="77777777" w:rsidR="003D2C36" w:rsidRDefault="003D2C36" w:rsidP="00147F6F">
      <w:pPr>
        <w:tabs>
          <w:tab w:val="left" w:pos="1080"/>
          <w:tab w:val="left" w:pos="4500"/>
        </w:tabs>
        <w:rPr>
          <w:rFonts w:asciiTheme="majorHAnsi" w:hAnsiTheme="majorHAnsi" w:cstheme="majorHAnsi"/>
          <w:bCs/>
          <w:szCs w:val="22"/>
          <w:lang w:val="es-AR"/>
        </w:rPr>
      </w:pPr>
    </w:p>
    <w:p w14:paraId="251177C9" w14:textId="7CA12162" w:rsidR="00147F6F" w:rsidRPr="00A85C77" w:rsidRDefault="00147F6F" w:rsidP="00147F6F">
      <w:pPr>
        <w:tabs>
          <w:tab w:val="left" w:pos="1080"/>
          <w:tab w:val="left" w:pos="4500"/>
        </w:tabs>
        <w:rPr>
          <w:rFonts w:asciiTheme="majorHAnsi" w:hAnsiTheme="majorHAnsi" w:cstheme="majorHAnsi"/>
          <w:b/>
          <w:szCs w:val="22"/>
          <w:lang w:val="es-AR"/>
        </w:rPr>
      </w:pPr>
      <w:r w:rsidRPr="00A85C77">
        <w:rPr>
          <w:rFonts w:asciiTheme="majorHAnsi" w:hAnsiTheme="majorHAnsi" w:cstheme="majorHAnsi"/>
          <w:b/>
          <w:szCs w:val="22"/>
          <w:lang w:val="es-AR"/>
        </w:rPr>
        <w:t>P</w:t>
      </w:r>
      <w:r w:rsidR="00A85C77" w:rsidRPr="00A85C77">
        <w:rPr>
          <w:rFonts w:asciiTheme="majorHAnsi" w:hAnsiTheme="majorHAnsi" w:cstheme="majorHAnsi"/>
          <w:b/>
          <w:szCs w:val="22"/>
          <w:lang w:val="es-AR"/>
        </w:rPr>
        <w:t>erspectiva del Grupo para</w:t>
      </w:r>
      <w:r w:rsidRPr="00A85C77">
        <w:rPr>
          <w:rFonts w:asciiTheme="majorHAnsi" w:hAnsiTheme="majorHAnsi" w:cstheme="majorHAnsi"/>
          <w:b/>
          <w:szCs w:val="22"/>
          <w:lang w:val="es-AR"/>
        </w:rPr>
        <w:t xml:space="preserve"> 2020</w:t>
      </w:r>
    </w:p>
    <w:p w14:paraId="5746F1E8" w14:textId="77777777" w:rsidR="003D2C36" w:rsidRDefault="003D2C36" w:rsidP="00147F6F">
      <w:pPr>
        <w:tabs>
          <w:tab w:val="left" w:pos="1080"/>
          <w:tab w:val="left" w:pos="4500"/>
        </w:tabs>
        <w:rPr>
          <w:rFonts w:asciiTheme="majorHAnsi" w:hAnsiTheme="majorHAnsi" w:cstheme="majorHAnsi"/>
          <w:bCs/>
          <w:szCs w:val="22"/>
          <w:lang w:val="es-AR"/>
        </w:rPr>
      </w:pPr>
    </w:p>
    <w:p w14:paraId="2A2D11FE" w14:textId="5266DC63" w:rsid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En base al desarrollo del negocio en los primeros nueve meses del 2020, y los pronósticos para el rendimiento en el cuarto trimestre, Henkel </w:t>
      </w:r>
      <w:r w:rsidR="007A4E54">
        <w:rPr>
          <w:rFonts w:asciiTheme="majorHAnsi" w:hAnsiTheme="majorHAnsi" w:cstheme="majorHAnsi"/>
          <w:bCs/>
          <w:szCs w:val="22"/>
          <w:lang w:val="es-AR"/>
        </w:rPr>
        <w:t>anunció</w:t>
      </w:r>
      <w:r w:rsidRPr="00147F6F">
        <w:rPr>
          <w:rFonts w:asciiTheme="majorHAnsi" w:hAnsiTheme="majorHAnsi" w:cstheme="majorHAnsi"/>
          <w:bCs/>
          <w:szCs w:val="22"/>
          <w:lang w:val="es-AR"/>
        </w:rPr>
        <w:t xml:space="preserve"> una nueva p</w:t>
      </w:r>
      <w:r w:rsidR="007A4E54">
        <w:rPr>
          <w:rFonts w:asciiTheme="majorHAnsi" w:hAnsiTheme="majorHAnsi" w:cstheme="majorHAnsi"/>
          <w:bCs/>
          <w:szCs w:val="22"/>
          <w:lang w:val="es-AR"/>
        </w:rPr>
        <w:t>erspectiva</w:t>
      </w:r>
      <w:r w:rsidRPr="00147F6F">
        <w:rPr>
          <w:rFonts w:asciiTheme="majorHAnsi" w:hAnsiTheme="majorHAnsi" w:cstheme="majorHAnsi"/>
          <w:bCs/>
          <w:szCs w:val="22"/>
          <w:lang w:val="es-AR"/>
        </w:rPr>
        <w:t xml:space="preserve"> para el año fiscal 2020. Debido al dinámico desarrollo de la pandemia de COVID-19 y el alto nivel de incertidumbre sobre su impacto en la economía mundial a lo largo del año, el Consejo de Administración de Henkel AG &amp; Co. </w:t>
      </w:r>
      <w:proofErr w:type="spellStart"/>
      <w:r w:rsidRPr="00147F6F">
        <w:rPr>
          <w:rFonts w:asciiTheme="majorHAnsi" w:hAnsiTheme="majorHAnsi" w:cstheme="majorHAnsi"/>
          <w:bCs/>
          <w:szCs w:val="22"/>
          <w:lang w:val="es-AR"/>
        </w:rPr>
        <w:t>KGaA</w:t>
      </w:r>
      <w:proofErr w:type="spellEnd"/>
      <w:r w:rsidRPr="00147F6F">
        <w:rPr>
          <w:rFonts w:asciiTheme="majorHAnsi" w:hAnsiTheme="majorHAnsi" w:cstheme="majorHAnsi"/>
          <w:bCs/>
          <w:szCs w:val="22"/>
          <w:lang w:val="es-AR"/>
        </w:rPr>
        <w:t xml:space="preserve"> decidió el pasado 7 de abril que la previsión para el año fiscal 2020 publicada en el Informe Anual 2019 no continuaba vigente.</w:t>
      </w:r>
    </w:p>
    <w:p w14:paraId="7DF7994F" w14:textId="77777777" w:rsidR="00A85C77" w:rsidRPr="00147F6F" w:rsidRDefault="00A85C77" w:rsidP="00147F6F">
      <w:pPr>
        <w:tabs>
          <w:tab w:val="left" w:pos="1080"/>
          <w:tab w:val="left" w:pos="4500"/>
        </w:tabs>
        <w:rPr>
          <w:rFonts w:asciiTheme="majorHAnsi" w:hAnsiTheme="majorHAnsi" w:cstheme="majorHAnsi"/>
          <w:bCs/>
          <w:szCs w:val="22"/>
          <w:lang w:val="es-AR"/>
        </w:rPr>
      </w:pPr>
    </w:p>
    <w:p w14:paraId="1E180B0D" w14:textId="14E45145" w:rsid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Debido a los efectos de la pandemia de COVID-19, los pronósticos actuales anticipan una evolución muy negativa de la economía global en 2020. La nueva p</w:t>
      </w:r>
      <w:r w:rsidR="007A4E54">
        <w:rPr>
          <w:rFonts w:asciiTheme="majorHAnsi" w:hAnsiTheme="majorHAnsi" w:cstheme="majorHAnsi"/>
          <w:bCs/>
          <w:szCs w:val="22"/>
          <w:lang w:val="es-AR"/>
        </w:rPr>
        <w:t>erspectiva</w:t>
      </w:r>
      <w:r w:rsidRPr="00147F6F">
        <w:rPr>
          <w:rFonts w:asciiTheme="majorHAnsi" w:hAnsiTheme="majorHAnsi" w:cstheme="majorHAnsi"/>
          <w:bCs/>
          <w:szCs w:val="22"/>
          <w:lang w:val="es-AR"/>
        </w:rPr>
        <w:t xml:space="preserve"> se basa en la hipótesis de que en el cuarto trimestre la demanda en sectores industriales y actividades comerciales en áreas de importancia para Henkel estará por debajo del año anterior, pero no se agravará de forma significativa. El factor decisivo en este contexto será el desarrollo futuro de las tasas mundiales de infección y de las restricciones relacionadas con la pandemia. En este contexto, Henkel asume que no habrá confinamientos generales en las regiones principales y esenciales para la compañía en el cuarto trimestre de 2020 que supongan un gran impacto.</w:t>
      </w:r>
    </w:p>
    <w:p w14:paraId="160E81BC" w14:textId="77777777" w:rsidR="007A4E54" w:rsidRPr="00147F6F" w:rsidRDefault="007A4E54" w:rsidP="00147F6F">
      <w:pPr>
        <w:tabs>
          <w:tab w:val="left" w:pos="1080"/>
          <w:tab w:val="left" w:pos="4500"/>
        </w:tabs>
        <w:rPr>
          <w:rFonts w:asciiTheme="majorHAnsi" w:hAnsiTheme="majorHAnsi" w:cstheme="majorHAnsi"/>
          <w:bCs/>
          <w:szCs w:val="22"/>
          <w:lang w:val="es-AR"/>
        </w:rPr>
      </w:pPr>
    </w:p>
    <w:p w14:paraId="1B6CBA08" w14:textId="77777777"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Teniendo en cuenta estos factores, Henkel espera un crecimiento de las ventas orgánicas de entre el -1,0% y -2,0% a nivel de </w:t>
      </w:r>
      <w:r w:rsidRPr="007A4E54">
        <w:rPr>
          <w:rFonts w:asciiTheme="majorHAnsi" w:hAnsiTheme="majorHAnsi" w:cstheme="majorHAnsi"/>
          <w:b/>
          <w:szCs w:val="22"/>
          <w:lang w:val="es-AR"/>
        </w:rPr>
        <w:t>Grupo</w:t>
      </w:r>
      <w:r w:rsidRPr="00147F6F">
        <w:rPr>
          <w:rFonts w:asciiTheme="majorHAnsi" w:hAnsiTheme="majorHAnsi" w:cstheme="majorHAnsi"/>
          <w:bCs/>
          <w:szCs w:val="22"/>
          <w:lang w:val="es-AR"/>
        </w:rPr>
        <w:t xml:space="preserve"> en el año fiscal 2020.</w:t>
      </w:r>
    </w:p>
    <w:p w14:paraId="7B2A87B2" w14:textId="77777777" w:rsidR="00A85C77" w:rsidRDefault="00A85C77" w:rsidP="00147F6F">
      <w:pPr>
        <w:tabs>
          <w:tab w:val="left" w:pos="1080"/>
          <w:tab w:val="left" w:pos="4500"/>
        </w:tabs>
        <w:rPr>
          <w:rFonts w:asciiTheme="majorHAnsi" w:hAnsiTheme="majorHAnsi" w:cstheme="majorHAnsi"/>
          <w:bCs/>
          <w:szCs w:val="22"/>
          <w:lang w:val="es-AR"/>
        </w:rPr>
      </w:pPr>
    </w:p>
    <w:p w14:paraId="3529833F" w14:textId="4593CF94" w:rsid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Para la unidad de negocio de </w:t>
      </w:r>
      <w:proofErr w:type="spellStart"/>
      <w:r w:rsidRPr="007A4E54">
        <w:rPr>
          <w:rFonts w:asciiTheme="majorHAnsi" w:hAnsiTheme="majorHAnsi" w:cstheme="majorHAnsi"/>
          <w:b/>
          <w:szCs w:val="22"/>
          <w:lang w:val="es-AR"/>
        </w:rPr>
        <w:t>Adhesive</w:t>
      </w:r>
      <w:proofErr w:type="spellEnd"/>
      <w:r w:rsidRPr="007A4E54">
        <w:rPr>
          <w:rFonts w:asciiTheme="majorHAnsi" w:hAnsiTheme="majorHAnsi" w:cstheme="majorHAnsi"/>
          <w:b/>
          <w:szCs w:val="22"/>
          <w:lang w:val="es-AR"/>
        </w:rPr>
        <w:t xml:space="preserve"> Technologies</w:t>
      </w:r>
      <w:r w:rsidRPr="00147F6F">
        <w:rPr>
          <w:rFonts w:asciiTheme="majorHAnsi" w:hAnsiTheme="majorHAnsi" w:cstheme="majorHAnsi"/>
          <w:bCs/>
          <w:szCs w:val="22"/>
          <w:lang w:val="es-AR"/>
        </w:rPr>
        <w:t xml:space="preserve">, que probablemente se verá significativamente afectada por una fuerte caída de la demanda industrial en general y, en particular, en la industria automotriz, Henkel espera un crecimiento orgánico de las ventas entre -5,5% y -6,5% por ciento. Para la unidad de negocio de </w:t>
      </w:r>
      <w:proofErr w:type="spellStart"/>
      <w:r w:rsidRPr="007A4E54">
        <w:rPr>
          <w:rFonts w:asciiTheme="majorHAnsi" w:hAnsiTheme="majorHAnsi" w:cstheme="majorHAnsi"/>
          <w:b/>
          <w:szCs w:val="22"/>
          <w:lang w:val="es-AR"/>
        </w:rPr>
        <w:t>Beauty</w:t>
      </w:r>
      <w:proofErr w:type="spellEnd"/>
      <w:r w:rsidRPr="007A4E54">
        <w:rPr>
          <w:rFonts w:asciiTheme="majorHAnsi" w:hAnsiTheme="majorHAnsi" w:cstheme="majorHAnsi"/>
          <w:b/>
          <w:szCs w:val="22"/>
          <w:lang w:val="es-AR"/>
        </w:rPr>
        <w:t xml:space="preserve"> </w:t>
      </w:r>
      <w:proofErr w:type="spellStart"/>
      <w:r w:rsidRPr="007A4E54">
        <w:rPr>
          <w:rFonts w:asciiTheme="majorHAnsi" w:hAnsiTheme="majorHAnsi" w:cstheme="majorHAnsi"/>
          <w:b/>
          <w:szCs w:val="22"/>
          <w:lang w:val="es-AR"/>
        </w:rPr>
        <w:t>Care</w:t>
      </w:r>
      <w:proofErr w:type="spellEnd"/>
      <w:r w:rsidRPr="00147F6F">
        <w:rPr>
          <w:rFonts w:asciiTheme="majorHAnsi" w:hAnsiTheme="majorHAnsi" w:cstheme="majorHAnsi"/>
          <w:bCs/>
          <w:szCs w:val="22"/>
          <w:lang w:val="es-AR"/>
        </w:rPr>
        <w:t xml:space="preserve">, Henkel espera un crecimiento orgánico de las ventas entre un -2,0% y un -3,0%. La caída significativa en el negocio de Peluquería debido a la pandemia, particularmente en el primer semestre, tendrá un impacto en esta unidad de negocio en todo el año fiscal. En el caso de </w:t>
      </w:r>
      <w:proofErr w:type="spellStart"/>
      <w:r w:rsidRPr="007A4E54">
        <w:rPr>
          <w:rFonts w:asciiTheme="majorHAnsi" w:hAnsiTheme="majorHAnsi" w:cstheme="majorHAnsi"/>
          <w:b/>
          <w:szCs w:val="22"/>
          <w:lang w:val="es-AR"/>
        </w:rPr>
        <w:t>Laundry</w:t>
      </w:r>
      <w:proofErr w:type="spellEnd"/>
      <w:r w:rsidRPr="007A4E54">
        <w:rPr>
          <w:rFonts w:asciiTheme="majorHAnsi" w:hAnsiTheme="majorHAnsi" w:cstheme="majorHAnsi"/>
          <w:b/>
          <w:szCs w:val="22"/>
          <w:lang w:val="es-AR"/>
        </w:rPr>
        <w:t xml:space="preserve"> &amp; Home </w:t>
      </w:r>
      <w:proofErr w:type="spellStart"/>
      <w:r w:rsidRPr="007A4E54">
        <w:rPr>
          <w:rFonts w:asciiTheme="majorHAnsi" w:hAnsiTheme="majorHAnsi" w:cstheme="majorHAnsi"/>
          <w:b/>
          <w:szCs w:val="22"/>
          <w:lang w:val="es-AR"/>
        </w:rPr>
        <w:t>Care</w:t>
      </w:r>
      <w:proofErr w:type="spellEnd"/>
      <w:r w:rsidRPr="00147F6F">
        <w:rPr>
          <w:rFonts w:asciiTheme="majorHAnsi" w:hAnsiTheme="majorHAnsi" w:cstheme="majorHAnsi"/>
          <w:bCs/>
          <w:szCs w:val="22"/>
          <w:lang w:val="es-AR"/>
        </w:rPr>
        <w:t>, Henkel espera un crecimiento orgánico de las ventas en el rango entre un +4,5% y un +5,5%.</w:t>
      </w:r>
    </w:p>
    <w:p w14:paraId="528F4924" w14:textId="77777777" w:rsidR="007A4E54" w:rsidRPr="00147F6F" w:rsidRDefault="007A4E54" w:rsidP="00147F6F">
      <w:pPr>
        <w:tabs>
          <w:tab w:val="left" w:pos="1080"/>
          <w:tab w:val="left" w:pos="4500"/>
        </w:tabs>
        <w:rPr>
          <w:rFonts w:asciiTheme="majorHAnsi" w:hAnsiTheme="majorHAnsi" w:cstheme="majorHAnsi"/>
          <w:bCs/>
          <w:szCs w:val="22"/>
          <w:lang w:val="es-AR"/>
        </w:rPr>
      </w:pPr>
    </w:p>
    <w:p w14:paraId="149CE686" w14:textId="77777777"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A nivel de </w:t>
      </w:r>
      <w:r w:rsidRPr="007A4E54">
        <w:rPr>
          <w:rFonts w:asciiTheme="majorHAnsi" w:hAnsiTheme="majorHAnsi" w:cstheme="majorHAnsi"/>
          <w:b/>
          <w:szCs w:val="22"/>
          <w:lang w:val="es-AR"/>
        </w:rPr>
        <w:t>Grupo</w:t>
      </w:r>
      <w:r w:rsidRPr="00147F6F">
        <w:rPr>
          <w:rFonts w:asciiTheme="majorHAnsi" w:hAnsiTheme="majorHAnsi" w:cstheme="majorHAnsi"/>
          <w:bCs/>
          <w:szCs w:val="22"/>
          <w:lang w:val="es-AR"/>
        </w:rPr>
        <w:t xml:space="preserve">, Henkel espera alcanzar un </w:t>
      </w:r>
      <w:r w:rsidRPr="007A4E54">
        <w:rPr>
          <w:rFonts w:asciiTheme="majorHAnsi" w:hAnsiTheme="majorHAnsi" w:cstheme="majorHAnsi"/>
          <w:b/>
          <w:szCs w:val="22"/>
          <w:lang w:val="es-AR"/>
        </w:rPr>
        <w:t>beneficio operativo depurado (margen EBIT)</w:t>
      </w:r>
      <w:r w:rsidRPr="00147F6F">
        <w:rPr>
          <w:rFonts w:asciiTheme="majorHAnsi" w:hAnsiTheme="majorHAnsi" w:cstheme="majorHAnsi"/>
          <w:bCs/>
          <w:szCs w:val="22"/>
          <w:lang w:val="es-AR"/>
        </w:rPr>
        <w:t xml:space="preserve"> entre el 13,0% y el 13,5%. Para el negocio de </w:t>
      </w:r>
      <w:proofErr w:type="spellStart"/>
      <w:r w:rsidRPr="007A4E54">
        <w:rPr>
          <w:rFonts w:asciiTheme="majorHAnsi" w:hAnsiTheme="majorHAnsi" w:cstheme="majorHAnsi"/>
          <w:b/>
          <w:szCs w:val="22"/>
          <w:lang w:val="es-AR"/>
        </w:rPr>
        <w:t>Adhesive</w:t>
      </w:r>
      <w:proofErr w:type="spellEnd"/>
      <w:r w:rsidRPr="007A4E54">
        <w:rPr>
          <w:rFonts w:asciiTheme="majorHAnsi" w:hAnsiTheme="majorHAnsi" w:cstheme="majorHAnsi"/>
          <w:b/>
          <w:szCs w:val="22"/>
          <w:lang w:val="es-AR"/>
        </w:rPr>
        <w:t xml:space="preserve"> Technologies</w:t>
      </w:r>
      <w:r w:rsidRPr="00147F6F">
        <w:rPr>
          <w:rFonts w:asciiTheme="majorHAnsi" w:hAnsiTheme="majorHAnsi" w:cstheme="majorHAnsi"/>
          <w:bCs/>
          <w:szCs w:val="22"/>
          <w:lang w:val="es-AR"/>
        </w:rPr>
        <w:t xml:space="preserve">, Henkel espera un margen EBIT entre el 14,5% y el 15,0%, para </w:t>
      </w:r>
      <w:proofErr w:type="spellStart"/>
      <w:r w:rsidRPr="007A4E54">
        <w:rPr>
          <w:rFonts w:asciiTheme="majorHAnsi" w:hAnsiTheme="majorHAnsi" w:cstheme="majorHAnsi"/>
          <w:b/>
          <w:szCs w:val="22"/>
          <w:lang w:val="es-AR"/>
        </w:rPr>
        <w:t>Beauty</w:t>
      </w:r>
      <w:proofErr w:type="spellEnd"/>
      <w:r w:rsidRPr="007A4E54">
        <w:rPr>
          <w:rFonts w:asciiTheme="majorHAnsi" w:hAnsiTheme="majorHAnsi" w:cstheme="majorHAnsi"/>
          <w:b/>
          <w:szCs w:val="22"/>
          <w:lang w:val="es-AR"/>
        </w:rPr>
        <w:t xml:space="preserve"> </w:t>
      </w:r>
      <w:proofErr w:type="spellStart"/>
      <w:r w:rsidRPr="007A4E54">
        <w:rPr>
          <w:rFonts w:asciiTheme="majorHAnsi" w:hAnsiTheme="majorHAnsi" w:cstheme="majorHAnsi"/>
          <w:b/>
          <w:szCs w:val="22"/>
          <w:lang w:val="es-AR"/>
        </w:rPr>
        <w:t>Care</w:t>
      </w:r>
      <w:proofErr w:type="spellEnd"/>
      <w:r w:rsidRPr="00147F6F">
        <w:rPr>
          <w:rFonts w:asciiTheme="majorHAnsi" w:hAnsiTheme="majorHAnsi" w:cstheme="majorHAnsi"/>
          <w:bCs/>
          <w:szCs w:val="22"/>
          <w:lang w:val="es-AR"/>
        </w:rPr>
        <w:t xml:space="preserve"> entre el 10,0% y el 10,5% y para </w:t>
      </w:r>
      <w:proofErr w:type="spellStart"/>
      <w:r w:rsidRPr="007A4E54">
        <w:rPr>
          <w:rFonts w:asciiTheme="majorHAnsi" w:hAnsiTheme="majorHAnsi" w:cstheme="majorHAnsi"/>
          <w:b/>
          <w:szCs w:val="22"/>
          <w:lang w:val="es-AR"/>
        </w:rPr>
        <w:t>Laundry</w:t>
      </w:r>
      <w:proofErr w:type="spellEnd"/>
      <w:r w:rsidRPr="007A4E54">
        <w:rPr>
          <w:rFonts w:asciiTheme="majorHAnsi" w:hAnsiTheme="majorHAnsi" w:cstheme="majorHAnsi"/>
          <w:b/>
          <w:szCs w:val="22"/>
          <w:lang w:val="es-AR"/>
        </w:rPr>
        <w:t xml:space="preserve"> &amp; Home </w:t>
      </w:r>
      <w:proofErr w:type="spellStart"/>
      <w:r w:rsidRPr="007A4E54">
        <w:rPr>
          <w:rFonts w:asciiTheme="majorHAnsi" w:hAnsiTheme="majorHAnsi" w:cstheme="majorHAnsi"/>
          <w:b/>
          <w:szCs w:val="22"/>
          <w:lang w:val="es-AR"/>
        </w:rPr>
        <w:t>Care</w:t>
      </w:r>
      <w:proofErr w:type="spellEnd"/>
      <w:r w:rsidRPr="00147F6F">
        <w:rPr>
          <w:rFonts w:asciiTheme="majorHAnsi" w:hAnsiTheme="majorHAnsi" w:cstheme="majorHAnsi"/>
          <w:bCs/>
          <w:szCs w:val="22"/>
          <w:lang w:val="es-AR"/>
        </w:rPr>
        <w:t xml:space="preserve"> entre el 15,0% y el 15,5%.</w:t>
      </w:r>
    </w:p>
    <w:p w14:paraId="2FAA2BE9" w14:textId="77777777" w:rsidR="00A85C77" w:rsidRDefault="00A85C77" w:rsidP="00147F6F">
      <w:pPr>
        <w:tabs>
          <w:tab w:val="left" w:pos="1080"/>
          <w:tab w:val="left" w:pos="4500"/>
        </w:tabs>
        <w:rPr>
          <w:rFonts w:asciiTheme="majorHAnsi" w:hAnsiTheme="majorHAnsi" w:cstheme="majorHAnsi"/>
          <w:bCs/>
          <w:szCs w:val="22"/>
          <w:lang w:val="es-AR"/>
        </w:rPr>
      </w:pPr>
    </w:p>
    <w:p w14:paraId="624465F7" w14:textId="57AE4F59"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La caída de las ventas tanto en el negocio industrial como en el de peluquería debido a la pandemia, tendrá un impacto negativo en el </w:t>
      </w:r>
      <w:r w:rsidRPr="007A4E54">
        <w:rPr>
          <w:rFonts w:asciiTheme="majorHAnsi" w:hAnsiTheme="majorHAnsi" w:cstheme="majorHAnsi"/>
          <w:b/>
          <w:szCs w:val="22"/>
          <w:lang w:val="es-AR"/>
        </w:rPr>
        <w:t>margen EBIT ajustado</w:t>
      </w:r>
      <w:r w:rsidRPr="00147F6F">
        <w:rPr>
          <w:rFonts w:asciiTheme="majorHAnsi" w:hAnsiTheme="majorHAnsi" w:cstheme="majorHAnsi"/>
          <w:bCs/>
          <w:szCs w:val="22"/>
          <w:lang w:val="es-AR"/>
        </w:rPr>
        <w:t xml:space="preserve">.  Como se anunció a principios de año, Henkel también está incrementando sus inversiones en marketing y publicidad, así como en </w:t>
      </w:r>
      <w:r w:rsidR="007A4E54">
        <w:rPr>
          <w:rFonts w:asciiTheme="majorHAnsi" w:hAnsiTheme="majorHAnsi" w:cstheme="majorHAnsi"/>
          <w:bCs/>
          <w:szCs w:val="22"/>
          <w:lang w:val="es-AR"/>
        </w:rPr>
        <w:t xml:space="preserve">IT y </w:t>
      </w:r>
      <w:r w:rsidRPr="00147F6F">
        <w:rPr>
          <w:rFonts w:asciiTheme="majorHAnsi" w:hAnsiTheme="majorHAnsi" w:cstheme="majorHAnsi"/>
          <w:bCs/>
          <w:szCs w:val="22"/>
          <w:lang w:val="es-AR"/>
        </w:rPr>
        <w:t>digitalización.</w:t>
      </w:r>
    </w:p>
    <w:p w14:paraId="34628F70" w14:textId="77777777" w:rsidR="00A85C77" w:rsidRDefault="00A85C77" w:rsidP="00147F6F">
      <w:pPr>
        <w:tabs>
          <w:tab w:val="left" w:pos="1080"/>
          <w:tab w:val="left" w:pos="4500"/>
        </w:tabs>
        <w:rPr>
          <w:rFonts w:asciiTheme="majorHAnsi" w:hAnsiTheme="majorHAnsi" w:cstheme="majorHAnsi"/>
          <w:bCs/>
          <w:szCs w:val="22"/>
          <w:lang w:val="es-AR"/>
        </w:rPr>
      </w:pPr>
    </w:p>
    <w:p w14:paraId="750892EA" w14:textId="2E635938" w:rsidR="00147F6F" w:rsidRPr="00147F6F" w:rsidRDefault="00147F6F" w:rsidP="00147F6F">
      <w:pPr>
        <w:tabs>
          <w:tab w:val="left" w:pos="1080"/>
          <w:tab w:val="left" w:pos="4500"/>
        </w:tabs>
        <w:rPr>
          <w:rFonts w:asciiTheme="majorHAnsi" w:hAnsiTheme="majorHAnsi" w:cstheme="majorHAnsi"/>
          <w:bCs/>
          <w:szCs w:val="22"/>
          <w:lang w:val="es-AR"/>
        </w:rPr>
      </w:pPr>
      <w:r w:rsidRPr="00147F6F">
        <w:rPr>
          <w:rFonts w:asciiTheme="majorHAnsi" w:hAnsiTheme="majorHAnsi" w:cstheme="majorHAnsi"/>
          <w:bCs/>
          <w:szCs w:val="22"/>
          <w:lang w:val="es-AR"/>
        </w:rPr>
        <w:t xml:space="preserve">Se espera que el </w:t>
      </w:r>
      <w:r w:rsidRPr="007A4E54">
        <w:rPr>
          <w:rFonts w:asciiTheme="majorHAnsi" w:hAnsiTheme="majorHAnsi" w:cstheme="majorHAnsi"/>
          <w:b/>
          <w:szCs w:val="22"/>
          <w:lang w:val="es-AR"/>
        </w:rPr>
        <w:t>beneficio por acción preferente depurado (EPS)</w:t>
      </w:r>
      <w:r w:rsidRPr="00147F6F">
        <w:rPr>
          <w:rFonts w:asciiTheme="majorHAnsi" w:hAnsiTheme="majorHAnsi" w:cstheme="majorHAnsi"/>
          <w:bCs/>
          <w:szCs w:val="22"/>
          <w:lang w:val="es-AR"/>
        </w:rPr>
        <w:t xml:space="preserve"> a tipos de cambio constante disminuyan entre un -18% y un -22%.</w:t>
      </w:r>
    </w:p>
    <w:p w14:paraId="64F90135" w14:textId="77777777" w:rsidR="00147F6F" w:rsidRPr="00147F6F" w:rsidRDefault="00147F6F" w:rsidP="00147F6F">
      <w:pPr>
        <w:tabs>
          <w:tab w:val="left" w:pos="1080"/>
          <w:tab w:val="left" w:pos="4500"/>
        </w:tabs>
        <w:rPr>
          <w:rFonts w:asciiTheme="majorHAnsi" w:hAnsiTheme="majorHAnsi" w:cstheme="majorHAnsi"/>
          <w:bCs/>
          <w:szCs w:val="22"/>
          <w:lang w:val="es-AR"/>
        </w:rPr>
      </w:pPr>
    </w:p>
    <w:p w14:paraId="3FB0452A" w14:textId="03C6EE1E" w:rsidR="00147F6F" w:rsidRPr="00A85C77" w:rsidRDefault="00A85C77" w:rsidP="00147F6F">
      <w:pPr>
        <w:tabs>
          <w:tab w:val="left" w:pos="1080"/>
          <w:tab w:val="left" w:pos="4500"/>
        </w:tabs>
        <w:rPr>
          <w:rFonts w:asciiTheme="majorHAnsi" w:hAnsiTheme="majorHAnsi" w:cstheme="majorHAnsi"/>
          <w:bCs/>
          <w:sz w:val="18"/>
          <w:szCs w:val="18"/>
          <w:lang w:val="es-AR"/>
        </w:rPr>
      </w:pPr>
      <w:r>
        <w:rPr>
          <w:rStyle w:val="Textoennegrita"/>
          <w:rFonts w:ascii="Helvetica" w:hAnsi="Helvetica" w:cs="Helvetica"/>
          <w:b w:val="0"/>
          <w:bCs w:val="0"/>
          <w:color w:val="222222"/>
          <w:sz w:val="20"/>
          <w:szCs w:val="20"/>
          <w:shd w:val="clear" w:color="auto" w:fill="FFFFFF"/>
          <w:vertAlign w:val="superscript"/>
          <w:lang w:val="es-AR"/>
        </w:rPr>
        <w:t>(</w:t>
      </w:r>
      <w:r w:rsidRPr="00A85C77">
        <w:rPr>
          <w:rStyle w:val="Textoennegrita"/>
          <w:rFonts w:ascii="Helvetica" w:hAnsi="Helvetica" w:cs="Helvetica"/>
          <w:b w:val="0"/>
          <w:bCs w:val="0"/>
          <w:color w:val="222222"/>
          <w:sz w:val="20"/>
          <w:szCs w:val="20"/>
          <w:shd w:val="clear" w:color="auto" w:fill="FFFFFF"/>
          <w:vertAlign w:val="superscript"/>
          <w:lang w:val="es-AR"/>
        </w:rPr>
        <w:t>1</w:t>
      </w:r>
      <w:r>
        <w:rPr>
          <w:rStyle w:val="Textoennegrita"/>
          <w:rFonts w:ascii="Helvetica" w:hAnsi="Helvetica" w:cs="Helvetica"/>
          <w:b w:val="0"/>
          <w:bCs w:val="0"/>
          <w:color w:val="222222"/>
          <w:sz w:val="20"/>
          <w:szCs w:val="20"/>
          <w:shd w:val="clear" w:color="auto" w:fill="FFFFFF"/>
          <w:vertAlign w:val="superscript"/>
          <w:lang w:val="es-AR"/>
        </w:rPr>
        <w:t>)</w:t>
      </w:r>
      <w:r w:rsidR="00147F6F" w:rsidRPr="00147F6F">
        <w:rPr>
          <w:rFonts w:asciiTheme="majorHAnsi" w:hAnsiTheme="majorHAnsi" w:cstheme="majorHAnsi"/>
          <w:bCs/>
          <w:szCs w:val="22"/>
          <w:lang w:val="es-AR"/>
        </w:rPr>
        <w:t xml:space="preserve"> </w:t>
      </w:r>
      <w:r w:rsidR="00147F6F" w:rsidRPr="00A85C77">
        <w:rPr>
          <w:rFonts w:asciiTheme="majorHAnsi" w:hAnsiTheme="majorHAnsi" w:cstheme="majorHAnsi"/>
          <w:bCs/>
          <w:sz w:val="18"/>
          <w:szCs w:val="18"/>
          <w:lang w:val="es-AR"/>
        </w:rPr>
        <w:t>Depurado por gastos e ingresos únicos y gastos de reestructuración.</w:t>
      </w:r>
    </w:p>
    <w:p w14:paraId="685A4036" w14:textId="77777777" w:rsidR="00147F6F" w:rsidRPr="00147F6F" w:rsidRDefault="00147F6F" w:rsidP="00147F6F">
      <w:pPr>
        <w:tabs>
          <w:tab w:val="left" w:pos="1080"/>
          <w:tab w:val="left" w:pos="4500"/>
        </w:tabs>
        <w:rPr>
          <w:rFonts w:asciiTheme="majorHAnsi" w:hAnsiTheme="majorHAnsi" w:cstheme="majorHAnsi"/>
          <w:bCs/>
          <w:szCs w:val="22"/>
          <w:lang w:val="es-AR"/>
        </w:rPr>
      </w:pPr>
      <w:r w:rsidRPr="00A85C77">
        <w:rPr>
          <w:rFonts w:asciiTheme="majorHAnsi" w:hAnsiTheme="majorHAnsi" w:cstheme="majorHAnsi"/>
          <w:bCs/>
          <w:sz w:val="18"/>
          <w:szCs w:val="18"/>
          <w:lang w:val="es-AR"/>
        </w:rPr>
        <w:t xml:space="preserve"> </w:t>
      </w:r>
    </w:p>
    <w:p w14:paraId="695E3D4B" w14:textId="77777777" w:rsidR="00147F6F" w:rsidRPr="00A85C77" w:rsidRDefault="00147F6F" w:rsidP="00147F6F">
      <w:pPr>
        <w:tabs>
          <w:tab w:val="left" w:pos="1080"/>
          <w:tab w:val="left" w:pos="4500"/>
        </w:tabs>
        <w:rPr>
          <w:rFonts w:asciiTheme="majorHAnsi" w:hAnsiTheme="majorHAnsi" w:cstheme="majorHAnsi"/>
          <w:bCs/>
          <w:sz w:val="16"/>
          <w:szCs w:val="16"/>
          <w:lang w:val="es-AR"/>
        </w:rPr>
      </w:pPr>
      <w:r w:rsidRPr="00A85C77">
        <w:rPr>
          <w:rFonts w:asciiTheme="majorHAnsi" w:hAnsiTheme="majorHAnsi" w:cstheme="majorHAnsi"/>
          <w:bCs/>
          <w:sz w:val="16"/>
          <w:szCs w:val="16"/>
          <w:lang w:val="es-AR"/>
        </w:rPr>
        <w:t xml:space="preserve">Este documento contiene declaraciones que se refieren al desarrollo comercial futuro, el desempeño financiero y otros eventos o desarrollos de relevancia futura para Henkel que pueden constituir declaraciones prospectivas. Las declaraciones con respecto al futuro se caracterizan por el uso de palabras como "esperar", "pretender", "planear", "anticipar", "creer", "estimar" y términos similares. Esta información contiene declaraciones prospectivas que se basan en estimaciones y suposiciones actuales hechas por la gerencia corporativa de Henkel AG &amp; Co. </w:t>
      </w:r>
      <w:proofErr w:type="spellStart"/>
      <w:r w:rsidRPr="00A85C77">
        <w:rPr>
          <w:rFonts w:asciiTheme="majorHAnsi" w:hAnsiTheme="majorHAnsi" w:cstheme="majorHAnsi"/>
          <w:bCs/>
          <w:sz w:val="16"/>
          <w:szCs w:val="16"/>
          <w:lang w:val="es-AR"/>
        </w:rPr>
        <w:t>KGaA</w:t>
      </w:r>
      <w:proofErr w:type="spellEnd"/>
      <w:r w:rsidRPr="00A85C77">
        <w:rPr>
          <w:rFonts w:asciiTheme="majorHAnsi" w:hAnsiTheme="majorHAnsi" w:cstheme="majorHAnsi"/>
          <w:bCs/>
          <w:sz w:val="16"/>
          <w:szCs w:val="16"/>
          <w:lang w:val="es-AR"/>
        </w:rPr>
        <w:t xml:space="preserve">. Dichas declaraciones no deben entenderse de ninguna manera como garantía de que esas expectativas serán precisas. El rendimiento futuro y los resultados realmente alcanzados por Henkel AG &amp; Co. </w:t>
      </w:r>
      <w:proofErr w:type="spellStart"/>
      <w:r w:rsidRPr="00A85C77">
        <w:rPr>
          <w:rFonts w:asciiTheme="majorHAnsi" w:hAnsiTheme="majorHAnsi" w:cstheme="majorHAnsi"/>
          <w:bCs/>
          <w:sz w:val="16"/>
          <w:szCs w:val="16"/>
          <w:lang w:val="es-AR"/>
        </w:rPr>
        <w:t>KGaA</w:t>
      </w:r>
      <w:proofErr w:type="spellEnd"/>
      <w:r w:rsidRPr="00A85C77">
        <w:rPr>
          <w:rFonts w:asciiTheme="majorHAnsi" w:hAnsiTheme="majorHAnsi" w:cstheme="majorHAnsi"/>
          <w:bCs/>
          <w:sz w:val="16"/>
          <w:szCs w:val="16"/>
          <w:lang w:val="es-AR"/>
        </w:rPr>
        <w:t xml:space="preserve"> y sus compañías afiliadas dependen de una serie de riesgos e incertidumbres y, por lo tanto, pueden diferir materialmente de las declaraciones prospectivas. Muchos de estos factores están fuera del control de Henkel y no se pueden estimar con precisión por adelantado, como el entorno económico futuro y las acciones de los competidores y otras personas involucradas en el mercado. Henkel no planea ni se compromete a actualizar ninguna declaración prospectiva.</w:t>
      </w:r>
    </w:p>
    <w:p w14:paraId="2CEAED4E" w14:textId="77777777" w:rsidR="00A85C77" w:rsidRDefault="00A85C77" w:rsidP="00147F6F">
      <w:pPr>
        <w:tabs>
          <w:tab w:val="left" w:pos="1080"/>
          <w:tab w:val="left" w:pos="4500"/>
        </w:tabs>
        <w:rPr>
          <w:rFonts w:asciiTheme="majorHAnsi" w:hAnsiTheme="majorHAnsi" w:cstheme="majorHAnsi"/>
          <w:bCs/>
          <w:sz w:val="16"/>
          <w:szCs w:val="16"/>
          <w:lang w:val="es-AR"/>
        </w:rPr>
      </w:pPr>
    </w:p>
    <w:p w14:paraId="5F6252BE" w14:textId="5006B8C3" w:rsidR="00147F6F" w:rsidRPr="00A85C77" w:rsidRDefault="00147F6F" w:rsidP="00147F6F">
      <w:pPr>
        <w:tabs>
          <w:tab w:val="left" w:pos="1080"/>
          <w:tab w:val="left" w:pos="4500"/>
        </w:tabs>
        <w:rPr>
          <w:rFonts w:asciiTheme="majorHAnsi" w:hAnsiTheme="majorHAnsi" w:cstheme="majorHAnsi"/>
          <w:bCs/>
          <w:sz w:val="16"/>
          <w:szCs w:val="16"/>
          <w:lang w:val="es-AR"/>
        </w:rPr>
      </w:pPr>
      <w:r w:rsidRPr="00A85C77">
        <w:rPr>
          <w:rFonts w:asciiTheme="majorHAnsi" w:hAnsiTheme="majorHAnsi" w:cstheme="majorHAnsi"/>
          <w:bCs/>
          <w:sz w:val="16"/>
          <w:szCs w:val="16"/>
          <w:lang w:val="es-AR"/>
        </w:rPr>
        <w:t>Este documento incluye indicadores financieros suplementarios que no están claramente definidos en el marco de información financiera aplicable y que son o pueden ser indicadores de desempeño alternativos. Al evaluar los activos netos, la posición financiera y los resultados de las operaciones de Henkel, estos indicadores financieros complementarios no deben considerarse de forma aislada o como alternativas a los indicadores financieros presentados de acuerdo con el marco de información financiera aplicable en los Estados financieros consolidados. Otras compañías que informan o describen indicadores de desempeño alternativos con títulos similares pueden calcularlos de manera diferente.</w:t>
      </w:r>
    </w:p>
    <w:p w14:paraId="21979A49" w14:textId="77777777" w:rsidR="00A85C77" w:rsidRDefault="00A85C77" w:rsidP="00147F6F">
      <w:pPr>
        <w:tabs>
          <w:tab w:val="left" w:pos="1080"/>
          <w:tab w:val="left" w:pos="4500"/>
        </w:tabs>
        <w:rPr>
          <w:rFonts w:asciiTheme="majorHAnsi" w:hAnsiTheme="majorHAnsi" w:cstheme="majorHAnsi"/>
          <w:bCs/>
          <w:sz w:val="16"/>
          <w:szCs w:val="16"/>
          <w:lang w:val="es-AR"/>
        </w:rPr>
      </w:pPr>
    </w:p>
    <w:p w14:paraId="5A0D1D76" w14:textId="061D000D" w:rsidR="00147F6F" w:rsidRPr="00A85C77" w:rsidRDefault="00147F6F" w:rsidP="00147F6F">
      <w:pPr>
        <w:tabs>
          <w:tab w:val="left" w:pos="1080"/>
          <w:tab w:val="left" w:pos="4500"/>
        </w:tabs>
        <w:rPr>
          <w:rFonts w:asciiTheme="majorHAnsi" w:hAnsiTheme="majorHAnsi" w:cstheme="majorHAnsi"/>
          <w:bCs/>
          <w:sz w:val="16"/>
          <w:szCs w:val="16"/>
          <w:lang w:val="es-AR"/>
        </w:rPr>
      </w:pPr>
      <w:r w:rsidRPr="00A85C77">
        <w:rPr>
          <w:rFonts w:asciiTheme="majorHAnsi" w:hAnsiTheme="majorHAnsi" w:cstheme="majorHAnsi"/>
          <w:bCs/>
          <w:sz w:val="16"/>
          <w:szCs w:val="16"/>
          <w:lang w:val="es-AR"/>
        </w:rPr>
        <w:t>Este documento se ha emitido solo con fines informativos y no pretende constituir un consejo de inversión o una oferta de venta, ni una solicitud de una oferta de compra de valores.</w:t>
      </w:r>
    </w:p>
    <w:p w14:paraId="1DB3994D" w14:textId="77777777" w:rsidR="006A4BF6" w:rsidRPr="00147F6F" w:rsidRDefault="006A4BF6" w:rsidP="000425ED">
      <w:pPr>
        <w:tabs>
          <w:tab w:val="left" w:pos="1080"/>
          <w:tab w:val="left" w:pos="4500"/>
        </w:tabs>
        <w:rPr>
          <w:rStyle w:val="AboutandContactBody"/>
          <w:rFonts w:asciiTheme="majorHAnsi" w:hAnsiTheme="majorHAnsi" w:cstheme="majorHAnsi"/>
          <w:color w:val="0000FF"/>
          <w:szCs w:val="18"/>
          <w:u w:val="single"/>
          <w:lang w:val="es-AR"/>
        </w:rPr>
      </w:pPr>
    </w:p>
    <w:sectPr w:rsidR="006A4BF6" w:rsidRPr="00147F6F" w:rsidSect="00DA53FA">
      <w:headerReference w:type="even" r:id="rId12"/>
      <w:footerReference w:type="default" r:id="rId13"/>
      <w:headerReference w:type="first" r:id="rId14"/>
      <w:footerReference w:type="first" r:id="rId15"/>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C1747" w14:textId="77777777" w:rsidR="008B07F2" w:rsidRDefault="008B07F2">
      <w:r>
        <w:separator/>
      </w:r>
    </w:p>
  </w:endnote>
  <w:endnote w:type="continuationSeparator" w:id="0">
    <w:p w14:paraId="208310FD" w14:textId="77777777" w:rsidR="008B07F2" w:rsidRDefault="008B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Piedep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Piedepgina"/>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AE8FE" w14:textId="77777777" w:rsidR="008B07F2" w:rsidRDefault="008B07F2">
      <w:r>
        <w:separator/>
      </w:r>
    </w:p>
  </w:footnote>
  <w:footnote w:type="continuationSeparator" w:id="0">
    <w:p w14:paraId="34985258" w14:textId="77777777" w:rsidR="008B07F2" w:rsidRDefault="008B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3951D743" w:rsidR="00CF6F33" w:rsidRPr="00EB46D9" w:rsidRDefault="0059722C" w:rsidP="00EB46D9">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32BA5D8"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71FB8">
      <w:rPr>
        <w:noProof/>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F56CD6"/>
    <w:multiLevelType w:val="hybridMultilevel"/>
    <w:tmpl w:val="712E5C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1"/>
  </w:num>
  <w:num w:numId="4">
    <w:abstractNumId w:val="8"/>
  </w:num>
  <w:num w:numId="5">
    <w:abstractNumId w:val="2"/>
  </w:num>
  <w:num w:numId="6">
    <w:abstractNumId w:val="9"/>
  </w:num>
  <w:num w:numId="7">
    <w:abstractNumId w:val="7"/>
  </w:num>
  <w:num w:numId="8">
    <w:abstractNumId w:val="10"/>
  </w:num>
  <w:num w:numId="9">
    <w:abstractNumId w:val="5"/>
  </w:num>
  <w:num w:numId="10">
    <w:abstractNumId w:val="12"/>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1F0"/>
    <w:rsid w:val="00030557"/>
    <w:rsid w:val="00030F51"/>
    <w:rsid w:val="00035A84"/>
    <w:rsid w:val="00040CC9"/>
    <w:rsid w:val="000425ED"/>
    <w:rsid w:val="000510FC"/>
    <w:rsid w:val="00051E86"/>
    <w:rsid w:val="000575F9"/>
    <w:rsid w:val="0006004C"/>
    <w:rsid w:val="000618FC"/>
    <w:rsid w:val="00067071"/>
    <w:rsid w:val="00080D10"/>
    <w:rsid w:val="0008357F"/>
    <w:rsid w:val="0008406B"/>
    <w:rsid w:val="000B27FE"/>
    <w:rsid w:val="000B5D2F"/>
    <w:rsid w:val="000B695A"/>
    <w:rsid w:val="000C210A"/>
    <w:rsid w:val="000C56DD"/>
    <w:rsid w:val="000D1672"/>
    <w:rsid w:val="000E2F62"/>
    <w:rsid w:val="000E38ED"/>
    <w:rsid w:val="000E7704"/>
    <w:rsid w:val="000E7F24"/>
    <w:rsid w:val="000F03BE"/>
    <w:rsid w:val="000F1757"/>
    <w:rsid w:val="000F225B"/>
    <w:rsid w:val="000F7FAF"/>
    <w:rsid w:val="00105975"/>
    <w:rsid w:val="00111F4D"/>
    <w:rsid w:val="001128B1"/>
    <w:rsid w:val="00112A28"/>
    <w:rsid w:val="00115230"/>
    <w:rsid w:val="00115B5F"/>
    <w:rsid w:val="001162B4"/>
    <w:rsid w:val="00122CBC"/>
    <w:rsid w:val="00126C65"/>
    <w:rsid w:val="00126D4A"/>
    <w:rsid w:val="00132DA9"/>
    <w:rsid w:val="0013305B"/>
    <w:rsid w:val="00133B99"/>
    <w:rsid w:val="0013569C"/>
    <w:rsid w:val="00136F87"/>
    <w:rsid w:val="001443BD"/>
    <w:rsid w:val="00147F6F"/>
    <w:rsid w:val="001577E9"/>
    <w:rsid w:val="0016138C"/>
    <w:rsid w:val="001731CE"/>
    <w:rsid w:val="001B7C20"/>
    <w:rsid w:val="001C0B32"/>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586A"/>
    <w:rsid w:val="002518A2"/>
    <w:rsid w:val="00255EB1"/>
    <w:rsid w:val="00256F0C"/>
    <w:rsid w:val="00262C05"/>
    <w:rsid w:val="00281D14"/>
    <w:rsid w:val="00282C13"/>
    <w:rsid w:val="002855F9"/>
    <w:rsid w:val="002906AC"/>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16ADF"/>
    <w:rsid w:val="00320A26"/>
    <w:rsid w:val="00321344"/>
    <w:rsid w:val="00327EC0"/>
    <w:rsid w:val="0033451C"/>
    <w:rsid w:val="00336854"/>
    <w:rsid w:val="0034015C"/>
    <w:rsid w:val="003442F4"/>
    <w:rsid w:val="00353705"/>
    <w:rsid w:val="003562E8"/>
    <w:rsid w:val="0036357D"/>
    <w:rsid w:val="003649BC"/>
    <w:rsid w:val="00364F7E"/>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953A0"/>
    <w:rsid w:val="003A4E62"/>
    <w:rsid w:val="003B1069"/>
    <w:rsid w:val="003B390A"/>
    <w:rsid w:val="003C15DE"/>
    <w:rsid w:val="003C2889"/>
    <w:rsid w:val="003C4EB2"/>
    <w:rsid w:val="003D139F"/>
    <w:rsid w:val="003D2C36"/>
    <w:rsid w:val="003D483D"/>
    <w:rsid w:val="003F1AF3"/>
    <w:rsid w:val="003F4D8D"/>
    <w:rsid w:val="00403265"/>
    <w:rsid w:val="0040386D"/>
    <w:rsid w:val="00417FDE"/>
    <w:rsid w:val="004313E7"/>
    <w:rsid w:val="00444A70"/>
    <w:rsid w:val="0044763B"/>
    <w:rsid w:val="00456A53"/>
    <w:rsid w:val="0046266D"/>
    <w:rsid w:val="004629B3"/>
    <w:rsid w:val="0046376E"/>
    <w:rsid w:val="0046690F"/>
    <w:rsid w:val="00467B19"/>
    <w:rsid w:val="00472FEC"/>
    <w:rsid w:val="00490A03"/>
    <w:rsid w:val="00493327"/>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5AD9"/>
    <w:rsid w:val="00502E62"/>
    <w:rsid w:val="00506B8A"/>
    <w:rsid w:val="0052212B"/>
    <w:rsid w:val="005266EA"/>
    <w:rsid w:val="00532614"/>
    <w:rsid w:val="00534B46"/>
    <w:rsid w:val="00534C43"/>
    <w:rsid w:val="00540358"/>
    <w:rsid w:val="00540D47"/>
    <w:rsid w:val="005463C3"/>
    <w:rsid w:val="00550864"/>
    <w:rsid w:val="00552C99"/>
    <w:rsid w:val="0055571E"/>
    <w:rsid w:val="00556F67"/>
    <w:rsid w:val="005652E8"/>
    <w:rsid w:val="00574136"/>
    <w:rsid w:val="00576BDA"/>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3405"/>
    <w:rsid w:val="005E0C30"/>
    <w:rsid w:val="005E3FBB"/>
    <w:rsid w:val="005E69D9"/>
    <w:rsid w:val="005F27F4"/>
    <w:rsid w:val="005F3239"/>
    <w:rsid w:val="005F6567"/>
    <w:rsid w:val="00603989"/>
    <w:rsid w:val="00607094"/>
    <w:rsid w:val="00607256"/>
    <w:rsid w:val="006144B1"/>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4BF6"/>
    <w:rsid w:val="006A79F0"/>
    <w:rsid w:val="006B47EE"/>
    <w:rsid w:val="006B499F"/>
    <w:rsid w:val="006C33BE"/>
    <w:rsid w:val="006C7E78"/>
    <w:rsid w:val="006D098F"/>
    <w:rsid w:val="006D4996"/>
    <w:rsid w:val="006D54AB"/>
    <w:rsid w:val="006E18BD"/>
    <w:rsid w:val="006E1FA9"/>
    <w:rsid w:val="006E3006"/>
    <w:rsid w:val="006E5032"/>
    <w:rsid w:val="006E5BDA"/>
    <w:rsid w:val="006F0FC7"/>
    <w:rsid w:val="006F39A9"/>
    <w:rsid w:val="006F670F"/>
    <w:rsid w:val="006F7D20"/>
    <w:rsid w:val="00702921"/>
    <w:rsid w:val="00702BCD"/>
    <w:rsid w:val="00703272"/>
    <w:rsid w:val="0070733C"/>
    <w:rsid w:val="00710C5D"/>
    <w:rsid w:val="0071348C"/>
    <w:rsid w:val="00717273"/>
    <w:rsid w:val="00720FD4"/>
    <w:rsid w:val="00724AF2"/>
    <w:rsid w:val="0073096C"/>
    <w:rsid w:val="00733A46"/>
    <w:rsid w:val="00735850"/>
    <w:rsid w:val="00742398"/>
    <w:rsid w:val="007432A9"/>
    <w:rsid w:val="00743A63"/>
    <w:rsid w:val="007462D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4E54"/>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72D2"/>
    <w:rsid w:val="008377BC"/>
    <w:rsid w:val="00844C17"/>
    <w:rsid w:val="00846017"/>
    <w:rsid w:val="00847726"/>
    <w:rsid w:val="008520A1"/>
    <w:rsid w:val="00852511"/>
    <w:rsid w:val="00857408"/>
    <w:rsid w:val="008578A9"/>
    <w:rsid w:val="0086072A"/>
    <w:rsid w:val="0086088F"/>
    <w:rsid w:val="008614F1"/>
    <w:rsid w:val="008639B3"/>
    <w:rsid w:val="00863C1A"/>
    <w:rsid w:val="008712FE"/>
    <w:rsid w:val="0087142D"/>
    <w:rsid w:val="00873416"/>
    <w:rsid w:val="00873956"/>
    <w:rsid w:val="00880E72"/>
    <w:rsid w:val="008825EE"/>
    <w:rsid w:val="0088596E"/>
    <w:rsid w:val="0089796A"/>
    <w:rsid w:val="008A2375"/>
    <w:rsid w:val="008B07F2"/>
    <w:rsid w:val="008B3223"/>
    <w:rsid w:val="008C144F"/>
    <w:rsid w:val="008D76C5"/>
    <w:rsid w:val="008E0327"/>
    <w:rsid w:val="008E0A04"/>
    <w:rsid w:val="008E0AFA"/>
    <w:rsid w:val="008E4DAC"/>
    <w:rsid w:val="008E75D3"/>
    <w:rsid w:val="008F0CE4"/>
    <w:rsid w:val="008F125E"/>
    <w:rsid w:val="008F4D2F"/>
    <w:rsid w:val="00906292"/>
    <w:rsid w:val="00914B5B"/>
    <w:rsid w:val="00917162"/>
    <w:rsid w:val="009178AA"/>
    <w:rsid w:val="009251CC"/>
    <w:rsid w:val="0092714E"/>
    <w:rsid w:val="00936506"/>
    <w:rsid w:val="00942002"/>
    <w:rsid w:val="00946A7D"/>
    <w:rsid w:val="00947885"/>
    <w:rsid w:val="009504AB"/>
    <w:rsid w:val="00952168"/>
    <w:rsid w:val="009527FE"/>
    <w:rsid w:val="009529B2"/>
    <w:rsid w:val="009565AD"/>
    <w:rsid w:val="0096315E"/>
    <w:rsid w:val="009739A0"/>
    <w:rsid w:val="00974F84"/>
    <w:rsid w:val="009767C7"/>
    <w:rsid w:val="0098579A"/>
    <w:rsid w:val="009918DD"/>
    <w:rsid w:val="0099195A"/>
    <w:rsid w:val="00992A11"/>
    <w:rsid w:val="00994681"/>
    <w:rsid w:val="0099486A"/>
    <w:rsid w:val="009A0E26"/>
    <w:rsid w:val="009A16EC"/>
    <w:rsid w:val="009A22C2"/>
    <w:rsid w:val="009B2627"/>
    <w:rsid w:val="009B29B7"/>
    <w:rsid w:val="009B3B37"/>
    <w:rsid w:val="009B7D1F"/>
    <w:rsid w:val="009C088E"/>
    <w:rsid w:val="009C4D35"/>
    <w:rsid w:val="009D1522"/>
    <w:rsid w:val="009D7252"/>
    <w:rsid w:val="009E5EB4"/>
    <w:rsid w:val="009F610E"/>
    <w:rsid w:val="00A044D6"/>
    <w:rsid w:val="00A04ADB"/>
    <w:rsid w:val="00A05F11"/>
    <w:rsid w:val="00A11E0F"/>
    <w:rsid w:val="00A22EB0"/>
    <w:rsid w:val="00A2538C"/>
    <w:rsid w:val="00A26CB6"/>
    <w:rsid w:val="00A32F82"/>
    <w:rsid w:val="00A32F8B"/>
    <w:rsid w:val="00A3489F"/>
    <w:rsid w:val="00A3756F"/>
    <w:rsid w:val="00A40818"/>
    <w:rsid w:val="00A42D6F"/>
    <w:rsid w:val="00A45A62"/>
    <w:rsid w:val="00A54AC5"/>
    <w:rsid w:val="00A55DC3"/>
    <w:rsid w:val="00A56D41"/>
    <w:rsid w:val="00A60529"/>
    <w:rsid w:val="00A61353"/>
    <w:rsid w:val="00A61481"/>
    <w:rsid w:val="00A66DB1"/>
    <w:rsid w:val="00A67A92"/>
    <w:rsid w:val="00A71FB8"/>
    <w:rsid w:val="00A85C77"/>
    <w:rsid w:val="00A87870"/>
    <w:rsid w:val="00A902CA"/>
    <w:rsid w:val="00A91A70"/>
    <w:rsid w:val="00A97316"/>
    <w:rsid w:val="00AA1B85"/>
    <w:rsid w:val="00AA78E5"/>
    <w:rsid w:val="00AB1CB6"/>
    <w:rsid w:val="00AB1D9A"/>
    <w:rsid w:val="00AC2D44"/>
    <w:rsid w:val="00AC3E54"/>
    <w:rsid w:val="00AC6074"/>
    <w:rsid w:val="00AD0C22"/>
    <w:rsid w:val="00AD442C"/>
    <w:rsid w:val="00AD44FE"/>
    <w:rsid w:val="00AD5A37"/>
    <w:rsid w:val="00AE3DD7"/>
    <w:rsid w:val="00AE400C"/>
    <w:rsid w:val="00AE49F1"/>
    <w:rsid w:val="00AE5532"/>
    <w:rsid w:val="00AF2468"/>
    <w:rsid w:val="00B05CCA"/>
    <w:rsid w:val="00B1008D"/>
    <w:rsid w:val="00B14271"/>
    <w:rsid w:val="00B16270"/>
    <w:rsid w:val="00B2685D"/>
    <w:rsid w:val="00B30351"/>
    <w:rsid w:val="00B33C2A"/>
    <w:rsid w:val="00B35967"/>
    <w:rsid w:val="00B40B75"/>
    <w:rsid w:val="00B422EC"/>
    <w:rsid w:val="00B54885"/>
    <w:rsid w:val="00B62F3C"/>
    <w:rsid w:val="00B634AB"/>
    <w:rsid w:val="00B726D4"/>
    <w:rsid w:val="00B73C29"/>
    <w:rsid w:val="00B8214F"/>
    <w:rsid w:val="00B82B48"/>
    <w:rsid w:val="00B831D7"/>
    <w:rsid w:val="00B866FF"/>
    <w:rsid w:val="00B86A4F"/>
    <w:rsid w:val="00B93035"/>
    <w:rsid w:val="00B958E8"/>
    <w:rsid w:val="00B97E4A"/>
    <w:rsid w:val="00BA09B2"/>
    <w:rsid w:val="00BA465D"/>
    <w:rsid w:val="00BA5B46"/>
    <w:rsid w:val="00BB2D73"/>
    <w:rsid w:val="00BB45BA"/>
    <w:rsid w:val="00BB5D0B"/>
    <w:rsid w:val="00BC0995"/>
    <w:rsid w:val="00BE2197"/>
    <w:rsid w:val="00BE2D0A"/>
    <w:rsid w:val="00BE47D4"/>
    <w:rsid w:val="00BE793A"/>
    <w:rsid w:val="00BF28A0"/>
    <w:rsid w:val="00BF2B82"/>
    <w:rsid w:val="00BF3EB7"/>
    <w:rsid w:val="00BF432A"/>
    <w:rsid w:val="00BF6E82"/>
    <w:rsid w:val="00C060C7"/>
    <w:rsid w:val="00C24C17"/>
    <w:rsid w:val="00C30317"/>
    <w:rsid w:val="00C31D31"/>
    <w:rsid w:val="00C3758F"/>
    <w:rsid w:val="00C40B88"/>
    <w:rsid w:val="00C44489"/>
    <w:rsid w:val="00C47D87"/>
    <w:rsid w:val="00C5376E"/>
    <w:rsid w:val="00C55719"/>
    <w:rsid w:val="00C5701B"/>
    <w:rsid w:val="00C66218"/>
    <w:rsid w:val="00C677C9"/>
    <w:rsid w:val="00C808A6"/>
    <w:rsid w:val="00C97091"/>
    <w:rsid w:val="00C97260"/>
    <w:rsid w:val="00CA2001"/>
    <w:rsid w:val="00CB5B6C"/>
    <w:rsid w:val="00CC0250"/>
    <w:rsid w:val="00CC052E"/>
    <w:rsid w:val="00CC4C03"/>
    <w:rsid w:val="00CD16BE"/>
    <w:rsid w:val="00CD4616"/>
    <w:rsid w:val="00CD56AF"/>
    <w:rsid w:val="00CE33D5"/>
    <w:rsid w:val="00CF21F2"/>
    <w:rsid w:val="00CF5D37"/>
    <w:rsid w:val="00CF6F33"/>
    <w:rsid w:val="00D02248"/>
    <w:rsid w:val="00D063B8"/>
    <w:rsid w:val="00D06825"/>
    <w:rsid w:val="00D10D31"/>
    <w:rsid w:val="00D17E3B"/>
    <w:rsid w:val="00D2306F"/>
    <w:rsid w:val="00D23C09"/>
    <w:rsid w:val="00D23CED"/>
    <w:rsid w:val="00D24BD2"/>
    <w:rsid w:val="00D2573D"/>
    <w:rsid w:val="00D260A2"/>
    <w:rsid w:val="00D30CC6"/>
    <w:rsid w:val="00D3260C"/>
    <w:rsid w:val="00D35790"/>
    <w:rsid w:val="00D5611E"/>
    <w:rsid w:val="00D5653B"/>
    <w:rsid w:val="00D62EF1"/>
    <w:rsid w:val="00D6309D"/>
    <w:rsid w:val="00D644CA"/>
    <w:rsid w:val="00D64EA0"/>
    <w:rsid w:val="00D66FC2"/>
    <w:rsid w:val="00D7044E"/>
    <w:rsid w:val="00D76C7E"/>
    <w:rsid w:val="00D771DE"/>
    <w:rsid w:val="00D7776D"/>
    <w:rsid w:val="00D92179"/>
    <w:rsid w:val="00D922C6"/>
    <w:rsid w:val="00D9293F"/>
    <w:rsid w:val="00D93598"/>
    <w:rsid w:val="00DA1E18"/>
    <w:rsid w:val="00DA2009"/>
    <w:rsid w:val="00DA53FA"/>
    <w:rsid w:val="00DB05B1"/>
    <w:rsid w:val="00DB3786"/>
    <w:rsid w:val="00DB59E8"/>
    <w:rsid w:val="00DB5A79"/>
    <w:rsid w:val="00DC2465"/>
    <w:rsid w:val="00DC7D48"/>
    <w:rsid w:val="00DD512E"/>
    <w:rsid w:val="00DE1177"/>
    <w:rsid w:val="00DE2CEA"/>
    <w:rsid w:val="00DE6A3C"/>
    <w:rsid w:val="00DE74F4"/>
    <w:rsid w:val="00DE7F97"/>
    <w:rsid w:val="00DF1010"/>
    <w:rsid w:val="00DF5119"/>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ED4"/>
    <w:rsid w:val="00E96DE1"/>
    <w:rsid w:val="00E96EAF"/>
    <w:rsid w:val="00EA0DDB"/>
    <w:rsid w:val="00EA1752"/>
    <w:rsid w:val="00EA5A89"/>
    <w:rsid w:val="00EA5BDB"/>
    <w:rsid w:val="00EB0DA4"/>
    <w:rsid w:val="00EB46D9"/>
    <w:rsid w:val="00EB75D0"/>
    <w:rsid w:val="00EC0E64"/>
    <w:rsid w:val="00EC142D"/>
    <w:rsid w:val="00EC1E16"/>
    <w:rsid w:val="00EC2DD1"/>
    <w:rsid w:val="00ED0024"/>
    <w:rsid w:val="00ED0F85"/>
    <w:rsid w:val="00ED2B5C"/>
    <w:rsid w:val="00ED3269"/>
    <w:rsid w:val="00ED3A18"/>
    <w:rsid w:val="00ED3CFA"/>
    <w:rsid w:val="00EE1A8C"/>
    <w:rsid w:val="00EE4643"/>
    <w:rsid w:val="00EF1330"/>
    <w:rsid w:val="00EF15FF"/>
    <w:rsid w:val="00EF7111"/>
    <w:rsid w:val="00EF7D1A"/>
    <w:rsid w:val="00F03451"/>
    <w:rsid w:val="00F0448F"/>
    <w:rsid w:val="00F05E3E"/>
    <w:rsid w:val="00F0716C"/>
    <w:rsid w:val="00F14FBB"/>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34"/>
    <w:qFormat/>
    <w:rsid w:val="00635616"/>
    <w:pPr>
      <w:ind w:left="720"/>
      <w:contextualSpacing/>
    </w:pPr>
  </w:style>
  <w:style w:type="character" w:styleId="Refdecomentario">
    <w:name w:val="annotation reference"/>
    <w:rsid w:val="00846017"/>
    <w:rPr>
      <w:sz w:val="16"/>
      <w:szCs w:val="16"/>
    </w:rPr>
  </w:style>
  <w:style w:type="paragraph" w:styleId="Textocomentario">
    <w:name w:val="annotation text"/>
    <w:basedOn w:val="Normal"/>
    <w:link w:val="TextocomentarioCar"/>
    <w:rsid w:val="00846017"/>
    <w:pPr>
      <w:spacing w:line="260" w:lineRule="atLeast"/>
      <w:jc w:val="left"/>
    </w:pPr>
    <w:rPr>
      <w:rFonts w:ascii="Arial" w:hAnsi="Arial"/>
      <w:sz w:val="20"/>
      <w:szCs w:val="20"/>
      <w:lang w:val="de-DE"/>
    </w:rPr>
  </w:style>
  <w:style w:type="character" w:customStyle="1" w:styleId="TextocomentarioCar">
    <w:name w:val="Texto comentario Car"/>
    <w:basedOn w:val="Fuentedeprrafopredeter"/>
    <w:link w:val="Textocomentario"/>
    <w:rsid w:val="00846017"/>
    <w:rPr>
      <w:rFonts w:ascii="Arial" w:hAnsi="Arial"/>
      <w:sz w:val="20"/>
      <w:szCs w:val="20"/>
      <w:lang w:val="de-DE"/>
    </w:rPr>
  </w:style>
  <w:style w:type="paragraph" w:styleId="Asuntodelcomentario">
    <w:name w:val="annotation subject"/>
    <w:basedOn w:val="Textocomentario"/>
    <w:next w:val="Textocomentario"/>
    <w:link w:val="AsuntodelcomentarioCar"/>
    <w:rsid w:val="0020528D"/>
    <w:pPr>
      <w:spacing w:line="240" w:lineRule="auto"/>
      <w:jc w:val="both"/>
    </w:pPr>
    <w:rPr>
      <w:rFonts w:ascii="Segoe UI" w:hAnsi="Segoe UI"/>
      <w:b/>
      <w:bCs/>
      <w:lang w:val="en-US"/>
    </w:rPr>
  </w:style>
  <w:style w:type="character" w:customStyle="1" w:styleId="AsuntodelcomentarioCar">
    <w:name w:val="Asunto del comentario Car"/>
    <w:basedOn w:val="TextocomentarioCar"/>
    <w:link w:val="Asuntodelcomentario"/>
    <w:rsid w:val="0020528D"/>
    <w:rPr>
      <w:rFonts w:ascii="Arial" w:hAnsi="Arial"/>
      <w:b/>
      <w:bCs/>
      <w:sz w:val="20"/>
      <w:szCs w:val="20"/>
      <w:lang w:val="de-DE"/>
    </w:rPr>
  </w:style>
  <w:style w:type="paragraph" w:styleId="Revisin">
    <w:name w:val="Revision"/>
    <w:hidden/>
    <w:uiPriority w:val="62"/>
    <w:unhideWhenUsed/>
    <w:rsid w:val="00A3489F"/>
    <w:rPr>
      <w:sz w:val="22"/>
    </w:rPr>
  </w:style>
  <w:style w:type="character" w:styleId="Textoennegrita">
    <w:name w:val="Strong"/>
    <w:basedOn w:val="Fuentedeprrafopredeter"/>
    <w:uiPriority w:val="22"/>
    <w:qFormat/>
    <w:rsid w:val="006E18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26144984">
      <w:bodyDiv w:val="1"/>
      <w:marLeft w:val="0"/>
      <w:marRight w:val="0"/>
      <w:marTop w:val="0"/>
      <w:marBottom w:val="0"/>
      <w:divBdr>
        <w:top w:val="none" w:sz="0" w:space="0" w:color="auto"/>
        <w:left w:val="none" w:sz="0" w:space="0" w:color="auto"/>
        <w:bottom w:val="none" w:sz="0" w:space="0" w:color="auto"/>
        <w:right w:val="none" w:sz="0" w:space="0" w:color="auto"/>
      </w:divBdr>
      <w:divsChild>
        <w:div w:id="378867071">
          <w:marLeft w:val="0"/>
          <w:marRight w:val="0"/>
          <w:marTop w:val="0"/>
          <w:marBottom w:val="0"/>
          <w:divBdr>
            <w:top w:val="none" w:sz="0" w:space="0" w:color="auto"/>
            <w:left w:val="none" w:sz="0" w:space="0" w:color="auto"/>
            <w:bottom w:val="none" w:sz="0" w:space="0" w:color="auto"/>
            <w:right w:val="none" w:sz="0" w:space="0" w:color="auto"/>
          </w:divBdr>
          <w:divsChild>
            <w:div w:id="1845975080">
              <w:marLeft w:val="0"/>
              <w:marRight w:val="0"/>
              <w:marTop w:val="0"/>
              <w:marBottom w:val="0"/>
              <w:divBdr>
                <w:top w:val="none" w:sz="0" w:space="0" w:color="auto"/>
                <w:left w:val="none" w:sz="0" w:space="0" w:color="auto"/>
                <w:bottom w:val="none" w:sz="0" w:space="0" w:color="auto"/>
                <w:right w:val="none" w:sz="0" w:space="0" w:color="auto"/>
              </w:divBdr>
              <w:divsChild>
                <w:div w:id="1101611743">
                  <w:marLeft w:val="0"/>
                  <w:marRight w:val="0"/>
                  <w:marTop w:val="0"/>
                  <w:marBottom w:val="0"/>
                  <w:divBdr>
                    <w:top w:val="none" w:sz="0" w:space="0" w:color="auto"/>
                    <w:left w:val="none" w:sz="0" w:space="0" w:color="auto"/>
                    <w:bottom w:val="none" w:sz="0" w:space="0" w:color="auto"/>
                    <w:right w:val="none" w:sz="0" w:space="0" w:color="auto"/>
                  </w:divBdr>
                </w:div>
              </w:divsChild>
            </w:div>
            <w:div w:id="149180346">
              <w:marLeft w:val="0"/>
              <w:marRight w:val="0"/>
              <w:marTop w:val="0"/>
              <w:marBottom w:val="0"/>
              <w:divBdr>
                <w:top w:val="none" w:sz="0" w:space="0" w:color="auto"/>
                <w:left w:val="none" w:sz="0" w:space="0" w:color="auto"/>
                <w:bottom w:val="none" w:sz="0" w:space="0" w:color="auto"/>
                <w:right w:val="none" w:sz="0" w:space="0" w:color="auto"/>
              </w:divBdr>
            </w:div>
            <w:div w:id="720060160">
              <w:marLeft w:val="0"/>
              <w:marRight w:val="0"/>
              <w:marTop w:val="0"/>
              <w:marBottom w:val="0"/>
              <w:divBdr>
                <w:top w:val="none" w:sz="0" w:space="0" w:color="auto"/>
                <w:left w:val="none" w:sz="0" w:space="0" w:color="auto"/>
                <w:bottom w:val="none" w:sz="0" w:space="0" w:color="auto"/>
                <w:right w:val="none" w:sz="0" w:space="0" w:color="auto"/>
              </w:divBdr>
            </w:div>
            <w:div w:id="183519664">
              <w:marLeft w:val="0"/>
              <w:marRight w:val="0"/>
              <w:marTop w:val="0"/>
              <w:marBottom w:val="0"/>
              <w:divBdr>
                <w:top w:val="none" w:sz="0" w:space="0" w:color="auto"/>
                <w:left w:val="none" w:sz="0" w:space="0" w:color="auto"/>
                <w:bottom w:val="none" w:sz="0" w:space="0" w:color="auto"/>
                <w:right w:val="none" w:sz="0" w:space="0" w:color="auto"/>
              </w:divBdr>
            </w:div>
            <w:div w:id="1882938437">
              <w:marLeft w:val="0"/>
              <w:marRight w:val="0"/>
              <w:marTop w:val="0"/>
              <w:marBottom w:val="0"/>
              <w:divBdr>
                <w:top w:val="none" w:sz="0" w:space="0" w:color="auto"/>
                <w:left w:val="none" w:sz="0" w:space="0" w:color="auto"/>
                <w:bottom w:val="none" w:sz="0" w:space="0" w:color="auto"/>
                <w:right w:val="none" w:sz="0" w:space="0" w:color="auto"/>
              </w:divBdr>
            </w:div>
            <w:div w:id="1854494262">
              <w:marLeft w:val="0"/>
              <w:marRight w:val="0"/>
              <w:marTop w:val="0"/>
              <w:marBottom w:val="0"/>
              <w:divBdr>
                <w:top w:val="none" w:sz="0" w:space="0" w:color="auto"/>
                <w:left w:val="none" w:sz="0" w:space="0" w:color="auto"/>
                <w:bottom w:val="none" w:sz="0" w:space="0" w:color="auto"/>
                <w:right w:val="none" w:sz="0" w:space="0" w:color="auto"/>
              </w:divBdr>
            </w:div>
            <w:div w:id="1885436670">
              <w:marLeft w:val="0"/>
              <w:marRight w:val="0"/>
              <w:marTop w:val="0"/>
              <w:marBottom w:val="0"/>
              <w:divBdr>
                <w:top w:val="none" w:sz="0" w:space="0" w:color="auto"/>
                <w:left w:val="none" w:sz="0" w:space="0" w:color="auto"/>
                <w:bottom w:val="none" w:sz="0" w:space="0" w:color="auto"/>
                <w:right w:val="none" w:sz="0" w:space="0" w:color="auto"/>
              </w:divBdr>
            </w:div>
            <w:div w:id="338124668">
              <w:marLeft w:val="0"/>
              <w:marRight w:val="0"/>
              <w:marTop w:val="0"/>
              <w:marBottom w:val="0"/>
              <w:divBdr>
                <w:top w:val="none" w:sz="0" w:space="0" w:color="auto"/>
                <w:left w:val="none" w:sz="0" w:space="0" w:color="auto"/>
                <w:bottom w:val="none" w:sz="0" w:space="0" w:color="auto"/>
                <w:right w:val="none" w:sz="0" w:space="0" w:color="auto"/>
              </w:divBdr>
            </w:div>
            <w:div w:id="1233660287">
              <w:marLeft w:val="0"/>
              <w:marRight w:val="0"/>
              <w:marTop w:val="0"/>
              <w:marBottom w:val="0"/>
              <w:divBdr>
                <w:top w:val="none" w:sz="0" w:space="0" w:color="auto"/>
                <w:left w:val="none" w:sz="0" w:space="0" w:color="auto"/>
                <w:bottom w:val="none" w:sz="0" w:space="0" w:color="auto"/>
                <w:right w:val="none" w:sz="0" w:space="0" w:color="auto"/>
              </w:divBdr>
            </w:div>
            <w:div w:id="166528023">
              <w:marLeft w:val="0"/>
              <w:marRight w:val="0"/>
              <w:marTop w:val="0"/>
              <w:marBottom w:val="0"/>
              <w:divBdr>
                <w:top w:val="none" w:sz="0" w:space="0" w:color="auto"/>
                <w:left w:val="none" w:sz="0" w:space="0" w:color="auto"/>
                <w:bottom w:val="none" w:sz="0" w:space="0" w:color="auto"/>
                <w:right w:val="none" w:sz="0" w:space="0" w:color="auto"/>
              </w:divBdr>
            </w:div>
            <w:div w:id="1838229982">
              <w:marLeft w:val="0"/>
              <w:marRight w:val="0"/>
              <w:marTop w:val="0"/>
              <w:marBottom w:val="0"/>
              <w:divBdr>
                <w:top w:val="none" w:sz="0" w:space="0" w:color="auto"/>
                <w:left w:val="none" w:sz="0" w:space="0" w:color="auto"/>
                <w:bottom w:val="none" w:sz="0" w:space="0" w:color="auto"/>
                <w:right w:val="none" w:sz="0" w:space="0" w:color="auto"/>
              </w:divBdr>
            </w:div>
            <w:div w:id="771097585">
              <w:marLeft w:val="0"/>
              <w:marRight w:val="0"/>
              <w:marTop w:val="0"/>
              <w:marBottom w:val="0"/>
              <w:divBdr>
                <w:top w:val="none" w:sz="0" w:space="0" w:color="auto"/>
                <w:left w:val="none" w:sz="0" w:space="0" w:color="auto"/>
                <w:bottom w:val="none" w:sz="0" w:space="0" w:color="auto"/>
                <w:right w:val="none" w:sz="0" w:space="0" w:color="auto"/>
              </w:divBdr>
            </w:div>
            <w:div w:id="761797920">
              <w:marLeft w:val="0"/>
              <w:marRight w:val="0"/>
              <w:marTop w:val="0"/>
              <w:marBottom w:val="0"/>
              <w:divBdr>
                <w:top w:val="none" w:sz="0" w:space="0" w:color="auto"/>
                <w:left w:val="none" w:sz="0" w:space="0" w:color="auto"/>
                <w:bottom w:val="none" w:sz="0" w:space="0" w:color="auto"/>
                <w:right w:val="none" w:sz="0" w:space="0" w:color="auto"/>
              </w:divBdr>
            </w:div>
            <w:div w:id="1621188010">
              <w:marLeft w:val="0"/>
              <w:marRight w:val="0"/>
              <w:marTop w:val="0"/>
              <w:marBottom w:val="0"/>
              <w:divBdr>
                <w:top w:val="none" w:sz="0" w:space="0" w:color="auto"/>
                <w:left w:val="none" w:sz="0" w:space="0" w:color="auto"/>
                <w:bottom w:val="none" w:sz="0" w:space="0" w:color="auto"/>
                <w:right w:val="none" w:sz="0" w:space="0" w:color="auto"/>
              </w:divBdr>
            </w:div>
            <w:div w:id="1845240379">
              <w:marLeft w:val="0"/>
              <w:marRight w:val="0"/>
              <w:marTop w:val="0"/>
              <w:marBottom w:val="0"/>
              <w:divBdr>
                <w:top w:val="none" w:sz="0" w:space="0" w:color="auto"/>
                <w:left w:val="none" w:sz="0" w:space="0" w:color="auto"/>
                <w:bottom w:val="none" w:sz="0" w:space="0" w:color="auto"/>
                <w:right w:val="none" w:sz="0" w:space="0" w:color="auto"/>
              </w:divBdr>
            </w:div>
            <w:div w:id="863711580">
              <w:marLeft w:val="0"/>
              <w:marRight w:val="0"/>
              <w:marTop w:val="0"/>
              <w:marBottom w:val="0"/>
              <w:divBdr>
                <w:top w:val="none" w:sz="0" w:space="0" w:color="auto"/>
                <w:left w:val="none" w:sz="0" w:space="0" w:color="auto"/>
                <w:bottom w:val="none" w:sz="0" w:space="0" w:color="auto"/>
                <w:right w:val="none" w:sz="0" w:space="0" w:color="auto"/>
              </w:divBdr>
            </w:div>
            <w:div w:id="663358965">
              <w:marLeft w:val="0"/>
              <w:marRight w:val="0"/>
              <w:marTop w:val="0"/>
              <w:marBottom w:val="0"/>
              <w:divBdr>
                <w:top w:val="none" w:sz="0" w:space="0" w:color="auto"/>
                <w:left w:val="none" w:sz="0" w:space="0" w:color="auto"/>
                <w:bottom w:val="none" w:sz="0" w:space="0" w:color="auto"/>
                <w:right w:val="none" w:sz="0" w:space="0" w:color="auto"/>
              </w:divBdr>
            </w:div>
            <w:div w:id="127166474">
              <w:marLeft w:val="0"/>
              <w:marRight w:val="0"/>
              <w:marTop w:val="0"/>
              <w:marBottom w:val="0"/>
              <w:divBdr>
                <w:top w:val="none" w:sz="0" w:space="0" w:color="auto"/>
                <w:left w:val="none" w:sz="0" w:space="0" w:color="auto"/>
                <w:bottom w:val="none" w:sz="0" w:space="0" w:color="auto"/>
                <w:right w:val="none" w:sz="0" w:space="0" w:color="auto"/>
              </w:divBdr>
            </w:div>
            <w:div w:id="1551916385">
              <w:marLeft w:val="0"/>
              <w:marRight w:val="0"/>
              <w:marTop w:val="0"/>
              <w:marBottom w:val="0"/>
              <w:divBdr>
                <w:top w:val="none" w:sz="0" w:space="0" w:color="auto"/>
                <w:left w:val="none" w:sz="0" w:space="0" w:color="auto"/>
                <w:bottom w:val="none" w:sz="0" w:space="0" w:color="auto"/>
                <w:right w:val="none" w:sz="0" w:space="0" w:color="auto"/>
              </w:divBdr>
            </w:div>
            <w:div w:id="1718698058">
              <w:marLeft w:val="0"/>
              <w:marRight w:val="0"/>
              <w:marTop w:val="0"/>
              <w:marBottom w:val="0"/>
              <w:divBdr>
                <w:top w:val="none" w:sz="0" w:space="0" w:color="auto"/>
                <w:left w:val="none" w:sz="0" w:space="0" w:color="auto"/>
                <w:bottom w:val="none" w:sz="0" w:space="0" w:color="auto"/>
                <w:right w:val="none" w:sz="0" w:space="0" w:color="auto"/>
              </w:divBdr>
            </w:div>
            <w:div w:id="1895046788">
              <w:marLeft w:val="0"/>
              <w:marRight w:val="0"/>
              <w:marTop w:val="0"/>
              <w:marBottom w:val="0"/>
              <w:divBdr>
                <w:top w:val="none" w:sz="0" w:space="0" w:color="auto"/>
                <w:left w:val="none" w:sz="0" w:space="0" w:color="auto"/>
                <w:bottom w:val="none" w:sz="0" w:space="0" w:color="auto"/>
                <w:right w:val="none" w:sz="0" w:space="0" w:color="auto"/>
              </w:divBdr>
            </w:div>
            <w:div w:id="1277055632">
              <w:marLeft w:val="0"/>
              <w:marRight w:val="0"/>
              <w:marTop w:val="0"/>
              <w:marBottom w:val="0"/>
              <w:divBdr>
                <w:top w:val="none" w:sz="0" w:space="0" w:color="auto"/>
                <w:left w:val="none" w:sz="0" w:space="0" w:color="auto"/>
                <w:bottom w:val="none" w:sz="0" w:space="0" w:color="auto"/>
                <w:right w:val="none" w:sz="0" w:space="0" w:color="auto"/>
              </w:divBdr>
            </w:div>
            <w:div w:id="1847675172">
              <w:marLeft w:val="0"/>
              <w:marRight w:val="0"/>
              <w:marTop w:val="0"/>
              <w:marBottom w:val="0"/>
              <w:divBdr>
                <w:top w:val="none" w:sz="0" w:space="0" w:color="auto"/>
                <w:left w:val="none" w:sz="0" w:space="0" w:color="auto"/>
                <w:bottom w:val="none" w:sz="0" w:space="0" w:color="auto"/>
                <w:right w:val="none" w:sz="0" w:space="0" w:color="auto"/>
              </w:divBdr>
            </w:div>
            <w:div w:id="196360458">
              <w:marLeft w:val="0"/>
              <w:marRight w:val="0"/>
              <w:marTop w:val="0"/>
              <w:marBottom w:val="0"/>
              <w:divBdr>
                <w:top w:val="none" w:sz="0" w:space="0" w:color="auto"/>
                <w:left w:val="none" w:sz="0" w:space="0" w:color="auto"/>
                <w:bottom w:val="none" w:sz="0" w:space="0" w:color="auto"/>
                <w:right w:val="none" w:sz="0" w:space="0" w:color="auto"/>
              </w:divBdr>
            </w:div>
            <w:div w:id="1060903296">
              <w:marLeft w:val="0"/>
              <w:marRight w:val="0"/>
              <w:marTop w:val="0"/>
              <w:marBottom w:val="0"/>
              <w:divBdr>
                <w:top w:val="none" w:sz="0" w:space="0" w:color="auto"/>
                <w:left w:val="none" w:sz="0" w:space="0" w:color="auto"/>
                <w:bottom w:val="none" w:sz="0" w:space="0" w:color="auto"/>
                <w:right w:val="none" w:sz="0" w:space="0" w:color="auto"/>
              </w:divBdr>
            </w:div>
            <w:div w:id="1390032379">
              <w:marLeft w:val="0"/>
              <w:marRight w:val="0"/>
              <w:marTop w:val="0"/>
              <w:marBottom w:val="0"/>
              <w:divBdr>
                <w:top w:val="none" w:sz="0" w:space="0" w:color="auto"/>
                <w:left w:val="none" w:sz="0" w:space="0" w:color="auto"/>
                <w:bottom w:val="none" w:sz="0" w:space="0" w:color="auto"/>
                <w:right w:val="none" w:sz="0" w:space="0" w:color="auto"/>
              </w:divBdr>
            </w:div>
            <w:div w:id="609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1645</Words>
  <Characters>9052</Characters>
  <Application>Microsoft Office Word</Application>
  <DocSecurity>0</DocSecurity>
  <Lines>75</Lines>
  <Paragraphs>21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10676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Ignacio Sabino</cp:lastModifiedBy>
  <cp:revision>6</cp:revision>
  <cp:lastPrinted>2020-10-08T16:45:00Z</cp:lastPrinted>
  <dcterms:created xsi:type="dcterms:W3CDTF">2020-10-09T16:11:00Z</dcterms:created>
  <dcterms:modified xsi:type="dcterms:W3CDTF">2020-10-09T16:36:00Z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