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63FFD581" w:rsidR="00B422EC" w:rsidRPr="001D7568" w:rsidRDefault="00704392" w:rsidP="00643D8A">
      <w:pPr>
        <w:pStyle w:val="MonthDayYear"/>
        <w:rPr>
          <w:lang w:val="sk-SK"/>
        </w:rPr>
      </w:pPr>
      <w:r>
        <w:rPr>
          <w:lang w:val="sk-SK"/>
        </w:rPr>
        <w:t>9</w:t>
      </w:r>
      <w:r w:rsidR="00B86F4F">
        <w:rPr>
          <w:lang w:val="sk-SK"/>
        </w:rPr>
        <w:t xml:space="preserve">. </w:t>
      </w:r>
      <w:r>
        <w:rPr>
          <w:lang w:val="sk-SK"/>
        </w:rPr>
        <w:t>október</w:t>
      </w:r>
      <w:r w:rsidR="00263D3E" w:rsidRPr="001D7568">
        <w:rPr>
          <w:lang w:val="sk-SK"/>
        </w:rPr>
        <w:t xml:space="preserve"> </w:t>
      </w:r>
      <w:r w:rsidR="00BF6E82" w:rsidRPr="001D7568">
        <w:rPr>
          <w:lang w:val="sk-SK"/>
        </w:rPr>
        <w:t>20</w:t>
      </w:r>
      <w:r w:rsidR="00F635FC" w:rsidRPr="001D7568">
        <w:rPr>
          <w:lang w:val="sk-SK"/>
        </w:rPr>
        <w:t>20</w:t>
      </w:r>
    </w:p>
    <w:p w14:paraId="036B72C0" w14:textId="698C406A" w:rsidR="00C51B88" w:rsidRDefault="00C51B88" w:rsidP="0084769D">
      <w:pPr>
        <w:rPr>
          <w:rFonts w:cs="Segoe UI"/>
          <w:szCs w:val="22"/>
          <w:lang w:val="sk-SK"/>
        </w:rPr>
      </w:pPr>
    </w:p>
    <w:p w14:paraId="3535C491" w14:textId="77777777" w:rsidR="00376AD8" w:rsidRPr="003C3588" w:rsidRDefault="00376AD8" w:rsidP="00376AD8">
      <w:pPr>
        <w:spacing w:before="560" w:after="360"/>
        <w:rPr>
          <w:rFonts w:asciiTheme="majorHAnsi" w:hAnsiTheme="majorHAnsi" w:cstheme="majorHAnsi"/>
          <w:szCs w:val="22"/>
          <w:lang w:val="sk-SK"/>
        </w:rPr>
      </w:pPr>
      <w:bookmarkStart w:id="1" w:name="_Hlk52795642"/>
      <w:r w:rsidRPr="003C3588">
        <w:rPr>
          <w:rFonts w:asciiTheme="majorHAnsi" w:hAnsiTheme="majorHAnsi"/>
          <w:szCs w:val="22"/>
          <w:lang w:val="sk-SK"/>
        </w:rPr>
        <w:t xml:space="preserve">Henkel zverejňuje výsledky obratu v treťom štvrťroku </w:t>
      </w:r>
      <w:bookmarkEnd w:id="1"/>
      <w:r w:rsidRPr="003C3588">
        <w:rPr>
          <w:rFonts w:asciiTheme="majorHAnsi" w:hAnsiTheme="majorHAnsi"/>
          <w:szCs w:val="22"/>
          <w:lang w:val="sk-SK"/>
        </w:rPr>
        <w:t>na základe predbežných údajov</w:t>
      </w:r>
    </w:p>
    <w:p w14:paraId="6AC2B5C8" w14:textId="77777777" w:rsidR="00376AD8" w:rsidRPr="003C3588" w:rsidRDefault="00376AD8" w:rsidP="00376AD8">
      <w:pPr>
        <w:jc w:val="left"/>
        <w:rPr>
          <w:b/>
          <w:bCs/>
          <w:sz w:val="32"/>
          <w:lang w:val="sk-SK"/>
        </w:rPr>
      </w:pPr>
      <w:r w:rsidRPr="003C3588">
        <w:rPr>
          <w:b/>
          <w:bCs/>
          <w:sz w:val="32"/>
          <w:lang w:val="sk-SK"/>
        </w:rPr>
        <w:t xml:space="preserve">Spoločnosť Henkel dosiahla silný rast </w:t>
      </w:r>
      <w:r>
        <w:rPr>
          <w:b/>
          <w:bCs/>
          <w:sz w:val="32"/>
          <w:lang w:val="sk-SK"/>
        </w:rPr>
        <w:t xml:space="preserve">organického </w:t>
      </w:r>
      <w:r w:rsidRPr="003C3588">
        <w:rPr>
          <w:b/>
          <w:bCs/>
          <w:sz w:val="32"/>
          <w:lang w:val="sk-SK"/>
        </w:rPr>
        <w:t>obratu v treťom štvrťroku a prináša nov</w:t>
      </w:r>
      <w:r>
        <w:rPr>
          <w:b/>
          <w:bCs/>
          <w:sz w:val="32"/>
          <w:lang w:val="sk-SK"/>
        </w:rPr>
        <w:t>ý</w:t>
      </w:r>
      <w:r w:rsidRPr="003C3588">
        <w:rPr>
          <w:b/>
          <w:bCs/>
          <w:sz w:val="32"/>
          <w:lang w:val="sk-SK"/>
        </w:rPr>
        <w:t xml:space="preserve"> </w:t>
      </w:r>
      <w:r>
        <w:rPr>
          <w:b/>
          <w:bCs/>
          <w:sz w:val="32"/>
          <w:lang w:val="sk-SK"/>
        </w:rPr>
        <w:t>výhľad</w:t>
      </w:r>
      <w:r w:rsidRPr="003C3588">
        <w:rPr>
          <w:b/>
          <w:bCs/>
          <w:sz w:val="32"/>
          <w:lang w:val="sk-SK"/>
        </w:rPr>
        <w:t xml:space="preserve"> pre daňový rok 2020</w:t>
      </w:r>
    </w:p>
    <w:p w14:paraId="4AC4A1F5" w14:textId="77777777" w:rsidR="00376AD8" w:rsidRPr="003C3588" w:rsidRDefault="00376AD8" w:rsidP="00376AD8">
      <w:pPr>
        <w:rPr>
          <w:lang w:val="sk-SK"/>
        </w:rPr>
      </w:pPr>
    </w:p>
    <w:p w14:paraId="748607D9" w14:textId="77777777" w:rsidR="00376AD8" w:rsidRPr="003C3588" w:rsidRDefault="00376AD8" w:rsidP="00376AD8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  <w:lang w:val="sk-SK"/>
        </w:rPr>
      </w:pPr>
      <w:bookmarkStart w:id="2" w:name="_Hlk43712519"/>
      <w:r w:rsidRPr="003C3588">
        <w:rPr>
          <w:rFonts w:asciiTheme="majorHAnsi" w:hAnsiTheme="majorHAnsi" w:cstheme="majorHAnsi"/>
          <w:b/>
          <w:bCs/>
          <w:szCs w:val="22"/>
          <w:lang w:val="sk-SK"/>
        </w:rPr>
        <w:t xml:space="preserve">Silný </w:t>
      </w:r>
      <w:r>
        <w:rPr>
          <w:rFonts w:asciiTheme="majorHAnsi" w:hAnsiTheme="majorHAnsi" w:cstheme="majorHAnsi"/>
          <w:b/>
          <w:bCs/>
          <w:szCs w:val="22"/>
          <w:lang w:val="sk-SK"/>
        </w:rPr>
        <w:t>rast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 xml:space="preserve"> </w:t>
      </w:r>
      <w:r>
        <w:rPr>
          <w:rFonts w:asciiTheme="majorHAnsi" w:hAnsiTheme="majorHAnsi" w:cstheme="majorHAnsi"/>
          <w:b/>
          <w:bCs/>
          <w:szCs w:val="22"/>
          <w:lang w:val="sk-SK"/>
        </w:rPr>
        <w:t>organického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 xml:space="preserve"> obratu o 3,9</w:t>
      </w:r>
      <w:r>
        <w:rPr>
          <w:rFonts w:asciiTheme="majorHAnsi" w:hAnsiTheme="majorHAnsi" w:cstheme="majorHAnsi"/>
          <w:b/>
          <w:bCs/>
          <w:szCs w:val="22"/>
          <w:lang w:val="sk-SK"/>
        </w:rPr>
        <w:t xml:space="preserve"> 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>% v treťom štvrťroku</w:t>
      </w:r>
    </w:p>
    <w:p w14:paraId="54E7F37C" w14:textId="77777777" w:rsidR="00376AD8" w:rsidRPr="003C3588" w:rsidRDefault="00376AD8" w:rsidP="00376AD8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3C3588">
        <w:rPr>
          <w:rFonts w:asciiTheme="majorHAnsi" w:hAnsiTheme="majorHAnsi" w:cstheme="majorHAnsi"/>
          <w:b/>
          <w:bCs/>
          <w:szCs w:val="22"/>
          <w:lang w:val="sk-SK"/>
        </w:rPr>
        <w:t xml:space="preserve">Všetky obchodné divízie vykazujú </w:t>
      </w:r>
      <w:r>
        <w:rPr>
          <w:rFonts w:asciiTheme="majorHAnsi" w:hAnsiTheme="majorHAnsi" w:cstheme="majorHAnsi"/>
          <w:b/>
          <w:bCs/>
          <w:szCs w:val="22"/>
          <w:lang w:val="sk-SK"/>
        </w:rPr>
        <w:t>rast organického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 xml:space="preserve"> obratu</w:t>
      </w:r>
    </w:p>
    <w:p w14:paraId="6174CC5D" w14:textId="77777777" w:rsidR="00376AD8" w:rsidRPr="003C3588" w:rsidRDefault="00376AD8" w:rsidP="00376AD8">
      <w:pPr>
        <w:numPr>
          <w:ilvl w:val="0"/>
          <w:numId w:val="9"/>
        </w:numPr>
        <w:spacing w:after="80"/>
        <w:ind w:left="426" w:right="-108" w:hanging="426"/>
        <w:jc w:val="left"/>
        <w:rPr>
          <w:rFonts w:asciiTheme="majorHAnsi" w:hAnsiTheme="majorHAnsi" w:cstheme="majorHAnsi"/>
          <w:b/>
          <w:szCs w:val="22"/>
          <w:lang w:val="sk-SK"/>
        </w:rPr>
      </w:pPr>
      <w:r>
        <w:rPr>
          <w:rFonts w:asciiTheme="majorHAnsi" w:hAnsiTheme="majorHAnsi" w:cstheme="majorHAnsi"/>
          <w:b/>
          <w:bCs/>
          <w:szCs w:val="22"/>
          <w:lang w:val="sk-SK"/>
        </w:rPr>
        <w:t>Výhľad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 xml:space="preserve"> pre daňový rok 2020:</w:t>
      </w:r>
    </w:p>
    <w:p w14:paraId="58D0F056" w14:textId="77777777" w:rsidR="00376AD8" w:rsidRPr="003C3588" w:rsidRDefault="00376AD8" w:rsidP="00376AD8">
      <w:pPr>
        <w:pStyle w:val="Odsekzoznamu"/>
        <w:numPr>
          <w:ilvl w:val="1"/>
          <w:numId w:val="10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>
        <w:rPr>
          <w:rFonts w:asciiTheme="majorHAnsi" w:hAnsiTheme="majorHAnsi" w:cstheme="majorHAnsi"/>
          <w:b/>
          <w:bCs/>
          <w:szCs w:val="22"/>
          <w:lang w:val="sk-SK"/>
        </w:rPr>
        <w:t>Rast organického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 xml:space="preserve"> </w:t>
      </w:r>
      <w:r>
        <w:rPr>
          <w:rFonts w:asciiTheme="majorHAnsi" w:hAnsiTheme="majorHAnsi" w:cstheme="majorHAnsi"/>
          <w:b/>
          <w:bCs/>
          <w:szCs w:val="22"/>
          <w:lang w:val="sk-SK"/>
        </w:rPr>
        <w:t>obratu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>: medzi -1,0 a -2,0</w:t>
      </w:r>
      <w:r>
        <w:rPr>
          <w:rFonts w:asciiTheme="majorHAnsi" w:hAnsiTheme="majorHAnsi" w:cstheme="majorHAnsi"/>
          <w:b/>
          <w:bCs/>
          <w:szCs w:val="22"/>
          <w:lang w:val="sk-SK"/>
        </w:rPr>
        <w:t xml:space="preserve"> 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>%</w:t>
      </w:r>
    </w:p>
    <w:p w14:paraId="62A10A4D" w14:textId="77777777" w:rsidR="00376AD8" w:rsidRPr="003C3588" w:rsidRDefault="00376AD8" w:rsidP="00376AD8">
      <w:pPr>
        <w:pStyle w:val="Odsekzoznamu"/>
        <w:numPr>
          <w:ilvl w:val="1"/>
          <w:numId w:val="10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3C3588">
        <w:rPr>
          <w:rFonts w:asciiTheme="majorHAnsi" w:hAnsiTheme="majorHAnsi" w:cstheme="majorHAnsi"/>
          <w:b/>
          <w:bCs/>
          <w:szCs w:val="22"/>
          <w:lang w:val="sk-SK"/>
        </w:rPr>
        <w:t>Upravená marža EBIT*: medzi 13,0 a 13,5</w:t>
      </w:r>
      <w:r>
        <w:rPr>
          <w:rFonts w:asciiTheme="majorHAnsi" w:hAnsiTheme="majorHAnsi" w:cstheme="majorHAnsi"/>
          <w:b/>
          <w:bCs/>
          <w:szCs w:val="22"/>
          <w:lang w:val="sk-SK"/>
        </w:rPr>
        <w:t xml:space="preserve"> 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>%</w:t>
      </w:r>
    </w:p>
    <w:bookmarkEnd w:id="2"/>
    <w:p w14:paraId="57151DDD" w14:textId="77777777" w:rsidR="00376AD8" w:rsidRPr="003C3588" w:rsidRDefault="00376AD8" w:rsidP="00376AD8">
      <w:pPr>
        <w:pStyle w:val="Odsekzoznamu"/>
        <w:numPr>
          <w:ilvl w:val="1"/>
          <w:numId w:val="10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3C3588">
        <w:rPr>
          <w:rFonts w:asciiTheme="majorHAnsi" w:hAnsiTheme="majorHAnsi" w:cstheme="majorHAnsi"/>
          <w:b/>
          <w:bCs/>
          <w:szCs w:val="22"/>
          <w:lang w:val="sk-SK"/>
        </w:rPr>
        <w:t xml:space="preserve">Upravený výnos na prioritnú akciu (EPS)* pri konštantných kurzových sadzbách: </w:t>
      </w:r>
      <w:r w:rsidRPr="003C3588">
        <w:rPr>
          <w:rFonts w:asciiTheme="majorHAnsi" w:hAnsiTheme="majorHAnsi" w:cstheme="majorHAnsi"/>
          <w:szCs w:val="22"/>
          <w:lang w:val="sk-SK"/>
        </w:rPr>
        <w:br/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>pokles medzi -18 a -22</w:t>
      </w:r>
      <w:r>
        <w:rPr>
          <w:rFonts w:asciiTheme="majorHAnsi" w:hAnsiTheme="majorHAnsi" w:cstheme="majorHAnsi"/>
          <w:b/>
          <w:bCs/>
          <w:szCs w:val="22"/>
          <w:lang w:val="sk-SK"/>
        </w:rPr>
        <w:t xml:space="preserve"> </w:t>
      </w:r>
      <w:r w:rsidRPr="003C3588">
        <w:rPr>
          <w:rFonts w:asciiTheme="majorHAnsi" w:hAnsiTheme="majorHAnsi" w:cstheme="majorHAnsi"/>
          <w:b/>
          <w:bCs/>
          <w:szCs w:val="22"/>
          <w:lang w:val="sk-SK"/>
        </w:rPr>
        <w:t>%</w:t>
      </w:r>
      <w:bookmarkStart w:id="3" w:name="_Hlk52802453"/>
    </w:p>
    <w:bookmarkEnd w:id="3"/>
    <w:p w14:paraId="602784B8" w14:textId="77777777" w:rsidR="00376AD8" w:rsidRPr="003C3588" w:rsidRDefault="00376AD8" w:rsidP="00376AD8">
      <w:pPr>
        <w:pStyle w:val="Odsekzoznamu"/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</w:p>
    <w:p w14:paraId="671B7416" w14:textId="77777777" w:rsidR="00376AD8" w:rsidRPr="003C3588" w:rsidRDefault="00376AD8" w:rsidP="00376AD8">
      <w:pPr>
        <w:rPr>
          <w:rFonts w:cs="Segoe UI"/>
          <w:b/>
          <w:bCs/>
          <w:szCs w:val="22"/>
          <w:lang w:val="sk-SK"/>
        </w:rPr>
      </w:pPr>
      <w:proofErr w:type="spellStart"/>
      <w:r w:rsidRPr="003C3588">
        <w:rPr>
          <w:rFonts w:cs="Segoe UI"/>
          <w:b/>
          <w:bCs/>
          <w:szCs w:val="22"/>
          <w:lang w:val="sk-SK"/>
        </w:rPr>
        <w:t>Düsseldorf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- „Napriek pokračujúcemu náročnému ekonomickému prostrediu v dôsledku </w:t>
      </w:r>
      <w:proofErr w:type="spellStart"/>
      <w:r w:rsidRPr="003C3588">
        <w:rPr>
          <w:rFonts w:cs="Segoe UI"/>
          <w:b/>
          <w:bCs/>
          <w:szCs w:val="22"/>
          <w:lang w:val="sk-SK"/>
        </w:rPr>
        <w:t>koronakrízy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bookmarkStart w:id="4" w:name="_Hlk52547366"/>
      <w:r w:rsidRPr="003C3588">
        <w:rPr>
          <w:rFonts w:cs="Segoe UI"/>
          <w:b/>
          <w:bCs/>
          <w:szCs w:val="22"/>
          <w:lang w:val="sk-SK"/>
        </w:rPr>
        <w:t>podľa predbežných údajov o obrate</w:t>
      </w:r>
      <w:bookmarkEnd w:id="4"/>
      <w:r w:rsidRPr="003C3588">
        <w:rPr>
          <w:rFonts w:cs="Segoe UI"/>
          <w:b/>
          <w:bCs/>
          <w:szCs w:val="22"/>
          <w:lang w:val="sk-SK"/>
        </w:rPr>
        <w:t xml:space="preserve"> spoločnosť Henkel v treťom štvrťroku dosiahla silný </w:t>
      </w:r>
      <w:r>
        <w:rPr>
          <w:rFonts w:cs="Segoe UI"/>
          <w:b/>
          <w:bCs/>
          <w:szCs w:val="22"/>
          <w:lang w:val="sk-SK"/>
        </w:rPr>
        <w:t>rast organického</w:t>
      </w:r>
      <w:r w:rsidRPr="003C3588">
        <w:rPr>
          <w:rFonts w:cs="Segoe UI"/>
          <w:b/>
          <w:bCs/>
          <w:szCs w:val="22"/>
          <w:lang w:val="sk-SK"/>
        </w:rPr>
        <w:t xml:space="preserve"> obratu o 3,9</w:t>
      </w:r>
      <w:r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b/>
          <w:bCs/>
          <w:szCs w:val="22"/>
          <w:lang w:val="sk-SK"/>
        </w:rPr>
        <w:t>%.</w:t>
      </w:r>
      <w:r w:rsidRPr="003C3588"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b/>
          <w:bCs/>
          <w:szCs w:val="22"/>
          <w:lang w:val="sk-SK"/>
        </w:rPr>
        <w:t xml:space="preserve">Obrat sa vyšplhal na približne 5 miliárd eur a všetky obchodné divízie prispeli k dobrému výsledku,“ uviedol generálny riaditeľ Henkel </w:t>
      </w:r>
      <w:proofErr w:type="spellStart"/>
      <w:r w:rsidRPr="003C3588">
        <w:rPr>
          <w:rFonts w:cs="Segoe UI"/>
          <w:b/>
          <w:bCs/>
          <w:szCs w:val="22"/>
          <w:lang w:val="sk-SK"/>
        </w:rPr>
        <w:t>Carsten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Pr="003C3588">
        <w:rPr>
          <w:rFonts w:cs="Segoe UI"/>
          <w:b/>
          <w:bCs/>
          <w:szCs w:val="22"/>
          <w:lang w:val="sk-SK"/>
        </w:rPr>
        <w:t>Knobel</w:t>
      </w:r>
      <w:proofErr w:type="spellEnd"/>
      <w:r w:rsidRPr="003C3588">
        <w:rPr>
          <w:rFonts w:cs="Segoe UI"/>
          <w:b/>
          <w:bCs/>
          <w:szCs w:val="22"/>
          <w:lang w:val="sk-SK"/>
        </w:rPr>
        <w:t>.</w:t>
      </w:r>
    </w:p>
    <w:p w14:paraId="234169C1" w14:textId="77777777" w:rsidR="00376AD8" w:rsidRPr="003C3588" w:rsidRDefault="00376AD8" w:rsidP="00376AD8">
      <w:pPr>
        <w:rPr>
          <w:rFonts w:cs="Segoe UI"/>
          <w:b/>
          <w:bCs/>
          <w:szCs w:val="22"/>
          <w:lang w:val="sk-SK"/>
        </w:rPr>
      </w:pPr>
    </w:p>
    <w:p w14:paraId="1F82CAF6" w14:textId="05071646" w:rsidR="00376AD8" w:rsidRPr="003C3588" w:rsidRDefault="0028617E" w:rsidP="00376AD8">
      <w:pPr>
        <w:rPr>
          <w:rFonts w:cs="Segoe UI"/>
          <w:b/>
          <w:bCs/>
          <w:szCs w:val="22"/>
          <w:lang w:val="sk-SK"/>
        </w:rPr>
      </w:pPr>
      <w:r>
        <w:rPr>
          <w:rFonts w:asciiTheme="majorHAnsi" w:hAnsiTheme="majorHAnsi" w:cstheme="majorHAnsi"/>
          <w:b/>
          <w:bCs/>
          <w:noProof/>
          <w:sz w:val="24"/>
          <w:lang w:val="sk-S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8C16F17" wp14:editId="7DDD3ACA">
                <wp:simplePos x="0" y="0"/>
                <wp:positionH relativeFrom="margin">
                  <wp:posOffset>-67282</wp:posOffset>
                </wp:positionH>
                <wp:positionV relativeFrom="paragraph">
                  <wp:posOffset>1365212</wp:posOffset>
                </wp:positionV>
                <wp:extent cx="4683760" cy="273050"/>
                <wp:effectExtent l="0" t="0" r="254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CFB214" w14:textId="77777777" w:rsidR="00376AD8" w:rsidRPr="00ED5A2D" w:rsidRDefault="00376AD8" w:rsidP="00376AD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sk"/>
                              </w:rPr>
                              <w:t>* Upravené o jednorazové výdavky a príjmy a náklady na reštrukturalizáciu.</w:t>
                            </w:r>
                          </w:p>
                          <w:p w14:paraId="4DEF7252" w14:textId="77777777" w:rsidR="00376AD8" w:rsidRPr="00ED5A2D" w:rsidRDefault="00376AD8" w:rsidP="00376A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16F17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-5.3pt;margin-top:107.5pt;width:368.8pt;height: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" stroked="f">
                <v:textbox>
                  <w:txbxContent>
                    <w:p w14:paraId="2FCFB214" w14:textId="77777777" w:rsidR="00376AD8" w:rsidRPr="00ED5A2D" w:rsidRDefault="00376AD8" w:rsidP="00376AD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sk"/>
                        </w:rPr>
                        <w:t>* Upravené o jednorazové výdavky a príjmy a náklady na reštrukturalizáciu.</w:t>
                      </w:r>
                    </w:p>
                    <w:p w14:paraId="4DEF7252" w14:textId="77777777" w:rsidR="00376AD8" w:rsidRPr="00ED5A2D" w:rsidRDefault="00376AD8" w:rsidP="00376AD8"/>
                  </w:txbxContent>
                </v:textbox>
                <w10:wrap anchorx="margin"/>
              </v:shape>
            </w:pict>
          </mc:Fallback>
        </mc:AlternateContent>
      </w:r>
      <w:r w:rsidR="00376AD8" w:rsidRPr="003C3588">
        <w:rPr>
          <w:rFonts w:cs="Segoe UI"/>
          <w:b/>
          <w:bCs/>
          <w:szCs w:val="22"/>
          <w:lang w:val="sk-SK"/>
        </w:rPr>
        <w:t xml:space="preserve">„V divízii </w:t>
      </w:r>
      <w:proofErr w:type="spellStart"/>
      <w:r w:rsidR="00376AD8" w:rsidRPr="003C3588">
        <w:rPr>
          <w:rFonts w:cs="Segoe UI"/>
          <w:b/>
          <w:bCs/>
          <w:szCs w:val="22"/>
          <w:lang w:val="sk-SK"/>
        </w:rPr>
        <w:t>Adhesive</w:t>
      </w:r>
      <w:proofErr w:type="spellEnd"/>
      <w:r w:rsidR="00376AD8" w:rsidRPr="003C3588">
        <w:rPr>
          <w:rFonts w:cs="Segoe UI"/>
          <w:b/>
          <w:bCs/>
          <w:szCs w:val="22"/>
          <w:lang w:val="sk-SK"/>
        </w:rPr>
        <w:t xml:space="preserve"> Technologies všetky </w:t>
      </w:r>
      <w:r w:rsidR="00376AD8">
        <w:rPr>
          <w:rFonts w:cs="Segoe UI"/>
          <w:b/>
          <w:bCs/>
          <w:szCs w:val="22"/>
          <w:lang w:val="sk-SK"/>
        </w:rPr>
        <w:t>segmenty</w:t>
      </w:r>
      <w:r w:rsidR="00376AD8" w:rsidRPr="003C3588">
        <w:rPr>
          <w:rFonts w:cs="Segoe UI"/>
          <w:b/>
          <w:bCs/>
          <w:szCs w:val="22"/>
          <w:lang w:val="sk-SK"/>
        </w:rPr>
        <w:t xml:space="preserve"> zaznamenali zotavenie </w:t>
      </w:r>
      <w:r w:rsidR="00376AD8">
        <w:rPr>
          <w:rFonts w:cs="Segoe UI"/>
          <w:b/>
          <w:bCs/>
          <w:szCs w:val="22"/>
          <w:lang w:val="sk-SK"/>
        </w:rPr>
        <w:t>v porovnaní s druhým štvrťrokom</w:t>
      </w:r>
      <w:r w:rsidR="00376AD8" w:rsidRPr="003C3588">
        <w:rPr>
          <w:rFonts w:cs="Segoe UI"/>
          <w:b/>
          <w:bCs/>
          <w:szCs w:val="22"/>
          <w:lang w:val="sk-SK"/>
        </w:rPr>
        <w:t xml:space="preserve">. V rámci divízie </w:t>
      </w:r>
      <w:proofErr w:type="spellStart"/>
      <w:r w:rsidR="00376AD8" w:rsidRPr="003C3588">
        <w:rPr>
          <w:rFonts w:cs="Segoe UI"/>
          <w:b/>
          <w:bCs/>
          <w:szCs w:val="22"/>
          <w:lang w:val="sk-SK"/>
        </w:rPr>
        <w:t>Beauty</w:t>
      </w:r>
      <w:proofErr w:type="spellEnd"/>
      <w:r w:rsidR="00376AD8" w:rsidRPr="003C3588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376AD8" w:rsidRPr="003C3588">
        <w:rPr>
          <w:rFonts w:cs="Segoe UI"/>
          <w:b/>
          <w:bCs/>
          <w:szCs w:val="22"/>
          <w:lang w:val="sk-SK"/>
        </w:rPr>
        <w:t>Care</w:t>
      </w:r>
      <w:proofErr w:type="spellEnd"/>
      <w:r w:rsidR="00376AD8" w:rsidRPr="003C3588">
        <w:rPr>
          <w:rFonts w:cs="Segoe UI"/>
          <w:b/>
          <w:bCs/>
          <w:szCs w:val="22"/>
          <w:lang w:val="sk-SK"/>
        </w:rPr>
        <w:t xml:space="preserve"> segment profesionálnej kaderníckej kozmetiky tiež zaznamenal zotavenie v porovnaní s druhým štvrťrokom, pričom segment maloobchodu dosiahol výrazný </w:t>
      </w:r>
      <w:r w:rsidR="00376AD8">
        <w:rPr>
          <w:rFonts w:cs="Segoe UI"/>
          <w:b/>
          <w:bCs/>
          <w:szCs w:val="22"/>
          <w:lang w:val="sk-SK"/>
        </w:rPr>
        <w:t>rast organického</w:t>
      </w:r>
      <w:r w:rsidR="00376AD8" w:rsidRPr="003C3588">
        <w:rPr>
          <w:rFonts w:cs="Segoe UI"/>
          <w:b/>
          <w:bCs/>
          <w:szCs w:val="22"/>
          <w:lang w:val="sk-SK"/>
        </w:rPr>
        <w:t xml:space="preserve"> obratu</w:t>
      </w:r>
      <w:r w:rsidR="00376AD8">
        <w:rPr>
          <w:rFonts w:cs="Segoe UI"/>
          <w:b/>
          <w:bCs/>
          <w:szCs w:val="22"/>
          <w:lang w:val="sk-SK"/>
        </w:rPr>
        <w:t xml:space="preserve"> </w:t>
      </w:r>
      <w:r w:rsidR="00376AD8" w:rsidRPr="003C3588">
        <w:rPr>
          <w:rFonts w:cs="Segoe UI"/>
          <w:b/>
          <w:bCs/>
          <w:szCs w:val="22"/>
          <w:lang w:val="sk-SK"/>
        </w:rPr>
        <w:t>v porovnaní s rovnakým š</w:t>
      </w:r>
      <w:r w:rsidR="00376AD8">
        <w:rPr>
          <w:rFonts w:cs="Segoe UI"/>
          <w:b/>
          <w:bCs/>
          <w:szCs w:val="22"/>
          <w:lang w:val="sk-SK"/>
        </w:rPr>
        <w:t>tv</w:t>
      </w:r>
      <w:r w:rsidR="00376AD8" w:rsidRPr="003C3588">
        <w:rPr>
          <w:rFonts w:cs="Segoe UI"/>
          <w:b/>
          <w:bCs/>
          <w:szCs w:val="22"/>
          <w:lang w:val="sk-SK"/>
        </w:rPr>
        <w:t xml:space="preserve">rťrokom v minulom roku. Divízia </w:t>
      </w:r>
      <w:proofErr w:type="spellStart"/>
      <w:r w:rsidR="00376AD8" w:rsidRPr="003C3588">
        <w:rPr>
          <w:rFonts w:cs="Segoe UI"/>
          <w:b/>
          <w:bCs/>
          <w:szCs w:val="22"/>
          <w:lang w:val="sk-SK"/>
        </w:rPr>
        <w:t>Laundry</w:t>
      </w:r>
      <w:proofErr w:type="spellEnd"/>
      <w:r w:rsidR="00376AD8" w:rsidRPr="003C3588">
        <w:rPr>
          <w:rFonts w:cs="Segoe UI"/>
          <w:b/>
          <w:bCs/>
          <w:szCs w:val="22"/>
          <w:lang w:val="sk-SK"/>
        </w:rPr>
        <w:t xml:space="preserve"> &amp; Home </w:t>
      </w:r>
      <w:proofErr w:type="spellStart"/>
      <w:r w:rsidR="00376AD8" w:rsidRPr="003C3588">
        <w:rPr>
          <w:rFonts w:cs="Segoe UI"/>
          <w:b/>
          <w:bCs/>
          <w:szCs w:val="22"/>
          <w:lang w:val="sk-SK"/>
        </w:rPr>
        <w:t>Care</w:t>
      </w:r>
      <w:proofErr w:type="spellEnd"/>
      <w:r w:rsidR="00376AD8" w:rsidRPr="003C3588">
        <w:rPr>
          <w:rFonts w:cs="Segoe UI"/>
          <w:b/>
          <w:bCs/>
          <w:szCs w:val="22"/>
          <w:lang w:val="sk-SK"/>
        </w:rPr>
        <w:t xml:space="preserve"> tiež zaznamenala výrazný </w:t>
      </w:r>
      <w:r w:rsidR="00376AD8">
        <w:rPr>
          <w:rFonts w:cs="Segoe UI"/>
          <w:b/>
          <w:bCs/>
          <w:szCs w:val="22"/>
          <w:lang w:val="sk-SK"/>
        </w:rPr>
        <w:t>rast</w:t>
      </w:r>
      <w:r w:rsidR="00376AD8" w:rsidRPr="003C3588">
        <w:rPr>
          <w:rFonts w:cs="Segoe UI"/>
          <w:b/>
          <w:bCs/>
          <w:szCs w:val="22"/>
          <w:lang w:val="sk-SK"/>
        </w:rPr>
        <w:t xml:space="preserve"> a pokračovala tak v úspešnom vývoji,“ pokračuje </w:t>
      </w:r>
      <w:proofErr w:type="spellStart"/>
      <w:r w:rsidR="00376AD8" w:rsidRPr="003C3588">
        <w:rPr>
          <w:rFonts w:cs="Segoe UI"/>
          <w:b/>
          <w:bCs/>
          <w:szCs w:val="22"/>
          <w:lang w:val="sk-SK"/>
        </w:rPr>
        <w:t>Knobel</w:t>
      </w:r>
      <w:proofErr w:type="spellEnd"/>
      <w:r w:rsidR="00376AD8" w:rsidRPr="003C3588">
        <w:rPr>
          <w:rFonts w:cs="Segoe UI"/>
          <w:b/>
          <w:bCs/>
          <w:szCs w:val="22"/>
          <w:lang w:val="sk-SK"/>
        </w:rPr>
        <w:t>.</w:t>
      </w:r>
    </w:p>
    <w:p w14:paraId="5BAE8B23" w14:textId="77777777" w:rsidR="00376AD8" w:rsidRPr="003C3588" w:rsidRDefault="00376AD8" w:rsidP="00376AD8">
      <w:pPr>
        <w:rPr>
          <w:rFonts w:cs="Segoe UI"/>
          <w:b/>
          <w:bCs/>
          <w:szCs w:val="22"/>
          <w:lang w:val="sk-SK"/>
        </w:rPr>
      </w:pPr>
      <w:r w:rsidRPr="003C3588">
        <w:rPr>
          <w:rFonts w:cs="Segoe UI"/>
          <w:b/>
          <w:bCs/>
          <w:szCs w:val="22"/>
          <w:lang w:val="sk-SK"/>
        </w:rPr>
        <w:lastRenderedPageBreak/>
        <w:t xml:space="preserve">Na základe predbežných výsledkov za prvých deväť mesiacov 2020 spoločnosť Henkel zverejnila nové </w:t>
      </w:r>
      <w:r>
        <w:rPr>
          <w:rFonts w:cs="Segoe UI"/>
          <w:b/>
          <w:bCs/>
          <w:szCs w:val="22"/>
          <w:lang w:val="sk-SK"/>
        </w:rPr>
        <w:t>vyhliadky</w:t>
      </w:r>
      <w:r w:rsidRPr="003C3588">
        <w:rPr>
          <w:rFonts w:cs="Segoe UI"/>
          <w:b/>
          <w:bCs/>
          <w:szCs w:val="22"/>
          <w:lang w:val="sk-SK"/>
        </w:rPr>
        <w:t xml:space="preserve"> pre daňový rok 2020 po tom, čo v apríli 2020 stiahla celoročn</w:t>
      </w:r>
      <w:r>
        <w:rPr>
          <w:rFonts w:cs="Segoe UI"/>
          <w:b/>
          <w:bCs/>
          <w:szCs w:val="22"/>
          <w:lang w:val="sk-SK"/>
        </w:rPr>
        <w:t>ý</w:t>
      </w:r>
      <w:r w:rsidRPr="003C3588">
        <w:rPr>
          <w:rFonts w:cs="Segoe UI"/>
          <w:b/>
          <w:bCs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/>
        </w:rPr>
        <w:t>výhľad</w:t>
      </w:r>
      <w:r w:rsidRPr="003C3588">
        <w:rPr>
          <w:rFonts w:cs="Segoe UI"/>
          <w:b/>
          <w:bCs/>
          <w:szCs w:val="22"/>
          <w:lang w:val="sk-SK"/>
        </w:rPr>
        <w:t xml:space="preserve"> vzhľadom na vysokú mieru neistoty z dôvodu pandémie COVID-19.</w:t>
      </w:r>
    </w:p>
    <w:p w14:paraId="521CABEF" w14:textId="77777777" w:rsidR="00376AD8" w:rsidRPr="003C3588" w:rsidRDefault="00376AD8" w:rsidP="00376AD8">
      <w:pPr>
        <w:rPr>
          <w:rFonts w:cs="Segoe UI"/>
          <w:b/>
          <w:bCs/>
          <w:szCs w:val="22"/>
          <w:lang w:val="sk-SK"/>
        </w:rPr>
      </w:pPr>
    </w:p>
    <w:p w14:paraId="30FCD115" w14:textId="77777777" w:rsidR="00376AD8" w:rsidRPr="003C3588" w:rsidRDefault="00376AD8" w:rsidP="00376AD8">
      <w:pPr>
        <w:rPr>
          <w:rFonts w:cs="Segoe UI"/>
          <w:b/>
          <w:bCs/>
          <w:szCs w:val="22"/>
          <w:lang w:val="sk-SK"/>
        </w:rPr>
      </w:pPr>
      <w:r w:rsidRPr="003C3588">
        <w:rPr>
          <w:rFonts w:cs="Segoe UI"/>
          <w:b/>
          <w:bCs/>
          <w:szCs w:val="22"/>
          <w:lang w:val="sk-SK"/>
        </w:rPr>
        <w:t xml:space="preserve">V rámci celej </w:t>
      </w:r>
      <w:r>
        <w:rPr>
          <w:rFonts w:cs="Segoe UI"/>
          <w:b/>
          <w:bCs/>
          <w:szCs w:val="22"/>
          <w:lang w:val="sk-SK"/>
        </w:rPr>
        <w:t>s</w:t>
      </w:r>
      <w:r w:rsidRPr="003C3588">
        <w:rPr>
          <w:rFonts w:cs="Segoe UI"/>
          <w:b/>
          <w:bCs/>
          <w:szCs w:val="22"/>
          <w:lang w:val="sk-SK"/>
        </w:rPr>
        <w:t xml:space="preserve">kupiny spoločnosť Henkel odhaduje </w:t>
      </w:r>
      <w:r>
        <w:rPr>
          <w:rFonts w:cs="Segoe UI"/>
          <w:b/>
          <w:bCs/>
          <w:szCs w:val="22"/>
          <w:lang w:val="sk-SK"/>
        </w:rPr>
        <w:t>pokles organického</w:t>
      </w:r>
      <w:r w:rsidRPr="003C3588">
        <w:rPr>
          <w:rFonts w:cs="Segoe UI"/>
          <w:b/>
          <w:bCs/>
          <w:szCs w:val="22"/>
          <w:lang w:val="sk-SK"/>
        </w:rPr>
        <w:t xml:space="preserve"> obratu v daňovom roku 2020 medzi 1,0 a 2.0</w:t>
      </w:r>
      <w:r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b/>
          <w:bCs/>
          <w:szCs w:val="22"/>
          <w:lang w:val="sk-SK"/>
        </w:rPr>
        <w:t>%. Napriek prísnemu riadeniu nákladov vývoj celoročných výnosov</w:t>
      </w:r>
      <w:r>
        <w:rPr>
          <w:rFonts w:cs="Segoe UI"/>
          <w:b/>
          <w:bCs/>
          <w:szCs w:val="22"/>
          <w:lang w:val="sk-SK"/>
        </w:rPr>
        <w:t xml:space="preserve"> bude relatívne viac ovplyvnený</w:t>
      </w:r>
      <w:r w:rsidRPr="003C3588">
        <w:rPr>
          <w:rFonts w:cs="Segoe UI"/>
          <w:b/>
          <w:bCs/>
          <w:szCs w:val="22"/>
          <w:lang w:val="sk-SK"/>
        </w:rPr>
        <w:t xml:space="preserve"> ako obrat, a to z dôvodu významného poklesu dopytu zo strany priemyslu a v segmente profesionálnych kaderníckych potrieb a taktiež z dôvodu vyšších investícií do marketingu, reklamy, digitalizácie a IT. Na úrovni Skupiny spoločnosť Henkel očakáva upravenú maržu EBIT* v rozpätí medzi 13,0 a 13,5</w:t>
      </w:r>
      <w:r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b/>
          <w:bCs/>
          <w:szCs w:val="22"/>
          <w:lang w:val="sk-SK"/>
        </w:rPr>
        <w:t xml:space="preserve">%. Upravené výnosy na prioritnú akciu (EPS) by mali klesnúť </w:t>
      </w:r>
      <w:r>
        <w:rPr>
          <w:rFonts w:cs="Segoe UI"/>
          <w:b/>
          <w:bCs/>
          <w:szCs w:val="22"/>
          <w:lang w:val="sk-SK"/>
        </w:rPr>
        <w:t>o</w:t>
      </w:r>
      <w:r w:rsidRPr="003C3588">
        <w:rPr>
          <w:rFonts w:cs="Segoe UI"/>
          <w:szCs w:val="22"/>
          <w:lang w:val="sk-SK"/>
        </w:rPr>
        <w:br/>
      </w:r>
      <w:r w:rsidRPr="003C3588">
        <w:rPr>
          <w:rFonts w:cs="Segoe UI"/>
          <w:b/>
          <w:bCs/>
          <w:szCs w:val="22"/>
          <w:lang w:val="sk-SK"/>
        </w:rPr>
        <w:t>18 a</w:t>
      </w:r>
      <w:r>
        <w:rPr>
          <w:rFonts w:cs="Segoe UI"/>
          <w:b/>
          <w:bCs/>
          <w:szCs w:val="22"/>
          <w:lang w:val="sk-SK"/>
        </w:rPr>
        <w:t>ž</w:t>
      </w:r>
      <w:r w:rsidRPr="003C3588">
        <w:rPr>
          <w:rFonts w:cs="Segoe UI"/>
          <w:b/>
          <w:bCs/>
          <w:szCs w:val="22"/>
          <w:lang w:val="sk-SK"/>
        </w:rPr>
        <w:t xml:space="preserve"> 22</w:t>
      </w:r>
      <w:r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b/>
          <w:bCs/>
          <w:szCs w:val="22"/>
          <w:lang w:val="sk-SK"/>
        </w:rPr>
        <w:t>% pri konštantnom výmennom kurze.</w:t>
      </w:r>
    </w:p>
    <w:p w14:paraId="6DEDE3A0" w14:textId="77777777" w:rsidR="00376AD8" w:rsidRPr="003C3588" w:rsidRDefault="00376AD8" w:rsidP="00376AD8">
      <w:pPr>
        <w:rPr>
          <w:rFonts w:cs="Segoe UI"/>
          <w:b/>
          <w:bCs/>
          <w:szCs w:val="22"/>
          <w:lang w:val="sk-SK"/>
        </w:rPr>
      </w:pPr>
    </w:p>
    <w:p w14:paraId="5A425886" w14:textId="77777777" w:rsidR="00376AD8" w:rsidRPr="003C3588" w:rsidRDefault="00376AD8" w:rsidP="00376AD8">
      <w:pPr>
        <w:rPr>
          <w:rFonts w:cs="Segoe UI"/>
          <w:b/>
          <w:bCs/>
          <w:szCs w:val="22"/>
          <w:lang w:val="sk-SK"/>
        </w:rPr>
      </w:pPr>
      <w:r w:rsidRPr="003C3588">
        <w:rPr>
          <w:rFonts w:cs="Segoe UI"/>
          <w:b/>
          <w:bCs/>
          <w:szCs w:val="22"/>
          <w:lang w:val="sk-SK"/>
        </w:rPr>
        <w:t>„</w:t>
      </w:r>
      <w:r>
        <w:rPr>
          <w:rFonts w:cs="Segoe UI"/>
          <w:b/>
          <w:bCs/>
          <w:szCs w:val="22"/>
          <w:lang w:val="sk-SK"/>
        </w:rPr>
        <w:t>Vývoj organického</w:t>
      </w:r>
      <w:r w:rsidRPr="003C3588">
        <w:rPr>
          <w:rFonts w:cs="Segoe UI"/>
          <w:b/>
          <w:bCs/>
          <w:szCs w:val="22"/>
          <w:lang w:val="sk-SK"/>
        </w:rPr>
        <w:t xml:space="preserve"> obratu v treťom štvrťroku je dôsledkom nášho robustného diverzifikovaného portfólia s úspešnými značkami a inovatívnymi technológiami pre našich zákazníkov v oblasti priemyselného a spotrebiteľského tovaru. Obzvlášť nás teší, že všetky divízie zaznamenali pozitívny vývoj. Dôvodom bol čiastočne efekt dobiehania druhého štvrťroku, ktorý bol vážne zasiahnutý pandémiou </w:t>
      </w:r>
      <w:proofErr w:type="spellStart"/>
      <w:r w:rsidRPr="003C3588">
        <w:rPr>
          <w:rFonts w:cs="Segoe UI"/>
          <w:b/>
          <w:bCs/>
          <w:szCs w:val="22"/>
          <w:lang w:val="sk-SK"/>
        </w:rPr>
        <w:t>koronavírusu</w:t>
      </w:r>
      <w:proofErr w:type="spellEnd"/>
      <w:r w:rsidRPr="003C3588">
        <w:rPr>
          <w:rFonts w:cs="Segoe UI"/>
          <w:b/>
          <w:bCs/>
          <w:szCs w:val="22"/>
          <w:lang w:val="sk-SK"/>
        </w:rPr>
        <w:t>. Očakávame, že negatívne dopady pandémie pocítime aj v štvr</w:t>
      </w:r>
      <w:r>
        <w:rPr>
          <w:rFonts w:cs="Segoe UI"/>
          <w:b/>
          <w:bCs/>
          <w:szCs w:val="22"/>
          <w:lang w:val="sk-SK"/>
        </w:rPr>
        <w:t>t</w:t>
      </w:r>
      <w:r w:rsidRPr="003C3588">
        <w:rPr>
          <w:rFonts w:cs="Segoe UI"/>
          <w:b/>
          <w:bCs/>
          <w:szCs w:val="22"/>
          <w:lang w:val="sk-SK"/>
        </w:rPr>
        <w:t xml:space="preserve">om štvrťroku, no v našej prognóze na tento rok nepredpokladáme návrat rozsiahleho </w:t>
      </w:r>
      <w:proofErr w:type="spellStart"/>
      <w:r w:rsidRPr="003C3588">
        <w:rPr>
          <w:rFonts w:cs="Segoe UI"/>
          <w:b/>
          <w:bCs/>
          <w:szCs w:val="22"/>
          <w:lang w:val="sk-SK"/>
        </w:rPr>
        <w:t>lockdownu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, ktorý sme </w:t>
      </w:r>
      <w:r>
        <w:rPr>
          <w:rFonts w:cs="Segoe UI"/>
          <w:b/>
          <w:bCs/>
          <w:szCs w:val="22"/>
          <w:lang w:val="sk-SK"/>
        </w:rPr>
        <w:t>zažili</w:t>
      </w:r>
      <w:r w:rsidRPr="003C3588">
        <w:rPr>
          <w:rFonts w:cs="Segoe UI"/>
          <w:b/>
          <w:bCs/>
          <w:szCs w:val="22"/>
          <w:lang w:val="sk-SK"/>
        </w:rPr>
        <w:t xml:space="preserve"> v mnohých krajinách predovšetkým v druhom štvrťroku. Vo všeobecnosti sme presvedčení, že sme na správnej ceste, strategicky sa zameriavame na zmysluplný rast a z krízy vyjdeme silnejší. Veľká vďaka patrí našim zamestnancom po celom svete, pretože ich obrovské odhodlanie k tomu zásadne prispelo,“ uzatvára </w:t>
      </w:r>
      <w:proofErr w:type="spellStart"/>
      <w:r w:rsidRPr="003C3588">
        <w:rPr>
          <w:rFonts w:cs="Segoe UI"/>
          <w:b/>
          <w:bCs/>
          <w:szCs w:val="22"/>
          <w:lang w:val="sk-SK"/>
        </w:rPr>
        <w:t>Carsten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Pr="003C3588">
        <w:rPr>
          <w:rFonts w:cs="Segoe UI"/>
          <w:b/>
          <w:bCs/>
          <w:szCs w:val="22"/>
          <w:lang w:val="sk-SK"/>
        </w:rPr>
        <w:t>Knobel</w:t>
      </w:r>
      <w:proofErr w:type="spellEnd"/>
      <w:r w:rsidRPr="003C3588">
        <w:rPr>
          <w:rFonts w:cs="Segoe UI"/>
          <w:b/>
          <w:bCs/>
          <w:szCs w:val="22"/>
          <w:lang w:val="sk-SK"/>
        </w:rPr>
        <w:t>.</w:t>
      </w:r>
    </w:p>
    <w:p w14:paraId="3E4AFFFF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37413D2D" w14:textId="77777777" w:rsidR="00704392" w:rsidRDefault="00704392" w:rsidP="00376AD8">
      <w:pPr>
        <w:spacing w:after="120"/>
        <w:rPr>
          <w:rFonts w:cs="Segoe UI"/>
          <w:b/>
          <w:bCs/>
          <w:szCs w:val="22"/>
          <w:lang w:val="sk-SK"/>
        </w:rPr>
      </w:pPr>
      <w:bookmarkStart w:id="5" w:name="_Hlk52547991"/>
    </w:p>
    <w:p w14:paraId="5E4BA204" w14:textId="6862F440" w:rsidR="00376AD8" w:rsidRPr="003C3588" w:rsidRDefault="00376AD8" w:rsidP="00376AD8">
      <w:pPr>
        <w:spacing w:after="120"/>
        <w:rPr>
          <w:rFonts w:cs="Segoe UI"/>
          <w:b/>
          <w:bCs/>
          <w:szCs w:val="22"/>
          <w:lang w:val="sk-SK"/>
        </w:rPr>
      </w:pPr>
      <w:r w:rsidRPr="003C3588">
        <w:rPr>
          <w:rFonts w:cs="Segoe UI"/>
          <w:b/>
          <w:bCs/>
          <w:szCs w:val="22"/>
          <w:lang w:val="sk-SK"/>
        </w:rPr>
        <w:t xml:space="preserve">Predbežný vývoj obratu v </w:t>
      </w:r>
      <w:bookmarkEnd w:id="5"/>
      <w:r w:rsidRPr="003C3588">
        <w:rPr>
          <w:rFonts w:cs="Segoe UI"/>
          <w:b/>
          <w:bCs/>
          <w:szCs w:val="22"/>
          <w:lang w:val="sk-SK"/>
        </w:rPr>
        <w:t>treťom štvrťroku</w:t>
      </w:r>
    </w:p>
    <w:p w14:paraId="16935F21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bookmarkStart w:id="6" w:name="_Hlk52795740"/>
      <w:r w:rsidRPr="003C3588">
        <w:rPr>
          <w:rFonts w:cs="Segoe UI"/>
          <w:szCs w:val="22"/>
          <w:lang w:val="sk-SK"/>
        </w:rPr>
        <w:t>Na základe predbežných údajov</w:t>
      </w:r>
      <w:bookmarkEnd w:id="6"/>
      <w:r w:rsidRPr="003C3588">
        <w:rPr>
          <w:rFonts w:cs="Segoe UI"/>
          <w:szCs w:val="22"/>
          <w:lang w:val="sk-SK"/>
        </w:rPr>
        <w:t xml:space="preserve"> spoločnosť Henkel dosiahla </w:t>
      </w:r>
      <w:r>
        <w:rPr>
          <w:rFonts w:cs="Segoe UI"/>
          <w:b/>
          <w:bCs/>
          <w:szCs w:val="22"/>
          <w:lang w:val="sk-SK"/>
        </w:rPr>
        <w:t>rast organického</w:t>
      </w:r>
      <w:r w:rsidRPr="003C3588">
        <w:rPr>
          <w:rFonts w:cs="Segoe UI"/>
          <w:b/>
          <w:bCs/>
          <w:szCs w:val="22"/>
          <w:lang w:val="sk-SK"/>
        </w:rPr>
        <w:t xml:space="preserve"> obratu </w:t>
      </w:r>
      <w:r w:rsidRPr="003C3588">
        <w:rPr>
          <w:rFonts w:cs="Segoe UI"/>
          <w:szCs w:val="22"/>
          <w:lang w:val="sk-SK"/>
        </w:rPr>
        <w:t>o 3,9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>%</w:t>
      </w:r>
      <w:r w:rsidRPr="003A5DDB">
        <w:rPr>
          <w:rFonts w:cs="Segoe UI"/>
          <w:szCs w:val="22"/>
          <w:lang w:val="sk-SK"/>
        </w:rPr>
        <w:t>,</w:t>
      </w:r>
      <w:r w:rsidRPr="003C3588"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>ktorý nezahŕňa dopad účinkov výmenných kurzov a akvizícií/odpredajov.</w:t>
      </w:r>
    </w:p>
    <w:p w14:paraId="2EB52924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76F80DBC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t xml:space="preserve">Na základe predbežných údajov divízia </w:t>
      </w:r>
      <w:proofErr w:type="spellStart"/>
      <w:r w:rsidRPr="003C3588">
        <w:rPr>
          <w:rFonts w:cs="Segoe UI"/>
          <w:b/>
          <w:bCs/>
          <w:szCs w:val="22"/>
          <w:lang w:val="sk-SK"/>
        </w:rPr>
        <w:t>Adhesive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Technologies </w:t>
      </w:r>
      <w:r w:rsidRPr="003C3588">
        <w:rPr>
          <w:rFonts w:cs="Segoe UI"/>
          <w:szCs w:val="22"/>
          <w:lang w:val="sk-SK"/>
        </w:rPr>
        <w:t xml:space="preserve">v treťom štvrťroku dosiahla kladný </w:t>
      </w:r>
      <w:r>
        <w:rPr>
          <w:rFonts w:cs="Segoe UI"/>
          <w:szCs w:val="22"/>
          <w:lang w:val="sk-SK"/>
        </w:rPr>
        <w:t>rast organického</w:t>
      </w:r>
      <w:r w:rsidRPr="003C3588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/>
        </w:rPr>
        <w:t>obratu</w:t>
      </w:r>
      <w:r w:rsidRPr="003C3588">
        <w:rPr>
          <w:rFonts w:cs="Segoe UI"/>
          <w:szCs w:val="22"/>
          <w:lang w:val="sk-SK"/>
        </w:rPr>
        <w:t xml:space="preserve"> o 1,3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>%.  V porovnaní s druhým štvrťrokom sme zaznamenali obnovenie dopytu vo všetkých segmentoch.</w:t>
      </w:r>
    </w:p>
    <w:p w14:paraId="2533E653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5317CFE6" w14:textId="77777777" w:rsidR="00376AD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t xml:space="preserve">Podľa predbežných údajov divízia </w:t>
      </w:r>
      <w:proofErr w:type="spellStart"/>
      <w:r w:rsidRPr="003C3588">
        <w:rPr>
          <w:rFonts w:cs="Segoe UI"/>
          <w:b/>
          <w:bCs/>
          <w:szCs w:val="22"/>
          <w:lang w:val="sk-SK"/>
        </w:rPr>
        <w:t>Beauty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Pr="003C3588">
        <w:rPr>
          <w:rFonts w:cs="Segoe UI"/>
          <w:b/>
          <w:bCs/>
          <w:szCs w:val="22"/>
          <w:lang w:val="sk-SK"/>
        </w:rPr>
        <w:t>Care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>dosiahla veľmi silný organický nárast o 4,3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%. Hoci segment profesionálnej kaderníckej kozmetiky napriek istej obnove klesol pod úroveň z </w:t>
      </w:r>
      <w:r w:rsidRPr="003C3588">
        <w:rPr>
          <w:rFonts w:cs="Segoe UI"/>
          <w:szCs w:val="22"/>
          <w:lang w:val="sk-SK"/>
        </w:rPr>
        <w:lastRenderedPageBreak/>
        <w:t xml:space="preserve">rovnakého štvrťroka v minulom roku, segment maloobchodu v treťom štvrťroku dosiahol výrazný </w:t>
      </w:r>
      <w:r>
        <w:rPr>
          <w:rFonts w:cs="Segoe UI"/>
          <w:szCs w:val="22"/>
          <w:lang w:val="sk-SK"/>
        </w:rPr>
        <w:t>rast organického</w:t>
      </w:r>
      <w:r w:rsidRPr="003C3588">
        <w:rPr>
          <w:rFonts w:cs="Segoe UI"/>
          <w:szCs w:val="22"/>
          <w:lang w:val="sk-SK"/>
        </w:rPr>
        <w:t xml:space="preserve"> obratu. </w:t>
      </w:r>
    </w:p>
    <w:p w14:paraId="538F8AE9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44D0FD1D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szCs w:val="22"/>
          <w:lang w:val="sk-SK"/>
        </w:rPr>
        <w:t xml:space="preserve">Vďaka neustálemu silnému dopytu po výrobkoch v oblasti </w:t>
      </w:r>
      <w:proofErr w:type="spellStart"/>
      <w:r w:rsidRPr="003C3588">
        <w:rPr>
          <w:b/>
          <w:bCs/>
          <w:szCs w:val="22"/>
          <w:lang w:val="sk-SK"/>
        </w:rPr>
        <w:t>Laundry</w:t>
      </w:r>
      <w:proofErr w:type="spellEnd"/>
      <w:r w:rsidRPr="003C3588">
        <w:rPr>
          <w:b/>
          <w:bCs/>
          <w:szCs w:val="22"/>
          <w:lang w:val="sk-SK"/>
        </w:rPr>
        <w:t xml:space="preserve"> &amp; Home </w:t>
      </w:r>
      <w:proofErr w:type="spellStart"/>
      <w:r w:rsidRPr="003C3588">
        <w:rPr>
          <w:b/>
          <w:bCs/>
          <w:szCs w:val="22"/>
          <w:lang w:val="sk-SK"/>
        </w:rPr>
        <w:t>Care</w:t>
      </w:r>
      <w:proofErr w:type="spellEnd"/>
      <w:r w:rsidRPr="003C3588">
        <w:rPr>
          <w:b/>
          <w:bCs/>
          <w:szCs w:val="22"/>
          <w:lang w:val="sk-SK"/>
        </w:rPr>
        <w:t xml:space="preserve">, </w:t>
      </w:r>
      <w:r w:rsidRPr="003C3588">
        <w:rPr>
          <w:b/>
          <w:bCs/>
          <w:lang w:val="sk-SK"/>
        </w:rPr>
        <w:t xml:space="preserve"> </w:t>
      </w:r>
      <w:r w:rsidRPr="003C3588">
        <w:rPr>
          <w:lang w:val="sk-SK"/>
        </w:rPr>
        <w:t xml:space="preserve">ako aj </w:t>
      </w:r>
      <w:r w:rsidRPr="003C3588">
        <w:rPr>
          <w:szCs w:val="22"/>
          <w:lang w:val="sk-SK"/>
        </w:rPr>
        <w:t xml:space="preserve"> vďaka dopadu dobiehania druhého štvrťroka</w:t>
      </w:r>
      <w:r>
        <w:rPr>
          <w:szCs w:val="22"/>
          <w:lang w:val="sk-SK"/>
        </w:rPr>
        <w:t>,</w:t>
      </w:r>
      <w:r w:rsidRPr="003C3588">
        <w:rPr>
          <w:szCs w:val="22"/>
          <w:lang w:val="sk-SK"/>
        </w:rPr>
        <w:t xml:space="preserve"> predbežné údaje pre túto obchodnú divíziu pre tretí štvrťrok naznačujú výrazný </w:t>
      </w:r>
      <w:r>
        <w:rPr>
          <w:szCs w:val="22"/>
          <w:lang w:val="sk-SK"/>
        </w:rPr>
        <w:t>rast organického</w:t>
      </w:r>
      <w:r w:rsidRPr="003C3588">
        <w:rPr>
          <w:szCs w:val="22"/>
          <w:lang w:val="sk-SK"/>
        </w:rPr>
        <w:t xml:space="preserve"> obratu o 7,7</w:t>
      </w:r>
      <w:r>
        <w:rPr>
          <w:szCs w:val="22"/>
          <w:lang w:val="sk-SK"/>
        </w:rPr>
        <w:t xml:space="preserve"> </w:t>
      </w:r>
      <w:r w:rsidRPr="003C3588">
        <w:rPr>
          <w:szCs w:val="22"/>
          <w:lang w:val="sk-SK"/>
        </w:rPr>
        <w:t xml:space="preserve">% . </w:t>
      </w:r>
    </w:p>
    <w:p w14:paraId="208B0DAA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1197FB37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t xml:space="preserve">Henkel zverejní závierku pre tretí štvrťrok </w:t>
      </w:r>
      <w:r>
        <w:rPr>
          <w:rFonts w:cs="Segoe UI"/>
          <w:szCs w:val="22"/>
          <w:lang w:val="sk-SK"/>
        </w:rPr>
        <w:t>tohto roku</w:t>
      </w:r>
      <w:r w:rsidRPr="003C3588">
        <w:rPr>
          <w:rFonts w:cs="Segoe UI"/>
          <w:szCs w:val="22"/>
          <w:lang w:val="sk-SK"/>
        </w:rPr>
        <w:t xml:space="preserve"> 10. novembra 2020.</w:t>
      </w:r>
    </w:p>
    <w:p w14:paraId="0E8D3943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5ADA6F5E" w14:textId="77777777" w:rsidR="00376AD8" w:rsidRPr="003C3588" w:rsidRDefault="00376AD8" w:rsidP="00376AD8">
      <w:pPr>
        <w:spacing w:after="120"/>
        <w:rPr>
          <w:rFonts w:cs="Segoe UI"/>
          <w:b/>
          <w:bCs/>
          <w:szCs w:val="22"/>
          <w:lang w:val="sk-SK"/>
        </w:rPr>
      </w:pPr>
      <w:r w:rsidRPr="003C3588">
        <w:rPr>
          <w:rFonts w:cs="Segoe UI"/>
          <w:b/>
          <w:bCs/>
          <w:szCs w:val="22"/>
          <w:lang w:val="sk-SK"/>
        </w:rPr>
        <w:t>Predbežný vývoj obratu za prvých deväť mesiacov 2020</w:t>
      </w:r>
    </w:p>
    <w:p w14:paraId="08EF538D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bookmarkStart w:id="7" w:name="_Hlk52548034"/>
      <w:r w:rsidRPr="003C3588">
        <w:rPr>
          <w:rFonts w:cs="Segoe UI"/>
          <w:szCs w:val="22"/>
          <w:lang w:val="sk-SK"/>
        </w:rPr>
        <w:t>Na základe predbežných údajov za prvých deväť mesiacov roka 2020 spoločnosť Henkel zaznamenala celkový obrat vo výške približne 14,5 miliardy eur. To znamená celkový pokles organického obratu o 2,1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%. </w:t>
      </w:r>
      <w:bookmarkEnd w:id="7"/>
    </w:p>
    <w:p w14:paraId="6064F900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1CB1585B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t xml:space="preserve">Za prvých deväť mesiacov 2020 divízia </w:t>
      </w:r>
      <w:proofErr w:type="spellStart"/>
      <w:r w:rsidRPr="003C3588">
        <w:rPr>
          <w:rFonts w:cs="Segoe UI"/>
          <w:szCs w:val="22"/>
          <w:lang w:val="sk-SK"/>
        </w:rPr>
        <w:t>Adhesive</w:t>
      </w:r>
      <w:proofErr w:type="spellEnd"/>
      <w:r w:rsidRPr="003C3588">
        <w:rPr>
          <w:rFonts w:cs="Segoe UI"/>
          <w:szCs w:val="22"/>
          <w:lang w:val="sk-SK"/>
        </w:rPr>
        <w:t xml:space="preserve"> Technologies zaznamenala pokles organického obratu o 6,8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%. Obrat za divíziu </w:t>
      </w:r>
      <w:proofErr w:type="spellStart"/>
      <w:r w:rsidRPr="003C3588">
        <w:rPr>
          <w:rFonts w:cs="Segoe UI"/>
          <w:szCs w:val="22"/>
          <w:lang w:val="sk-SK"/>
        </w:rPr>
        <w:t>Beauty</w:t>
      </w:r>
      <w:proofErr w:type="spellEnd"/>
      <w:r w:rsidRPr="003C3588">
        <w:rPr>
          <w:rFonts w:cs="Segoe UI"/>
          <w:szCs w:val="22"/>
          <w:lang w:val="sk-SK"/>
        </w:rPr>
        <w:t xml:space="preserve"> </w:t>
      </w:r>
      <w:proofErr w:type="spellStart"/>
      <w:r w:rsidRPr="003C3588">
        <w:rPr>
          <w:rFonts w:cs="Segoe UI"/>
          <w:szCs w:val="22"/>
          <w:lang w:val="sk-SK"/>
        </w:rPr>
        <w:t>Care</w:t>
      </w:r>
      <w:proofErr w:type="spellEnd"/>
      <w:r w:rsidRPr="003C3588">
        <w:rPr>
          <w:rFonts w:cs="Segoe UI"/>
          <w:szCs w:val="22"/>
          <w:lang w:val="sk-SK"/>
        </w:rPr>
        <w:t xml:space="preserve"> organicky klesol o 4,2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%. Divízia </w:t>
      </w:r>
      <w:proofErr w:type="spellStart"/>
      <w:r w:rsidRPr="003C3588">
        <w:rPr>
          <w:rFonts w:cs="Segoe UI"/>
          <w:szCs w:val="22"/>
          <w:lang w:val="sk-SK"/>
        </w:rPr>
        <w:t>Laundry</w:t>
      </w:r>
      <w:proofErr w:type="spellEnd"/>
      <w:r w:rsidRPr="003C3588">
        <w:rPr>
          <w:rFonts w:cs="Segoe UI"/>
          <w:szCs w:val="22"/>
          <w:lang w:val="sk-SK"/>
        </w:rPr>
        <w:t xml:space="preserve"> &amp; Home zaznamenala silný </w:t>
      </w:r>
      <w:r>
        <w:rPr>
          <w:rFonts w:cs="Segoe UI"/>
          <w:szCs w:val="22"/>
          <w:lang w:val="sk-SK"/>
        </w:rPr>
        <w:t>rast organického</w:t>
      </w:r>
      <w:r w:rsidRPr="003C3588">
        <w:rPr>
          <w:rFonts w:cs="Segoe UI"/>
          <w:szCs w:val="22"/>
          <w:lang w:val="sk-SK"/>
        </w:rPr>
        <w:t xml:space="preserve"> obratu o 5,8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>%.</w:t>
      </w:r>
    </w:p>
    <w:p w14:paraId="5A976F5A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7E97B6CB" w14:textId="77777777" w:rsidR="00376AD8" w:rsidRPr="003C3588" w:rsidRDefault="00376AD8" w:rsidP="00376AD8">
      <w:pPr>
        <w:spacing w:after="120"/>
        <w:rPr>
          <w:rFonts w:cs="Segoe UI"/>
          <w:b/>
          <w:bCs/>
          <w:szCs w:val="22"/>
          <w:lang w:val="sk-SK"/>
        </w:rPr>
      </w:pPr>
      <w:r w:rsidRPr="003C3588">
        <w:rPr>
          <w:rFonts w:cs="Segoe UI"/>
          <w:b/>
          <w:bCs/>
          <w:szCs w:val="22"/>
          <w:lang w:val="sk-SK"/>
        </w:rPr>
        <w:t xml:space="preserve">Prognóza pre Henkel Group v roku 2020 </w:t>
      </w:r>
    </w:p>
    <w:p w14:paraId="1D4C878E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t>Na základe obchodného vývoja za prvých deväť mesiacov 2020 a aktuálnych predpokladov v súvislosti s obchodnými výsledkami v štvrtom štvrťroku spoločnosť Henkel vydala novú prognózu pre daňový rok 2020. V dôsledku dynamického šírenia pandémi</w:t>
      </w:r>
      <w:r>
        <w:rPr>
          <w:rFonts w:cs="Segoe UI"/>
          <w:szCs w:val="22"/>
          <w:lang w:val="sk-SK"/>
        </w:rPr>
        <w:t>e</w:t>
      </w:r>
      <w:r w:rsidRPr="003C3588">
        <w:rPr>
          <w:rFonts w:cs="Segoe UI"/>
          <w:szCs w:val="22"/>
          <w:lang w:val="sk-SK"/>
        </w:rPr>
        <w:t xml:space="preserve"> COVID-19 a vysokej miery neistoty pokiaľ ide o dopad a vývoj globálneho hospodárstva v priebehu roka sa Správna rada Henkel AG &amp;Co. </w:t>
      </w:r>
      <w:proofErr w:type="spellStart"/>
      <w:r w:rsidRPr="003C3588">
        <w:rPr>
          <w:rFonts w:cs="Segoe UI"/>
          <w:szCs w:val="22"/>
          <w:lang w:val="sk-SK"/>
        </w:rPr>
        <w:t>K</w:t>
      </w:r>
      <w:r>
        <w:rPr>
          <w:rFonts w:cs="Segoe UI"/>
          <w:szCs w:val="22"/>
          <w:lang w:val="sk-SK"/>
        </w:rPr>
        <w:t>G</w:t>
      </w:r>
      <w:r w:rsidRPr="003C3588">
        <w:rPr>
          <w:rFonts w:cs="Segoe UI"/>
          <w:szCs w:val="22"/>
          <w:lang w:val="sk-SK"/>
        </w:rPr>
        <w:t>aA</w:t>
      </w:r>
      <w:proofErr w:type="spellEnd"/>
      <w:r w:rsidRPr="003C3588">
        <w:rPr>
          <w:rFonts w:cs="Segoe UI"/>
          <w:szCs w:val="22"/>
          <w:lang w:val="sk-SK"/>
        </w:rPr>
        <w:t xml:space="preserve"> 7. apríla 2020 rozhodla zrušiť prognózu na daňový rok 2020, ktorá bola uvedená vo </w:t>
      </w:r>
      <w:r>
        <w:rPr>
          <w:rFonts w:cs="Segoe UI"/>
          <w:szCs w:val="22"/>
          <w:lang w:val="sk-SK"/>
        </w:rPr>
        <w:t>v</w:t>
      </w:r>
      <w:r w:rsidRPr="003C3588">
        <w:rPr>
          <w:rFonts w:cs="Segoe UI"/>
          <w:szCs w:val="22"/>
          <w:lang w:val="sk-SK"/>
        </w:rPr>
        <w:t xml:space="preserve">ýročnej správe za rok 2019. </w:t>
      </w:r>
    </w:p>
    <w:p w14:paraId="1BF9052A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3B47E709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t xml:space="preserve">Vzhľadom na dopady pandémie COVID-19 aktuálna prognóza predpovedá výrazne negatívny vývoj globálneho hospodárstva na rok 2020. Nová prognóza sa zakladá na predpoklade, že priemyselný dopyt a obchodná činnosť v oblastiach dôležitých pre Henkel budú v štvrtom štvrťroku zaostávať za hodnotami z minulého roka, no nedôjde k výraznému zhoršeniu. Rozhodujúcim faktorom v tomto kontexte bude budúci vývoj globálneho počtu nakazených a vývoj obmedzení súvisiacich s pandémiou. V tomto kontexte Henkel predpokladá, že v kľúčových regiónoch zásadných pre spoločnosť nenastane v štvrtom štvrťroku žiadny </w:t>
      </w:r>
      <w:r>
        <w:rPr>
          <w:rFonts w:cs="Segoe UI"/>
          <w:szCs w:val="22"/>
          <w:lang w:val="sk-SK"/>
        </w:rPr>
        <w:t>rozsiahly</w:t>
      </w:r>
      <w:r w:rsidRPr="003C3588">
        <w:rPr>
          <w:rFonts w:cs="Segoe UI"/>
          <w:szCs w:val="22"/>
          <w:lang w:val="sk-SK"/>
        </w:rPr>
        <w:t xml:space="preserve"> </w:t>
      </w:r>
      <w:proofErr w:type="spellStart"/>
      <w:r w:rsidRPr="003C3588">
        <w:rPr>
          <w:rFonts w:cs="Segoe UI"/>
          <w:szCs w:val="22"/>
          <w:lang w:val="sk-SK"/>
        </w:rPr>
        <w:t>lockdown</w:t>
      </w:r>
      <w:proofErr w:type="spellEnd"/>
      <w:r w:rsidRPr="003C3588">
        <w:rPr>
          <w:rFonts w:cs="Segoe UI"/>
          <w:szCs w:val="22"/>
          <w:lang w:val="sk-SK"/>
        </w:rPr>
        <w:t>.</w:t>
      </w:r>
    </w:p>
    <w:p w14:paraId="507728BF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0663177C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t>Berúc do úvahy tieto udalosti</w:t>
      </w:r>
      <w:r>
        <w:rPr>
          <w:rFonts w:cs="Segoe UI"/>
          <w:szCs w:val="22"/>
          <w:lang w:val="sk-SK"/>
        </w:rPr>
        <w:t>,</w:t>
      </w:r>
      <w:r w:rsidRPr="003C3588">
        <w:rPr>
          <w:rFonts w:cs="Segoe UI"/>
          <w:szCs w:val="22"/>
          <w:lang w:val="sk-SK"/>
        </w:rPr>
        <w:t xml:space="preserve"> spoločnosť Henkel očakáva </w:t>
      </w:r>
      <w:r>
        <w:rPr>
          <w:rFonts w:cs="Segoe UI"/>
          <w:b/>
          <w:bCs/>
          <w:szCs w:val="22"/>
          <w:lang w:val="sk-SK"/>
        </w:rPr>
        <w:t>pokles organického</w:t>
      </w:r>
      <w:r w:rsidRPr="003C3588">
        <w:rPr>
          <w:rFonts w:cs="Segoe UI"/>
          <w:b/>
          <w:bCs/>
          <w:szCs w:val="22"/>
          <w:lang w:val="sk-SK"/>
        </w:rPr>
        <w:t xml:space="preserve"> obratu </w:t>
      </w:r>
      <w:r>
        <w:rPr>
          <w:rFonts w:cs="Segoe UI"/>
          <w:szCs w:val="22"/>
          <w:lang w:val="sk-SK"/>
        </w:rPr>
        <w:t>o</w:t>
      </w:r>
      <w:r w:rsidRPr="003C3588">
        <w:rPr>
          <w:rFonts w:cs="Segoe UI"/>
          <w:szCs w:val="22"/>
          <w:lang w:val="sk-SK"/>
        </w:rPr>
        <w:br/>
        <w:t>1,0 a</w:t>
      </w:r>
      <w:r>
        <w:rPr>
          <w:rFonts w:cs="Segoe UI"/>
          <w:szCs w:val="22"/>
          <w:lang w:val="sk-SK"/>
        </w:rPr>
        <w:t>ž</w:t>
      </w:r>
      <w:r w:rsidRPr="003C3588">
        <w:rPr>
          <w:rFonts w:cs="Segoe UI"/>
          <w:szCs w:val="22"/>
          <w:lang w:val="sk-SK"/>
        </w:rPr>
        <w:t xml:space="preserve"> 2,0</w:t>
      </w:r>
      <w:r>
        <w:rPr>
          <w:rFonts w:cs="Segoe UI"/>
          <w:szCs w:val="22"/>
          <w:lang w:val="sk-SK"/>
        </w:rPr>
        <w:t xml:space="preserve"> %</w:t>
      </w:r>
      <w:r w:rsidRPr="003C3588">
        <w:rPr>
          <w:rFonts w:cs="Segoe UI"/>
          <w:szCs w:val="22"/>
          <w:lang w:val="sk-SK"/>
        </w:rPr>
        <w:t xml:space="preserve"> na úrovni </w:t>
      </w:r>
      <w:r w:rsidRPr="003C3588">
        <w:rPr>
          <w:rFonts w:cs="Segoe UI"/>
          <w:b/>
          <w:bCs/>
          <w:szCs w:val="22"/>
          <w:lang w:val="sk-SK"/>
        </w:rPr>
        <w:t xml:space="preserve">Skupiny </w:t>
      </w:r>
      <w:r w:rsidRPr="003C3588">
        <w:rPr>
          <w:rFonts w:cs="Segoe UI"/>
          <w:szCs w:val="22"/>
          <w:lang w:val="sk-SK"/>
        </w:rPr>
        <w:t xml:space="preserve">za daňový rok 2020. </w:t>
      </w:r>
    </w:p>
    <w:p w14:paraId="22889956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lastRenderedPageBreak/>
        <w:t xml:space="preserve">V divízii </w:t>
      </w:r>
      <w:proofErr w:type="spellStart"/>
      <w:r w:rsidRPr="003C3588">
        <w:rPr>
          <w:rFonts w:cs="Segoe UI"/>
          <w:b/>
          <w:bCs/>
          <w:szCs w:val="22"/>
          <w:lang w:val="sk-SK"/>
        </w:rPr>
        <w:t>Adhesive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Technologies, </w:t>
      </w:r>
      <w:r w:rsidRPr="003C3588">
        <w:rPr>
          <w:rFonts w:cs="Segoe UI"/>
          <w:szCs w:val="22"/>
          <w:lang w:val="sk-SK"/>
        </w:rPr>
        <w:t>ktorá bude pravde</w:t>
      </w:r>
      <w:r>
        <w:rPr>
          <w:rFonts w:cs="Segoe UI"/>
          <w:szCs w:val="22"/>
          <w:lang w:val="sk-SK"/>
        </w:rPr>
        <w:t>po</w:t>
      </w:r>
      <w:r w:rsidRPr="003C3588">
        <w:rPr>
          <w:rFonts w:cs="Segoe UI"/>
          <w:szCs w:val="22"/>
          <w:lang w:val="sk-SK"/>
        </w:rPr>
        <w:t xml:space="preserve">dobne vážne ovplyvnená značným poklesom všeobecného dopytu v priemysle a predovšetkým v automobilovom priemysle, spoločnosť Henkel predpokladá organický </w:t>
      </w:r>
      <w:r>
        <w:rPr>
          <w:rFonts w:cs="Segoe UI"/>
          <w:szCs w:val="22"/>
          <w:lang w:val="sk-SK"/>
        </w:rPr>
        <w:t>pokles</w:t>
      </w:r>
      <w:r w:rsidRPr="003C3588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/>
        </w:rPr>
        <w:t>obratu</w:t>
      </w:r>
      <w:r w:rsidRPr="003C3588">
        <w:rPr>
          <w:rFonts w:cs="Segoe UI"/>
          <w:szCs w:val="22"/>
          <w:lang w:val="sk-SK"/>
        </w:rPr>
        <w:t xml:space="preserve"> v rozsahu medzi 5,5 a 6,5</w:t>
      </w:r>
      <w:r>
        <w:rPr>
          <w:rFonts w:cs="Segoe UI"/>
          <w:szCs w:val="22"/>
          <w:lang w:val="sk-SK"/>
        </w:rPr>
        <w:t xml:space="preserve"> %</w:t>
      </w:r>
      <w:r w:rsidRPr="003C3588">
        <w:rPr>
          <w:rFonts w:cs="Segoe UI"/>
          <w:szCs w:val="22"/>
          <w:lang w:val="sk-SK"/>
        </w:rPr>
        <w:t xml:space="preserve">. V divízii </w:t>
      </w:r>
      <w:proofErr w:type="spellStart"/>
      <w:r w:rsidRPr="003C3588">
        <w:rPr>
          <w:rFonts w:cs="Segoe UI"/>
          <w:b/>
          <w:bCs/>
          <w:szCs w:val="22"/>
          <w:lang w:val="sk-SK"/>
        </w:rPr>
        <w:t>Beauty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Pr="003C3588">
        <w:rPr>
          <w:rFonts w:cs="Segoe UI"/>
          <w:b/>
          <w:bCs/>
          <w:szCs w:val="22"/>
          <w:lang w:val="sk-SK"/>
        </w:rPr>
        <w:t>Care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Henkel momentálne očakáva </w:t>
      </w:r>
      <w:r>
        <w:rPr>
          <w:rFonts w:cs="Segoe UI"/>
          <w:szCs w:val="22"/>
          <w:lang w:val="sk-SK"/>
        </w:rPr>
        <w:t>pokles organického</w:t>
      </w:r>
      <w:r w:rsidRPr="003C3588">
        <w:rPr>
          <w:rFonts w:cs="Segoe UI"/>
          <w:szCs w:val="22"/>
          <w:lang w:val="sk-SK"/>
        </w:rPr>
        <w:t xml:space="preserve"> obratu </w:t>
      </w:r>
      <w:r>
        <w:rPr>
          <w:rFonts w:cs="Segoe UI"/>
          <w:szCs w:val="22"/>
          <w:lang w:val="sk-SK"/>
        </w:rPr>
        <w:t>o</w:t>
      </w:r>
      <w:r w:rsidRPr="003C3588"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br/>
        <w:t xml:space="preserve">2,0 </w:t>
      </w:r>
      <w:r>
        <w:rPr>
          <w:rFonts w:cs="Segoe UI"/>
          <w:szCs w:val="22"/>
          <w:lang w:val="sk-SK"/>
        </w:rPr>
        <w:t>až</w:t>
      </w:r>
      <w:r w:rsidRPr="003C3588">
        <w:rPr>
          <w:rFonts w:cs="Segoe UI"/>
          <w:szCs w:val="22"/>
          <w:lang w:val="sk-SK"/>
        </w:rPr>
        <w:t xml:space="preserve"> 3,0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%. Výrazný pokles v segmente profesionálnej vlasovej kozmetiky v dôsledku pandémie, predovšetkým v prvej polovici roka, bude mať dopad na výsledky tejto divízie za celý daňový rok. V divízii </w:t>
      </w:r>
      <w:proofErr w:type="spellStart"/>
      <w:r w:rsidRPr="003C3588">
        <w:rPr>
          <w:rFonts w:cs="Segoe UI"/>
          <w:b/>
          <w:bCs/>
          <w:szCs w:val="22"/>
          <w:lang w:val="sk-SK"/>
        </w:rPr>
        <w:t>Laundry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&amp; Home </w:t>
      </w:r>
      <w:proofErr w:type="spellStart"/>
      <w:r w:rsidRPr="003C3588">
        <w:rPr>
          <w:rFonts w:cs="Segoe UI"/>
          <w:b/>
          <w:bCs/>
          <w:szCs w:val="22"/>
          <w:lang w:val="sk-SK"/>
        </w:rPr>
        <w:t>Care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Henkel očakáva </w:t>
      </w:r>
      <w:r>
        <w:rPr>
          <w:rFonts w:cs="Segoe UI"/>
          <w:szCs w:val="22"/>
          <w:lang w:val="sk-SK"/>
        </w:rPr>
        <w:t>nárast organického</w:t>
      </w:r>
      <w:r w:rsidRPr="003C3588">
        <w:rPr>
          <w:rFonts w:cs="Segoe UI"/>
          <w:szCs w:val="22"/>
          <w:lang w:val="sk-SK"/>
        </w:rPr>
        <w:t xml:space="preserve"> obratu od 4,5 do 5,5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%. </w:t>
      </w:r>
    </w:p>
    <w:p w14:paraId="6D6F2EF0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bookmarkStart w:id="8" w:name="_Hlk52456368"/>
      <w:bookmarkStart w:id="9" w:name="_Hlk52449647"/>
    </w:p>
    <w:p w14:paraId="5D689DF4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t xml:space="preserve">Na úrovni </w:t>
      </w:r>
      <w:r w:rsidRPr="003C3588">
        <w:rPr>
          <w:rFonts w:cs="Segoe UI"/>
          <w:b/>
          <w:bCs/>
          <w:szCs w:val="22"/>
          <w:lang w:val="sk-SK"/>
        </w:rPr>
        <w:t>Skupiny</w:t>
      </w:r>
      <w:r w:rsidRPr="003C3588">
        <w:rPr>
          <w:rFonts w:cs="Segoe UI"/>
          <w:szCs w:val="22"/>
          <w:lang w:val="sk-SK"/>
        </w:rPr>
        <w:t xml:space="preserve"> spoločnosť Henkel očakáva </w:t>
      </w:r>
      <w:r w:rsidRPr="003C3588">
        <w:rPr>
          <w:rFonts w:cs="Segoe UI"/>
          <w:b/>
          <w:bCs/>
          <w:szCs w:val="22"/>
          <w:lang w:val="sk-SK"/>
        </w:rPr>
        <w:t xml:space="preserve">upravenú návratnosť obratu </w:t>
      </w:r>
      <w:r w:rsidRPr="003C3588">
        <w:rPr>
          <w:rFonts w:cs="Segoe UI"/>
          <w:szCs w:val="22"/>
          <w:lang w:val="sk-SK"/>
        </w:rPr>
        <w:t xml:space="preserve">(maržu EBIT) v rozpätí </w:t>
      </w:r>
      <w:bookmarkStart w:id="10" w:name="_Hlk52802407"/>
      <w:r w:rsidRPr="003C3588">
        <w:rPr>
          <w:rFonts w:cs="Segoe UI"/>
          <w:szCs w:val="22"/>
          <w:lang w:val="sk-SK"/>
        </w:rPr>
        <w:t>medzi 13,0 a 13,5</w:t>
      </w:r>
      <w:bookmarkEnd w:id="10"/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%. V divízii </w:t>
      </w:r>
      <w:proofErr w:type="spellStart"/>
      <w:r w:rsidRPr="003C3588">
        <w:rPr>
          <w:rFonts w:cs="Segoe UI"/>
          <w:b/>
          <w:bCs/>
          <w:szCs w:val="22"/>
          <w:lang w:val="sk-SK"/>
        </w:rPr>
        <w:t>Adhesive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Technologies </w:t>
      </w:r>
      <w:r w:rsidRPr="003C3588">
        <w:rPr>
          <w:rFonts w:cs="Segoe UI"/>
          <w:szCs w:val="22"/>
          <w:lang w:val="sk-SK"/>
        </w:rPr>
        <w:t>Henkel očakáva maržu EBIT medzi 14,5 a 15,0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%, v divízii </w:t>
      </w:r>
      <w:proofErr w:type="spellStart"/>
      <w:r w:rsidRPr="003C3588">
        <w:rPr>
          <w:rFonts w:cs="Segoe UI"/>
          <w:b/>
          <w:bCs/>
          <w:szCs w:val="22"/>
          <w:lang w:val="sk-SK"/>
        </w:rPr>
        <w:t>Beauty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Pr="003C3588">
        <w:rPr>
          <w:rFonts w:cs="Segoe UI"/>
          <w:b/>
          <w:bCs/>
          <w:szCs w:val="22"/>
          <w:lang w:val="sk-SK"/>
        </w:rPr>
        <w:t>Care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>medzi 10,0 a 10,5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 a v divízii </w:t>
      </w:r>
      <w:proofErr w:type="spellStart"/>
      <w:r w:rsidRPr="003C3588">
        <w:rPr>
          <w:rFonts w:cs="Segoe UI"/>
          <w:b/>
          <w:bCs/>
          <w:szCs w:val="22"/>
          <w:lang w:val="sk-SK"/>
        </w:rPr>
        <w:t>Laundry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&amp; Home </w:t>
      </w:r>
      <w:proofErr w:type="spellStart"/>
      <w:r w:rsidRPr="003C3588">
        <w:rPr>
          <w:rFonts w:cs="Segoe UI"/>
          <w:b/>
          <w:bCs/>
          <w:szCs w:val="22"/>
          <w:lang w:val="sk-SK"/>
        </w:rPr>
        <w:t>Care</w:t>
      </w:r>
      <w:proofErr w:type="spellEnd"/>
      <w:r w:rsidRPr="003C3588">
        <w:rPr>
          <w:rFonts w:cs="Segoe UI"/>
          <w:b/>
          <w:bCs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>medzi 15,0 a 15,5</w:t>
      </w:r>
      <w:r>
        <w:rPr>
          <w:rFonts w:cs="Segoe UI"/>
          <w:szCs w:val="22"/>
          <w:lang w:val="sk-SK"/>
        </w:rPr>
        <w:t xml:space="preserve"> </w:t>
      </w:r>
      <w:r w:rsidRPr="003C3588">
        <w:rPr>
          <w:rFonts w:cs="Segoe UI"/>
          <w:szCs w:val="22"/>
          <w:lang w:val="sk-SK"/>
        </w:rPr>
        <w:t xml:space="preserve">%. </w:t>
      </w:r>
    </w:p>
    <w:p w14:paraId="118081B8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09FD2ECA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rFonts w:cs="Segoe UI"/>
          <w:szCs w:val="22"/>
          <w:lang w:val="sk-SK"/>
        </w:rPr>
        <w:t>Pokles obratu v</w:t>
      </w:r>
      <w:r>
        <w:rPr>
          <w:rFonts w:cs="Segoe UI"/>
          <w:szCs w:val="22"/>
          <w:lang w:val="sk-SK"/>
        </w:rPr>
        <w:t> segmente priemyselných výrobkov a profesionálnej kaderníckej kozmetiky</w:t>
      </w:r>
      <w:r w:rsidRPr="003C3588">
        <w:rPr>
          <w:rFonts w:cs="Segoe UI"/>
          <w:szCs w:val="22"/>
          <w:lang w:val="sk-SK"/>
        </w:rPr>
        <w:t xml:space="preserve"> z dôvodu pandémie bude mať negatívny dopad na upravenú maržu EBIT. Ako už bolo </w:t>
      </w:r>
      <w:r>
        <w:rPr>
          <w:rFonts w:cs="Segoe UI"/>
          <w:szCs w:val="22"/>
          <w:lang w:val="sk-SK"/>
        </w:rPr>
        <w:t>oznámené</w:t>
      </w:r>
      <w:r w:rsidRPr="003C3588">
        <w:rPr>
          <w:rFonts w:cs="Segoe UI"/>
          <w:szCs w:val="22"/>
          <w:lang w:val="sk-SK"/>
        </w:rPr>
        <w:t xml:space="preserve"> na začiatku roka, spoločnosť Henkel tiež zvyšuje investície do marketingu a reklamy, ako aj do digitalizácie a IT.</w:t>
      </w:r>
    </w:p>
    <w:p w14:paraId="50F89EAC" w14:textId="77777777" w:rsidR="00376AD8" w:rsidRPr="003C3588" w:rsidRDefault="00376AD8" w:rsidP="00376AD8">
      <w:pPr>
        <w:rPr>
          <w:rFonts w:cs="Segoe UI"/>
          <w:szCs w:val="22"/>
          <w:lang w:val="sk-SK"/>
        </w:rPr>
      </w:pPr>
    </w:p>
    <w:p w14:paraId="6CEC1B87" w14:textId="77777777" w:rsidR="00376AD8" w:rsidRPr="003C3588" w:rsidRDefault="00376AD8" w:rsidP="00376AD8">
      <w:pPr>
        <w:rPr>
          <w:rFonts w:cs="Segoe UI"/>
          <w:szCs w:val="22"/>
          <w:lang w:val="sk-SK"/>
        </w:rPr>
      </w:pPr>
      <w:r w:rsidRPr="003C3588">
        <w:rPr>
          <w:b/>
          <w:bCs/>
          <w:szCs w:val="22"/>
          <w:lang w:val="sk-SK"/>
        </w:rPr>
        <w:t xml:space="preserve">Upravené výnosy na prioritnú akciu (EPS) </w:t>
      </w:r>
      <w:r w:rsidRPr="003C3588">
        <w:rPr>
          <w:szCs w:val="22"/>
          <w:lang w:val="sk-SK"/>
        </w:rPr>
        <w:t xml:space="preserve">pri konštantnom výmennom kurze podľa očakávaní klesnú </w:t>
      </w:r>
      <w:r>
        <w:rPr>
          <w:szCs w:val="22"/>
          <w:lang w:val="sk-SK"/>
        </w:rPr>
        <w:t xml:space="preserve">v rozsahu od </w:t>
      </w:r>
      <w:r w:rsidRPr="003C3588">
        <w:rPr>
          <w:szCs w:val="22"/>
          <w:lang w:val="sk-SK"/>
        </w:rPr>
        <w:t xml:space="preserve">18 </w:t>
      </w:r>
      <w:r>
        <w:rPr>
          <w:szCs w:val="22"/>
          <w:lang w:val="sk-SK"/>
        </w:rPr>
        <w:t>do</w:t>
      </w:r>
      <w:r w:rsidRPr="003C3588">
        <w:rPr>
          <w:szCs w:val="22"/>
          <w:lang w:val="sk-SK"/>
        </w:rPr>
        <w:t xml:space="preserve"> 22</w:t>
      </w:r>
      <w:r>
        <w:rPr>
          <w:szCs w:val="22"/>
          <w:lang w:val="sk-SK"/>
        </w:rPr>
        <w:t xml:space="preserve"> </w:t>
      </w:r>
      <w:r w:rsidRPr="003C3588">
        <w:rPr>
          <w:szCs w:val="22"/>
          <w:lang w:val="sk-SK"/>
        </w:rPr>
        <w:t>%.</w:t>
      </w:r>
      <w:r w:rsidRPr="003C3588">
        <w:rPr>
          <w:lang w:val="sk-SK"/>
        </w:rPr>
        <w:t xml:space="preserve"> </w:t>
      </w:r>
    </w:p>
    <w:bookmarkEnd w:id="8"/>
    <w:bookmarkEnd w:id="9"/>
    <w:p w14:paraId="38E8EB3A" w14:textId="77777777" w:rsidR="00376AD8" w:rsidRPr="003C3588" w:rsidRDefault="00376AD8" w:rsidP="00376AD8">
      <w:pPr>
        <w:spacing w:line="240" w:lineRule="auto"/>
        <w:jc w:val="left"/>
        <w:rPr>
          <w:rStyle w:val="AboutandContactHeadline"/>
          <w:lang w:val="sk-SK"/>
        </w:rPr>
      </w:pPr>
    </w:p>
    <w:p w14:paraId="53EF2EBF" w14:textId="19E13BD1" w:rsidR="00927230" w:rsidRDefault="00927230" w:rsidP="0084769D">
      <w:pPr>
        <w:rPr>
          <w:rStyle w:val="AboutandContactHeadline"/>
          <w:lang w:val="sk-SK"/>
        </w:rPr>
      </w:pPr>
    </w:p>
    <w:p w14:paraId="70C08003" w14:textId="77777777" w:rsidR="00927230" w:rsidRPr="00E66FF2" w:rsidRDefault="00927230" w:rsidP="0084769D">
      <w:pPr>
        <w:rPr>
          <w:rStyle w:val="AboutandContactHeadline"/>
          <w:lang w:val="sk-SK"/>
        </w:rPr>
      </w:pPr>
    </w:p>
    <w:p w14:paraId="160E7297" w14:textId="77777777" w:rsidR="00C50C62" w:rsidRPr="0028617E" w:rsidRDefault="00C50C62" w:rsidP="00C50C62">
      <w:pPr>
        <w:spacing w:line="280" w:lineRule="auto"/>
        <w:rPr>
          <w:rFonts w:ascii="Calibri" w:hAnsi="Calibri"/>
          <w:sz w:val="18"/>
          <w:szCs w:val="18"/>
          <w:lang w:val="sk-SK" w:eastAsia="zh-CN"/>
        </w:rPr>
      </w:pPr>
      <w:r w:rsidRPr="0028617E">
        <w:rPr>
          <w:b/>
          <w:bCs/>
          <w:sz w:val="18"/>
          <w:szCs w:val="18"/>
          <w:lang w:val="sk-SK"/>
        </w:rPr>
        <w:t>O spoločnosti Henkel</w:t>
      </w:r>
    </w:p>
    <w:p w14:paraId="434EBEC8" w14:textId="77777777" w:rsidR="00C50C62" w:rsidRPr="0028617E" w:rsidRDefault="00C50C62" w:rsidP="00C50C62">
      <w:pPr>
        <w:spacing w:line="280" w:lineRule="auto"/>
        <w:rPr>
          <w:sz w:val="18"/>
          <w:szCs w:val="18"/>
          <w:lang w:val="sk-SK"/>
        </w:rPr>
      </w:pPr>
      <w:r w:rsidRPr="0028617E">
        <w:rPr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28617E">
        <w:rPr>
          <w:sz w:val="18"/>
          <w:szCs w:val="18"/>
          <w:lang w:val="sk-SK"/>
        </w:rPr>
        <w:t>Adhesive</w:t>
      </w:r>
      <w:proofErr w:type="spellEnd"/>
      <w:r w:rsidRPr="0028617E">
        <w:rPr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28617E">
        <w:rPr>
          <w:sz w:val="18"/>
          <w:szCs w:val="18"/>
          <w:lang w:val="sk-SK"/>
        </w:rPr>
        <w:t>Laundry</w:t>
      </w:r>
      <w:proofErr w:type="spellEnd"/>
      <w:r w:rsidRPr="0028617E">
        <w:rPr>
          <w:sz w:val="18"/>
          <w:szCs w:val="18"/>
          <w:lang w:val="sk-SK"/>
        </w:rPr>
        <w:t xml:space="preserve"> &amp; Home </w:t>
      </w:r>
      <w:proofErr w:type="spellStart"/>
      <w:r w:rsidRPr="0028617E">
        <w:rPr>
          <w:sz w:val="18"/>
          <w:szCs w:val="18"/>
          <w:lang w:val="sk-SK"/>
        </w:rPr>
        <w:t>Care</w:t>
      </w:r>
      <w:proofErr w:type="spellEnd"/>
      <w:r w:rsidRPr="0028617E">
        <w:rPr>
          <w:sz w:val="18"/>
          <w:szCs w:val="18"/>
          <w:lang w:val="sk-SK"/>
        </w:rPr>
        <w:t xml:space="preserve"> a </w:t>
      </w:r>
      <w:proofErr w:type="spellStart"/>
      <w:r w:rsidRPr="0028617E">
        <w:rPr>
          <w:sz w:val="18"/>
          <w:szCs w:val="18"/>
          <w:lang w:val="sk-SK"/>
        </w:rPr>
        <w:t>Beauty</w:t>
      </w:r>
      <w:proofErr w:type="spellEnd"/>
      <w:r w:rsidRPr="0028617E">
        <w:rPr>
          <w:sz w:val="18"/>
          <w:szCs w:val="18"/>
          <w:lang w:val="sk-SK"/>
        </w:rPr>
        <w:t xml:space="preserve"> </w:t>
      </w:r>
      <w:proofErr w:type="spellStart"/>
      <w:r w:rsidRPr="0028617E">
        <w:rPr>
          <w:sz w:val="18"/>
          <w:szCs w:val="18"/>
          <w:lang w:val="sk-SK"/>
        </w:rPr>
        <w:t>Care</w:t>
      </w:r>
      <w:proofErr w:type="spellEnd"/>
      <w:r w:rsidRPr="0028617E">
        <w:rPr>
          <w:sz w:val="18"/>
          <w:szCs w:val="18"/>
          <w:lang w:val="sk-SK"/>
        </w:rPr>
        <w:t xml:space="preserve"> je Henkel na 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28617E">
          <w:rPr>
            <w:rStyle w:val="Hypertextovprepojenie"/>
            <w:szCs w:val="18"/>
            <w:lang w:val="sk-SK"/>
          </w:rPr>
          <w:t>www.henkel.com</w:t>
        </w:r>
      </w:hyperlink>
      <w:r w:rsidRPr="0028617E">
        <w:rPr>
          <w:color w:val="000000"/>
          <w:sz w:val="18"/>
          <w:szCs w:val="18"/>
          <w:lang w:val="sk-SK"/>
        </w:rPr>
        <w:t>.</w:t>
      </w:r>
    </w:p>
    <w:p w14:paraId="3EF9D3C6" w14:textId="77777777" w:rsidR="00C50C62" w:rsidRPr="0045611C" w:rsidRDefault="00C50C62" w:rsidP="00C50C62">
      <w:pPr>
        <w:spacing w:line="280" w:lineRule="auto"/>
        <w:rPr>
          <w:color w:val="000000"/>
          <w:szCs w:val="20"/>
          <w:lang w:val="sk-SK"/>
        </w:rPr>
      </w:pPr>
    </w:p>
    <w:p w14:paraId="113E39F6" w14:textId="77777777" w:rsidR="00C50C62" w:rsidRPr="0028617E" w:rsidRDefault="00C50C62" w:rsidP="00C50C62">
      <w:pPr>
        <w:spacing w:line="240" w:lineRule="auto"/>
        <w:rPr>
          <w:rFonts w:cs="Arial"/>
          <w:sz w:val="18"/>
          <w:szCs w:val="16"/>
          <w:lang w:val="sk-SK"/>
        </w:rPr>
      </w:pPr>
      <w:r w:rsidRPr="0028617E">
        <w:rPr>
          <w:rFonts w:cs="Arial"/>
          <w:sz w:val="18"/>
          <w:szCs w:val="16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28617E" w:rsidRDefault="00C50C62" w:rsidP="00C50C62">
      <w:pPr>
        <w:spacing w:line="280" w:lineRule="auto"/>
        <w:rPr>
          <w:sz w:val="20"/>
          <w:szCs w:val="20"/>
          <w:lang w:val="sk-SK"/>
        </w:rPr>
      </w:pPr>
    </w:p>
    <w:p w14:paraId="5716F14E" w14:textId="77777777" w:rsidR="00C50C62" w:rsidRPr="0028617E" w:rsidRDefault="00C50C62" w:rsidP="00C50C62">
      <w:pPr>
        <w:spacing w:line="240" w:lineRule="auto"/>
        <w:rPr>
          <w:bCs/>
          <w:sz w:val="20"/>
          <w:szCs w:val="20"/>
          <w:lang w:val="sk-SK" w:eastAsia="de-DE"/>
        </w:rPr>
      </w:pPr>
    </w:p>
    <w:p w14:paraId="26342723" w14:textId="77777777" w:rsidR="00C50C62" w:rsidRPr="0028617E" w:rsidRDefault="00C50C62" w:rsidP="00C50C62">
      <w:pPr>
        <w:spacing w:line="240" w:lineRule="auto"/>
        <w:rPr>
          <w:rFonts w:cs="Arial"/>
          <w:b/>
          <w:sz w:val="20"/>
          <w:szCs w:val="20"/>
          <w:lang w:val="sk-SK" w:eastAsia="de-DE"/>
        </w:rPr>
      </w:pPr>
    </w:p>
    <w:p w14:paraId="39CE2F79" w14:textId="77777777" w:rsidR="00C50C62" w:rsidRPr="0028617E" w:rsidRDefault="00C50C62" w:rsidP="00C50C62">
      <w:pPr>
        <w:spacing w:line="240" w:lineRule="auto"/>
        <w:rPr>
          <w:rFonts w:cs="Arial"/>
          <w:b/>
          <w:sz w:val="20"/>
          <w:szCs w:val="20"/>
          <w:lang w:val="sk-SK" w:eastAsia="de-DE"/>
        </w:rPr>
      </w:pPr>
    </w:p>
    <w:p w14:paraId="360012EB" w14:textId="77777777" w:rsidR="00C50C62" w:rsidRDefault="00C50C62" w:rsidP="00C50C62">
      <w:pPr>
        <w:spacing w:line="240" w:lineRule="auto"/>
        <w:rPr>
          <w:rFonts w:cs="Arial"/>
          <w:b/>
          <w:szCs w:val="20"/>
          <w:lang w:val="sk-SK" w:eastAsia="de-DE"/>
        </w:rPr>
      </w:pPr>
      <w:r w:rsidRPr="00862621">
        <w:rPr>
          <w:rFonts w:cs="Arial"/>
          <w:b/>
          <w:szCs w:val="20"/>
          <w:lang w:val="sk-SK" w:eastAsia="de-DE"/>
        </w:rPr>
        <w:t>Kontakt</w:t>
      </w:r>
      <w:r>
        <w:rPr>
          <w:rFonts w:cs="Arial"/>
          <w:b/>
          <w:szCs w:val="20"/>
          <w:lang w:val="sk-SK" w:eastAsia="de-DE"/>
        </w:rPr>
        <w:t xml:space="preserve">  </w:t>
      </w:r>
    </w:p>
    <w:p w14:paraId="3BE292AB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Zuzana </w:t>
      </w:r>
      <w:proofErr w:type="spellStart"/>
      <w:r w:rsidRPr="00676A4C">
        <w:rPr>
          <w:rFonts w:cs="Arial"/>
          <w:szCs w:val="20"/>
          <w:lang w:val="sk-SK" w:bidi="sk-SK"/>
        </w:rPr>
        <w:t>Kaňuchová</w:t>
      </w:r>
      <w:proofErr w:type="spellEnd"/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7E21870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Riaditeľka </w:t>
      </w:r>
      <w:proofErr w:type="spellStart"/>
      <w:r w:rsidRPr="00676A4C">
        <w:rPr>
          <w:rFonts w:cs="Arial"/>
          <w:szCs w:val="20"/>
          <w:lang w:val="sk-SK" w:bidi="sk-SK"/>
        </w:rPr>
        <w:t>korporátnej</w:t>
      </w:r>
      <w:proofErr w:type="spellEnd"/>
      <w:r w:rsidRPr="00676A4C">
        <w:rPr>
          <w:rFonts w:cs="Arial"/>
          <w:szCs w:val="20"/>
          <w:lang w:val="sk-SK" w:bidi="sk-SK"/>
        </w:rPr>
        <w:t xml:space="preserve"> komunikácie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674620BC" w14:textId="77777777" w:rsidR="00C50C62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</w:p>
    <w:p w14:paraId="0862BC9E" w14:textId="77777777" w:rsidR="00C50C62" w:rsidRPr="00676A4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Telefón:</w:t>
      </w:r>
      <w:r>
        <w:rPr>
          <w:rFonts w:cs="Arial"/>
          <w:szCs w:val="20"/>
          <w:lang w:val="sk-SK" w:bidi="sk-SK"/>
        </w:rPr>
        <w:t xml:space="preserve"> </w:t>
      </w:r>
      <w:r w:rsidRPr="00676A4C">
        <w:rPr>
          <w:rFonts w:cs="Arial"/>
          <w:szCs w:val="20"/>
          <w:lang w:val="sk-SK" w:bidi="sk-SK"/>
        </w:rPr>
        <w:t>+421 917 160 597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4EEAB79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E-mail:</w:t>
      </w:r>
      <w:r w:rsidRPr="00676A4C">
        <w:rPr>
          <w:rFonts w:cs="Arial"/>
          <w:szCs w:val="20"/>
          <w:lang w:val="sk-SK" w:bidi="sk-SK"/>
        </w:rPr>
        <w:tab/>
      </w:r>
      <w:r>
        <w:rPr>
          <w:rFonts w:cs="Arial"/>
          <w:szCs w:val="20"/>
          <w:lang w:val="sk-SK" w:bidi="sk-SK"/>
        </w:rPr>
        <w:t xml:space="preserve">  </w:t>
      </w:r>
      <w:hyperlink r:id="rId12" w:history="1">
        <w:r w:rsidRPr="008F1DC2">
          <w:rPr>
            <w:rStyle w:val="Hypertextovprepojenie"/>
            <w:lang w:bidi="sk-SK"/>
          </w:rPr>
          <w:t>zuzana.kanuchova@henkel.com</w:t>
        </w:r>
      </w:hyperlink>
      <w:r w:rsidRPr="00862621">
        <w:rPr>
          <w:rFonts w:cs="Arial"/>
          <w:szCs w:val="20"/>
          <w:lang w:val="sk-SK" w:bidi="sk-SK"/>
        </w:rPr>
        <w:tab/>
      </w:r>
    </w:p>
    <w:p w14:paraId="1D91EC8E" w14:textId="77777777" w:rsidR="00C50C62" w:rsidRPr="0045611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/>
        </w:rPr>
        <w:tab/>
      </w:r>
    </w:p>
    <w:p w14:paraId="121A4D26" w14:textId="77777777" w:rsidR="00C50C62" w:rsidRPr="001D7568" w:rsidRDefault="00C50C62" w:rsidP="001577E9">
      <w:pPr>
        <w:rPr>
          <w:sz w:val="18"/>
          <w:szCs w:val="18"/>
          <w:lang w:val="sk-SK"/>
        </w:rPr>
      </w:pPr>
    </w:p>
    <w:sectPr w:rsidR="00C50C62" w:rsidRPr="001D756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7259E" w14:textId="77777777" w:rsidR="007073A0" w:rsidRDefault="007073A0">
      <w:r>
        <w:separator/>
      </w:r>
    </w:p>
  </w:endnote>
  <w:endnote w:type="continuationSeparator" w:id="0">
    <w:p w14:paraId="01DD9DDF" w14:textId="77777777" w:rsidR="007073A0" w:rsidRDefault="0070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B6328" w14:textId="77777777" w:rsidR="007073A0" w:rsidRDefault="007073A0">
      <w:bookmarkStart w:id="0" w:name="_Hlk47541104"/>
      <w:bookmarkEnd w:id="0"/>
      <w:r>
        <w:separator/>
      </w:r>
    </w:p>
  </w:footnote>
  <w:footnote w:type="continuationSeparator" w:id="0">
    <w:p w14:paraId="16037B20" w14:textId="77777777" w:rsidR="007073A0" w:rsidRDefault="00707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F47AD4"/>
    <w:multiLevelType w:val="hybridMultilevel"/>
    <w:tmpl w:val="EA4604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71CE"/>
    <w:multiLevelType w:val="hybridMultilevel"/>
    <w:tmpl w:val="52A27F7A"/>
    <w:lvl w:ilvl="0" w:tplc="7A28B6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87E"/>
    <w:rsid w:val="00097CF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45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3D3E"/>
    <w:rsid w:val="00281D14"/>
    <w:rsid w:val="00282C13"/>
    <w:rsid w:val="0028617E"/>
    <w:rsid w:val="002A0DF7"/>
    <w:rsid w:val="002A2975"/>
    <w:rsid w:val="002A60E0"/>
    <w:rsid w:val="002B0810"/>
    <w:rsid w:val="002B5578"/>
    <w:rsid w:val="002C252E"/>
    <w:rsid w:val="002C6773"/>
    <w:rsid w:val="002D2A3D"/>
    <w:rsid w:val="002E0B17"/>
    <w:rsid w:val="002E4FFB"/>
    <w:rsid w:val="002E7DED"/>
    <w:rsid w:val="002F666E"/>
    <w:rsid w:val="002F7E11"/>
    <w:rsid w:val="00302D10"/>
    <w:rsid w:val="00304087"/>
    <w:rsid w:val="00310ACD"/>
    <w:rsid w:val="0031379F"/>
    <w:rsid w:val="00317C01"/>
    <w:rsid w:val="00320A26"/>
    <w:rsid w:val="0032105B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AD8"/>
    <w:rsid w:val="00376EE9"/>
    <w:rsid w:val="00377CBB"/>
    <w:rsid w:val="003877B6"/>
    <w:rsid w:val="00393887"/>
    <w:rsid w:val="00394C6B"/>
    <w:rsid w:val="003A0597"/>
    <w:rsid w:val="003A4E62"/>
    <w:rsid w:val="003B1069"/>
    <w:rsid w:val="003B390A"/>
    <w:rsid w:val="003B4C4C"/>
    <w:rsid w:val="003C04FE"/>
    <w:rsid w:val="003C15DE"/>
    <w:rsid w:val="003C4EB2"/>
    <w:rsid w:val="003E2CEF"/>
    <w:rsid w:val="003F1AF3"/>
    <w:rsid w:val="003F4D8D"/>
    <w:rsid w:val="004074DB"/>
    <w:rsid w:val="004313E7"/>
    <w:rsid w:val="0044763B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968A1"/>
    <w:rsid w:val="004A323C"/>
    <w:rsid w:val="004B54E8"/>
    <w:rsid w:val="004C4FEB"/>
    <w:rsid w:val="004C6B79"/>
    <w:rsid w:val="004D059B"/>
    <w:rsid w:val="004D4CB6"/>
    <w:rsid w:val="004E3341"/>
    <w:rsid w:val="004E67B7"/>
    <w:rsid w:val="004F10C1"/>
    <w:rsid w:val="00502E62"/>
    <w:rsid w:val="00506767"/>
    <w:rsid w:val="00506B8A"/>
    <w:rsid w:val="005118BD"/>
    <w:rsid w:val="0052212B"/>
    <w:rsid w:val="00534B46"/>
    <w:rsid w:val="00540358"/>
    <w:rsid w:val="00540D47"/>
    <w:rsid w:val="00550864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3D8A"/>
    <w:rsid w:val="00644595"/>
    <w:rsid w:val="00652229"/>
    <w:rsid w:val="00652793"/>
    <w:rsid w:val="00652E4F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06C1"/>
    <w:rsid w:val="006B4030"/>
    <w:rsid w:val="006B47EE"/>
    <w:rsid w:val="006B499F"/>
    <w:rsid w:val="006D1AF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4392"/>
    <w:rsid w:val="0070733C"/>
    <w:rsid w:val="007073A0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8D7"/>
    <w:rsid w:val="008E75D3"/>
    <w:rsid w:val="008F125E"/>
    <w:rsid w:val="008F4D2F"/>
    <w:rsid w:val="00906292"/>
    <w:rsid w:val="00917162"/>
    <w:rsid w:val="009242D9"/>
    <w:rsid w:val="009251CC"/>
    <w:rsid w:val="00926FF4"/>
    <w:rsid w:val="0092714E"/>
    <w:rsid w:val="00927230"/>
    <w:rsid w:val="00942002"/>
    <w:rsid w:val="00942D97"/>
    <w:rsid w:val="00945889"/>
    <w:rsid w:val="00947885"/>
    <w:rsid w:val="00952168"/>
    <w:rsid w:val="009527FE"/>
    <w:rsid w:val="00962C60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D749D"/>
    <w:rsid w:val="00AE49F1"/>
    <w:rsid w:val="00B05CCA"/>
    <w:rsid w:val="00B14271"/>
    <w:rsid w:val="00B16270"/>
    <w:rsid w:val="00B2685D"/>
    <w:rsid w:val="00B30351"/>
    <w:rsid w:val="00B33C2A"/>
    <w:rsid w:val="00B368BD"/>
    <w:rsid w:val="00B422EC"/>
    <w:rsid w:val="00B63C6C"/>
    <w:rsid w:val="00B726D4"/>
    <w:rsid w:val="00B8214F"/>
    <w:rsid w:val="00B86A4F"/>
    <w:rsid w:val="00B86F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209A"/>
    <w:rsid w:val="00C060C7"/>
    <w:rsid w:val="00C24C17"/>
    <w:rsid w:val="00C3758F"/>
    <w:rsid w:val="00C40B88"/>
    <w:rsid w:val="00C47D87"/>
    <w:rsid w:val="00C50A63"/>
    <w:rsid w:val="00C50C62"/>
    <w:rsid w:val="00C51B88"/>
    <w:rsid w:val="00C5376E"/>
    <w:rsid w:val="00C565D4"/>
    <w:rsid w:val="00C570AB"/>
    <w:rsid w:val="00C743A7"/>
    <w:rsid w:val="00C808A6"/>
    <w:rsid w:val="00C97091"/>
    <w:rsid w:val="00C97260"/>
    <w:rsid w:val="00CA2001"/>
    <w:rsid w:val="00CB5B6C"/>
    <w:rsid w:val="00CC052E"/>
    <w:rsid w:val="00CD140C"/>
    <w:rsid w:val="00CD16BE"/>
    <w:rsid w:val="00CD4616"/>
    <w:rsid w:val="00CD56AF"/>
    <w:rsid w:val="00CE0734"/>
    <w:rsid w:val="00CE33D5"/>
    <w:rsid w:val="00CE6A6E"/>
    <w:rsid w:val="00CF16DC"/>
    <w:rsid w:val="00CF5D37"/>
    <w:rsid w:val="00CF6F33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221"/>
    <w:rsid w:val="00D476DF"/>
    <w:rsid w:val="00D5051D"/>
    <w:rsid w:val="00D5653B"/>
    <w:rsid w:val="00D61492"/>
    <w:rsid w:val="00D62EF1"/>
    <w:rsid w:val="00D6309D"/>
    <w:rsid w:val="00D644CA"/>
    <w:rsid w:val="00D66FC2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5F8C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70E9"/>
    <w:rsid w:val="00F275C0"/>
    <w:rsid w:val="00F346B6"/>
    <w:rsid w:val="00F3614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styleId="Odsekzoznamu">
    <w:name w:val="List Paragraph"/>
    <w:basedOn w:val="Normlny"/>
    <w:uiPriority w:val="34"/>
    <w:qFormat/>
    <w:rsid w:val="0037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3815E-ECE2-417B-9519-ED7304B9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Driving Food Safety and Efficiency in Packaging with Henkel’s Technomelt Supra Pro</vt:lpstr>
    </vt:vector>
  </TitlesOfParts>
  <Company>Henkel AG &amp; Co. KGaA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Monika Villemová</cp:lastModifiedBy>
  <cp:revision>5</cp:revision>
  <cp:lastPrinted>2016-11-16T02:11:00Z</cp:lastPrinted>
  <dcterms:created xsi:type="dcterms:W3CDTF">2020-10-12T15:26:00Z</dcterms:created>
  <dcterms:modified xsi:type="dcterms:W3CDTF">2020-10-12T15:28:00Z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