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D5E39A" w14:textId="4F1CE85F" w:rsidR="00B422EC" w:rsidRPr="00A20162" w:rsidRDefault="00014767" w:rsidP="00643D8A">
      <w:pPr>
        <w:pStyle w:val="MonthDayYear"/>
        <w:rPr>
          <w:lang w:val="pl-PL"/>
        </w:rPr>
      </w:pPr>
      <w:r>
        <w:rPr>
          <w:lang w:val="pl-PL"/>
        </w:rPr>
        <w:t>4 marca 2021 r.</w:t>
      </w:r>
    </w:p>
    <w:p w14:paraId="60C983BA" w14:textId="77777777" w:rsidR="00014767" w:rsidRPr="00866562" w:rsidRDefault="00014767" w:rsidP="00014767">
      <w:pPr>
        <w:pStyle w:val="Topline"/>
        <w:spacing w:after="360"/>
        <w:rPr>
          <w:rFonts w:asciiTheme="majorHAnsi" w:hAnsiTheme="majorHAnsi" w:cs="Cambria"/>
          <w:lang w:val="pl-PL"/>
        </w:rPr>
      </w:pPr>
      <w:r>
        <w:rPr>
          <w:rFonts w:asciiTheme="majorHAnsi" w:hAnsiTheme="majorHAnsi" w:cs="Cambria"/>
          <w:lang w:val="pl"/>
        </w:rPr>
        <w:t>Henkel zaproponuje dywidendę na poziomie z ubiegłego roku</w:t>
      </w:r>
    </w:p>
    <w:p w14:paraId="25C250A5" w14:textId="77777777" w:rsidR="00014767" w:rsidRPr="00866562" w:rsidRDefault="00014767" w:rsidP="00014767">
      <w:pPr>
        <w:jc w:val="left"/>
        <w:rPr>
          <w:rStyle w:val="Headline"/>
          <w:rFonts w:asciiTheme="majorHAnsi" w:hAnsiTheme="majorHAnsi" w:cs="Cambria"/>
          <w:lang w:val="pl-PL"/>
        </w:rPr>
      </w:pPr>
      <w:r>
        <w:rPr>
          <w:rStyle w:val="Headline"/>
          <w:rFonts w:asciiTheme="majorHAnsi" w:hAnsiTheme="majorHAnsi" w:cs="Cambria"/>
          <w:lang w:val="pl"/>
        </w:rPr>
        <w:t xml:space="preserve">Henkel odnotował wysokie wyniki w roku obrotowym 2020 pomimo istotnego wpływu pandemii COVID-19 </w:t>
      </w:r>
    </w:p>
    <w:p w14:paraId="2A9C99D1" w14:textId="77777777" w:rsidR="00014767" w:rsidRPr="00866562" w:rsidRDefault="00014767" w:rsidP="00014767">
      <w:pPr>
        <w:rPr>
          <w:lang w:val="pl-PL"/>
        </w:rPr>
      </w:pPr>
    </w:p>
    <w:p w14:paraId="54C5B287" w14:textId="77777777" w:rsidR="00014767" w:rsidRPr="00866562" w:rsidRDefault="00014767" w:rsidP="00014767">
      <w:pPr>
        <w:pStyle w:val="Akapitzlist"/>
        <w:numPr>
          <w:ilvl w:val="0"/>
          <w:numId w:val="7"/>
        </w:numPr>
        <w:spacing w:after="80"/>
        <w:ind w:left="357" w:right="-108" w:hanging="357"/>
        <w:contextualSpacing w:val="0"/>
        <w:jc w:val="left"/>
        <w:rPr>
          <w:rFonts w:asciiTheme="majorHAnsi" w:hAnsiTheme="majorHAnsi" w:cs="Cambria"/>
          <w:b/>
          <w:szCs w:val="22"/>
          <w:lang w:val="pl-PL"/>
        </w:rPr>
      </w:pPr>
      <w:bookmarkStart w:id="0" w:name="_Hlk43712519"/>
      <w:r>
        <w:rPr>
          <w:rFonts w:asciiTheme="majorHAnsi" w:hAnsiTheme="majorHAnsi" w:cs="Cambria"/>
          <w:b/>
          <w:bCs/>
          <w:szCs w:val="22"/>
          <w:lang w:val="pl"/>
        </w:rPr>
        <w:t>Zrównoważony portfel, udane innowacje, silna pozycja finansowa i zaangażowany zespół to kluczowe czynniki wpływające na dobre wyniki firmy w czasie globalnego kryzysu</w:t>
      </w:r>
    </w:p>
    <w:p w14:paraId="3F5EC972" w14:textId="77777777" w:rsidR="00014767" w:rsidRPr="00866562" w:rsidRDefault="00014767" w:rsidP="00014767">
      <w:pPr>
        <w:pStyle w:val="Akapitzlist"/>
        <w:numPr>
          <w:ilvl w:val="0"/>
          <w:numId w:val="7"/>
        </w:numPr>
        <w:spacing w:after="80"/>
        <w:ind w:left="357" w:right="-108" w:hanging="357"/>
        <w:contextualSpacing w:val="0"/>
        <w:jc w:val="left"/>
        <w:rPr>
          <w:rFonts w:asciiTheme="majorHAnsi" w:hAnsiTheme="majorHAnsi" w:cs="Cambria"/>
          <w:b/>
          <w:szCs w:val="22"/>
          <w:lang w:val="pl-PL"/>
        </w:rPr>
      </w:pPr>
      <w:r>
        <w:rPr>
          <w:rFonts w:asciiTheme="majorHAnsi" w:hAnsiTheme="majorHAnsi" w:cs="Cambria"/>
          <w:b/>
          <w:bCs/>
          <w:szCs w:val="22"/>
          <w:lang w:val="pl"/>
        </w:rPr>
        <w:t>Wyniki za 2020 rok na poziomie górnej granicy prognozy rocznej:</w:t>
      </w:r>
    </w:p>
    <w:p w14:paraId="3263038A" w14:textId="77777777" w:rsidR="00014767" w:rsidRPr="00866562" w:rsidRDefault="00014767" w:rsidP="00014767">
      <w:pPr>
        <w:pStyle w:val="Akapitzlist"/>
        <w:numPr>
          <w:ilvl w:val="1"/>
          <w:numId w:val="7"/>
        </w:numPr>
        <w:spacing w:after="80" w:line="266" w:lineRule="auto"/>
        <w:ind w:left="1077" w:right="-108" w:hanging="357"/>
        <w:contextualSpacing w:val="0"/>
        <w:jc w:val="left"/>
        <w:rPr>
          <w:rFonts w:asciiTheme="majorHAnsi" w:hAnsiTheme="majorHAnsi" w:cs="Cambria"/>
          <w:b/>
          <w:szCs w:val="22"/>
          <w:lang w:val="pl-PL"/>
        </w:rPr>
      </w:pPr>
      <w:r>
        <w:rPr>
          <w:rFonts w:asciiTheme="majorHAnsi" w:hAnsiTheme="majorHAnsi" w:cs="Cambria"/>
          <w:b/>
          <w:bCs/>
          <w:szCs w:val="22"/>
          <w:lang w:val="pl"/>
        </w:rPr>
        <w:t xml:space="preserve">sprzedaż Grupy na poziomie 19,3 mld euro, </w:t>
      </w:r>
      <w:bookmarkEnd w:id="0"/>
      <w:r>
        <w:rPr>
          <w:rFonts w:asciiTheme="majorHAnsi" w:hAnsiTheme="majorHAnsi" w:cs="Cambria"/>
          <w:b/>
          <w:bCs/>
          <w:szCs w:val="22"/>
          <w:lang w:val="pl"/>
        </w:rPr>
        <w:t>w ujęciu organicznym: -0,7%</w:t>
      </w:r>
    </w:p>
    <w:p w14:paraId="1B8B98E8" w14:textId="65372C21" w:rsidR="00014767" w:rsidRPr="00866562" w:rsidRDefault="00014767" w:rsidP="00014767">
      <w:pPr>
        <w:pStyle w:val="Akapitzlist"/>
        <w:numPr>
          <w:ilvl w:val="1"/>
          <w:numId w:val="7"/>
        </w:numPr>
        <w:spacing w:after="80" w:line="266" w:lineRule="auto"/>
        <w:ind w:left="1077" w:right="-108" w:hanging="357"/>
        <w:contextualSpacing w:val="0"/>
        <w:jc w:val="left"/>
        <w:rPr>
          <w:rFonts w:asciiTheme="majorHAnsi" w:hAnsiTheme="majorHAnsi" w:cs="Cambria"/>
          <w:b/>
          <w:szCs w:val="22"/>
          <w:lang w:val="pl-PL"/>
        </w:rPr>
      </w:pPr>
      <w:r>
        <w:rPr>
          <w:rFonts w:asciiTheme="majorHAnsi" w:hAnsiTheme="majorHAnsi"/>
          <w:b/>
          <w:bCs/>
          <w:szCs w:val="22"/>
          <w:lang w:val="pl"/>
        </w:rPr>
        <w:t>marża EBIT</w:t>
      </w:r>
      <w:r>
        <w:rPr>
          <w:rFonts w:asciiTheme="majorHAnsi" w:hAnsiTheme="majorHAnsi"/>
          <w:b/>
          <w:bCs/>
          <w:lang w:val="pl"/>
        </w:rPr>
        <w:t>*</w:t>
      </w:r>
      <w:r>
        <w:rPr>
          <w:rFonts w:asciiTheme="majorHAnsi" w:hAnsiTheme="majorHAnsi"/>
          <w:b/>
          <w:bCs/>
          <w:szCs w:val="22"/>
          <w:lang w:val="pl"/>
        </w:rPr>
        <w:t xml:space="preserve"> na poziomie 13,4%</w:t>
      </w:r>
      <w:r w:rsidR="007132F9">
        <w:rPr>
          <w:rFonts w:asciiTheme="majorHAnsi" w:hAnsiTheme="majorHAnsi"/>
          <w:b/>
          <w:bCs/>
          <w:szCs w:val="22"/>
          <w:lang w:val="pl"/>
        </w:rPr>
        <w:t xml:space="preserve"> (</w:t>
      </w:r>
      <w:r>
        <w:rPr>
          <w:rFonts w:asciiTheme="majorHAnsi" w:hAnsiTheme="majorHAnsi"/>
          <w:b/>
          <w:bCs/>
          <w:szCs w:val="22"/>
          <w:lang w:val="pl"/>
        </w:rPr>
        <w:t>-260 punktów bazowych</w:t>
      </w:r>
      <w:r w:rsidR="007132F9">
        <w:rPr>
          <w:rFonts w:asciiTheme="majorHAnsi" w:hAnsiTheme="majorHAnsi"/>
          <w:b/>
          <w:bCs/>
          <w:szCs w:val="22"/>
          <w:lang w:val="pl"/>
        </w:rPr>
        <w:t>)</w:t>
      </w:r>
      <w:r>
        <w:rPr>
          <w:rFonts w:asciiTheme="majorHAnsi" w:hAnsiTheme="majorHAnsi"/>
          <w:b/>
          <w:bCs/>
          <w:szCs w:val="22"/>
          <w:lang w:val="pl"/>
        </w:rPr>
        <w:t>, przy zysku operacyjnym* w wysokości 2,6 mld euro</w:t>
      </w:r>
    </w:p>
    <w:p w14:paraId="5575B29A" w14:textId="5BDBDB15" w:rsidR="00014767" w:rsidRPr="00866562" w:rsidRDefault="00014767" w:rsidP="00014767">
      <w:pPr>
        <w:pStyle w:val="Akapitzlist"/>
        <w:numPr>
          <w:ilvl w:val="1"/>
          <w:numId w:val="7"/>
        </w:numPr>
        <w:spacing w:after="80" w:line="266" w:lineRule="auto"/>
        <w:ind w:left="1077" w:right="-108" w:hanging="357"/>
        <w:contextualSpacing w:val="0"/>
        <w:jc w:val="left"/>
        <w:rPr>
          <w:rFonts w:asciiTheme="majorHAnsi" w:hAnsiTheme="majorHAnsi" w:cs="Cambria"/>
          <w:b/>
          <w:szCs w:val="22"/>
          <w:lang w:val="pl-PL"/>
        </w:rPr>
      </w:pPr>
      <w:r>
        <w:rPr>
          <w:rFonts w:asciiTheme="majorHAnsi" w:hAnsiTheme="majorHAnsi"/>
          <w:b/>
          <w:bCs/>
          <w:szCs w:val="22"/>
          <w:lang w:val="pl"/>
        </w:rPr>
        <w:t>zysk na akcję uprzywilejowaną</w:t>
      </w:r>
      <w:r>
        <w:rPr>
          <w:rFonts w:asciiTheme="majorHAnsi" w:hAnsiTheme="majorHAnsi"/>
          <w:b/>
          <w:bCs/>
          <w:lang w:val="pl"/>
        </w:rPr>
        <w:t>*</w:t>
      </w:r>
      <w:r>
        <w:rPr>
          <w:rFonts w:asciiTheme="majorHAnsi" w:hAnsiTheme="majorHAnsi"/>
          <w:b/>
          <w:bCs/>
          <w:szCs w:val="22"/>
          <w:lang w:val="pl"/>
        </w:rPr>
        <w:t>: 4,26 euro</w:t>
      </w:r>
      <w:r w:rsidR="007132F9">
        <w:rPr>
          <w:rFonts w:asciiTheme="majorHAnsi" w:hAnsiTheme="majorHAnsi"/>
          <w:b/>
          <w:bCs/>
          <w:szCs w:val="22"/>
          <w:lang w:val="pl"/>
        </w:rPr>
        <w:t xml:space="preserve"> (</w:t>
      </w:r>
      <w:r>
        <w:rPr>
          <w:rFonts w:asciiTheme="majorHAnsi" w:hAnsiTheme="majorHAnsi"/>
          <w:b/>
          <w:bCs/>
          <w:szCs w:val="22"/>
          <w:lang w:val="pl"/>
        </w:rPr>
        <w:t>-17,9% przy założeniu niezmienionych kursów walut</w:t>
      </w:r>
      <w:r w:rsidR="007132F9">
        <w:rPr>
          <w:rFonts w:asciiTheme="majorHAnsi" w:hAnsiTheme="majorHAnsi"/>
          <w:b/>
          <w:bCs/>
          <w:szCs w:val="22"/>
          <w:lang w:val="pl"/>
        </w:rPr>
        <w:t>)</w:t>
      </w:r>
    </w:p>
    <w:p w14:paraId="1F51B23D" w14:textId="77777777" w:rsidR="00014767" w:rsidRPr="00866562" w:rsidRDefault="00014767" w:rsidP="00014767">
      <w:pPr>
        <w:pStyle w:val="Akapitzlist"/>
        <w:numPr>
          <w:ilvl w:val="0"/>
          <w:numId w:val="7"/>
        </w:numPr>
        <w:spacing w:after="80"/>
        <w:ind w:left="357" w:right="-108" w:hanging="357"/>
        <w:contextualSpacing w:val="0"/>
        <w:jc w:val="left"/>
        <w:rPr>
          <w:rFonts w:asciiTheme="majorHAnsi" w:hAnsiTheme="majorHAnsi" w:cs="Cambria"/>
          <w:b/>
          <w:szCs w:val="22"/>
          <w:lang w:val="pl-PL"/>
        </w:rPr>
      </w:pPr>
      <w:r>
        <w:rPr>
          <w:rFonts w:asciiTheme="majorHAnsi" w:hAnsiTheme="majorHAnsi" w:cs="Cambria"/>
          <w:b/>
          <w:bCs/>
          <w:szCs w:val="22"/>
          <w:lang w:val="pl"/>
        </w:rPr>
        <w:t>Bardzo wysokie wolne przepływy pieniężne w wysokości 2,3 mld euro i znaczna poprawa pozycji finansowej netto</w:t>
      </w:r>
    </w:p>
    <w:p w14:paraId="1C2F7E0B" w14:textId="77777777" w:rsidR="00014767" w:rsidRPr="00866562" w:rsidRDefault="00014767" w:rsidP="00014767">
      <w:pPr>
        <w:pStyle w:val="Akapitzlist"/>
        <w:numPr>
          <w:ilvl w:val="0"/>
          <w:numId w:val="7"/>
        </w:numPr>
        <w:spacing w:after="80"/>
        <w:ind w:left="357" w:right="-108" w:hanging="357"/>
        <w:contextualSpacing w:val="0"/>
        <w:jc w:val="left"/>
        <w:rPr>
          <w:rFonts w:asciiTheme="majorHAnsi" w:hAnsiTheme="majorHAnsi" w:cs="Cambria"/>
          <w:b/>
          <w:szCs w:val="22"/>
          <w:lang w:val="pl-PL"/>
        </w:rPr>
      </w:pPr>
      <w:r>
        <w:rPr>
          <w:rFonts w:asciiTheme="majorHAnsi" w:hAnsiTheme="majorHAnsi" w:cs="Cambria"/>
          <w:b/>
          <w:bCs/>
          <w:szCs w:val="22"/>
          <w:lang w:val="pl"/>
        </w:rPr>
        <w:t>Proponowana dywidenda na poziomie z ubiegłego roku: 1,85 euro na akcję uprzywilejowaną</w:t>
      </w:r>
    </w:p>
    <w:p w14:paraId="65032218" w14:textId="08B87926" w:rsidR="00014767" w:rsidRPr="00866562" w:rsidRDefault="007132F9" w:rsidP="00014767">
      <w:pPr>
        <w:pStyle w:val="Akapitzlist"/>
        <w:numPr>
          <w:ilvl w:val="0"/>
          <w:numId w:val="7"/>
        </w:numPr>
        <w:spacing w:after="80"/>
        <w:ind w:left="357" w:right="-108" w:hanging="357"/>
        <w:contextualSpacing w:val="0"/>
        <w:jc w:val="left"/>
        <w:rPr>
          <w:rFonts w:asciiTheme="majorHAnsi" w:hAnsiTheme="majorHAnsi" w:cs="Cambria"/>
          <w:b/>
          <w:szCs w:val="22"/>
          <w:lang w:val="pl-PL"/>
        </w:rPr>
      </w:pPr>
      <w:r>
        <w:rPr>
          <w:rFonts w:asciiTheme="majorHAnsi" w:hAnsiTheme="majorHAnsi" w:cs="Cambria"/>
          <w:b/>
          <w:bCs/>
          <w:szCs w:val="22"/>
          <w:lang w:val="pl"/>
        </w:rPr>
        <w:t>Pomyślna realizacja</w:t>
      </w:r>
      <w:r w:rsidR="00014767">
        <w:rPr>
          <w:rFonts w:asciiTheme="majorHAnsi" w:hAnsiTheme="majorHAnsi" w:cs="Cambria"/>
          <w:b/>
          <w:bCs/>
          <w:szCs w:val="22"/>
          <w:lang w:val="pl"/>
        </w:rPr>
        <w:t xml:space="preserve"> </w:t>
      </w:r>
      <w:r>
        <w:rPr>
          <w:rFonts w:asciiTheme="majorHAnsi" w:hAnsiTheme="majorHAnsi" w:cs="Cambria"/>
          <w:b/>
          <w:bCs/>
          <w:szCs w:val="22"/>
          <w:lang w:val="pl"/>
        </w:rPr>
        <w:t>założeń strategii biznesowej „</w:t>
      </w:r>
      <w:proofErr w:type="spellStart"/>
      <w:r>
        <w:rPr>
          <w:rFonts w:asciiTheme="majorHAnsi" w:hAnsiTheme="majorHAnsi" w:cs="Cambria"/>
          <w:b/>
          <w:bCs/>
          <w:szCs w:val="22"/>
          <w:lang w:val="pl"/>
        </w:rPr>
        <w:t>Purposeful</w:t>
      </w:r>
      <w:proofErr w:type="spellEnd"/>
      <w:r>
        <w:rPr>
          <w:rFonts w:asciiTheme="majorHAnsi" w:hAnsiTheme="majorHAnsi" w:cs="Cambria"/>
          <w:b/>
          <w:bCs/>
          <w:szCs w:val="22"/>
          <w:lang w:val="pl"/>
        </w:rPr>
        <w:t xml:space="preserve"> </w:t>
      </w:r>
      <w:proofErr w:type="spellStart"/>
      <w:r>
        <w:rPr>
          <w:rFonts w:asciiTheme="majorHAnsi" w:hAnsiTheme="majorHAnsi" w:cs="Cambria"/>
          <w:b/>
          <w:bCs/>
          <w:szCs w:val="22"/>
          <w:lang w:val="pl"/>
        </w:rPr>
        <w:t>growth</w:t>
      </w:r>
      <w:proofErr w:type="spellEnd"/>
      <w:r>
        <w:rPr>
          <w:rFonts w:asciiTheme="majorHAnsi" w:hAnsiTheme="majorHAnsi" w:cs="Cambria"/>
          <w:b/>
          <w:bCs/>
          <w:szCs w:val="22"/>
          <w:lang w:val="pl"/>
        </w:rPr>
        <w:t xml:space="preserve">”, klarowne plany jej dalszej realizacji w 2021 i kolejnych latach </w:t>
      </w:r>
    </w:p>
    <w:p w14:paraId="443FD21A" w14:textId="77777777" w:rsidR="00014767" w:rsidRDefault="00014767" w:rsidP="00014767">
      <w:pPr>
        <w:pStyle w:val="Akapitzlist"/>
        <w:numPr>
          <w:ilvl w:val="0"/>
          <w:numId w:val="7"/>
        </w:numPr>
        <w:spacing w:after="80"/>
        <w:ind w:left="357" w:right="-108" w:hanging="357"/>
        <w:contextualSpacing w:val="0"/>
        <w:jc w:val="left"/>
        <w:rPr>
          <w:rFonts w:asciiTheme="majorHAnsi" w:hAnsiTheme="majorHAnsi" w:cs="Cambria"/>
          <w:b/>
          <w:szCs w:val="22"/>
        </w:rPr>
      </w:pPr>
      <w:r>
        <w:rPr>
          <w:rFonts w:asciiTheme="majorHAnsi" w:hAnsiTheme="majorHAnsi" w:cs="Cambria"/>
          <w:b/>
          <w:bCs/>
          <w:szCs w:val="22"/>
          <w:lang w:val="pl"/>
        </w:rPr>
        <w:t xml:space="preserve">Prognozy na 2021 rok: </w:t>
      </w:r>
    </w:p>
    <w:p w14:paraId="5F6C120D" w14:textId="23DE6D0B" w:rsidR="00014767" w:rsidRDefault="007132F9" w:rsidP="00014767">
      <w:pPr>
        <w:pStyle w:val="Akapitzlist"/>
        <w:numPr>
          <w:ilvl w:val="1"/>
          <w:numId w:val="7"/>
        </w:numPr>
        <w:spacing w:after="80" w:line="266" w:lineRule="auto"/>
        <w:ind w:left="1077" w:right="-108" w:hanging="357"/>
        <w:contextualSpacing w:val="0"/>
        <w:jc w:val="left"/>
        <w:rPr>
          <w:rFonts w:asciiTheme="majorHAnsi" w:hAnsiTheme="majorHAnsi" w:cs="Cambria"/>
          <w:b/>
          <w:szCs w:val="22"/>
        </w:rPr>
      </w:pPr>
      <w:r>
        <w:rPr>
          <w:rFonts w:asciiTheme="majorHAnsi" w:hAnsiTheme="majorHAnsi" w:cs="Cambria"/>
          <w:b/>
          <w:bCs/>
          <w:szCs w:val="22"/>
          <w:lang w:val="pl"/>
        </w:rPr>
        <w:t xml:space="preserve">organiczny </w:t>
      </w:r>
      <w:r w:rsidR="00014767">
        <w:rPr>
          <w:rFonts w:asciiTheme="majorHAnsi" w:hAnsiTheme="majorHAnsi" w:cs="Cambria"/>
          <w:b/>
          <w:bCs/>
          <w:szCs w:val="22"/>
          <w:lang w:val="pl"/>
        </w:rPr>
        <w:t>wzrost sprzedaży: 2,0%–5,0%</w:t>
      </w:r>
    </w:p>
    <w:p w14:paraId="4FFD580F" w14:textId="77777777" w:rsidR="00014767" w:rsidRDefault="00014767" w:rsidP="00014767">
      <w:pPr>
        <w:pStyle w:val="Akapitzlist"/>
        <w:numPr>
          <w:ilvl w:val="1"/>
          <w:numId w:val="7"/>
        </w:numPr>
        <w:spacing w:after="80" w:line="266" w:lineRule="auto"/>
        <w:ind w:left="1077" w:right="-108" w:hanging="357"/>
        <w:contextualSpacing w:val="0"/>
        <w:jc w:val="left"/>
        <w:rPr>
          <w:rFonts w:asciiTheme="majorHAnsi" w:hAnsiTheme="majorHAnsi" w:cs="Cambria"/>
          <w:b/>
          <w:szCs w:val="22"/>
        </w:rPr>
      </w:pPr>
      <w:r>
        <w:rPr>
          <w:rFonts w:asciiTheme="majorHAnsi" w:hAnsiTheme="majorHAnsi" w:cs="Cambria"/>
          <w:b/>
          <w:bCs/>
          <w:szCs w:val="22"/>
          <w:lang w:val="pl"/>
        </w:rPr>
        <w:t>marża EBIT*: 13,5%–14,5%</w:t>
      </w:r>
    </w:p>
    <w:p w14:paraId="45282166" w14:textId="47EC2C7C" w:rsidR="00014767" w:rsidRPr="00866562" w:rsidRDefault="00014767" w:rsidP="00014767">
      <w:pPr>
        <w:pStyle w:val="Akapitzlist"/>
        <w:numPr>
          <w:ilvl w:val="1"/>
          <w:numId w:val="7"/>
        </w:numPr>
        <w:spacing w:after="80" w:line="266" w:lineRule="auto"/>
        <w:ind w:left="1077" w:right="-108" w:hanging="357"/>
        <w:contextualSpacing w:val="0"/>
        <w:jc w:val="left"/>
        <w:rPr>
          <w:rFonts w:asciiTheme="majorHAnsi" w:hAnsiTheme="majorHAnsi" w:cs="Cambria"/>
          <w:b/>
          <w:szCs w:val="22"/>
          <w:lang w:val="pl-PL"/>
        </w:rPr>
      </w:pPr>
      <w:r>
        <w:rPr>
          <w:rFonts w:asciiTheme="majorHAnsi" w:hAnsiTheme="majorHAnsi" w:cs="Cambria"/>
          <w:b/>
          <w:bCs/>
          <w:szCs w:val="22"/>
          <w:lang w:val="pl"/>
        </w:rPr>
        <w:t xml:space="preserve">zysk na akcję uprzywilejowaną*: wzrost </w:t>
      </w:r>
      <w:r w:rsidR="007132F9">
        <w:rPr>
          <w:rFonts w:asciiTheme="majorHAnsi" w:hAnsiTheme="majorHAnsi" w:cs="Cambria"/>
          <w:b/>
          <w:bCs/>
          <w:szCs w:val="22"/>
          <w:lang w:val="pl"/>
        </w:rPr>
        <w:t xml:space="preserve">o </w:t>
      </w:r>
      <w:r>
        <w:rPr>
          <w:rFonts w:asciiTheme="majorHAnsi" w:hAnsiTheme="majorHAnsi" w:cs="Cambria"/>
          <w:b/>
          <w:bCs/>
          <w:szCs w:val="22"/>
          <w:lang w:val="pl"/>
        </w:rPr>
        <w:t>5,0%–15,0% przy założeniu niezmiennych kursów walut</w:t>
      </w:r>
    </w:p>
    <w:p w14:paraId="2F9619C0" w14:textId="77777777" w:rsidR="00014767" w:rsidRPr="00866562" w:rsidRDefault="00014767" w:rsidP="00014767">
      <w:pPr>
        <w:spacing w:line="240" w:lineRule="auto"/>
        <w:jc w:val="left"/>
        <w:rPr>
          <w:rFonts w:cs="Segoe UI"/>
          <w:szCs w:val="22"/>
          <w:lang w:val="pl-PL"/>
        </w:rPr>
      </w:pPr>
    </w:p>
    <w:p w14:paraId="2C66B078" w14:textId="2859171D" w:rsidR="00014767" w:rsidRPr="00866562" w:rsidRDefault="00014767" w:rsidP="00014767">
      <w:pPr>
        <w:rPr>
          <w:rFonts w:cs="Segoe UI"/>
          <w:b/>
          <w:bCs/>
          <w:szCs w:val="22"/>
          <w:lang w:val="pl-PL"/>
        </w:rPr>
      </w:pPr>
      <w:r>
        <w:rPr>
          <w:noProof/>
          <w:lang w:val="pl"/>
        </w:rPr>
        <mc:AlternateContent>
          <mc:Choice Requires="wps">
            <w:drawing>
              <wp:anchor distT="45720" distB="45720" distL="114300" distR="114300" simplePos="0" relativeHeight="251659264" behindDoc="0" locked="0" layoutInCell="1" allowOverlap="1" wp14:anchorId="393EB0FA" wp14:editId="35184348">
                <wp:simplePos x="0" y="0"/>
                <wp:positionH relativeFrom="margin">
                  <wp:align>left</wp:align>
                </wp:positionH>
                <wp:positionV relativeFrom="paragraph">
                  <wp:posOffset>1430020</wp:posOffset>
                </wp:positionV>
                <wp:extent cx="4683760" cy="241300"/>
                <wp:effectExtent l="0" t="0" r="0" b="0"/>
                <wp:wrapNone/>
                <wp:docPr id="10" name="Textfeld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415B56" w14:textId="77777777" w:rsidR="00014767" w:rsidRPr="00014767" w:rsidRDefault="00014767" w:rsidP="00014767">
                            <w:pPr>
                              <w:autoSpaceDE w:val="0"/>
                              <w:autoSpaceDN w:val="0"/>
                              <w:adjustRightInd w:val="0"/>
                              <w:spacing w:line="240" w:lineRule="auto"/>
                              <w:rPr>
                                <w:sz w:val="20"/>
                                <w:szCs w:val="22"/>
                                <w:lang w:val="pl-PL"/>
                              </w:rPr>
                            </w:pPr>
                            <w:r w:rsidRPr="00014767">
                              <w:rPr>
                                <w:sz w:val="14"/>
                                <w:szCs w:val="14"/>
                                <w:lang w:val="pl"/>
                              </w:rPr>
                              <w:t>* Po uwzględnieniu kosztów i przychodów o charakterze jednorazowym oraz kosztów restrukturyzacji.</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93EB0FA" id="_x0000_t202" coordsize="21600,21600" o:spt="202" path="m,l,21600r21600,l21600,xe">
                <v:stroke joinstyle="miter"/>
                <v:path gradientshapeok="t" o:connecttype="rect"/>
              </v:shapetype>
              <v:shape id="Textfeld 10" o:spid="_x0000_s1026" type="#_x0000_t202" style="position:absolute;left:0;text-align:left;margin-left:0;margin-top:112.6pt;width:368.8pt;height:19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" stroked="f">
                <v:textbox>
                  <w:txbxContent>
                    <w:p w14:paraId="72415B56" w14:textId="77777777" w:rsidR="00014767" w:rsidRPr="00014767" w:rsidRDefault="00014767" w:rsidP="00014767">
                      <w:pPr>
                        <w:autoSpaceDE w:val="0"/>
                        <w:autoSpaceDN w:val="0"/>
                        <w:adjustRightInd w:val="0"/>
                        <w:spacing w:line="240" w:lineRule="auto"/>
                        <w:rPr>
                          <w:sz w:val="20"/>
                          <w:szCs w:val="22"/>
                          <w:lang w:val="pl-PL"/>
                        </w:rPr>
                      </w:pPr>
                      <w:r w:rsidRPr="00014767">
                        <w:rPr>
                          <w:sz w:val="14"/>
                          <w:szCs w:val="14"/>
                          <w:lang w:val="pl"/>
                        </w:rPr>
                        <w:t>* Po uwzględnieniu kosztów i przychodów o charakterze jednorazowym oraz kosztów restrukturyzacji.</w:t>
                      </w:r>
                    </w:p>
                  </w:txbxContent>
                </v:textbox>
                <w10:wrap anchorx="margin"/>
              </v:shape>
            </w:pict>
          </mc:Fallback>
        </mc:AlternateContent>
      </w:r>
      <w:proofErr w:type="spellStart"/>
      <w:r>
        <w:rPr>
          <w:b/>
          <w:bCs/>
          <w:szCs w:val="22"/>
          <w:lang w:val="pl"/>
        </w:rPr>
        <w:t>Düsseldorf</w:t>
      </w:r>
      <w:proofErr w:type="spellEnd"/>
      <w:r>
        <w:rPr>
          <w:b/>
          <w:bCs/>
          <w:szCs w:val="22"/>
          <w:lang w:val="pl"/>
        </w:rPr>
        <w:t xml:space="preserve"> –</w:t>
      </w:r>
      <w:r>
        <w:rPr>
          <w:szCs w:val="22"/>
          <w:lang w:val="pl"/>
        </w:rPr>
        <w:t xml:space="preserve"> </w:t>
      </w:r>
      <w:r>
        <w:rPr>
          <w:b/>
          <w:bCs/>
          <w:szCs w:val="22"/>
          <w:lang w:val="pl"/>
        </w:rPr>
        <w:t xml:space="preserve">Pomimo ostrej dekoniunktury gospodarczej wywołanej w 2020 roku pandemią COVID-19 osiągnęliśmy bardzo dobre wyniki we wszystkich sektorach </w:t>
      </w:r>
      <w:r>
        <w:rPr>
          <w:b/>
          <w:bCs/>
          <w:szCs w:val="22"/>
          <w:lang w:val="pl"/>
        </w:rPr>
        <w:lastRenderedPageBreak/>
        <w:t>biznesowych. Wyniki za rok ukształtowały się na poziomie górnej granicy prognozy. Było to możliwe dzięki zrównoważonemu portfelowi</w:t>
      </w:r>
      <w:r w:rsidR="007132F9">
        <w:rPr>
          <w:b/>
          <w:bCs/>
          <w:szCs w:val="22"/>
          <w:lang w:val="pl"/>
        </w:rPr>
        <w:t xml:space="preserve"> marek</w:t>
      </w:r>
      <w:r>
        <w:rPr>
          <w:b/>
          <w:bCs/>
          <w:szCs w:val="22"/>
          <w:lang w:val="pl"/>
        </w:rPr>
        <w:t xml:space="preserve">, udanym innowacjom, silnej pozycji finansowej, a także wyjątkowemu zaangażowaniu naszych pracowników na całym świecie. Chciałbym podziękować im wszystkim za niezwykły wkład pracy w tym pełnym wyzwań roku – powiedział </w:t>
      </w:r>
      <w:proofErr w:type="spellStart"/>
      <w:r>
        <w:rPr>
          <w:b/>
          <w:bCs/>
          <w:szCs w:val="22"/>
          <w:lang w:val="pl"/>
        </w:rPr>
        <w:t>Carsten</w:t>
      </w:r>
      <w:proofErr w:type="spellEnd"/>
      <w:r>
        <w:rPr>
          <w:b/>
          <w:bCs/>
          <w:szCs w:val="22"/>
          <w:lang w:val="pl"/>
        </w:rPr>
        <w:t xml:space="preserve"> </w:t>
      </w:r>
      <w:proofErr w:type="spellStart"/>
      <w:r>
        <w:rPr>
          <w:b/>
          <w:bCs/>
          <w:szCs w:val="22"/>
          <w:lang w:val="pl"/>
        </w:rPr>
        <w:t>Knobel</w:t>
      </w:r>
      <w:proofErr w:type="spellEnd"/>
      <w:r>
        <w:rPr>
          <w:b/>
          <w:bCs/>
          <w:szCs w:val="22"/>
          <w:lang w:val="pl"/>
        </w:rPr>
        <w:t xml:space="preserve">, Prezes Zarządu Henkel. </w:t>
      </w:r>
    </w:p>
    <w:p w14:paraId="7A8CBDA3" w14:textId="77777777" w:rsidR="00014767" w:rsidRPr="00866562" w:rsidRDefault="00014767" w:rsidP="00014767">
      <w:pPr>
        <w:rPr>
          <w:rFonts w:cs="Segoe UI"/>
          <w:b/>
          <w:bCs/>
          <w:szCs w:val="22"/>
          <w:lang w:val="pl-PL"/>
        </w:rPr>
      </w:pPr>
    </w:p>
    <w:p w14:paraId="04541273" w14:textId="77777777" w:rsidR="00014767" w:rsidRPr="00866562" w:rsidRDefault="00014767" w:rsidP="00014767">
      <w:pPr>
        <w:rPr>
          <w:rFonts w:cs="Segoe UI"/>
          <w:b/>
          <w:bCs/>
          <w:szCs w:val="22"/>
          <w:lang w:val="pl-PL"/>
        </w:rPr>
      </w:pPr>
      <w:r>
        <w:rPr>
          <w:rFonts w:cs="Segoe UI"/>
          <w:b/>
          <w:bCs/>
          <w:szCs w:val="22"/>
          <w:lang w:val="pl"/>
        </w:rPr>
        <w:t xml:space="preserve">– Sprzedaż na poziomie 19,3 mld euro w ujęciu organicznym była nieco niższa niż w poprzednim roku. Utrzymaliśmy rentowność działalności przy skorygowanej marży EBIT na poziomie 13,4%. Bardzo wysokie wolne przepływy pieniężne, przekraczające 2,3 mld euro, zbliżyły się do rekordowego poziomu z poprzedniego roku. Uwzględniając solidne wyniki i silną bazę finansową, na nadchodzącym Walnym Zgromadzeniu Akcjonariuszy zaproponujemy akcjonariuszom stabilną dywidendę. W ciągu ostatnich 35 lat, od czasu debiutu giełdowego, Henkel zawsze wypłacał dywidendę na poziomie tym samym lub wyższym niż w roku poprzednim – dodaje </w:t>
      </w:r>
      <w:proofErr w:type="spellStart"/>
      <w:r>
        <w:rPr>
          <w:rFonts w:cs="Segoe UI"/>
          <w:b/>
          <w:bCs/>
          <w:szCs w:val="22"/>
          <w:lang w:val="pl"/>
        </w:rPr>
        <w:t>Knobel</w:t>
      </w:r>
      <w:proofErr w:type="spellEnd"/>
      <w:r>
        <w:rPr>
          <w:rFonts w:cs="Segoe UI"/>
          <w:b/>
          <w:bCs/>
          <w:szCs w:val="22"/>
          <w:lang w:val="pl"/>
        </w:rPr>
        <w:t xml:space="preserve">. </w:t>
      </w:r>
    </w:p>
    <w:p w14:paraId="28547F8D" w14:textId="77777777" w:rsidR="00014767" w:rsidRPr="00866562" w:rsidRDefault="00014767" w:rsidP="00014767">
      <w:pPr>
        <w:rPr>
          <w:rFonts w:cs="Segoe UI"/>
          <w:b/>
          <w:bCs/>
          <w:szCs w:val="22"/>
          <w:lang w:val="pl-PL"/>
        </w:rPr>
      </w:pPr>
    </w:p>
    <w:p w14:paraId="4CADF96C" w14:textId="1F14D1D1" w:rsidR="00014767" w:rsidRPr="00866562" w:rsidRDefault="00014767" w:rsidP="00014767">
      <w:pPr>
        <w:rPr>
          <w:rFonts w:cs="Segoe UI"/>
          <w:szCs w:val="22"/>
          <w:lang w:val="pl-PL"/>
        </w:rPr>
      </w:pPr>
      <w:r>
        <w:rPr>
          <w:rFonts w:cs="Segoe UI"/>
          <w:b/>
          <w:bCs/>
          <w:szCs w:val="22"/>
          <w:lang w:val="pl"/>
        </w:rPr>
        <w:t>– W czasie kryzysu COVID-19 elastycznie i szybko dostosowywaliśmy się do zmian zachodzących na naszych rynkach, stawiając bezpieczeństwo pracowników na pierwszym miejscu. Jednocześnie udało nam się z powodzeniem rozpocząć i realizować nasz strategiczny program: kształtowania konkurencyjnego portfela</w:t>
      </w:r>
      <w:r w:rsidR="007132F9">
        <w:rPr>
          <w:rFonts w:cs="Segoe UI"/>
          <w:b/>
          <w:bCs/>
          <w:szCs w:val="22"/>
          <w:lang w:val="pl"/>
        </w:rPr>
        <w:t xml:space="preserve"> marek</w:t>
      </w:r>
      <w:r>
        <w:rPr>
          <w:rFonts w:cs="Segoe UI"/>
          <w:b/>
          <w:bCs/>
          <w:szCs w:val="22"/>
          <w:lang w:val="pl"/>
        </w:rPr>
        <w:t xml:space="preserve">, tworzenia przewagi konkurencyjnej poprzez przyspieszenie </w:t>
      </w:r>
      <w:r w:rsidR="00BE04C5">
        <w:rPr>
          <w:rFonts w:cs="Segoe UI"/>
          <w:b/>
          <w:bCs/>
          <w:szCs w:val="22"/>
          <w:lang w:val="pl"/>
        </w:rPr>
        <w:t xml:space="preserve">wdrażania </w:t>
      </w:r>
      <w:r>
        <w:rPr>
          <w:rFonts w:cs="Segoe UI"/>
          <w:b/>
          <w:bCs/>
          <w:szCs w:val="22"/>
          <w:lang w:val="pl"/>
        </w:rPr>
        <w:t xml:space="preserve">innowacji, </w:t>
      </w:r>
      <w:r w:rsidR="00BE04C5">
        <w:rPr>
          <w:rFonts w:cs="Segoe UI"/>
          <w:b/>
          <w:bCs/>
          <w:szCs w:val="22"/>
          <w:lang w:val="pl"/>
        </w:rPr>
        <w:t>dalszą</w:t>
      </w:r>
      <w:r>
        <w:rPr>
          <w:rFonts w:cs="Segoe UI"/>
          <w:b/>
          <w:bCs/>
          <w:szCs w:val="22"/>
          <w:lang w:val="pl"/>
        </w:rPr>
        <w:t xml:space="preserve"> integrację zrównoważonego rozwoju we wszystki</w:t>
      </w:r>
      <w:r w:rsidR="00BE04C5">
        <w:rPr>
          <w:rFonts w:cs="Segoe UI"/>
          <w:b/>
          <w:bCs/>
          <w:szCs w:val="22"/>
          <w:lang w:val="pl"/>
        </w:rPr>
        <w:t>e</w:t>
      </w:r>
      <w:r>
        <w:rPr>
          <w:rFonts w:cs="Segoe UI"/>
          <w:b/>
          <w:bCs/>
          <w:szCs w:val="22"/>
          <w:lang w:val="pl"/>
        </w:rPr>
        <w:t xml:space="preserve"> obszar</w:t>
      </w:r>
      <w:r w:rsidR="00BE04C5">
        <w:rPr>
          <w:rFonts w:cs="Segoe UI"/>
          <w:b/>
          <w:bCs/>
          <w:szCs w:val="22"/>
          <w:lang w:val="pl"/>
        </w:rPr>
        <w:t>y</w:t>
      </w:r>
      <w:r>
        <w:rPr>
          <w:rFonts w:cs="Segoe UI"/>
          <w:b/>
          <w:bCs/>
          <w:szCs w:val="22"/>
          <w:lang w:val="pl"/>
        </w:rPr>
        <w:t xml:space="preserve"> działalności</w:t>
      </w:r>
      <w:r w:rsidR="00BE04C5">
        <w:rPr>
          <w:rFonts w:cs="Segoe UI"/>
          <w:b/>
          <w:bCs/>
          <w:szCs w:val="22"/>
          <w:lang w:val="pl"/>
        </w:rPr>
        <w:t xml:space="preserve"> firmy, </w:t>
      </w:r>
      <w:r>
        <w:rPr>
          <w:rFonts w:cs="Segoe UI"/>
          <w:b/>
          <w:bCs/>
          <w:szCs w:val="22"/>
          <w:lang w:val="pl"/>
        </w:rPr>
        <w:t xml:space="preserve">rozwój cyfryzacji oraz </w:t>
      </w:r>
      <w:r w:rsidR="00BE04C5">
        <w:rPr>
          <w:rFonts w:cs="Segoe UI"/>
          <w:b/>
          <w:bCs/>
          <w:szCs w:val="22"/>
          <w:lang w:val="pl"/>
        </w:rPr>
        <w:t>wdrażanie</w:t>
      </w:r>
      <w:r>
        <w:rPr>
          <w:rFonts w:cs="Segoe UI"/>
          <w:b/>
          <w:bCs/>
          <w:szCs w:val="22"/>
          <w:lang w:val="pl"/>
        </w:rPr>
        <w:t xml:space="preserve"> nowoczesnych modeli operacyjnych. Jednak najważniejsze dla mnie jest to, że wzmocniliśmy kulturę współpracy i stworzyliśmy silny impuls do zmian, które umożliwią nam osiąganie doskonałych wyników i </w:t>
      </w:r>
      <w:r w:rsidR="00BE04C5">
        <w:rPr>
          <w:rFonts w:cs="Segoe UI"/>
          <w:b/>
          <w:bCs/>
          <w:szCs w:val="22"/>
          <w:lang w:val="pl"/>
        </w:rPr>
        <w:t>zamierzonego</w:t>
      </w:r>
      <w:r>
        <w:rPr>
          <w:rFonts w:cs="Segoe UI"/>
          <w:b/>
          <w:bCs/>
          <w:szCs w:val="22"/>
          <w:lang w:val="pl"/>
        </w:rPr>
        <w:t xml:space="preserve"> rozwoju – </w:t>
      </w:r>
      <w:r w:rsidR="00BE04C5">
        <w:rPr>
          <w:rFonts w:cs="Segoe UI"/>
          <w:b/>
          <w:bCs/>
          <w:szCs w:val="22"/>
          <w:lang w:val="pl"/>
        </w:rPr>
        <w:t>w interesie</w:t>
      </w:r>
      <w:r>
        <w:rPr>
          <w:rFonts w:cs="Segoe UI"/>
          <w:b/>
          <w:bCs/>
          <w:szCs w:val="22"/>
          <w:lang w:val="pl"/>
        </w:rPr>
        <w:t xml:space="preserve"> naszych klientów i konsumentów, naszej firmy, pracowników i akcjonariuszy, a </w:t>
      </w:r>
      <w:r w:rsidR="00BE04C5">
        <w:rPr>
          <w:rFonts w:cs="Segoe UI"/>
          <w:b/>
          <w:bCs/>
          <w:szCs w:val="22"/>
          <w:lang w:val="pl"/>
        </w:rPr>
        <w:t xml:space="preserve">w końcu </w:t>
      </w:r>
      <w:r>
        <w:rPr>
          <w:rFonts w:cs="Segoe UI"/>
          <w:b/>
          <w:bCs/>
          <w:szCs w:val="22"/>
          <w:lang w:val="pl"/>
        </w:rPr>
        <w:t>społeczeństwa i planety.</w:t>
      </w:r>
    </w:p>
    <w:p w14:paraId="49467CB9" w14:textId="77777777" w:rsidR="00014767" w:rsidRPr="00866562" w:rsidRDefault="00014767" w:rsidP="00014767">
      <w:pPr>
        <w:rPr>
          <w:rFonts w:cs="Segoe UI"/>
          <w:b/>
          <w:bCs/>
          <w:szCs w:val="22"/>
          <w:lang w:val="pl-PL"/>
        </w:rPr>
      </w:pPr>
    </w:p>
    <w:p w14:paraId="302BB2E7" w14:textId="68363E14" w:rsidR="00014767" w:rsidRPr="00866562" w:rsidRDefault="00014767" w:rsidP="00014767">
      <w:pPr>
        <w:rPr>
          <w:rFonts w:cs="Segoe UI"/>
          <w:b/>
          <w:bCs/>
          <w:szCs w:val="22"/>
          <w:lang w:val="pl-PL"/>
        </w:rPr>
      </w:pPr>
      <w:r>
        <w:rPr>
          <w:rFonts w:cs="Segoe UI"/>
          <w:b/>
          <w:bCs/>
          <w:szCs w:val="22"/>
          <w:lang w:val="pl"/>
        </w:rPr>
        <w:t xml:space="preserve">Sektor biznesowy </w:t>
      </w:r>
      <w:proofErr w:type="spellStart"/>
      <w:r>
        <w:rPr>
          <w:rFonts w:cs="Segoe UI"/>
          <w:b/>
          <w:bCs/>
          <w:szCs w:val="22"/>
          <w:lang w:val="pl"/>
        </w:rPr>
        <w:t>Adhesive</w:t>
      </w:r>
      <w:proofErr w:type="spellEnd"/>
      <w:r>
        <w:rPr>
          <w:rFonts w:cs="Segoe UI"/>
          <w:b/>
          <w:bCs/>
          <w:szCs w:val="22"/>
          <w:lang w:val="pl"/>
        </w:rPr>
        <w:t xml:space="preserve"> Technologies (kleje budowlane i konsumenckie oraz kleje i technologie dla przemysłu) odnotował sprzedaż roczną poniżej poziomu z poprzedniego roku na skutek istotnego spadku popytu w kluczowych branżach</w:t>
      </w:r>
      <w:r w:rsidR="00BE04C5">
        <w:rPr>
          <w:rFonts w:cs="Segoe UI"/>
          <w:b/>
          <w:bCs/>
          <w:szCs w:val="22"/>
          <w:lang w:val="pl"/>
        </w:rPr>
        <w:t xml:space="preserve"> przemysłu</w:t>
      </w:r>
      <w:r>
        <w:rPr>
          <w:rFonts w:cs="Segoe UI"/>
          <w:b/>
          <w:bCs/>
          <w:szCs w:val="22"/>
          <w:lang w:val="pl"/>
        </w:rPr>
        <w:t>. Jednak dzięki szerokiej ofercie asortymentowej i udanym rozwiązaniom innowacyjnym sektor udowodnił swoją odporność na niekorzystne zmiany w czasie globalnego spowolnienia gospodarczego.</w:t>
      </w:r>
      <w:bookmarkStart w:id="1" w:name="_Hlk63415665"/>
    </w:p>
    <w:p w14:paraId="177B1EC3" w14:textId="77777777" w:rsidR="00014767" w:rsidRPr="00866562" w:rsidRDefault="00014767" w:rsidP="00014767">
      <w:pPr>
        <w:rPr>
          <w:rFonts w:cs="Segoe UI"/>
          <w:b/>
          <w:bCs/>
          <w:szCs w:val="22"/>
          <w:lang w:val="pl-PL"/>
        </w:rPr>
      </w:pPr>
    </w:p>
    <w:p w14:paraId="6957E652" w14:textId="77777777" w:rsidR="00014767" w:rsidRPr="00866562" w:rsidRDefault="00014767" w:rsidP="00014767">
      <w:pPr>
        <w:rPr>
          <w:rFonts w:cs="Segoe UI"/>
          <w:b/>
          <w:bCs/>
          <w:szCs w:val="22"/>
          <w:lang w:val="pl-PL"/>
        </w:rPr>
      </w:pPr>
      <w:r>
        <w:rPr>
          <w:rFonts w:cs="Segoe UI"/>
          <w:b/>
          <w:bCs/>
          <w:szCs w:val="22"/>
          <w:lang w:val="pl"/>
        </w:rPr>
        <w:t xml:space="preserve">Organiczny wzrost sprzedaży w sektorze </w:t>
      </w:r>
      <w:proofErr w:type="spellStart"/>
      <w:r>
        <w:rPr>
          <w:rFonts w:cs="Segoe UI"/>
          <w:b/>
          <w:bCs/>
          <w:szCs w:val="22"/>
          <w:lang w:val="pl"/>
        </w:rPr>
        <w:t>Beauty</w:t>
      </w:r>
      <w:proofErr w:type="spellEnd"/>
      <w:r>
        <w:rPr>
          <w:rFonts w:cs="Segoe UI"/>
          <w:b/>
          <w:bCs/>
          <w:szCs w:val="22"/>
          <w:lang w:val="pl"/>
        </w:rPr>
        <w:t xml:space="preserve"> </w:t>
      </w:r>
      <w:proofErr w:type="spellStart"/>
      <w:r>
        <w:rPr>
          <w:rFonts w:cs="Segoe UI"/>
          <w:b/>
          <w:bCs/>
          <w:szCs w:val="22"/>
          <w:lang w:val="pl"/>
        </w:rPr>
        <w:t>Care</w:t>
      </w:r>
      <w:proofErr w:type="spellEnd"/>
      <w:r>
        <w:rPr>
          <w:rFonts w:cs="Segoe UI"/>
          <w:b/>
          <w:bCs/>
          <w:szCs w:val="22"/>
          <w:lang w:val="pl"/>
        </w:rPr>
        <w:t xml:space="preserve"> (kosmetyki) spadł rok do roku, głównie za sprawą segmentu </w:t>
      </w:r>
      <w:proofErr w:type="spellStart"/>
      <w:r>
        <w:rPr>
          <w:rFonts w:cs="Segoe UI"/>
          <w:b/>
          <w:bCs/>
          <w:szCs w:val="22"/>
          <w:lang w:val="pl"/>
        </w:rPr>
        <w:t>Hair</w:t>
      </w:r>
      <w:proofErr w:type="spellEnd"/>
      <w:r>
        <w:rPr>
          <w:rFonts w:cs="Segoe UI"/>
          <w:b/>
          <w:bCs/>
          <w:szCs w:val="22"/>
          <w:lang w:val="pl"/>
        </w:rPr>
        <w:t xml:space="preserve"> Salon, który odczuł skutki odgórnego zamknięcia handlu i usług. Natomiast segment detaliczny odnotował duży wzrost dzięki </w:t>
      </w:r>
      <w:bookmarkEnd w:id="1"/>
      <w:r>
        <w:rPr>
          <w:rFonts w:cs="Segoe UI"/>
          <w:b/>
          <w:bCs/>
          <w:szCs w:val="22"/>
          <w:lang w:val="pl"/>
        </w:rPr>
        <w:t xml:space="preserve">rozwojowi głównych marek i wprowadzaniu nowych produktów odpowiadających na główne trendy konsumenckie. </w:t>
      </w:r>
    </w:p>
    <w:p w14:paraId="6C2BBC91" w14:textId="77777777" w:rsidR="00014767" w:rsidRPr="00866562" w:rsidRDefault="00014767" w:rsidP="00014767">
      <w:pPr>
        <w:rPr>
          <w:rFonts w:cs="Segoe UI"/>
          <w:b/>
          <w:bCs/>
          <w:szCs w:val="22"/>
          <w:lang w:val="pl-PL"/>
        </w:rPr>
      </w:pPr>
    </w:p>
    <w:p w14:paraId="64EDEC47" w14:textId="77777777" w:rsidR="00014767" w:rsidRPr="00866562" w:rsidRDefault="00014767" w:rsidP="00014767">
      <w:pPr>
        <w:rPr>
          <w:rFonts w:cs="Segoe UI"/>
          <w:b/>
          <w:bCs/>
          <w:szCs w:val="22"/>
          <w:lang w:val="pl-PL"/>
        </w:rPr>
      </w:pPr>
      <w:r>
        <w:rPr>
          <w:rFonts w:cs="Segoe UI"/>
          <w:b/>
          <w:bCs/>
          <w:szCs w:val="22"/>
          <w:lang w:val="pl"/>
        </w:rPr>
        <w:t xml:space="preserve">Sektor </w:t>
      </w:r>
      <w:proofErr w:type="spellStart"/>
      <w:r>
        <w:rPr>
          <w:rFonts w:cs="Segoe UI"/>
          <w:b/>
          <w:bCs/>
          <w:szCs w:val="22"/>
          <w:lang w:val="pl"/>
        </w:rPr>
        <w:t>Laundry</w:t>
      </w:r>
      <w:proofErr w:type="spellEnd"/>
      <w:r>
        <w:rPr>
          <w:rFonts w:cs="Segoe UI"/>
          <w:b/>
          <w:bCs/>
          <w:szCs w:val="22"/>
          <w:lang w:val="pl"/>
        </w:rPr>
        <w:t xml:space="preserve"> &amp; Home </w:t>
      </w:r>
      <w:proofErr w:type="spellStart"/>
      <w:r>
        <w:rPr>
          <w:rFonts w:cs="Segoe UI"/>
          <w:b/>
          <w:bCs/>
          <w:szCs w:val="22"/>
          <w:lang w:val="pl"/>
        </w:rPr>
        <w:t>Care</w:t>
      </w:r>
      <w:proofErr w:type="spellEnd"/>
      <w:r>
        <w:rPr>
          <w:rFonts w:cs="Segoe UI"/>
          <w:b/>
          <w:bCs/>
          <w:szCs w:val="22"/>
          <w:lang w:val="pl"/>
        </w:rPr>
        <w:t xml:space="preserve"> (środki piorące i czystości) odnotował bardzo silny wzrost sprzedaży organicznej dzięki rosnącemu popytowi na artykuły związane z higieną i dzięki udanym innowacjom, które dodatkowo zaspokajają zwiększony popyt na produkty bardziej przyjazne środowisku. </w:t>
      </w:r>
    </w:p>
    <w:p w14:paraId="168E4553" w14:textId="77777777" w:rsidR="00014767" w:rsidRPr="00866562" w:rsidRDefault="00014767" w:rsidP="00014767">
      <w:pPr>
        <w:rPr>
          <w:rFonts w:cs="Segoe UI"/>
          <w:b/>
          <w:bCs/>
          <w:szCs w:val="22"/>
          <w:lang w:val="pl-PL"/>
        </w:rPr>
      </w:pPr>
    </w:p>
    <w:p w14:paraId="6B063959" w14:textId="77777777" w:rsidR="00014767" w:rsidRPr="00866562" w:rsidRDefault="00014767" w:rsidP="00014767">
      <w:pPr>
        <w:rPr>
          <w:rFonts w:cs="Segoe UI"/>
          <w:b/>
          <w:bCs/>
          <w:szCs w:val="22"/>
          <w:lang w:val="pl-PL"/>
        </w:rPr>
      </w:pPr>
      <w:r>
        <w:rPr>
          <w:b/>
          <w:bCs/>
          <w:szCs w:val="22"/>
          <w:lang w:val="pl"/>
        </w:rPr>
        <w:t xml:space="preserve">Po silnych spadkach sprzedaży wywołanych pandemią i zamknięciem gospodarki w drugim kwartale roku, które dotknęły sektory </w:t>
      </w:r>
      <w:proofErr w:type="spellStart"/>
      <w:r>
        <w:rPr>
          <w:b/>
          <w:bCs/>
          <w:szCs w:val="22"/>
          <w:lang w:val="pl"/>
        </w:rPr>
        <w:t>Adhesive</w:t>
      </w:r>
      <w:proofErr w:type="spellEnd"/>
      <w:r>
        <w:rPr>
          <w:b/>
          <w:bCs/>
          <w:szCs w:val="22"/>
          <w:lang w:val="pl"/>
        </w:rPr>
        <w:t xml:space="preserve"> Technologies </w:t>
      </w:r>
      <w:r>
        <w:rPr>
          <w:rFonts w:cs="Segoe UI"/>
          <w:b/>
          <w:bCs/>
          <w:szCs w:val="22"/>
          <w:lang w:val="pl"/>
        </w:rPr>
        <w:t>(kleje budowlane i konsumenckie oraz kleje i technologie dla przemysłu)</w:t>
      </w:r>
      <w:r>
        <w:rPr>
          <w:b/>
          <w:bCs/>
          <w:szCs w:val="22"/>
          <w:lang w:val="pl"/>
        </w:rPr>
        <w:t xml:space="preserve"> oraz </w:t>
      </w:r>
      <w:proofErr w:type="spellStart"/>
      <w:r>
        <w:rPr>
          <w:b/>
          <w:bCs/>
          <w:szCs w:val="22"/>
          <w:lang w:val="pl"/>
        </w:rPr>
        <w:t>Beauty</w:t>
      </w:r>
      <w:proofErr w:type="spellEnd"/>
      <w:r>
        <w:rPr>
          <w:b/>
          <w:bCs/>
          <w:szCs w:val="22"/>
          <w:lang w:val="pl"/>
        </w:rPr>
        <w:t xml:space="preserve"> </w:t>
      </w:r>
      <w:proofErr w:type="spellStart"/>
      <w:r>
        <w:rPr>
          <w:b/>
          <w:bCs/>
          <w:szCs w:val="22"/>
          <w:lang w:val="pl"/>
        </w:rPr>
        <w:t>Care</w:t>
      </w:r>
      <w:proofErr w:type="spellEnd"/>
      <w:r>
        <w:rPr>
          <w:b/>
          <w:bCs/>
          <w:szCs w:val="22"/>
          <w:lang w:val="pl"/>
        </w:rPr>
        <w:t xml:space="preserve"> </w:t>
      </w:r>
      <w:r>
        <w:rPr>
          <w:rFonts w:cs="Segoe UI"/>
          <w:b/>
          <w:bCs/>
          <w:szCs w:val="22"/>
          <w:lang w:val="pl"/>
        </w:rPr>
        <w:t>(kosmetyki)</w:t>
      </w:r>
      <w:r>
        <w:rPr>
          <w:b/>
          <w:bCs/>
          <w:szCs w:val="22"/>
          <w:lang w:val="pl"/>
        </w:rPr>
        <w:t xml:space="preserve">, w drugiej połowie 2020 roku wszystkie trzy sektory biznesowe odnotowały wysoki wzrost organiczny w ujęciu rok do roku. Wzrost w segmentach dóbr konsumpcyjnych, </w:t>
      </w:r>
      <w:proofErr w:type="spellStart"/>
      <w:r>
        <w:rPr>
          <w:b/>
          <w:bCs/>
          <w:szCs w:val="22"/>
          <w:lang w:val="pl"/>
        </w:rPr>
        <w:t>Beauty</w:t>
      </w:r>
      <w:proofErr w:type="spellEnd"/>
      <w:r>
        <w:rPr>
          <w:b/>
          <w:bCs/>
          <w:szCs w:val="22"/>
          <w:lang w:val="pl"/>
        </w:rPr>
        <w:t xml:space="preserve"> </w:t>
      </w:r>
      <w:proofErr w:type="spellStart"/>
      <w:r>
        <w:rPr>
          <w:b/>
          <w:bCs/>
          <w:szCs w:val="22"/>
          <w:lang w:val="pl"/>
        </w:rPr>
        <w:t>Care</w:t>
      </w:r>
      <w:proofErr w:type="spellEnd"/>
      <w:r>
        <w:rPr>
          <w:b/>
          <w:bCs/>
          <w:szCs w:val="22"/>
          <w:lang w:val="pl"/>
        </w:rPr>
        <w:t xml:space="preserve"> </w:t>
      </w:r>
      <w:r>
        <w:rPr>
          <w:rFonts w:cs="Segoe UI"/>
          <w:b/>
          <w:bCs/>
          <w:szCs w:val="22"/>
          <w:lang w:val="pl"/>
        </w:rPr>
        <w:t>(kosmetyki)</w:t>
      </w:r>
      <w:r>
        <w:rPr>
          <w:b/>
          <w:bCs/>
          <w:szCs w:val="22"/>
          <w:lang w:val="pl"/>
        </w:rPr>
        <w:t xml:space="preserve"> i </w:t>
      </w:r>
      <w:proofErr w:type="spellStart"/>
      <w:r>
        <w:rPr>
          <w:b/>
          <w:bCs/>
          <w:szCs w:val="22"/>
          <w:lang w:val="pl"/>
        </w:rPr>
        <w:t>Laundry</w:t>
      </w:r>
      <w:proofErr w:type="spellEnd"/>
      <w:r>
        <w:rPr>
          <w:b/>
          <w:bCs/>
          <w:szCs w:val="22"/>
          <w:lang w:val="pl"/>
        </w:rPr>
        <w:t xml:space="preserve"> &amp; Home </w:t>
      </w:r>
      <w:proofErr w:type="spellStart"/>
      <w:r>
        <w:rPr>
          <w:b/>
          <w:bCs/>
          <w:szCs w:val="22"/>
          <w:lang w:val="pl"/>
        </w:rPr>
        <w:t>Care</w:t>
      </w:r>
      <w:proofErr w:type="spellEnd"/>
      <w:r>
        <w:rPr>
          <w:b/>
          <w:bCs/>
          <w:szCs w:val="22"/>
          <w:lang w:val="pl"/>
        </w:rPr>
        <w:t xml:space="preserve"> </w:t>
      </w:r>
      <w:r>
        <w:rPr>
          <w:rFonts w:cs="Segoe UI"/>
          <w:b/>
          <w:bCs/>
          <w:szCs w:val="22"/>
          <w:lang w:val="pl"/>
        </w:rPr>
        <w:t xml:space="preserve">(środki piorące i czystości) </w:t>
      </w:r>
      <w:r>
        <w:rPr>
          <w:b/>
          <w:bCs/>
          <w:szCs w:val="22"/>
          <w:lang w:val="pl"/>
        </w:rPr>
        <w:t>był możliwy również dzięki zwiększonym</w:t>
      </w:r>
      <w:r>
        <w:rPr>
          <w:b/>
          <w:bCs/>
          <w:lang w:val="pl"/>
        </w:rPr>
        <w:t xml:space="preserve"> </w:t>
      </w:r>
      <w:r>
        <w:rPr>
          <w:b/>
          <w:bCs/>
          <w:szCs w:val="22"/>
          <w:lang w:val="pl"/>
        </w:rPr>
        <w:t xml:space="preserve">inwestycjom w marki, innowacje i cyfryzację. </w:t>
      </w:r>
    </w:p>
    <w:p w14:paraId="68D2EE03" w14:textId="77777777" w:rsidR="00014767" w:rsidRPr="00866562" w:rsidRDefault="00014767" w:rsidP="00014767">
      <w:pPr>
        <w:rPr>
          <w:rFonts w:cs="Segoe UI"/>
          <w:b/>
          <w:bCs/>
          <w:szCs w:val="22"/>
          <w:lang w:val="pl-PL"/>
        </w:rPr>
      </w:pPr>
    </w:p>
    <w:p w14:paraId="7F01CB78" w14:textId="7CE83502" w:rsidR="00014767" w:rsidRPr="00866562" w:rsidRDefault="00014767" w:rsidP="00014767">
      <w:pPr>
        <w:rPr>
          <w:rFonts w:cs="Segoe UI"/>
          <w:b/>
          <w:bCs/>
          <w:szCs w:val="22"/>
          <w:lang w:val="pl-PL"/>
        </w:rPr>
      </w:pPr>
      <w:r>
        <w:rPr>
          <w:rFonts w:cs="Segoe UI"/>
          <w:b/>
          <w:bCs/>
          <w:szCs w:val="22"/>
          <w:lang w:val="pl"/>
        </w:rPr>
        <w:t xml:space="preserve">Na poziomie Grupy, skorygowany EBIT spadł o 19,9% do poziomu 2,6 mld euro. Skorygowana rentowność sprzedaży (marża EBIT) ukształtowała się na poziomie 13,4%, o 2,6 punktu procentowego niższym niż w 2019 roku. Skorygowany zysk na akcję uprzywilejowaną wyniósł 4,26 euro, co oznacza spadek o 17,9% przy niezmienionych kursach walut. </w:t>
      </w:r>
    </w:p>
    <w:p w14:paraId="02E7A765" w14:textId="77777777" w:rsidR="00014767" w:rsidRPr="00866562" w:rsidRDefault="00014767" w:rsidP="00014767">
      <w:pPr>
        <w:rPr>
          <w:rFonts w:cs="Segoe UI"/>
          <w:b/>
          <w:bCs/>
          <w:szCs w:val="22"/>
          <w:lang w:val="pl-PL"/>
        </w:rPr>
      </w:pPr>
    </w:p>
    <w:p w14:paraId="0C0D7748" w14:textId="77777777" w:rsidR="00014767" w:rsidRPr="00866562" w:rsidRDefault="00014767" w:rsidP="00014767">
      <w:pPr>
        <w:rPr>
          <w:rFonts w:cs="Segoe UI"/>
          <w:b/>
          <w:bCs/>
          <w:szCs w:val="22"/>
          <w:lang w:val="pl-PL"/>
        </w:rPr>
      </w:pPr>
      <w:r>
        <w:rPr>
          <w:rFonts w:cs="Segoe UI"/>
          <w:b/>
          <w:bCs/>
          <w:szCs w:val="22"/>
          <w:lang w:val="pl"/>
        </w:rPr>
        <w:t xml:space="preserve">– Dynamika zysku odzwierciedla wzrost inwestycji, które pomimo kryzysu zwiększyliśmy zgodnie z zapowiedziami z początku 2020 roku. Spadek popytu w kluczowych segmentach działalności w trakcie kryzysu COVID-19 również negatywnie wpłynął na naszą rentowność. Jednak dzięki skutecznemu zarządzaniu kosztami i wdrożeniu ulepszonych modeli operacyjnych udało nam się częściowo złagodzić wpływ kryzysu na zysk – wyjaśnił </w:t>
      </w:r>
      <w:proofErr w:type="spellStart"/>
      <w:r>
        <w:rPr>
          <w:rFonts w:cs="Segoe UI"/>
          <w:b/>
          <w:bCs/>
          <w:szCs w:val="22"/>
          <w:lang w:val="pl"/>
        </w:rPr>
        <w:t>Carsten</w:t>
      </w:r>
      <w:proofErr w:type="spellEnd"/>
      <w:r>
        <w:rPr>
          <w:rFonts w:cs="Segoe UI"/>
          <w:b/>
          <w:bCs/>
          <w:szCs w:val="22"/>
          <w:lang w:val="pl"/>
        </w:rPr>
        <w:t xml:space="preserve"> </w:t>
      </w:r>
      <w:proofErr w:type="spellStart"/>
      <w:r>
        <w:rPr>
          <w:rFonts w:cs="Segoe UI"/>
          <w:b/>
          <w:bCs/>
          <w:szCs w:val="22"/>
          <w:lang w:val="pl"/>
        </w:rPr>
        <w:t>Knobel</w:t>
      </w:r>
      <w:proofErr w:type="spellEnd"/>
      <w:r>
        <w:rPr>
          <w:rFonts w:cs="Segoe UI"/>
          <w:b/>
          <w:bCs/>
          <w:szCs w:val="22"/>
          <w:lang w:val="pl"/>
        </w:rPr>
        <w:t>.</w:t>
      </w:r>
    </w:p>
    <w:p w14:paraId="7BA5B15D" w14:textId="77777777" w:rsidR="00014767" w:rsidRPr="00866562" w:rsidRDefault="00014767" w:rsidP="00014767">
      <w:pPr>
        <w:rPr>
          <w:rFonts w:cs="Segoe UI"/>
          <w:b/>
          <w:bCs/>
          <w:szCs w:val="22"/>
          <w:lang w:val="pl-PL"/>
        </w:rPr>
      </w:pPr>
    </w:p>
    <w:p w14:paraId="1E923410" w14:textId="666454B9" w:rsidR="00014767" w:rsidRPr="00866562" w:rsidRDefault="00014767" w:rsidP="00014767">
      <w:pPr>
        <w:rPr>
          <w:rFonts w:cs="Segoe UI"/>
          <w:b/>
          <w:bCs/>
          <w:szCs w:val="22"/>
          <w:lang w:val="pl-PL"/>
        </w:rPr>
      </w:pPr>
      <w:r>
        <w:rPr>
          <w:rFonts w:cs="Segoe UI"/>
          <w:b/>
          <w:bCs/>
          <w:szCs w:val="22"/>
          <w:lang w:val="pl"/>
        </w:rPr>
        <w:t>– Zarządzając obecnym kryzysem, kontynuujemy zaangażowanie w realizację ambitnego programu rozwoju na najbliższe lata</w:t>
      </w:r>
      <w:r>
        <w:rPr>
          <w:rFonts w:cs="Segoe UI"/>
          <w:szCs w:val="22"/>
          <w:lang w:val="pl"/>
        </w:rPr>
        <w:t>.</w:t>
      </w:r>
      <w:r>
        <w:rPr>
          <w:rFonts w:cs="Segoe UI"/>
          <w:b/>
          <w:bCs/>
          <w:szCs w:val="22"/>
          <w:lang w:val="pl"/>
        </w:rPr>
        <w:t xml:space="preserve"> Patrząc w przyszłość, jesteśmy przekonani, że wraz z pracownikami z całego świata uda nam się zrealizować program Ukierunkowanego Rozwoju </w:t>
      </w:r>
      <w:r w:rsidR="009E34CB">
        <w:rPr>
          <w:rFonts w:cs="Segoe UI"/>
          <w:b/>
          <w:bCs/>
          <w:szCs w:val="22"/>
          <w:lang w:val="pl"/>
        </w:rPr>
        <w:t>(</w:t>
      </w:r>
      <w:proofErr w:type="spellStart"/>
      <w:r w:rsidR="009E34CB">
        <w:rPr>
          <w:rFonts w:cs="Segoe UI"/>
          <w:b/>
          <w:bCs/>
          <w:szCs w:val="22"/>
          <w:lang w:val="pl"/>
        </w:rPr>
        <w:t>Purposeful</w:t>
      </w:r>
      <w:proofErr w:type="spellEnd"/>
      <w:r w:rsidR="009E34CB">
        <w:rPr>
          <w:rFonts w:cs="Segoe UI"/>
          <w:b/>
          <w:bCs/>
          <w:szCs w:val="22"/>
          <w:lang w:val="pl"/>
        </w:rPr>
        <w:t xml:space="preserve"> </w:t>
      </w:r>
      <w:proofErr w:type="spellStart"/>
      <w:r w:rsidR="009E34CB">
        <w:rPr>
          <w:rFonts w:cs="Segoe UI"/>
          <w:b/>
          <w:bCs/>
          <w:szCs w:val="22"/>
          <w:lang w:val="pl"/>
        </w:rPr>
        <w:t>Growth</w:t>
      </w:r>
      <w:proofErr w:type="spellEnd"/>
      <w:r w:rsidR="009E34CB">
        <w:rPr>
          <w:rFonts w:cs="Segoe UI"/>
          <w:b/>
          <w:bCs/>
          <w:szCs w:val="22"/>
          <w:lang w:val="pl"/>
        </w:rPr>
        <w:t xml:space="preserve">) </w:t>
      </w:r>
      <w:r>
        <w:rPr>
          <w:rFonts w:cs="Segoe UI"/>
          <w:b/>
          <w:bCs/>
          <w:szCs w:val="22"/>
          <w:lang w:val="pl"/>
        </w:rPr>
        <w:t>i z powodzeniem kształtować naszą przyszłość.</w:t>
      </w:r>
    </w:p>
    <w:p w14:paraId="69E41B1C" w14:textId="77777777" w:rsidR="00014767" w:rsidRPr="00866562" w:rsidRDefault="00014767" w:rsidP="00014767">
      <w:pPr>
        <w:rPr>
          <w:rFonts w:cs="Segoe UI"/>
          <w:b/>
          <w:bCs/>
          <w:szCs w:val="22"/>
          <w:lang w:val="pl-PL"/>
        </w:rPr>
      </w:pPr>
    </w:p>
    <w:p w14:paraId="6EF0DE15" w14:textId="77777777" w:rsidR="00014767" w:rsidRPr="00866562" w:rsidRDefault="00014767" w:rsidP="00014767">
      <w:pPr>
        <w:spacing w:after="120"/>
        <w:rPr>
          <w:rFonts w:cs="Segoe UI"/>
          <w:b/>
          <w:bCs/>
          <w:szCs w:val="22"/>
          <w:lang w:val="pl-PL"/>
        </w:rPr>
      </w:pPr>
      <w:r>
        <w:rPr>
          <w:rFonts w:cs="Segoe UI"/>
          <w:b/>
          <w:bCs/>
          <w:szCs w:val="22"/>
          <w:lang w:val="pl"/>
        </w:rPr>
        <w:t>Prognozy na 2021 rok</w:t>
      </w:r>
    </w:p>
    <w:p w14:paraId="2984AE76" w14:textId="58334299" w:rsidR="00014767" w:rsidRPr="00866562" w:rsidRDefault="00014767" w:rsidP="00014767">
      <w:pPr>
        <w:rPr>
          <w:rFonts w:cs="Segoe UI"/>
          <w:b/>
          <w:bCs/>
          <w:szCs w:val="22"/>
          <w:lang w:val="pl-PL"/>
        </w:rPr>
      </w:pPr>
      <w:r>
        <w:rPr>
          <w:rFonts w:cs="Segoe UI"/>
          <w:b/>
          <w:bCs/>
          <w:szCs w:val="22"/>
          <w:lang w:val="pl"/>
        </w:rPr>
        <w:t xml:space="preserve">– U progu 2021 roku dalej towarzyszy nam duża niepewność co do dalszego rozwoju pandemii, tempa szczepień i wpływu tych czynników na ograniczenia wprowadzane na szeroką skalę w wielu krajach. Spodziewamy się, że popyt ze strony branży przemysłowej oraz sytuacja istotnych dla spółki segmentów konsumenckich, zwłaszcza </w:t>
      </w:r>
      <w:proofErr w:type="spellStart"/>
      <w:r>
        <w:rPr>
          <w:rFonts w:cs="Segoe UI"/>
          <w:b/>
          <w:bCs/>
          <w:szCs w:val="22"/>
          <w:lang w:val="pl"/>
        </w:rPr>
        <w:t>Hair</w:t>
      </w:r>
      <w:proofErr w:type="spellEnd"/>
      <w:r>
        <w:rPr>
          <w:rFonts w:cs="Segoe UI"/>
          <w:b/>
          <w:bCs/>
          <w:szCs w:val="22"/>
          <w:lang w:val="pl"/>
        </w:rPr>
        <w:t xml:space="preserve"> Salon</w:t>
      </w:r>
      <w:r w:rsidR="009E34CB">
        <w:rPr>
          <w:rFonts w:cs="Segoe UI"/>
          <w:b/>
          <w:bCs/>
          <w:szCs w:val="22"/>
          <w:lang w:val="pl"/>
        </w:rPr>
        <w:t xml:space="preserve"> </w:t>
      </w:r>
      <w:r w:rsidR="009E34CB" w:rsidRPr="009E34CB">
        <w:rPr>
          <w:rFonts w:cs="Segoe UI"/>
          <w:b/>
          <w:bCs/>
          <w:szCs w:val="22"/>
          <w:lang w:val="pl"/>
        </w:rPr>
        <w:t>(specjalistyczne kosmetyki dla salonów fryzjerskich)</w:t>
      </w:r>
      <w:r w:rsidRPr="009E34CB">
        <w:rPr>
          <w:rFonts w:cs="Segoe UI"/>
          <w:b/>
          <w:bCs/>
          <w:szCs w:val="22"/>
          <w:lang w:val="pl"/>
        </w:rPr>
        <w:t>,</w:t>
      </w:r>
      <w:r>
        <w:rPr>
          <w:rFonts w:cs="Segoe UI"/>
          <w:b/>
          <w:bCs/>
          <w:szCs w:val="22"/>
          <w:lang w:val="pl"/>
        </w:rPr>
        <w:t xml:space="preserve"> ulegną poprawie. Jednocześnie przewidujemy, że popyt na produkty, które ze względu na pandemię cieszyły się zwiększonym zainteresowaniem, wróci do normalnego poziomu. Ponadto zakładamy, że obecne ograniczenia na wielu kluczowych rynkach zostaną zniesione w pierwszym kwartale, i że w pozostałej części roku nie dojdzie do zamknięć placówek handlu detalicznego, przemysłu czy zakładów produkcyjnych – powiedział </w:t>
      </w:r>
      <w:proofErr w:type="spellStart"/>
      <w:r>
        <w:rPr>
          <w:rFonts w:cs="Segoe UI"/>
          <w:b/>
          <w:bCs/>
          <w:szCs w:val="22"/>
          <w:lang w:val="pl"/>
        </w:rPr>
        <w:t>Carsten</w:t>
      </w:r>
      <w:proofErr w:type="spellEnd"/>
      <w:r>
        <w:rPr>
          <w:rFonts w:cs="Segoe UI"/>
          <w:b/>
          <w:bCs/>
          <w:szCs w:val="22"/>
          <w:lang w:val="pl"/>
        </w:rPr>
        <w:t xml:space="preserve"> </w:t>
      </w:r>
      <w:proofErr w:type="spellStart"/>
      <w:r>
        <w:rPr>
          <w:rFonts w:cs="Segoe UI"/>
          <w:b/>
          <w:bCs/>
          <w:szCs w:val="22"/>
          <w:lang w:val="pl"/>
        </w:rPr>
        <w:t>Knobel</w:t>
      </w:r>
      <w:proofErr w:type="spellEnd"/>
      <w:r>
        <w:rPr>
          <w:rFonts w:cs="Segoe UI"/>
          <w:b/>
          <w:bCs/>
          <w:szCs w:val="22"/>
          <w:lang w:val="pl"/>
        </w:rPr>
        <w:t xml:space="preserve">. </w:t>
      </w:r>
    </w:p>
    <w:p w14:paraId="6225AED2" w14:textId="77777777" w:rsidR="00014767" w:rsidRPr="00866562" w:rsidRDefault="00014767" w:rsidP="00014767">
      <w:pPr>
        <w:rPr>
          <w:rFonts w:cs="Segoe UI"/>
          <w:b/>
          <w:bCs/>
          <w:szCs w:val="22"/>
          <w:lang w:val="pl-PL"/>
        </w:rPr>
      </w:pPr>
    </w:p>
    <w:p w14:paraId="5AB092D7" w14:textId="77777777" w:rsidR="00014767" w:rsidRPr="00866562" w:rsidRDefault="00014767" w:rsidP="00014767">
      <w:pPr>
        <w:rPr>
          <w:rFonts w:cs="Segoe UI"/>
          <w:b/>
          <w:bCs/>
          <w:szCs w:val="22"/>
          <w:lang w:val="pl-PL"/>
        </w:rPr>
      </w:pPr>
      <w:r>
        <w:rPr>
          <w:rFonts w:cs="Segoe UI"/>
          <w:b/>
          <w:bCs/>
          <w:szCs w:val="22"/>
          <w:lang w:val="pl"/>
        </w:rPr>
        <w:t>Zgodnie z tymi założeniami Henkel spodziewa się wzrostu sprzedaży i zysków w roku obrotowym 2021. Spółka prognozuje wzrost sprzedaży w ujęciu organicznym na poziomie 2,0%–5,0% oraz skorygowaną rentowność sprzedaży (marża EBIT</w:t>
      </w:r>
      <w:bookmarkStart w:id="2" w:name="_Hlk62818311"/>
      <w:r>
        <w:rPr>
          <w:rFonts w:cs="Segoe UI"/>
          <w:b/>
          <w:bCs/>
          <w:szCs w:val="22"/>
          <w:lang w:val="pl"/>
        </w:rPr>
        <w:t>) w przedziale 13,5%–14,5%. Przewidywany wzrost na poziomie skorygowanego zysku na akcję uprzywilejowaną, przy założeniu niezmiennych kursów walut, ma wynieść między 5,0% a 15,0%.</w:t>
      </w:r>
    </w:p>
    <w:bookmarkEnd w:id="2"/>
    <w:p w14:paraId="42FE392B" w14:textId="77777777" w:rsidR="00014767" w:rsidRPr="00866562" w:rsidRDefault="00014767" w:rsidP="00014767">
      <w:pPr>
        <w:rPr>
          <w:rFonts w:cs="Segoe UI"/>
          <w:b/>
          <w:bCs/>
          <w:szCs w:val="22"/>
          <w:lang w:val="pl-PL"/>
        </w:rPr>
      </w:pPr>
    </w:p>
    <w:p w14:paraId="2DE3F226" w14:textId="77777777" w:rsidR="00014767" w:rsidRPr="00866562" w:rsidRDefault="00014767" w:rsidP="00014767">
      <w:pPr>
        <w:spacing w:after="120"/>
        <w:rPr>
          <w:rFonts w:cs="Segoe UI"/>
          <w:b/>
          <w:bCs/>
          <w:szCs w:val="22"/>
          <w:lang w:val="pl-PL"/>
        </w:rPr>
      </w:pPr>
      <w:r>
        <w:rPr>
          <w:rFonts w:cs="Segoe UI"/>
          <w:b/>
          <w:bCs/>
          <w:szCs w:val="22"/>
          <w:lang w:val="pl"/>
        </w:rPr>
        <w:t>Sprzedaż i zysk Grupy w roku obrotowym 2020</w:t>
      </w:r>
    </w:p>
    <w:p w14:paraId="1CCD793E" w14:textId="33C98005" w:rsidR="00014767" w:rsidRPr="00866562" w:rsidRDefault="00014767" w:rsidP="00014767">
      <w:pPr>
        <w:rPr>
          <w:rFonts w:cs="Segoe UI"/>
          <w:szCs w:val="22"/>
          <w:lang w:val="pl-PL"/>
        </w:rPr>
      </w:pPr>
      <w:r>
        <w:rPr>
          <w:rFonts w:cs="Segoe UI"/>
          <w:b/>
          <w:bCs/>
          <w:szCs w:val="22"/>
          <w:lang w:val="pl"/>
        </w:rPr>
        <w:t xml:space="preserve">Przychody ze sprzedaży </w:t>
      </w:r>
      <w:r>
        <w:rPr>
          <w:rFonts w:cs="Segoe UI"/>
          <w:szCs w:val="22"/>
          <w:lang w:val="pl"/>
        </w:rPr>
        <w:t xml:space="preserve">odnotowane przez Grupę Henkel w 2020 roku wyniosły 19 250 mln euro i były o 4,3% niższe niż w roku poprzednim. Dynamika przychodów ze sprzedaży </w:t>
      </w:r>
      <w:r>
        <w:rPr>
          <w:rFonts w:cs="Segoe UI"/>
          <w:b/>
          <w:bCs/>
          <w:szCs w:val="22"/>
          <w:lang w:val="pl"/>
        </w:rPr>
        <w:t>w ujęciu organicznym</w:t>
      </w:r>
      <w:r>
        <w:rPr>
          <w:rFonts w:cs="Segoe UI"/>
          <w:szCs w:val="22"/>
          <w:lang w:val="pl"/>
        </w:rPr>
        <w:t xml:space="preserve">, tj. bez uwzględnienia wpływu różnic kursowych oraz transakcji przejęć i zbycia aktywów, była ujemna i wyniosła </w:t>
      </w:r>
      <w:r w:rsidR="009E34CB">
        <w:rPr>
          <w:rFonts w:cs="Segoe UI"/>
          <w:szCs w:val="22"/>
          <w:lang w:val="pl"/>
        </w:rPr>
        <w:t xml:space="preserve">- </w:t>
      </w:r>
      <w:r>
        <w:rPr>
          <w:rFonts w:cs="Segoe UI"/>
          <w:szCs w:val="22"/>
          <w:lang w:val="pl"/>
        </w:rPr>
        <w:t>0,7%. Wpływ transakcji przejęć i zbycia aktywów wyniósł 0,3%. Jednak na skutek niekorzystnych zmian kursów walut przychody ze sprzedaży uległy obniżeniu o 3.9%.</w:t>
      </w:r>
    </w:p>
    <w:p w14:paraId="11B10669" w14:textId="77777777" w:rsidR="00014767" w:rsidRPr="00866562" w:rsidRDefault="00014767" w:rsidP="00014767">
      <w:pPr>
        <w:rPr>
          <w:rFonts w:cs="Segoe UI"/>
          <w:szCs w:val="22"/>
          <w:lang w:val="pl-PL"/>
        </w:rPr>
      </w:pPr>
    </w:p>
    <w:p w14:paraId="4F4F972D" w14:textId="6D300406" w:rsidR="00014767" w:rsidRPr="00866562" w:rsidRDefault="00014767" w:rsidP="00014767">
      <w:pPr>
        <w:rPr>
          <w:rFonts w:cs="Segoe UI"/>
          <w:szCs w:val="22"/>
          <w:lang w:val="pl-PL"/>
        </w:rPr>
      </w:pPr>
      <w:r>
        <w:rPr>
          <w:rFonts w:cs="Segoe UI"/>
          <w:szCs w:val="22"/>
          <w:lang w:val="pl"/>
        </w:rPr>
        <w:t xml:space="preserve">W obliczu znacznego spadku popytu ze strony kluczowych klientów </w:t>
      </w:r>
      <w:r w:rsidR="009E34CB">
        <w:rPr>
          <w:rFonts w:cs="Segoe UI"/>
          <w:szCs w:val="22"/>
          <w:lang w:val="pl"/>
        </w:rPr>
        <w:t>przemysłowych</w:t>
      </w:r>
      <w:r>
        <w:rPr>
          <w:rFonts w:cs="Segoe UI"/>
          <w:szCs w:val="22"/>
          <w:lang w:val="pl"/>
        </w:rPr>
        <w:t xml:space="preserve">, spowodowanego pandemią COVID-19, sektor biznesowy </w:t>
      </w:r>
      <w:proofErr w:type="spellStart"/>
      <w:r>
        <w:rPr>
          <w:rFonts w:cs="Segoe UI"/>
          <w:b/>
          <w:bCs/>
          <w:szCs w:val="22"/>
          <w:lang w:val="pl"/>
        </w:rPr>
        <w:t>Adhesive</w:t>
      </w:r>
      <w:proofErr w:type="spellEnd"/>
      <w:r>
        <w:rPr>
          <w:rFonts w:cs="Segoe UI"/>
          <w:b/>
          <w:bCs/>
          <w:szCs w:val="22"/>
          <w:lang w:val="pl"/>
        </w:rPr>
        <w:t xml:space="preserve"> Technologies (kleje budowlane i konsumenckie oraz kleje i technologie dla przemysłu) </w:t>
      </w:r>
      <w:r>
        <w:rPr>
          <w:rFonts w:cs="Segoe UI"/>
          <w:szCs w:val="22"/>
          <w:lang w:val="pl"/>
        </w:rPr>
        <w:t>odnotował spadek przychodów ze sprzedaży w ujęciu organicznym na poziomie -4,2%. W sektorze</w:t>
      </w:r>
      <w:r>
        <w:rPr>
          <w:rFonts w:cs="Segoe UI"/>
          <w:b/>
          <w:bCs/>
          <w:szCs w:val="22"/>
          <w:lang w:val="pl"/>
        </w:rPr>
        <w:t xml:space="preserve"> </w:t>
      </w:r>
      <w:r>
        <w:rPr>
          <w:rFonts w:cs="Segoe UI"/>
          <w:szCs w:val="22"/>
          <w:lang w:val="pl"/>
        </w:rPr>
        <w:t xml:space="preserve">biznesowym </w:t>
      </w:r>
      <w:proofErr w:type="spellStart"/>
      <w:r>
        <w:rPr>
          <w:rFonts w:cs="Segoe UI"/>
          <w:b/>
          <w:bCs/>
          <w:szCs w:val="22"/>
          <w:lang w:val="pl"/>
        </w:rPr>
        <w:t>Beauty</w:t>
      </w:r>
      <w:proofErr w:type="spellEnd"/>
      <w:r>
        <w:rPr>
          <w:rFonts w:cs="Segoe UI"/>
          <w:b/>
          <w:bCs/>
          <w:szCs w:val="22"/>
          <w:lang w:val="pl"/>
        </w:rPr>
        <w:t xml:space="preserve"> </w:t>
      </w:r>
      <w:proofErr w:type="spellStart"/>
      <w:r>
        <w:rPr>
          <w:rFonts w:cs="Segoe UI"/>
          <w:b/>
          <w:bCs/>
          <w:szCs w:val="22"/>
          <w:lang w:val="pl"/>
        </w:rPr>
        <w:t>Care</w:t>
      </w:r>
      <w:proofErr w:type="spellEnd"/>
      <w:r>
        <w:rPr>
          <w:rFonts w:cs="Segoe UI"/>
          <w:b/>
          <w:bCs/>
          <w:szCs w:val="22"/>
          <w:lang w:val="pl"/>
        </w:rPr>
        <w:t xml:space="preserve"> (kosmetyki) </w:t>
      </w:r>
      <w:r>
        <w:rPr>
          <w:rFonts w:cs="Segoe UI"/>
          <w:szCs w:val="22"/>
          <w:lang w:val="pl"/>
        </w:rPr>
        <w:t xml:space="preserve">przychody ze sprzedaży w ujęciu organicznym były o 2,8% niższe niż w roku poprzednim, na co wpływ miały przede wszystkim spowodowane pandemią trudne warunki prowadzenia działalności dla segmentu </w:t>
      </w:r>
      <w:proofErr w:type="spellStart"/>
      <w:r>
        <w:rPr>
          <w:rFonts w:cs="Segoe UI"/>
          <w:b/>
          <w:bCs/>
          <w:szCs w:val="22"/>
          <w:lang w:val="pl"/>
        </w:rPr>
        <w:t>Hair</w:t>
      </w:r>
      <w:proofErr w:type="spellEnd"/>
      <w:r>
        <w:rPr>
          <w:rFonts w:cs="Segoe UI"/>
          <w:b/>
          <w:bCs/>
          <w:szCs w:val="22"/>
          <w:lang w:val="pl"/>
        </w:rPr>
        <w:t xml:space="preserve"> Salon </w:t>
      </w:r>
      <w:r w:rsidR="009E34CB" w:rsidRPr="009E34CB">
        <w:rPr>
          <w:rFonts w:cs="Segoe UI"/>
          <w:szCs w:val="22"/>
          <w:lang w:val="pl"/>
        </w:rPr>
        <w:t>(specjalistyczne kosmetyki dla salonów fryzjerskich)</w:t>
      </w:r>
      <w:r w:rsidR="009E34CB">
        <w:rPr>
          <w:rFonts w:cs="Segoe UI"/>
          <w:b/>
          <w:bCs/>
          <w:szCs w:val="22"/>
          <w:lang w:val="pl"/>
        </w:rPr>
        <w:t xml:space="preserve"> </w:t>
      </w:r>
      <w:r>
        <w:rPr>
          <w:rFonts w:cs="Segoe UI"/>
          <w:szCs w:val="22"/>
          <w:lang w:val="pl"/>
        </w:rPr>
        <w:t xml:space="preserve">w wielu kluczowych regionach i na wielu kluczowych rynkach. Natomiast segment detaliczny odnotował wzrost na wysokim poziomie. Sektor biznesowy </w:t>
      </w:r>
      <w:proofErr w:type="spellStart"/>
      <w:r>
        <w:rPr>
          <w:rFonts w:cs="Segoe UI"/>
          <w:b/>
          <w:bCs/>
          <w:szCs w:val="22"/>
          <w:lang w:val="pl"/>
        </w:rPr>
        <w:t>Laundry</w:t>
      </w:r>
      <w:proofErr w:type="spellEnd"/>
      <w:r>
        <w:rPr>
          <w:rFonts w:cs="Segoe UI"/>
          <w:b/>
          <w:bCs/>
          <w:szCs w:val="22"/>
          <w:lang w:val="pl"/>
        </w:rPr>
        <w:t xml:space="preserve"> &amp; Home </w:t>
      </w:r>
      <w:proofErr w:type="spellStart"/>
      <w:r>
        <w:rPr>
          <w:rFonts w:cs="Segoe UI"/>
          <w:b/>
          <w:bCs/>
          <w:szCs w:val="22"/>
          <w:lang w:val="pl"/>
        </w:rPr>
        <w:t>Care</w:t>
      </w:r>
      <w:proofErr w:type="spellEnd"/>
      <w:r>
        <w:rPr>
          <w:rFonts w:cs="Segoe UI"/>
          <w:szCs w:val="22"/>
          <w:lang w:val="pl"/>
        </w:rPr>
        <w:t xml:space="preserve"> </w:t>
      </w:r>
      <w:r>
        <w:rPr>
          <w:rFonts w:cs="Segoe UI"/>
          <w:b/>
          <w:bCs/>
          <w:szCs w:val="22"/>
          <w:lang w:val="pl"/>
        </w:rPr>
        <w:t xml:space="preserve">(środki piorące i czystości) </w:t>
      </w:r>
      <w:r>
        <w:rPr>
          <w:rFonts w:cs="Segoe UI"/>
          <w:szCs w:val="22"/>
          <w:lang w:val="pl"/>
        </w:rPr>
        <w:t xml:space="preserve">odnotował wysoki wzrost sprzedaży w ujęciu organicznym na poziomie 5,6%. Wzrost ten został osiągnięty dzięki innowacyjnym rozwiązaniom oraz związanym z pandemią zwiększonym popytem na artykuły higieniczne. </w:t>
      </w:r>
    </w:p>
    <w:p w14:paraId="3B67798E" w14:textId="77777777" w:rsidR="00014767" w:rsidRPr="00866562" w:rsidRDefault="00014767" w:rsidP="00014767">
      <w:pPr>
        <w:rPr>
          <w:rFonts w:cs="Segoe UI"/>
          <w:b/>
          <w:bCs/>
          <w:szCs w:val="22"/>
          <w:lang w:val="pl-PL"/>
        </w:rPr>
      </w:pPr>
    </w:p>
    <w:p w14:paraId="0BAF1F1F" w14:textId="77777777" w:rsidR="00014767" w:rsidRPr="00866562" w:rsidRDefault="00014767" w:rsidP="00014767">
      <w:pPr>
        <w:rPr>
          <w:rFonts w:cs="Segoe UI"/>
          <w:szCs w:val="22"/>
          <w:lang w:val="pl-PL"/>
        </w:rPr>
      </w:pPr>
      <w:r>
        <w:rPr>
          <w:rFonts w:cs="Segoe UI"/>
          <w:szCs w:val="22"/>
          <w:lang w:val="pl"/>
        </w:rPr>
        <w:t xml:space="preserve">Na </w:t>
      </w:r>
      <w:r>
        <w:rPr>
          <w:rFonts w:cs="Segoe UI"/>
          <w:b/>
          <w:bCs/>
          <w:szCs w:val="22"/>
          <w:lang w:val="pl"/>
        </w:rPr>
        <w:t xml:space="preserve">rynkach wschodzących </w:t>
      </w:r>
      <w:r>
        <w:rPr>
          <w:rFonts w:cs="Segoe UI"/>
          <w:szCs w:val="22"/>
          <w:lang w:val="pl"/>
        </w:rPr>
        <w:t xml:space="preserve">dynamika przychodów ze sprzedaży w ujęciu organicznym wyniosła 3,0%. Na </w:t>
      </w:r>
      <w:r>
        <w:rPr>
          <w:rFonts w:cs="Segoe UI"/>
          <w:b/>
          <w:bCs/>
          <w:szCs w:val="22"/>
          <w:lang w:val="pl"/>
        </w:rPr>
        <w:t xml:space="preserve">rynkach rozwiniętych </w:t>
      </w:r>
      <w:r>
        <w:rPr>
          <w:rFonts w:cs="Segoe UI"/>
          <w:szCs w:val="22"/>
          <w:lang w:val="pl"/>
        </w:rPr>
        <w:t>przychody ze sprzedaży w ujęciu organicznym spadły o 3,2%.</w:t>
      </w:r>
    </w:p>
    <w:p w14:paraId="58499644" w14:textId="77777777" w:rsidR="00014767" w:rsidRPr="00866562" w:rsidRDefault="00014767" w:rsidP="00014767">
      <w:pPr>
        <w:rPr>
          <w:rFonts w:cs="Segoe UI"/>
          <w:szCs w:val="22"/>
          <w:lang w:val="pl-PL"/>
        </w:rPr>
      </w:pPr>
    </w:p>
    <w:p w14:paraId="1A169CC7" w14:textId="3D85C4B8" w:rsidR="00014767" w:rsidRPr="00866562" w:rsidRDefault="00014767" w:rsidP="00014767">
      <w:pPr>
        <w:rPr>
          <w:rFonts w:cs="Segoe UI"/>
          <w:szCs w:val="22"/>
          <w:lang w:val="pl-PL"/>
        </w:rPr>
      </w:pPr>
      <w:r>
        <w:rPr>
          <w:rFonts w:cs="Segoe UI"/>
          <w:szCs w:val="22"/>
          <w:lang w:val="pl"/>
        </w:rPr>
        <w:t xml:space="preserve">W otoczeniu rynkowym charakteryzującym się niezmiennie wysoką konkurencją sprzedaż w </w:t>
      </w:r>
      <w:r>
        <w:rPr>
          <w:rFonts w:cs="Segoe UI"/>
          <w:b/>
          <w:bCs/>
          <w:szCs w:val="22"/>
          <w:lang w:val="pl"/>
        </w:rPr>
        <w:t>Europie Zachodniej</w:t>
      </w:r>
      <w:r>
        <w:rPr>
          <w:rFonts w:cs="Segoe UI"/>
          <w:szCs w:val="22"/>
          <w:lang w:val="pl"/>
        </w:rPr>
        <w:t xml:space="preserve"> w ujęciu organicznym spadła o 4,4%, natomiast w regionie </w:t>
      </w:r>
      <w:r>
        <w:rPr>
          <w:rFonts w:cs="Segoe UI"/>
          <w:b/>
          <w:bCs/>
          <w:szCs w:val="22"/>
          <w:lang w:val="pl"/>
        </w:rPr>
        <w:t xml:space="preserve">Europy Wschodniej </w:t>
      </w:r>
      <w:r>
        <w:rPr>
          <w:rFonts w:cs="Segoe UI"/>
          <w:szCs w:val="22"/>
          <w:lang w:val="pl"/>
        </w:rPr>
        <w:t xml:space="preserve">wzrosła o 7,1%. W </w:t>
      </w:r>
      <w:r>
        <w:rPr>
          <w:rFonts w:cs="Segoe UI"/>
          <w:b/>
          <w:bCs/>
          <w:szCs w:val="22"/>
          <w:lang w:val="pl"/>
        </w:rPr>
        <w:t>Afryce i na Bliskim Wschodzie</w:t>
      </w:r>
      <w:r>
        <w:rPr>
          <w:rFonts w:cs="Segoe UI"/>
          <w:szCs w:val="22"/>
          <w:lang w:val="pl"/>
        </w:rPr>
        <w:t xml:space="preserve"> przychody ze sprzedaży w ujęciu organicznym zwiększyły się o 7,0%. W</w:t>
      </w:r>
      <w:r>
        <w:rPr>
          <w:rFonts w:cs="Segoe UI"/>
          <w:b/>
          <w:bCs/>
          <w:szCs w:val="22"/>
          <w:lang w:val="pl"/>
        </w:rPr>
        <w:t xml:space="preserve"> Ameryce Północnej </w:t>
      </w:r>
      <w:r>
        <w:rPr>
          <w:rFonts w:cs="Segoe UI"/>
          <w:szCs w:val="22"/>
          <w:lang w:val="pl"/>
        </w:rPr>
        <w:t xml:space="preserve">odnotowano spadek sprzedaży w ujęciu organicznym o 2,2%. W </w:t>
      </w:r>
      <w:r>
        <w:rPr>
          <w:rFonts w:cs="Segoe UI"/>
          <w:b/>
          <w:bCs/>
          <w:szCs w:val="22"/>
          <w:lang w:val="pl"/>
        </w:rPr>
        <w:t>Ameryce Łacińskiej</w:t>
      </w:r>
      <w:r>
        <w:rPr>
          <w:rFonts w:cs="Segoe UI"/>
          <w:szCs w:val="22"/>
          <w:lang w:val="pl"/>
        </w:rPr>
        <w:t xml:space="preserve"> sprzedaż w ujęciu organicznym spadła nieznacznie o 0,5%. W regionie </w:t>
      </w:r>
      <w:r>
        <w:rPr>
          <w:rFonts w:cs="Segoe UI"/>
          <w:b/>
          <w:bCs/>
          <w:szCs w:val="22"/>
          <w:lang w:val="pl"/>
        </w:rPr>
        <w:t xml:space="preserve">Azji i Pacyfiku </w:t>
      </w:r>
      <w:r>
        <w:rPr>
          <w:rFonts w:cs="Segoe UI"/>
          <w:szCs w:val="22"/>
          <w:lang w:val="pl"/>
        </w:rPr>
        <w:t>spadek sprzedaży w ujęciu organicznym wyniósł 1,6%.</w:t>
      </w:r>
    </w:p>
    <w:p w14:paraId="70892B3F" w14:textId="77777777" w:rsidR="00014767" w:rsidRPr="00866562" w:rsidRDefault="00014767" w:rsidP="00014767">
      <w:pPr>
        <w:rPr>
          <w:rFonts w:cs="Segoe UI"/>
          <w:b/>
          <w:bCs/>
          <w:szCs w:val="22"/>
          <w:lang w:val="pl-PL"/>
        </w:rPr>
      </w:pPr>
    </w:p>
    <w:p w14:paraId="594D0F7D" w14:textId="77777777" w:rsidR="00014767" w:rsidRPr="00866562" w:rsidRDefault="00014767" w:rsidP="00014767">
      <w:pPr>
        <w:rPr>
          <w:rFonts w:cs="Segoe UI"/>
          <w:szCs w:val="22"/>
          <w:lang w:val="pl-PL"/>
        </w:rPr>
      </w:pPr>
      <w:r>
        <w:rPr>
          <w:rFonts w:cs="Segoe UI"/>
          <w:szCs w:val="22"/>
          <w:lang w:val="pl"/>
        </w:rPr>
        <w:t xml:space="preserve">W 2020 roku </w:t>
      </w:r>
      <w:r>
        <w:rPr>
          <w:rFonts w:cs="Segoe UI"/>
          <w:b/>
          <w:bCs/>
          <w:szCs w:val="22"/>
          <w:lang w:val="pl"/>
        </w:rPr>
        <w:t>skorygowany zysk operacyjny (skorygowany EBIT)</w:t>
      </w:r>
      <w:r>
        <w:rPr>
          <w:rFonts w:cs="Segoe UI"/>
          <w:szCs w:val="22"/>
          <w:lang w:val="pl"/>
        </w:rPr>
        <w:t xml:space="preserve"> wyniósł 2 579 mln euro w porównaniu z 3 220 mln euro w 2019 roku (spadek o 19,9%).</w:t>
      </w:r>
    </w:p>
    <w:p w14:paraId="7C581522" w14:textId="77777777" w:rsidR="00014767" w:rsidRPr="00866562" w:rsidRDefault="00014767" w:rsidP="00014767">
      <w:pPr>
        <w:rPr>
          <w:rFonts w:cs="Segoe UI"/>
          <w:szCs w:val="22"/>
          <w:lang w:val="pl-PL"/>
        </w:rPr>
      </w:pPr>
    </w:p>
    <w:p w14:paraId="5A2FBAAD" w14:textId="77777777" w:rsidR="00014767" w:rsidRPr="00866562" w:rsidRDefault="00014767" w:rsidP="00014767">
      <w:pPr>
        <w:rPr>
          <w:rFonts w:cs="Segoe UI"/>
          <w:szCs w:val="22"/>
          <w:lang w:val="pl-PL"/>
        </w:rPr>
      </w:pPr>
      <w:r>
        <w:rPr>
          <w:rFonts w:cs="Segoe UI"/>
          <w:b/>
          <w:bCs/>
          <w:szCs w:val="22"/>
          <w:lang w:val="pl"/>
        </w:rPr>
        <w:t>Skorygowana rentowność sprzedaży (skorygowana marża EBIT)</w:t>
      </w:r>
      <w:r>
        <w:rPr>
          <w:rFonts w:cs="Segoe UI"/>
          <w:szCs w:val="22"/>
          <w:lang w:val="pl"/>
        </w:rPr>
        <w:t xml:space="preserve"> wyniosła 13,4% i była o 2,6 punktu procentowego niższa niż w poprzednim roku. Spadek ten był również wynikiem zwiększenia inwestycji w obszarach marketingu, reklamy oraz technologii cyfrowych i informatycznych.</w:t>
      </w:r>
    </w:p>
    <w:p w14:paraId="74196C77" w14:textId="77777777" w:rsidR="00014767" w:rsidRPr="00866562" w:rsidRDefault="00014767" w:rsidP="00014767">
      <w:pPr>
        <w:rPr>
          <w:rFonts w:cs="Segoe UI"/>
          <w:szCs w:val="22"/>
          <w:lang w:val="pl-PL"/>
        </w:rPr>
      </w:pPr>
    </w:p>
    <w:p w14:paraId="0E630778" w14:textId="77777777" w:rsidR="00014767" w:rsidRPr="00866562" w:rsidRDefault="00014767" w:rsidP="00014767">
      <w:pPr>
        <w:rPr>
          <w:rFonts w:cs="Segoe UI"/>
          <w:szCs w:val="22"/>
          <w:lang w:val="pl-PL"/>
        </w:rPr>
      </w:pPr>
      <w:r>
        <w:rPr>
          <w:rFonts w:cs="Segoe UI"/>
          <w:b/>
          <w:bCs/>
          <w:szCs w:val="22"/>
          <w:lang w:val="pl"/>
        </w:rPr>
        <w:t xml:space="preserve">Skorygowany zysk na akcję uprzywilejowaną </w:t>
      </w:r>
      <w:r>
        <w:rPr>
          <w:rFonts w:cs="Segoe UI"/>
          <w:szCs w:val="22"/>
          <w:lang w:val="pl"/>
        </w:rPr>
        <w:t>spadł z 5,43 euro w roku obrotowym 2019 do 4,26 euro (o 21,5%). Przy założeniu stałych kursów walut skorygowany zysk na akcję uprzywilejowaną był niższy o 17,9%.</w:t>
      </w:r>
    </w:p>
    <w:p w14:paraId="0822525A" w14:textId="77777777" w:rsidR="00014767" w:rsidRPr="00866562" w:rsidRDefault="00014767" w:rsidP="00014767">
      <w:pPr>
        <w:rPr>
          <w:rFonts w:cs="Segoe UI"/>
          <w:szCs w:val="22"/>
          <w:lang w:val="pl-PL"/>
        </w:rPr>
      </w:pPr>
    </w:p>
    <w:p w14:paraId="27BDEC50" w14:textId="77777777" w:rsidR="00014767" w:rsidRPr="00866562" w:rsidRDefault="00014767" w:rsidP="00014767">
      <w:pPr>
        <w:rPr>
          <w:rFonts w:cs="Segoe UI"/>
          <w:szCs w:val="22"/>
          <w:lang w:val="pl-PL"/>
        </w:rPr>
      </w:pPr>
      <w:r>
        <w:rPr>
          <w:rFonts w:cs="Segoe UI"/>
          <w:b/>
          <w:bCs/>
          <w:szCs w:val="22"/>
          <w:lang w:val="pl"/>
        </w:rPr>
        <w:t>Kapitał obrotowy netto</w:t>
      </w:r>
      <w:r>
        <w:rPr>
          <w:rFonts w:cs="Segoe UI"/>
          <w:szCs w:val="22"/>
          <w:lang w:val="pl"/>
        </w:rPr>
        <w:t xml:space="preserve"> uległ znacznej poprawie i stanowił 0,7% przychodów ze sprzedaży w porównaniu z 3,9% w roku poprzednim.</w:t>
      </w:r>
    </w:p>
    <w:p w14:paraId="3C1F7395" w14:textId="77777777" w:rsidR="00014767" w:rsidRPr="00866562" w:rsidRDefault="00014767" w:rsidP="00014767">
      <w:pPr>
        <w:rPr>
          <w:rFonts w:cs="Segoe UI"/>
          <w:szCs w:val="22"/>
          <w:lang w:val="pl-PL"/>
        </w:rPr>
      </w:pPr>
    </w:p>
    <w:p w14:paraId="1DA1EFA7" w14:textId="77777777" w:rsidR="00014767" w:rsidRPr="00866562" w:rsidRDefault="00014767" w:rsidP="00014767">
      <w:pPr>
        <w:autoSpaceDE w:val="0"/>
        <w:autoSpaceDN w:val="0"/>
        <w:adjustRightInd w:val="0"/>
        <w:rPr>
          <w:rFonts w:cs="Segoe UI"/>
          <w:szCs w:val="22"/>
          <w:lang w:val="pl-PL"/>
        </w:rPr>
      </w:pPr>
      <w:r>
        <w:rPr>
          <w:rFonts w:cs="Segoe UI"/>
          <w:b/>
          <w:bCs/>
          <w:szCs w:val="22"/>
          <w:lang w:val="pl"/>
        </w:rPr>
        <w:t xml:space="preserve">Wolne przepływy pieniężne </w:t>
      </w:r>
      <w:r>
        <w:rPr>
          <w:rFonts w:cs="Segoe UI"/>
          <w:szCs w:val="22"/>
          <w:lang w:val="pl"/>
        </w:rPr>
        <w:t>utrzymały się na bardzo wysokim poziomie i wyniosły 2 338 mln euro, czyli niewiele poniżej poziomu z zeszłego roku (2019: 2 471 mln euro).</w:t>
      </w:r>
    </w:p>
    <w:p w14:paraId="687388F2" w14:textId="77777777" w:rsidR="00014767" w:rsidRPr="00866562" w:rsidRDefault="00014767" w:rsidP="00014767">
      <w:pPr>
        <w:rPr>
          <w:rFonts w:cs="Segoe UI"/>
          <w:szCs w:val="22"/>
          <w:lang w:val="pl-PL"/>
        </w:rPr>
      </w:pPr>
    </w:p>
    <w:p w14:paraId="33599D5B" w14:textId="3613A97A" w:rsidR="00014767" w:rsidRPr="00866562" w:rsidRDefault="00014767" w:rsidP="00014767">
      <w:pPr>
        <w:rPr>
          <w:rFonts w:cs="Segoe UI"/>
          <w:szCs w:val="22"/>
          <w:lang w:val="pl-PL"/>
        </w:rPr>
      </w:pPr>
      <w:r>
        <w:rPr>
          <w:rFonts w:cs="Segoe UI"/>
          <w:b/>
          <w:bCs/>
          <w:szCs w:val="22"/>
          <w:lang w:val="pl"/>
        </w:rPr>
        <w:t xml:space="preserve">Pozycja finansowa netto </w:t>
      </w:r>
      <w:r w:rsidR="009E34CB" w:rsidRPr="009E34CB">
        <w:rPr>
          <w:rFonts w:cs="Segoe UI"/>
          <w:szCs w:val="22"/>
          <w:lang w:val="pl"/>
        </w:rPr>
        <w:t xml:space="preserve">firmy </w:t>
      </w:r>
      <w:r>
        <w:rPr>
          <w:rFonts w:cs="Segoe UI"/>
          <w:szCs w:val="22"/>
          <w:lang w:val="pl"/>
        </w:rPr>
        <w:t>Henkel na dzień 31 grudnia 2020 roku uległa znacznej poprawie i wyniosła -888 mln euro (31 grudnia 2019: -2 047 mln euro).</w:t>
      </w:r>
    </w:p>
    <w:p w14:paraId="0FF6860D" w14:textId="77777777" w:rsidR="00014767" w:rsidRPr="00866562" w:rsidRDefault="00014767" w:rsidP="00014767">
      <w:pPr>
        <w:rPr>
          <w:rFonts w:cs="Segoe UI"/>
          <w:szCs w:val="22"/>
          <w:lang w:val="pl-PL"/>
        </w:rPr>
      </w:pPr>
    </w:p>
    <w:p w14:paraId="0C3E1611" w14:textId="2B59909A" w:rsidR="00014767" w:rsidRDefault="00014767" w:rsidP="00014767">
      <w:pPr>
        <w:rPr>
          <w:rFonts w:cs="Segoe UI"/>
          <w:szCs w:val="22"/>
          <w:lang w:val="pl"/>
        </w:rPr>
      </w:pPr>
      <w:r>
        <w:rPr>
          <w:rFonts w:cs="Segoe UI"/>
          <w:szCs w:val="22"/>
          <w:lang w:val="pl"/>
        </w:rPr>
        <w:t xml:space="preserve">Zarząd, Rada Nadzorcza oraz Komitet Akcjonariuszy przedstawią Zwyczajnemu Walnemu Zgromadzeniu Akcjonariuszy zwołanemu na 16 kwietnia 2021 roku propozycję utrzymania </w:t>
      </w:r>
      <w:r>
        <w:rPr>
          <w:rFonts w:cs="Segoe UI"/>
          <w:b/>
          <w:bCs/>
          <w:szCs w:val="22"/>
          <w:lang w:val="pl"/>
        </w:rPr>
        <w:t>dywidendy</w:t>
      </w:r>
      <w:r>
        <w:rPr>
          <w:rFonts w:cs="Segoe UI"/>
          <w:szCs w:val="22"/>
          <w:lang w:val="pl"/>
        </w:rPr>
        <w:t xml:space="preserve"> na poziomie z roku ubiegłego, czyli 1,85 euro na akcję uprzywilejowaną i 1,83 na akcję zwykłą. Wskaźnik wypłaty dywidendy wyniesie 43,7%, czyli powyżej docelowego przedziału 30%–40%, co odzwierciedla szczególny charakter obciążeń, jakim podlega wynik finansowy w konsekwencji pandemii COVID-19. Wypłata dywidendy na tym poziomie jest możliwa również dzięki wysokim zasobom finansowym i niskiemu zadłużeniu finansowemu netto Grupy Henkel. W przyszłości polityka dywidendowa Henkla pozostanie niezmieniona. </w:t>
      </w:r>
    </w:p>
    <w:p w14:paraId="10857BA7" w14:textId="77777777" w:rsidR="00014767" w:rsidRDefault="00014767" w:rsidP="00014767">
      <w:pPr>
        <w:rPr>
          <w:rFonts w:cs="Segoe UI"/>
          <w:szCs w:val="22"/>
          <w:lang w:val="pl"/>
        </w:rPr>
      </w:pPr>
    </w:p>
    <w:p w14:paraId="2065503E" w14:textId="6BE5732F" w:rsidR="00014767" w:rsidRDefault="00014767" w:rsidP="00014767">
      <w:pPr>
        <w:rPr>
          <w:rFonts w:cs="Segoe UI"/>
          <w:b/>
          <w:bCs/>
          <w:szCs w:val="22"/>
          <w:lang w:val="pl"/>
        </w:rPr>
      </w:pPr>
      <w:r>
        <w:rPr>
          <w:rFonts w:cs="Segoe UI"/>
          <w:b/>
          <w:bCs/>
          <w:szCs w:val="22"/>
          <w:lang w:val="pl"/>
        </w:rPr>
        <w:t>Wyniki sektorów biznesowych w roku obrotowym 2020</w:t>
      </w:r>
    </w:p>
    <w:p w14:paraId="5C80B0C8" w14:textId="77777777" w:rsidR="00014767" w:rsidRPr="00866562" w:rsidRDefault="00014767" w:rsidP="00014767">
      <w:pPr>
        <w:rPr>
          <w:rFonts w:cs="Segoe UI"/>
          <w:b/>
          <w:bCs/>
          <w:szCs w:val="22"/>
          <w:lang w:val="pl-PL"/>
        </w:rPr>
      </w:pPr>
    </w:p>
    <w:p w14:paraId="69C42992" w14:textId="77777777" w:rsidR="00014767" w:rsidRPr="00866562" w:rsidRDefault="00014767" w:rsidP="00014767">
      <w:pPr>
        <w:rPr>
          <w:rFonts w:cs="Segoe UI"/>
          <w:szCs w:val="22"/>
          <w:lang w:val="pl-PL"/>
        </w:rPr>
      </w:pPr>
      <w:r>
        <w:rPr>
          <w:rFonts w:cs="Segoe UI"/>
          <w:szCs w:val="22"/>
          <w:lang w:val="pl"/>
        </w:rPr>
        <w:t xml:space="preserve">W roku obrotowym 2020 </w:t>
      </w:r>
      <w:r>
        <w:rPr>
          <w:rFonts w:cs="Segoe UI"/>
          <w:b/>
          <w:bCs/>
          <w:szCs w:val="22"/>
          <w:lang w:val="pl"/>
        </w:rPr>
        <w:t>przychody ze sprzedaży</w:t>
      </w:r>
      <w:r>
        <w:rPr>
          <w:rFonts w:cs="Segoe UI"/>
          <w:szCs w:val="22"/>
          <w:lang w:val="pl"/>
        </w:rPr>
        <w:t xml:space="preserve"> w sektorze biznesowym </w:t>
      </w:r>
      <w:proofErr w:type="spellStart"/>
      <w:r>
        <w:rPr>
          <w:rFonts w:cs="Segoe UI"/>
          <w:b/>
          <w:bCs/>
          <w:szCs w:val="22"/>
          <w:lang w:val="pl"/>
        </w:rPr>
        <w:t>Adhesive</w:t>
      </w:r>
      <w:proofErr w:type="spellEnd"/>
      <w:r>
        <w:rPr>
          <w:rFonts w:cs="Segoe UI"/>
          <w:b/>
          <w:bCs/>
          <w:szCs w:val="22"/>
          <w:lang w:val="pl"/>
        </w:rPr>
        <w:t xml:space="preserve"> Technologies</w:t>
      </w:r>
      <w:r>
        <w:rPr>
          <w:rFonts w:cs="Segoe UI"/>
          <w:szCs w:val="22"/>
          <w:lang w:val="pl"/>
        </w:rPr>
        <w:t xml:space="preserve"> </w:t>
      </w:r>
      <w:r>
        <w:rPr>
          <w:rFonts w:cs="Segoe UI"/>
          <w:b/>
          <w:bCs/>
          <w:szCs w:val="22"/>
          <w:lang w:val="pl"/>
        </w:rPr>
        <w:t xml:space="preserve">(kleje budowlane i konsumenckie oraz kleje i technologie dla przemysłu) </w:t>
      </w:r>
      <w:r>
        <w:rPr>
          <w:rFonts w:cs="Segoe UI"/>
          <w:szCs w:val="22"/>
          <w:lang w:val="pl"/>
        </w:rPr>
        <w:t xml:space="preserve">spadły w ujęciu nominalnym o 8,2% w porównaniu z rokiem ubiegłym, do poziomu 8 684 mln euro. </w:t>
      </w:r>
      <w:r>
        <w:rPr>
          <w:rFonts w:cs="Segoe UI"/>
          <w:b/>
          <w:bCs/>
          <w:szCs w:val="22"/>
          <w:lang w:val="pl"/>
        </w:rPr>
        <w:t xml:space="preserve">W ujęciu organicznym </w:t>
      </w:r>
      <w:r>
        <w:rPr>
          <w:rFonts w:cs="Segoe UI"/>
          <w:szCs w:val="22"/>
          <w:lang w:val="pl"/>
        </w:rPr>
        <w:t xml:space="preserve">przychody ze sprzedaży spadły o 4,2%. Skutki pandemii były szczególnie odczuwalne w pierwszej połowie roku. W drugiej połowie roku nastąpiło jednak ożywienie popytu we wszystkich sektorach działalności i regionach. </w:t>
      </w:r>
      <w:r>
        <w:rPr>
          <w:rFonts w:cs="Segoe UI"/>
          <w:b/>
          <w:bCs/>
          <w:szCs w:val="22"/>
          <w:lang w:val="pl"/>
        </w:rPr>
        <w:t>Skorygowany zysk operacyjny</w:t>
      </w:r>
      <w:r>
        <w:rPr>
          <w:rFonts w:cs="Segoe UI"/>
          <w:szCs w:val="22"/>
          <w:lang w:val="pl"/>
        </w:rPr>
        <w:t xml:space="preserve"> wyniósł 1 320 mln euro (rok wcześniej: 1 712 mln euro). </w:t>
      </w:r>
      <w:r>
        <w:rPr>
          <w:rFonts w:cs="Segoe UI"/>
          <w:b/>
          <w:bCs/>
          <w:szCs w:val="22"/>
          <w:lang w:val="pl"/>
        </w:rPr>
        <w:t xml:space="preserve">Skorygowana rentowność sprzedaży </w:t>
      </w:r>
      <w:r>
        <w:rPr>
          <w:rFonts w:cs="Segoe UI"/>
          <w:szCs w:val="22"/>
          <w:lang w:val="pl"/>
        </w:rPr>
        <w:t>ukształtowała się na poziomie 15,2% i była niższa w ujęciu rok do roku. Marża spadła głównie na skutek istotnego zmniejszenia wolumenu sprzedaży wynikającego z pandemii.</w:t>
      </w:r>
    </w:p>
    <w:p w14:paraId="257BB815" w14:textId="77777777" w:rsidR="00014767" w:rsidRPr="00866562" w:rsidRDefault="00014767" w:rsidP="00014767">
      <w:pPr>
        <w:rPr>
          <w:rFonts w:cs="Segoe UI"/>
          <w:szCs w:val="22"/>
          <w:lang w:val="pl-PL"/>
        </w:rPr>
      </w:pPr>
    </w:p>
    <w:p w14:paraId="1651C2A4" w14:textId="0D745914" w:rsidR="00014767" w:rsidRPr="00866562" w:rsidRDefault="00014767" w:rsidP="00014767">
      <w:pPr>
        <w:rPr>
          <w:rFonts w:cs="Segoe UI"/>
          <w:szCs w:val="22"/>
          <w:lang w:val="pl-PL"/>
        </w:rPr>
      </w:pPr>
      <w:r>
        <w:rPr>
          <w:b/>
          <w:bCs/>
          <w:szCs w:val="22"/>
          <w:lang w:val="pl"/>
        </w:rPr>
        <w:t xml:space="preserve">Przychody ze sprzedaży </w:t>
      </w:r>
      <w:r>
        <w:rPr>
          <w:szCs w:val="22"/>
          <w:lang w:val="pl"/>
        </w:rPr>
        <w:t xml:space="preserve">w sektorze biznesowym </w:t>
      </w:r>
      <w:proofErr w:type="spellStart"/>
      <w:r>
        <w:rPr>
          <w:b/>
          <w:bCs/>
          <w:szCs w:val="22"/>
          <w:lang w:val="pl"/>
        </w:rPr>
        <w:t>Beauty</w:t>
      </w:r>
      <w:proofErr w:type="spellEnd"/>
      <w:r>
        <w:rPr>
          <w:b/>
          <w:bCs/>
          <w:szCs w:val="22"/>
          <w:lang w:val="pl"/>
        </w:rPr>
        <w:t xml:space="preserve"> </w:t>
      </w:r>
      <w:proofErr w:type="spellStart"/>
      <w:r>
        <w:rPr>
          <w:b/>
          <w:bCs/>
          <w:szCs w:val="22"/>
          <w:lang w:val="pl"/>
        </w:rPr>
        <w:t>Care</w:t>
      </w:r>
      <w:proofErr w:type="spellEnd"/>
      <w:r>
        <w:rPr>
          <w:b/>
          <w:bCs/>
          <w:szCs w:val="22"/>
          <w:lang w:val="pl"/>
        </w:rPr>
        <w:t xml:space="preserve"> (kosmetyki) </w:t>
      </w:r>
      <w:r>
        <w:rPr>
          <w:szCs w:val="22"/>
          <w:lang w:val="pl"/>
        </w:rPr>
        <w:t xml:space="preserve">w ujęciu </w:t>
      </w:r>
      <w:r>
        <w:rPr>
          <w:b/>
          <w:bCs/>
          <w:szCs w:val="22"/>
          <w:lang w:val="pl"/>
        </w:rPr>
        <w:t xml:space="preserve">organicznym </w:t>
      </w:r>
      <w:r>
        <w:rPr>
          <w:szCs w:val="22"/>
          <w:lang w:val="pl"/>
        </w:rPr>
        <w:t xml:space="preserve">spadły o 2,8% w roku obrotowym 2020. W ujęciu nominalnym sprzedaż spadła o 3,2% rok do roku, do 3 752 mln euro. Zmiana była spowodowana głównie niekorzystnym wpływem pandemii COVID-19 na działalność segmentu </w:t>
      </w:r>
      <w:proofErr w:type="spellStart"/>
      <w:r>
        <w:rPr>
          <w:szCs w:val="22"/>
          <w:lang w:val="pl"/>
        </w:rPr>
        <w:t>Hair</w:t>
      </w:r>
      <w:proofErr w:type="spellEnd"/>
      <w:r>
        <w:rPr>
          <w:szCs w:val="22"/>
          <w:lang w:val="pl"/>
        </w:rPr>
        <w:t xml:space="preserve"> Salon</w:t>
      </w:r>
      <w:r w:rsidR="00F512BA">
        <w:rPr>
          <w:szCs w:val="22"/>
          <w:lang w:val="pl"/>
        </w:rPr>
        <w:t xml:space="preserve"> (specjalistyczne kosmetyki dla salonów fryzjerskich)</w:t>
      </w:r>
      <w:r>
        <w:rPr>
          <w:szCs w:val="22"/>
          <w:lang w:val="pl"/>
        </w:rPr>
        <w:t xml:space="preserve">, natomiast segment detaliczny odnotował przychody ze sprzedaży w ujęciu organicznym na wysokim poziomie. </w:t>
      </w:r>
      <w:r>
        <w:rPr>
          <w:b/>
          <w:bCs/>
          <w:szCs w:val="22"/>
          <w:lang w:val="pl"/>
        </w:rPr>
        <w:t>Skorygowany zysk operacyjny</w:t>
      </w:r>
      <w:r>
        <w:rPr>
          <w:szCs w:val="22"/>
          <w:lang w:val="pl"/>
        </w:rPr>
        <w:t xml:space="preserve"> wyniósł 377 mln euro, wobec 519 mln euro w roku ubiegłym. </w:t>
      </w:r>
      <w:r>
        <w:rPr>
          <w:b/>
          <w:bCs/>
          <w:szCs w:val="22"/>
          <w:lang w:val="pl"/>
        </w:rPr>
        <w:t xml:space="preserve">Skorygowana rentowność sprzedaży </w:t>
      </w:r>
      <w:r>
        <w:rPr>
          <w:szCs w:val="22"/>
          <w:lang w:val="pl"/>
        </w:rPr>
        <w:t>wyniosła 10,0%,</w:t>
      </w:r>
      <w:r>
        <w:rPr>
          <w:lang w:val="pl"/>
        </w:rPr>
        <w:t xml:space="preserve"> </w:t>
      </w:r>
      <w:r>
        <w:rPr>
          <w:szCs w:val="22"/>
          <w:lang w:val="pl"/>
        </w:rPr>
        <w:t xml:space="preserve">na co wpływ miał spadek wolumenu sprzedaży w segmencie </w:t>
      </w:r>
      <w:proofErr w:type="spellStart"/>
      <w:r>
        <w:rPr>
          <w:szCs w:val="22"/>
          <w:lang w:val="pl"/>
        </w:rPr>
        <w:t>Hair</w:t>
      </w:r>
      <w:proofErr w:type="spellEnd"/>
      <w:r>
        <w:rPr>
          <w:szCs w:val="22"/>
          <w:lang w:val="pl"/>
        </w:rPr>
        <w:t xml:space="preserve"> Salon, a także zwiększenie inwestycji w obszarach marketingu, reklamy oraz technologii cyfrowych i informatycznych.</w:t>
      </w:r>
    </w:p>
    <w:p w14:paraId="59A4CC38" w14:textId="77777777" w:rsidR="00014767" w:rsidRPr="00866562" w:rsidRDefault="00014767" w:rsidP="00014767">
      <w:pPr>
        <w:rPr>
          <w:rFonts w:cs="Segoe UI"/>
          <w:szCs w:val="22"/>
          <w:lang w:val="pl-PL"/>
        </w:rPr>
      </w:pPr>
    </w:p>
    <w:p w14:paraId="223B547E" w14:textId="438A148E" w:rsidR="00014767" w:rsidRPr="00866562" w:rsidRDefault="00014767" w:rsidP="00014767">
      <w:pPr>
        <w:rPr>
          <w:rFonts w:cs="Segoe UI"/>
          <w:szCs w:val="22"/>
          <w:lang w:val="pl-PL"/>
        </w:rPr>
      </w:pPr>
      <w:r>
        <w:rPr>
          <w:szCs w:val="22"/>
          <w:lang w:val="pl"/>
        </w:rPr>
        <w:t xml:space="preserve">W roku obrotowym 2020 sektor biznesowy </w:t>
      </w:r>
      <w:proofErr w:type="spellStart"/>
      <w:r>
        <w:rPr>
          <w:b/>
          <w:bCs/>
          <w:szCs w:val="22"/>
          <w:lang w:val="pl"/>
        </w:rPr>
        <w:t>Laundry</w:t>
      </w:r>
      <w:proofErr w:type="spellEnd"/>
      <w:r>
        <w:rPr>
          <w:b/>
          <w:bCs/>
          <w:szCs w:val="22"/>
          <w:lang w:val="pl"/>
        </w:rPr>
        <w:t xml:space="preserve"> &amp; Home </w:t>
      </w:r>
      <w:proofErr w:type="spellStart"/>
      <w:r>
        <w:rPr>
          <w:b/>
          <w:bCs/>
          <w:szCs w:val="22"/>
          <w:lang w:val="pl"/>
        </w:rPr>
        <w:t>Care</w:t>
      </w:r>
      <w:proofErr w:type="spellEnd"/>
      <w:r>
        <w:rPr>
          <w:b/>
          <w:bCs/>
          <w:szCs w:val="22"/>
          <w:lang w:val="pl"/>
        </w:rPr>
        <w:t xml:space="preserve"> </w:t>
      </w:r>
      <w:r>
        <w:rPr>
          <w:rFonts w:cs="Segoe UI"/>
          <w:b/>
          <w:bCs/>
          <w:szCs w:val="22"/>
          <w:lang w:val="pl"/>
        </w:rPr>
        <w:t xml:space="preserve">(środki piorące i czystości) </w:t>
      </w:r>
      <w:r>
        <w:rPr>
          <w:szCs w:val="22"/>
          <w:lang w:val="pl"/>
        </w:rPr>
        <w:t xml:space="preserve">osiągnął wzrost </w:t>
      </w:r>
      <w:r>
        <w:rPr>
          <w:b/>
          <w:bCs/>
          <w:szCs w:val="22"/>
          <w:lang w:val="pl"/>
        </w:rPr>
        <w:t xml:space="preserve">sprzedaży w ujęciu organicznym </w:t>
      </w:r>
      <w:r>
        <w:rPr>
          <w:szCs w:val="22"/>
          <w:lang w:val="pl"/>
        </w:rPr>
        <w:t xml:space="preserve">na poziomie 5,6%. Nominalnie sprzedaż wzrosła o 0,7%, osiągając wartość 6 704 mln euro. </w:t>
      </w:r>
      <w:r>
        <w:rPr>
          <w:b/>
          <w:bCs/>
          <w:szCs w:val="22"/>
          <w:lang w:val="pl"/>
        </w:rPr>
        <w:t>Skorygowany zysk operacyjny</w:t>
      </w:r>
      <w:r>
        <w:rPr>
          <w:szCs w:val="22"/>
          <w:lang w:val="pl"/>
        </w:rPr>
        <w:t xml:space="preserve"> </w:t>
      </w:r>
      <w:r>
        <w:rPr>
          <w:lang w:val="pl"/>
        </w:rPr>
        <w:t xml:space="preserve">wyniósł </w:t>
      </w:r>
      <w:r>
        <w:rPr>
          <w:szCs w:val="22"/>
          <w:lang w:val="pl"/>
        </w:rPr>
        <w:t xml:space="preserve">1 004 mln euro (2019: 1 096 mln euro). </w:t>
      </w:r>
      <w:r>
        <w:rPr>
          <w:b/>
          <w:bCs/>
          <w:szCs w:val="22"/>
          <w:lang w:val="pl"/>
        </w:rPr>
        <w:t>Skorygowana rentowność sprzedaży</w:t>
      </w:r>
      <w:r>
        <w:rPr>
          <w:szCs w:val="22"/>
          <w:lang w:val="pl"/>
        </w:rPr>
        <w:t xml:space="preserve"> w wysokości 15,0% ukształtowała się poniżej poziomu z ubiegłego roku, głównie ze względu na zwiększone inwestycje w obszarach marketingu, reklamy oraz technologii cyfrowych i informatycznych</w:t>
      </w:r>
      <w:bookmarkStart w:id="3" w:name="_Hlk46226936"/>
      <w:r>
        <w:rPr>
          <w:szCs w:val="22"/>
          <w:lang w:val="pl"/>
        </w:rPr>
        <w:t>.</w:t>
      </w:r>
    </w:p>
    <w:bookmarkEnd w:id="3"/>
    <w:p w14:paraId="59251893" w14:textId="584835BD" w:rsidR="00014767" w:rsidRDefault="00014767" w:rsidP="00014767">
      <w:pPr>
        <w:rPr>
          <w:rFonts w:cs="Segoe UI"/>
          <w:b/>
          <w:szCs w:val="22"/>
          <w:lang w:val="pl-PL"/>
        </w:rPr>
      </w:pPr>
    </w:p>
    <w:p w14:paraId="65426C60" w14:textId="40447B1D" w:rsidR="00DC3D6B" w:rsidRDefault="00DC3D6B" w:rsidP="00014767">
      <w:pPr>
        <w:rPr>
          <w:rFonts w:cs="Segoe UI"/>
          <w:b/>
          <w:szCs w:val="22"/>
          <w:lang w:val="pl-PL"/>
        </w:rPr>
      </w:pPr>
    </w:p>
    <w:p w14:paraId="1E33D204" w14:textId="77777777" w:rsidR="00DC3D6B" w:rsidRPr="00866562" w:rsidRDefault="00DC3D6B" w:rsidP="00014767">
      <w:pPr>
        <w:rPr>
          <w:rFonts w:cs="Segoe UI"/>
          <w:b/>
          <w:szCs w:val="22"/>
          <w:lang w:val="pl-PL"/>
        </w:rPr>
      </w:pPr>
    </w:p>
    <w:p w14:paraId="7F2C9F15" w14:textId="3280C599" w:rsidR="00014767" w:rsidRPr="00866562" w:rsidRDefault="00F512BA" w:rsidP="00014767">
      <w:pPr>
        <w:spacing w:after="120"/>
        <w:rPr>
          <w:rFonts w:cs="Segoe UI"/>
          <w:szCs w:val="22"/>
          <w:lang w:val="pl-PL"/>
        </w:rPr>
      </w:pPr>
      <w:r>
        <w:rPr>
          <w:rFonts w:cs="Segoe UI"/>
          <w:b/>
          <w:bCs/>
          <w:szCs w:val="22"/>
          <w:lang w:val="pl"/>
        </w:rPr>
        <w:t>Strategia</w:t>
      </w:r>
      <w:r w:rsidR="00014767">
        <w:rPr>
          <w:rFonts w:cs="Segoe UI"/>
          <w:b/>
          <w:bCs/>
          <w:szCs w:val="22"/>
          <w:lang w:val="pl"/>
        </w:rPr>
        <w:t xml:space="preserve"> Ukierunkowanego Rozwoju</w:t>
      </w:r>
      <w:r>
        <w:rPr>
          <w:rFonts w:cs="Segoe UI"/>
          <w:b/>
          <w:bCs/>
          <w:szCs w:val="22"/>
          <w:lang w:val="pl"/>
        </w:rPr>
        <w:t xml:space="preserve"> (</w:t>
      </w:r>
      <w:proofErr w:type="spellStart"/>
      <w:r>
        <w:rPr>
          <w:rFonts w:cs="Segoe UI"/>
          <w:b/>
          <w:bCs/>
          <w:szCs w:val="22"/>
          <w:lang w:val="pl"/>
        </w:rPr>
        <w:t>Purposeful</w:t>
      </w:r>
      <w:proofErr w:type="spellEnd"/>
      <w:r>
        <w:rPr>
          <w:rFonts w:cs="Segoe UI"/>
          <w:b/>
          <w:bCs/>
          <w:szCs w:val="22"/>
          <w:lang w:val="pl"/>
        </w:rPr>
        <w:t xml:space="preserve"> </w:t>
      </w:r>
      <w:proofErr w:type="spellStart"/>
      <w:r>
        <w:rPr>
          <w:rFonts w:cs="Segoe UI"/>
          <w:b/>
          <w:bCs/>
          <w:szCs w:val="22"/>
          <w:lang w:val="pl"/>
        </w:rPr>
        <w:t>Growth</w:t>
      </w:r>
      <w:proofErr w:type="spellEnd"/>
      <w:r>
        <w:rPr>
          <w:rFonts w:cs="Segoe UI"/>
          <w:b/>
          <w:bCs/>
          <w:szCs w:val="22"/>
          <w:lang w:val="pl"/>
        </w:rPr>
        <w:t>)</w:t>
      </w:r>
      <w:r w:rsidR="00014767">
        <w:rPr>
          <w:rFonts w:cs="Segoe UI"/>
          <w:b/>
          <w:bCs/>
          <w:szCs w:val="22"/>
          <w:lang w:val="pl"/>
        </w:rPr>
        <w:t xml:space="preserve">: silna dynamika </w:t>
      </w:r>
    </w:p>
    <w:p w14:paraId="6DDFE71B" w14:textId="492BC187" w:rsidR="00014767" w:rsidRPr="00866562" w:rsidRDefault="00014767" w:rsidP="00014767">
      <w:pPr>
        <w:autoSpaceDE w:val="0"/>
        <w:autoSpaceDN w:val="0"/>
        <w:adjustRightInd w:val="0"/>
        <w:rPr>
          <w:rFonts w:cs="Segoe UI"/>
          <w:bCs/>
          <w:szCs w:val="22"/>
          <w:lang w:val="pl-PL"/>
        </w:rPr>
      </w:pPr>
      <w:r>
        <w:rPr>
          <w:rFonts w:cs="Segoe UI"/>
          <w:szCs w:val="22"/>
          <w:lang w:val="pl"/>
        </w:rPr>
        <w:t xml:space="preserve">Na początku marca 2020 roku Henkel przedstawił program rozwoju firmy na najbliższe lata, który koncentruje się na opracowaniu konkurencyjnego asortymentu produktów, zwiększaniu przewagi konkurencyjnej – głównie w obszarze innowacji, zrównoważonego rozwoju i cyfryzacji, wdrożeniu nowoczesnych modeli operacyjnych oraz stworzeniu silnej kultury korporacyjnej opartej na współpracy. – Przedstawione ramy strategiczne pomogą spółce </w:t>
      </w:r>
      <w:r w:rsidR="00F512BA">
        <w:rPr>
          <w:rFonts w:cs="Segoe UI"/>
          <w:szCs w:val="22"/>
          <w:lang w:val="pl"/>
        </w:rPr>
        <w:t xml:space="preserve">w nadchodzącej dekadzie </w:t>
      </w:r>
      <w:r>
        <w:rPr>
          <w:rFonts w:cs="Segoe UI"/>
          <w:szCs w:val="22"/>
          <w:lang w:val="pl"/>
        </w:rPr>
        <w:t xml:space="preserve">wygrywać z konkurencją. Mimo iż w ciągu 2020 roku koncentrowaliśmy się na zarządzaniu kryzysowym, udało nam się uruchomić i rozpocząć realizację naszego </w:t>
      </w:r>
      <w:r w:rsidR="00F512BA">
        <w:rPr>
          <w:rFonts w:cs="Segoe UI"/>
          <w:szCs w:val="22"/>
          <w:lang w:val="pl"/>
        </w:rPr>
        <w:t xml:space="preserve">strategicznego </w:t>
      </w:r>
      <w:r>
        <w:rPr>
          <w:rFonts w:cs="Segoe UI"/>
          <w:szCs w:val="22"/>
          <w:lang w:val="pl"/>
        </w:rPr>
        <w:t xml:space="preserve">programu rozwoju. Jesteśmy </w:t>
      </w:r>
      <w:r w:rsidR="00F512BA">
        <w:rPr>
          <w:rFonts w:cs="Segoe UI"/>
          <w:szCs w:val="22"/>
          <w:lang w:val="pl"/>
        </w:rPr>
        <w:t>zdeterminowani osiągać</w:t>
      </w:r>
      <w:r>
        <w:rPr>
          <w:rFonts w:cs="Segoe UI"/>
          <w:szCs w:val="22"/>
          <w:lang w:val="pl"/>
        </w:rPr>
        <w:t xml:space="preserve"> dalsze postęp</w:t>
      </w:r>
      <w:r w:rsidR="00F512BA">
        <w:rPr>
          <w:rFonts w:cs="Segoe UI"/>
          <w:szCs w:val="22"/>
          <w:lang w:val="pl"/>
        </w:rPr>
        <w:t>y</w:t>
      </w:r>
      <w:r>
        <w:rPr>
          <w:rFonts w:cs="Segoe UI"/>
          <w:szCs w:val="22"/>
          <w:lang w:val="pl"/>
        </w:rPr>
        <w:t xml:space="preserve"> </w:t>
      </w:r>
      <w:r w:rsidR="00F512BA">
        <w:rPr>
          <w:rFonts w:cs="Segoe UI"/>
          <w:szCs w:val="22"/>
          <w:lang w:val="pl"/>
        </w:rPr>
        <w:t xml:space="preserve">w </w:t>
      </w:r>
      <w:r>
        <w:rPr>
          <w:rFonts w:cs="Segoe UI"/>
          <w:szCs w:val="22"/>
          <w:lang w:val="pl"/>
        </w:rPr>
        <w:t xml:space="preserve">realizacji </w:t>
      </w:r>
      <w:r w:rsidR="00F512BA">
        <w:rPr>
          <w:rFonts w:cs="Segoe UI"/>
          <w:szCs w:val="22"/>
          <w:lang w:val="pl"/>
        </w:rPr>
        <w:t xml:space="preserve">naszych </w:t>
      </w:r>
      <w:r>
        <w:rPr>
          <w:rFonts w:cs="Segoe UI"/>
          <w:szCs w:val="22"/>
          <w:lang w:val="pl"/>
        </w:rPr>
        <w:t xml:space="preserve">planów w 2021 roku i kolejnych latach – powiedział </w:t>
      </w:r>
      <w:proofErr w:type="spellStart"/>
      <w:r>
        <w:rPr>
          <w:rFonts w:cs="Segoe UI"/>
          <w:szCs w:val="22"/>
          <w:lang w:val="pl"/>
        </w:rPr>
        <w:t>Carsten</w:t>
      </w:r>
      <w:proofErr w:type="spellEnd"/>
      <w:r>
        <w:rPr>
          <w:rFonts w:cs="Segoe UI"/>
          <w:szCs w:val="22"/>
          <w:lang w:val="pl"/>
        </w:rPr>
        <w:t xml:space="preserve"> </w:t>
      </w:r>
      <w:proofErr w:type="spellStart"/>
      <w:r>
        <w:rPr>
          <w:rFonts w:cs="Segoe UI"/>
          <w:szCs w:val="22"/>
          <w:lang w:val="pl"/>
        </w:rPr>
        <w:t>Knobel</w:t>
      </w:r>
      <w:proofErr w:type="spellEnd"/>
      <w:r>
        <w:rPr>
          <w:rFonts w:cs="Segoe UI"/>
          <w:szCs w:val="22"/>
          <w:lang w:val="pl"/>
        </w:rPr>
        <w:t>.</w:t>
      </w:r>
    </w:p>
    <w:p w14:paraId="41B1E807" w14:textId="77777777" w:rsidR="00014767" w:rsidRPr="00866562" w:rsidRDefault="00014767" w:rsidP="00014767">
      <w:pPr>
        <w:autoSpaceDE w:val="0"/>
        <w:autoSpaceDN w:val="0"/>
        <w:adjustRightInd w:val="0"/>
        <w:rPr>
          <w:rFonts w:cs="Segoe UI"/>
          <w:bCs/>
          <w:szCs w:val="22"/>
          <w:lang w:val="pl-PL"/>
        </w:rPr>
      </w:pPr>
    </w:p>
    <w:p w14:paraId="611F19B3" w14:textId="7F6583EF" w:rsidR="00014767" w:rsidRPr="00866562" w:rsidRDefault="00014767" w:rsidP="00014767">
      <w:pPr>
        <w:autoSpaceDE w:val="0"/>
        <w:autoSpaceDN w:val="0"/>
        <w:adjustRightInd w:val="0"/>
        <w:rPr>
          <w:rFonts w:cs="Segoe UI"/>
          <w:bCs/>
          <w:szCs w:val="22"/>
          <w:lang w:val="pl-PL"/>
        </w:rPr>
      </w:pPr>
      <w:r>
        <w:rPr>
          <w:rFonts w:cs="Segoe UI"/>
          <w:szCs w:val="22"/>
          <w:lang w:val="pl"/>
        </w:rPr>
        <w:t xml:space="preserve">Kluczowym elementem przyszłego kierunku rozwoju </w:t>
      </w:r>
      <w:r w:rsidR="00F512BA">
        <w:rPr>
          <w:rFonts w:cs="Segoe UI"/>
          <w:szCs w:val="22"/>
          <w:lang w:val="pl"/>
        </w:rPr>
        <w:t xml:space="preserve">firmy </w:t>
      </w:r>
      <w:r>
        <w:rPr>
          <w:rFonts w:cs="Segoe UI"/>
          <w:szCs w:val="22"/>
          <w:lang w:val="pl"/>
        </w:rPr>
        <w:t xml:space="preserve">Henkel jest </w:t>
      </w:r>
      <w:r>
        <w:rPr>
          <w:rFonts w:cs="Segoe UI"/>
          <w:b/>
          <w:bCs/>
          <w:szCs w:val="22"/>
          <w:lang w:val="pl"/>
        </w:rPr>
        <w:t>aktywne zarządzanie</w:t>
      </w:r>
      <w:r>
        <w:rPr>
          <w:rFonts w:cs="Segoe UI"/>
          <w:szCs w:val="22"/>
          <w:lang w:val="pl"/>
        </w:rPr>
        <w:t xml:space="preserve"> </w:t>
      </w:r>
      <w:r>
        <w:rPr>
          <w:rFonts w:cs="Segoe UI"/>
          <w:b/>
          <w:bCs/>
          <w:szCs w:val="22"/>
          <w:lang w:val="pl"/>
        </w:rPr>
        <w:t>portfolio produktów</w:t>
      </w:r>
      <w:r>
        <w:rPr>
          <w:rFonts w:cs="Segoe UI"/>
          <w:szCs w:val="22"/>
          <w:lang w:val="pl"/>
        </w:rPr>
        <w:t xml:space="preserve">. Spółka zidentyfikowała marki i grupy produktowe o łącznej sprzedaży powyżej miliarda euro, głównie w segmentach dóbr konsumpcyjnych. Blisko połowa z nich zostanie sprzedana lub wycofana przed końcem 2021 roku. Oczekuje się systematycznej poprawy wyników pozostałych marek i sektorów biznesowych. W 2020 roku już 60% bazy przychodowej tych marek i sektorów biznesowych wykazywało poprawę dynamiki wzrostu. </w:t>
      </w:r>
    </w:p>
    <w:p w14:paraId="0129DAF9" w14:textId="77777777" w:rsidR="00014767" w:rsidRPr="00866562" w:rsidRDefault="00014767" w:rsidP="00014767">
      <w:pPr>
        <w:autoSpaceDE w:val="0"/>
        <w:autoSpaceDN w:val="0"/>
        <w:adjustRightInd w:val="0"/>
        <w:rPr>
          <w:rFonts w:cs="Segoe UI"/>
          <w:bCs/>
          <w:szCs w:val="22"/>
          <w:lang w:val="pl-PL"/>
        </w:rPr>
      </w:pPr>
    </w:p>
    <w:p w14:paraId="3DC227FF" w14:textId="77777777" w:rsidR="00014767" w:rsidRPr="00866562" w:rsidRDefault="00014767" w:rsidP="00014767">
      <w:pPr>
        <w:autoSpaceDE w:val="0"/>
        <w:autoSpaceDN w:val="0"/>
        <w:adjustRightInd w:val="0"/>
        <w:rPr>
          <w:rFonts w:cs="Segoe UI"/>
          <w:bCs/>
          <w:szCs w:val="22"/>
          <w:lang w:val="pl-PL"/>
        </w:rPr>
      </w:pPr>
      <w:r>
        <w:rPr>
          <w:rFonts w:cs="Segoe UI"/>
          <w:szCs w:val="22"/>
          <w:lang w:val="pl"/>
        </w:rPr>
        <w:t>Pomimo niepewności panującej na rynku w 2020 roku, Henkel podpisał już umowy sprzedaży, sfinalizował transakcje sprzedaży lub zaprzestał prowadzenia działalności w sektorach biznesowych o rocznym wolumenie sprzedaży przekraczającym 100 mln euro. W związku z aktywnym zarządzaniem portfelem, w 2020 roku rozpoznano niepieniężne odpisy z tytułu utraty wartości sektorów biznesowych przeznaczonych do sprzedaży lub zamknięcia w wysokości około 300 mln euro.</w:t>
      </w:r>
    </w:p>
    <w:p w14:paraId="5C853B8D" w14:textId="77777777" w:rsidR="00014767" w:rsidRPr="00866562" w:rsidRDefault="00014767" w:rsidP="00014767">
      <w:pPr>
        <w:autoSpaceDE w:val="0"/>
        <w:autoSpaceDN w:val="0"/>
        <w:adjustRightInd w:val="0"/>
        <w:rPr>
          <w:rFonts w:cs="Segoe UI"/>
          <w:bCs/>
          <w:szCs w:val="22"/>
          <w:lang w:val="pl-PL"/>
        </w:rPr>
      </w:pPr>
    </w:p>
    <w:p w14:paraId="7E4A7453" w14:textId="77777777" w:rsidR="00014767" w:rsidRPr="00291FD6" w:rsidRDefault="00014767" w:rsidP="00014767">
      <w:pPr>
        <w:autoSpaceDE w:val="0"/>
        <w:autoSpaceDN w:val="0"/>
        <w:adjustRightInd w:val="0"/>
        <w:rPr>
          <w:rFonts w:cs="Segoe UI"/>
          <w:szCs w:val="22"/>
          <w:lang w:val="pl-PL"/>
        </w:rPr>
      </w:pPr>
      <w:r>
        <w:rPr>
          <w:rFonts w:cs="Segoe UI"/>
          <w:szCs w:val="22"/>
          <w:lang w:val="pl"/>
        </w:rPr>
        <w:t xml:space="preserve">Jednocześnie Henkel wzmacnia swoje portfolio dzięki </w:t>
      </w:r>
      <w:r w:rsidRPr="00291FD6">
        <w:rPr>
          <w:rFonts w:cs="Segoe UI"/>
          <w:b/>
          <w:bCs/>
          <w:szCs w:val="22"/>
          <w:lang w:val="pl"/>
        </w:rPr>
        <w:t>fuzjom i</w:t>
      </w:r>
      <w:r>
        <w:rPr>
          <w:rFonts w:cs="Segoe UI"/>
          <w:szCs w:val="22"/>
          <w:lang w:val="pl"/>
        </w:rPr>
        <w:t xml:space="preserve"> </w:t>
      </w:r>
      <w:r>
        <w:rPr>
          <w:rFonts w:cs="Segoe UI"/>
          <w:b/>
          <w:bCs/>
          <w:szCs w:val="22"/>
          <w:lang w:val="pl"/>
        </w:rPr>
        <w:t xml:space="preserve">przejęciom. </w:t>
      </w:r>
      <w:r>
        <w:rPr>
          <w:rFonts w:cs="Segoe UI"/>
          <w:szCs w:val="22"/>
          <w:lang w:val="pl"/>
        </w:rPr>
        <w:t xml:space="preserve">W 2020 roku firma uzgodniła i sfinalizowała dwie transakcje przejęcia o łącznej cenie zakupu ok. 500 mln euro w sektorach </w:t>
      </w:r>
      <w:proofErr w:type="spellStart"/>
      <w:r>
        <w:rPr>
          <w:rFonts w:cs="Segoe UI"/>
          <w:szCs w:val="22"/>
          <w:lang w:val="pl"/>
        </w:rPr>
        <w:t>Beauty</w:t>
      </w:r>
      <w:proofErr w:type="spellEnd"/>
      <w:r>
        <w:rPr>
          <w:rFonts w:cs="Segoe UI"/>
          <w:szCs w:val="22"/>
          <w:lang w:val="pl"/>
        </w:rPr>
        <w:t xml:space="preserve"> </w:t>
      </w:r>
      <w:proofErr w:type="spellStart"/>
      <w:r>
        <w:rPr>
          <w:rFonts w:cs="Segoe UI"/>
          <w:szCs w:val="22"/>
          <w:lang w:val="pl"/>
        </w:rPr>
        <w:t>Care</w:t>
      </w:r>
      <w:proofErr w:type="spellEnd"/>
      <w:r>
        <w:rPr>
          <w:rFonts w:cs="Segoe UI"/>
          <w:szCs w:val="22"/>
          <w:lang w:val="pl"/>
        </w:rPr>
        <w:t xml:space="preserve"> (kosmetyki) i </w:t>
      </w:r>
      <w:proofErr w:type="spellStart"/>
      <w:r>
        <w:rPr>
          <w:rFonts w:cs="Segoe UI"/>
          <w:szCs w:val="22"/>
          <w:lang w:val="pl"/>
        </w:rPr>
        <w:t>Adhesive</w:t>
      </w:r>
      <w:proofErr w:type="spellEnd"/>
      <w:r>
        <w:rPr>
          <w:rFonts w:cs="Segoe UI"/>
          <w:szCs w:val="22"/>
          <w:lang w:val="pl"/>
        </w:rPr>
        <w:t xml:space="preserve"> Technologies </w:t>
      </w:r>
      <w:r w:rsidRPr="00291FD6">
        <w:rPr>
          <w:rFonts w:cs="Segoe UI"/>
          <w:szCs w:val="22"/>
          <w:lang w:val="pl"/>
        </w:rPr>
        <w:t>(kleje budowlane i konsumenckie oraz kleje i technologie dla przemysłu).</w:t>
      </w:r>
    </w:p>
    <w:p w14:paraId="095D87C5" w14:textId="77777777" w:rsidR="00014767" w:rsidRPr="00866562" w:rsidRDefault="00014767" w:rsidP="00014767">
      <w:pPr>
        <w:autoSpaceDE w:val="0"/>
        <w:autoSpaceDN w:val="0"/>
        <w:adjustRightInd w:val="0"/>
        <w:rPr>
          <w:rFonts w:cs="Segoe UI"/>
          <w:bCs/>
          <w:szCs w:val="22"/>
          <w:lang w:val="pl-PL"/>
        </w:rPr>
      </w:pPr>
    </w:p>
    <w:p w14:paraId="642E4E88" w14:textId="77777777" w:rsidR="00014767" w:rsidRPr="00866562" w:rsidRDefault="00014767" w:rsidP="00014767">
      <w:pPr>
        <w:autoSpaceDE w:val="0"/>
        <w:autoSpaceDN w:val="0"/>
        <w:adjustRightInd w:val="0"/>
        <w:rPr>
          <w:rFonts w:cs="Segoe UI"/>
          <w:bCs/>
          <w:szCs w:val="22"/>
          <w:lang w:val="pl-PL"/>
        </w:rPr>
      </w:pPr>
      <w:r>
        <w:rPr>
          <w:rFonts w:cs="Segoe UI"/>
          <w:szCs w:val="22"/>
          <w:lang w:val="pl"/>
        </w:rPr>
        <w:t xml:space="preserve">W celu dalszego umocnienia </w:t>
      </w:r>
      <w:r>
        <w:rPr>
          <w:rFonts w:cs="Segoe UI"/>
          <w:b/>
          <w:bCs/>
          <w:szCs w:val="22"/>
          <w:lang w:val="pl"/>
        </w:rPr>
        <w:t>przewagi konkurencyjnej</w:t>
      </w:r>
      <w:r>
        <w:rPr>
          <w:rFonts w:cs="Segoe UI"/>
          <w:szCs w:val="22"/>
          <w:lang w:val="pl"/>
        </w:rPr>
        <w:t xml:space="preserve"> Henkel będzie przyspieszać rozwój </w:t>
      </w:r>
      <w:r>
        <w:rPr>
          <w:rFonts w:cs="Segoe UI"/>
          <w:b/>
          <w:bCs/>
          <w:szCs w:val="22"/>
          <w:lang w:val="pl"/>
        </w:rPr>
        <w:t xml:space="preserve">innowacji </w:t>
      </w:r>
      <w:r>
        <w:rPr>
          <w:rFonts w:cs="Segoe UI"/>
          <w:szCs w:val="22"/>
          <w:lang w:val="pl"/>
        </w:rPr>
        <w:t xml:space="preserve">mających wpływ na wyniki, zwiększać wysiłki na rzecz </w:t>
      </w:r>
      <w:r>
        <w:rPr>
          <w:rFonts w:cs="Segoe UI"/>
          <w:b/>
          <w:bCs/>
          <w:szCs w:val="22"/>
          <w:lang w:val="pl"/>
        </w:rPr>
        <w:t xml:space="preserve">zrównoważonego </w:t>
      </w:r>
      <w:r>
        <w:rPr>
          <w:rFonts w:cs="Segoe UI"/>
          <w:szCs w:val="22"/>
          <w:lang w:val="pl"/>
        </w:rPr>
        <w:t xml:space="preserve">rozwoju jako czynnika wyróżniającego spółkę na rynku oraz kontynuować </w:t>
      </w:r>
      <w:r>
        <w:rPr>
          <w:rFonts w:cs="Segoe UI"/>
          <w:b/>
          <w:bCs/>
          <w:szCs w:val="22"/>
          <w:lang w:val="pl"/>
        </w:rPr>
        <w:t xml:space="preserve">cyfryzację </w:t>
      </w:r>
      <w:r>
        <w:rPr>
          <w:rFonts w:cs="Segoe UI"/>
          <w:szCs w:val="22"/>
          <w:lang w:val="pl"/>
        </w:rPr>
        <w:t>firmy.</w:t>
      </w:r>
    </w:p>
    <w:p w14:paraId="5F879990" w14:textId="77777777" w:rsidR="00014767" w:rsidRPr="00866562" w:rsidRDefault="00014767" w:rsidP="00014767">
      <w:pPr>
        <w:autoSpaceDE w:val="0"/>
        <w:autoSpaceDN w:val="0"/>
        <w:adjustRightInd w:val="0"/>
        <w:rPr>
          <w:rFonts w:cs="Segoe UI"/>
          <w:bCs/>
          <w:szCs w:val="22"/>
          <w:lang w:val="pl-PL"/>
        </w:rPr>
      </w:pPr>
    </w:p>
    <w:p w14:paraId="701B0133" w14:textId="77777777" w:rsidR="00014767" w:rsidRPr="00866562" w:rsidRDefault="00014767" w:rsidP="00014767">
      <w:pPr>
        <w:autoSpaceDE w:val="0"/>
        <w:autoSpaceDN w:val="0"/>
        <w:adjustRightInd w:val="0"/>
        <w:rPr>
          <w:rFonts w:cs="Segoe UI"/>
          <w:bCs/>
          <w:szCs w:val="22"/>
          <w:lang w:val="pl-PL"/>
        </w:rPr>
      </w:pPr>
      <w:r>
        <w:rPr>
          <w:rFonts w:cs="Segoe UI"/>
          <w:szCs w:val="22"/>
          <w:lang w:val="pl"/>
        </w:rPr>
        <w:t xml:space="preserve">W 2020 roku Henkel zwiększył </w:t>
      </w:r>
      <w:r>
        <w:rPr>
          <w:rFonts w:cs="Segoe UI"/>
          <w:b/>
          <w:bCs/>
          <w:szCs w:val="22"/>
          <w:lang w:val="pl"/>
        </w:rPr>
        <w:t xml:space="preserve">inwestycje </w:t>
      </w:r>
      <w:r>
        <w:rPr>
          <w:rFonts w:cs="Segoe UI"/>
          <w:szCs w:val="22"/>
          <w:lang w:val="pl"/>
        </w:rPr>
        <w:t>o około 200 mln euro w porównaniu z rokiem poprzednim (o 350 mln euro w porównaniu z rokiem 2018) w celu wzmocnienia swoich marek, technologii i innowacji, jak również przyspieszenia cyfrowej transformacji firmy. Inwestycje te przynoszą pierwsze wymierne efekty – Henkel był w stanie zwiększyć udział na wielu kluczowych rynkach i w grupach produktowych. Spółka przyspieszyła również proces wdrażania innowacji i wprowadzania na rynek nowych produktów. Umożliwiło to na przykład szybką odpowiedź na skokowy wzrost popytu na artykuły higieniczne, środki dezynfekujące i czyszczące dzięki tzw. „szybkiej ścieżce innowacji”. Nacisk położono na kluczowe trendy, takie jak artykuły higieniczne, produkty wytwarzane zgodnie z zasadami zrównoważonego rozwoju i przyjazne środowisku, oraz większą wygodę użytkowników.</w:t>
      </w:r>
    </w:p>
    <w:p w14:paraId="570A0434" w14:textId="77777777" w:rsidR="00014767" w:rsidRPr="00866562" w:rsidRDefault="00014767" w:rsidP="00014767">
      <w:pPr>
        <w:autoSpaceDE w:val="0"/>
        <w:autoSpaceDN w:val="0"/>
        <w:adjustRightInd w:val="0"/>
        <w:rPr>
          <w:rFonts w:cs="Segoe UI"/>
          <w:bCs/>
          <w:szCs w:val="22"/>
          <w:lang w:val="pl-PL"/>
        </w:rPr>
      </w:pPr>
    </w:p>
    <w:p w14:paraId="36501057" w14:textId="5C516A4D" w:rsidR="00014767" w:rsidRPr="00866562" w:rsidRDefault="00014767" w:rsidP="00014767">
      <w:pPr>
        <w:autoSpaceDE w:val="0"/>
        <w:autoSpaceDN w:val="0"/>
        <w:adjustRightInd w:val="0"/>
        <w:rPr>
          <w:rFonts w:cs="Segoe UI"/>
          <w:bCs/>
          <w:szCs w:val="22"/>
          <w:lang w:val="pl-PL"/>
        </w:rPr>
      </w:pPr>
      <w:r>
        <w:rPr>
          <w:rFonts w:cs="Segoe UI"/>
          <w:szCs w:val="22"/>
          <w:lang w:val="pl"/>
        </w:rPr>
        <w:t xml:space="preserve">W celu przyspieszenia </w:t>
      </w:r>
      <w:r>
        <w:rPr>
          <w:rFonts w:cs="Segoe UI"/>
          <w:b/>
          <w:bCs/>
          <w:szCs w:val="22"/>
          <w:lang w:val="pl"/>
        </w:rPr>
        <w:t>innowacji</w:t>
      </w:r>
      <w:r>
        <w:rPr>
          <w:rFonts w:cs="Segoe UI"/>
          <w:szCs w:val="22"/>
          <w:lang w:val="pl"/>
        </w:rPr>
        <w:t xml:space="preserve"> i opracowania </w:t>
      </w:r>
      <w:r>
        <w:rPr>
          <w:rFonts w:cs="Segoe UI"/>
          <w:b/>
          <w:bCs/>
          <w:szCs w:val="22"/>
          <w:lang w:val="pl"/>
        </w:rPr>
        <w:t>nowych modeli biznesowych</w:t>
      </w:r>
      <w:r>
        <w:rPr>
          <w:rFonts w:cs="Segoe UI"/>
          <w:szCs w:val="22"/>
          <w:lang w:val="pl"/>
        </w:rPr>
        <w:t xml:space="preserve">, sektory biznesowe </w:t>
      </w:r>
      <w:proofErr w:type="spellStart"/>
      <w:r>
        <w:rPr>
          <w:rFonts w:cs="Segoe UI"/>
          <w:szCs w:val="22"/>
          <w:lang w:val="pl"/>
        </w:rPr>
        <w:t>Beauty</w:t>
      </w:r>
      <w:proofErr w:type="spellEnd"/>
      <w:r>
        <w:rPr>
          <w:rFonts w:cs="Segoe UI"/>
          <w:szCs w:val="22"/>
          <w:lang w:val="pl"/>
        </w:rPr>
        <w:t xml:space="preserve"> </w:t>
      </w:r>
      <w:proofErr w:type="spellStart"/>
      <w:r>
        <w:rPr>
          <w:rFonts w:cs="Segoe UI"/>
          <w:szCs w:val="22"/>
          <w:lang w:val="pl"/>
        </w:rPr>
        <w:t>Care</w:t>
      </w:r>
      <w:proofErr w:type="spellEnd"/>
      <w:r>
        <w:rPr>
          <w:rFonts w:cs="Segoe UI"/>
          <w:szCs w:val="22"/>
          <w:lang w:val="pl"/>
        </w:rPr>
        <w:t xml:space="preserve"> (kosmetyki) i </w:t>
      </w:r>
      <w:proofErr w:type="spellStart"/>
      <w:r>
        <w:rPr>
          <w:rFonts w:cs="Segoe UI"/>
          <w:szCs w:val="22"/>
          <w:lang w:val="pl"/>
        </w:rPr>
        <w:t>Laundry</w:t>
      </w:r>
      <w:proofErr w:type="spellEnd"/>
      <w:r>
        <w:rPr>
          <w:rFonts w:cs="Segoe UI"/>
          <w:szCs w:val="22"/>
          <w:lang w:val="pl"/>
        </w:rPr>
        <w:t xml:space="preserve"> &amp; Home </w:t>
      </w:r>
      <w:proofErr w:type="spellStart"/>
      <w:r>
        <w:rPr>
          <w:rFonts w:cs="Segoe UI"/>
          <w:szCs w:val="22"/>
          <w:lang w:val="pl"/>
        </w:rPr>
        <w:t>Care</w:t>
      </w:r>
      <w:proofErr w:type="spellEnd"/>
      <w:r>
        <w:rPr>
          <w:rFonts w:cs="Segoe UI"/>
          <w:szCs w:val="22"/>
          <w:lang w:val="pl"/>
        </w:rPr>
        <w:t xml:space="preserve"> (środki piorące i czystości) utworzyły wewnętrzne inkubatory, łączące zwinne podejście do pracy ze skalą i specjalistyczną wiedzą globalnego koncernu. Celem „Fritz </w:t>
      </w:r>
      <w:proofErr w:type="spellStart"/>
      <w:r>
        <w:rPr>
          <w:rFonts w:cs="Segoe UI"/>
          <w:szCs w:val="22"/>
          <w:lang w:val="pl"/>
        </w:rPr>
        <w:t>Beauty</w:t>
      </w:r>
      <w:proofErr w:type="spellEnd"/>
      <w:r>
        <w:rPr>
          <w:rFonts w:cs="Segoe UI"/>
          <w:szCs w:val="22"/>
          <w:lang w:val="pl"/>
        </w:rPr>
        <w:t xml:space="preserve"> Lab”</w:t>
      </w:r>
      <w:r w:rsidR="005C6A0C">
        <w:rPr>
          <w:rFonts w:cs="Segoe UI"/>
          <w:szCs w:val="22"/>
          <w:lang w:val="pl"/>
        </w:rPr>
        <w:t xml:space="preserve"> </w:t>
      </w:r>
      <w:r>
        <w:rPr>
          <w:rFonts w:cs="Segoe UI"/>
          <w:szCs w:val="22"/>
          <w:lang w:val="pl"/>
        </w:rPr>
        <w:t xml:space="preserve">jest identyfikacja obszarów z potencjałem wzrostu dla istniejących marek lub tzw. </w:t>
      </w:r>
      <w:r w:rsidR="005C6A0C">
        <w:rPr>
          <w:rFonts w:cs="Segoe UI"/>
          <w:szCs w:val="22"/>
          <w:lang w:val="pl"/>
        </w:rPr>
        <w:t>r</w:t>
      </w:r>
      <w:r w:rsidR="00F512BA">
        <w:rPr>
          <w:rFonts w:cs="Segoe UI"/>
          <w:szCs w:val="22"/>
          <w:lang w:val="pl"/>
        </w:rPr>
        <w:t xml:space="preserve">ynkowych </w:t>
      </w:r>
      <w:r>
        <w:rPr>
          <w:rFonts w:cs="Segoe UI"/>
          <w:szCs w:val="22"/>
          <w:lang w:val="pl"/>
        </w:rPr>
        <w:t>„białych plam”</w:t>
      </w:r>
      <w:r w:rsidR="00F512BA">
        <w:rPr>
          <w:rFonts w:cs="Segoe UI"/>
          <w:szCs w:val="22"/>
          <w:lang w:val="pl"/>
        </w:rPr>
        <w:t>,</w:t>
      </w:r>
      <w:r>
        <w:rPr>
          <w:rFonts w:cs="Segoe UI"/>
          <w:szCs w:val="22"/>
          <w:lang w:val="pl"/>
        </w:rPr>
        <w:t xml:space="preserve"> </w:t>
      </w:r>
      <w:r w:rsidR="005C6A0C">
        <w:rPr>
          <w:rFonts w:cs="Segoe UI"/>
          <w:szCs w:val="22"/>
          <w:lang w:val="pl"/>
        </w:rPr>
        <w:t>reprezentujących potencjał do tworzenia</w:t>
      </w:r>
      <w:r>
        <w:rPr>
          <w:rFonts w:cs="Segoe UI"/>
          <w:szCs w:val="22"/>
          <w:lang w:val="pl"/>
        </w:rPr>
        <w:t xml:space="preserve"> nowych marek. Sektor biznesowy </w:t>
      </w:r>
      <w:proofErr w:type="spellStart"/>
      <w:r>
        <w:rPr>
          <w:rFonts w:cs="Segoe UI"/>
          <w:szCs w:val="22"/>
          <w:lang w:val="pl"/>
        </w:rPr>
        <w:t>Laundry</w:t>
      </w:r>
      <w:proofErr w:type="spellEnd"/>
      <w:r>
        <w:rPr>
          <w:rFonts w:cs="Segoe UI"/>
          <w:szCs w:val="22"/>
          <w:lang w:val="pl"/>
        </w:rPr>
        <w:t xml:space="preserve"> &amp; Home </w:t>
      </w:r>
      <w:proofErr w:type="spellStart"/>
      <w:r>
        <w:rPr>
          <w:rFonts w:cs="Segoe UI"/>
          <w:szCs w:val="22"/>
          <w:lang w:val="pl"/>
        </w:rPr>
        <w:t>Care</w:t>
      </w:r>
      <w:proofErr w:type="spellEnd"/>
      <w:r>
        <w:rPr>
          <w:rFonts w:cs="Segoe UI"/>
          <w:szCs w:val="22"/>
          <w:lang w:val="pl"/>
        </w:rPr>
        <w:t xml:space="preserve"> (środki piorące i czystości)</w:t>
      </w:r>
      <w:r w:rsidR="005C6A0C">
        <w:rPr>
          <w:rFonts w:cs="Segoe UI"/>
          <w:szCs w:val="22"/>
          <w:lang w:val="pl"/>
        </w:rPr>
        <w:t xml:space="preserve"> także</w:t>
      </w:r>
      <w:r>
        <w:rPr>
          <w:rFonts w:cs="Segoe UI"/>
          <w:szCs w:val="22"/>
          <w:lang w:val="pl"/>
        </w:rPr>
        <w:t xml:space="preserve"> uruchomił </w:t>
      </w:r>
      <w:r w:rsidR="005C6A0C">
        <w:rPr>
          <w:rFonts w:cs="Segoe UI"/>
          <w:szCs w:val="22"/>
          <w:lang w:val="pl"/>
        </w:rPr>
        <w:t xml:space="preserve">inkubator nowych pomysłów </w:t>
      </w:r>
      <w:r>
        <w:rPr>
          <w:rFonts w:cs="Segoe UI"/>
          <w:szCs w:val="22"/>
          <w:lang w:val="pl"/>
        </w:rPr>
        <w:t xml:space="preserve">pod marką parasolową Love Nature, </w:t>
      </w:r>
      <w:r w:rsidR="005C6A0C">
        <w:rPr>
          <w:rFonts w:cs="Segoe UI"/>
          <w:szCs w:val="22"/>
          <w:lang w:val="pl"/>
        </w:rPr>
        <w:t xml:space="preserve">który będzie </w:t>
      </w:r>
      <w:r>
        <w:rPr>
          <w:rFonts w:cs="Segoe UI"/>
          <w:szCs w:val="22"/>
          <w:lang w:val="pl"/>
        </w:rPr>
        <w:t>koncentr</w:t>
      </w:r>
      <w:r w:rsidR="005C6A0C">
        <w:rPr>
          <w:rFonts w:cs="Segoe UI"/>
          <w:szCs w:val="22"/>
          <w:lang w:val="pl"/>
        </w:rPr>
        <w:t>ował</w:t>
      </w:r>
      <w:r>
        <w:rPr>
          <w:rFonts w:cs="Segoe UI"/>
          <w:szCs w:val="22"/>
          <w:lang w:val="pl"/>
        </w:rPr>
        <w:t xml:space="preserve"> się na przyjaznych środowisku rozwiązaniach w produkcji środków piorących i czystości. W sektorze </w:t>
      </w:r>
      <w:proofErr w:type="spellStart"/>
      <w:r>
        <w:rPr>
          <w:rFonts w:cs="Segoe UI"/>
          <w:szCs w:val="22"/>
          <w:lang w:val="pl"/>
        </w:rPr>
        <w:t>Adhesive</w:t>
      </w:r>
      <w:proofErr w:type="spellEnd"/>
      <w:r>
        <w:rPr>
          <w:rFonts w:cs="Segoe UI"/>
          <w:szCs w:val="22"/>
          <w:lang w:val="pl"/>
        </w:rPr>
        <w:t xml:space="preserve"> Technologies </w:t>
      </w:r>
      <w:r w:rsidRPr="00291FD6">
        <w:rPr>
          <w:rFonts w:cs="Segoe UI"/>
          <w:szCs w:val="22"/>
          <w:lang w:val="pl"/>
        </w:rPr>
        <w:t>(kleje budowlane i konsumenckie oraz kleje i technologie dla przemysłu)</w:t>
      </w:r>
      <w:r>
        <w:rPr>
          <w:rFonts w:cs="Segoe UI"/>
          <w:szCs w:val="22"/>
          <w:lang w:val="pl"/>
        </w:rPr>
        <w:t xml:space="preserve"> Henkel kontynuował inwestycje w nowoczesne centrum innowacji w </w:t>
      </w:r>
      <w:proofErr w:type="spellStart"/>
      <w:r>
        <w:rPr>
          <w:rFonts w:cs="Segoe UI"/>
          <w:szCs w:val="22"/>
          <w:lang w:val="pl"/>
        </w:rPr>
        <w:t>Düsseldorfie</w:t>
      </w:r>
      <w:proofErr w:type="spellEnd"/>
      <w:r>
        <w:rPr>
          <w:rFonts w:cs="Segoe UI"/>
          <w:szCs w:val="22"/>
          <w:lang w:val="pl"/>
        </w:rPr>
        <w:t>. Budowa centrum, które</w:t>
      </w:r>
      <w:r w:rsidR="005C6A0C">
        <w:rPr>
          <w:rFonts w:cs="Segoe UI"/>
          <w:szCs w:val="22"/>
          <w:lang w:val="pl"/>
        </w:rPr>
        <w:t>go</w:t>
      </w:r>
      <w:r>
        <w:rPr>
          <w:rFonts w:cs="Segoe UI"/>
          <w:szCs w:val="22"/>
          <w:lang w:val="pl"/>
        </w:rPr>
        <w:t xml:space="preserve"> łączny koszt wynosi 130 mln euro, jest na ukończeniu, a oddanie do użytku nastąpi w pierwszej połowie 2021 roku.</w:t>
      </w:r>
    </w:p>
    <w:p w14:paraId="388F9E17" w14:textId="77777777" w:rsidR="00014767" w:rsidRPr="00866562" w:rsidRDefault="00014767" w:rsidP="00014767">
      <w:pPr>
        <w:rPr>
          <w:rFonts w:cs="Segoe UI"/>
          <w:b/>
          <w:szCs w:val="22"/>
          <w:lang w:val="pl-PL"/>
        </w:rPr>
      </w:pPr>
    </w:p>
    <w:p w14:paraId="78B0B2F1" w14:textId="2E3B77AD" w:rsidR="00014767" w:rsidRPr="00866562" w:rsidRDefault="00014767" w:rsidP="00014767">
      <w:pPr>
        <w:rPr>
          <w:rFonts w:cs="Segoe UI"/>
          <w:bCs/>
          <w:szCs w:val="22"/>
          <w:lang w:val="pl-PL"/>
        </w:rPr>
      </w:pPr>
      <w:r>
        <w:rPr>
          <w:rFonts w:cs="Segoe UI"/>
          <w:b/>
          <w:bCs/>
          <w:szCs w:val="22"/>
          <w:lang w:val="pl"/>
        </w:rPr>
        <w:t xml:space="preserve">Zrównoważony rozwój </w:t>
      </w:r>
      <w:r>
        <w:rPr>
          <w:rFonts w:cs="Segoe UI"/>
          <w:szCs w:val="22"/>
          <w:lang w:val="pl"/>
        </w:rPr>
        <w:t xml:space="preserve">to jedna z najmocniejszych stron </w:t>
      </w:r>
      <w:r w:rsidR="005C6A0C">
        <w:rPr>
          <w:rFonts w:cs="Segoe UI"/>
          <w:szCs w:val="22"/>
          <w:lang w:val="pl"/>
        </w:rPr>
        <w:t>firmy</w:t>
      </w:r>
      <w:r>
        <w:rPr>
          <w:rFonts w:cs="Segoe UI"/>
          <w:szCs w:val="22"/>
          <w:lang w:val="pl"/>
        </w:rPr>
        <w:t xml:space="preserve">. Spółka zajmuje pozycję lidera, czego dowodem są </w:t>
      </w:r>
      <w:r w:rsidRPr="00890D77">
        <w:rPr>
          <w:rFonts w:cs="Segoe UI"/>
          <w:szCs w:val="22"/>
          <w:lang w:val="pl-PL"/>
        </w:rPr>
        <w:t xml:space="preserve">czołowe miejsca w wielu </w:t>
      </w:r>
      <w:r>
        <w:rPr>
          <w:rFonts w:cs="Segoe UI"/>
          <w:szCs w:val="22"/>
          <w:lang w:val="pl"/>
        </w:rPr>
        <w:t>rankingach. Bazując na bogatym doświadczeniu w tym obszarze, Henkel zamierza wykorzystać zrównoważony rozwój jako czynnik wyróżniający go na tle konkurencji. W 2020 roku spółka z powodzeniem kontynuowała działania mające na celu włączenie idei zrównoważonego rozwoju do wszystkich obszarów swojej działalności oraz stymulowanie rozwoju w całym łańcuchu wartości. W odpowiedzi na rosnące oczekiwania konsumentów produkt</w:t>
      </w:r>
      <w:r w:rsidR="005C6A0C">
        <w:rPr>
          <w:rFonts w:cs="Segoe UI"/>
          <w:szCs w:val="22"/>
          <w:lang w:val="pl"/>
        </w:rPr>
        <w:t>ami</w:t>
      </w:r>
      <w:r>
        <w:rPr>
          <w:rFonts w:cs="Segoe UI"/>
          <w:szCs w:val="22"/>
          <w:lang w:val="pl"/>
        </w:rPr>
        <w:t xml:space="preserve"> naturalny</w:t>
      </w:r>
      <w:r w:rsidR="005C6A0C">
        <w:rPr>
          <w:rFonts w:cs="Segoe UI"/>
          <w:szCs w:val="22"/>
          <w:lang w:val="pl"/>
        </w:rPr>
        <w:t>mi</w:t>
      </w:r>
      <w:r>
        <w:rPr>
          <w:rFonts w:cs="Segoe UI"/>
          <w:szCs w:val="22"/>
          <w:lang w:val="pl"/>
        </w:rPr>
        <w:t xml:space="preserve"> i przyjazny</w:t>
      </w:r>
      <w:r w:rsidR="005C6A0C">
        <w:rPr>
          <w:rFonts w:cs="Segoe UI"/>
          <w:szCs w:val="22"/>
          <w:lang w:val="pl"/>
        </w:rPr>
        <w:t>mi</w:t>
      </w:r>
      <w:r>
        <w:rPr>
          <w:rFonts w:cs="Segoe UI"/>
          <w:szCs w:val="22"/>
          <w:lang w:val="pl"/>
        </w:rPr>
        <w:t xml:space="preserve"> środowisku Henkel wprowadził w sektorze </w:t>
      </w:r>
      <w:proofErr w:type="spellStart"/>
      <w:r>
        <w:rPr>
          <w:rFonts w:cs="Segoe UI"/>
          <w:szCs w:val="22"/>
          <w:lang w:val="pl"/>
        </w:rPr>
        <w:t>Beauty</w:t>
      </w:r>
      <w:proofErr w:type="spellEnd"/>
      <w:r>
        <w:rPr>
          <w:rFonts w:cs="Segoe UI"/>
          <w:szCs w:val="22"/>
          <w:lang w:val="pl"/>
        </w:rPr>
        <w:t xml:space="preserve"> </w:t>
      </w:r>
      <w:proofErr w:type="spellStart"/>
      <w:r>
        <w:rPr>
          <w:rFonts w:cs="Segoe UI"/>
          <w:szCs w:val="22"/>
          <w:lang w:val="pl"/>
        </w:rPr>
        <w:t>Care</w:t>
      </w:r>
      <w:proofErr w:type="spellEnd"/>
      <w:r>
        <w:rPr>
          <w:rFonts w:cs="Segoe UI"/>
          <w:szCs w:val="22"/>
          <w:lang w:val="pl"/>
        </w:rPr>
        <w:t xml:space="preserve"> (kosmetyków) nowe produkty, takie jak kosmetyki w kostce pod markami Nature Box oraz N.A.E. W sektorze </w:t>
      </w:r>
      <w:proofErr w:type="spellStart"/>
      <w:r>
        <w:rPr>
          <w:rFonts w:cs="Segoe UI"/>
          <w:szCs w:val="22"/>
          <w:lang w:val="pl"/>
        </w:rPr>
        <w:t>Laundry</w:t>
      </w:r>
      <w:proofErr w:type="spellEnd"/>
      <w:r>
        <w:rPr>
          <w:rFonts w:cs="Segoe UI"/>
          <w:szCs w:val="22"/>
          <w:lang w:val="pl"/>
        </w:rPr>
        <w:t xml:space="preserve"> &amp; Home </w:t>
      </w:r>
      <w:proofErr w:type="spellStart"/>
      <w:r>
        <w:rPr>
          <w:rFonts w:cs="Segoe UI"/>
          <w:szCs w:val="22"/>
          <w:lang w:val="pl"/>
        </w:rPr>
        <w:t>Care</w:t>
      </w:r>
      <w:proofErr w:type="spellEnd"/>
      <w:r>
        <w:rPr>
          <w:rFonts w:cs="Segoe UI"/>
          <w:szCs w:val="22"/>
          <w:lang w:val="pl"/>
        </w:rPr>
        <w:t xml:space="preserve"> poszerzono ofertę produktów Pro Nature i pomyślnie wprowadzono na rynek szeroką gamę produktów ekologicznych pod marką Love Nature. W sektorze </w:t>
      </w:r>
      <w:proofErr w:type="spellStart"/>
      <w:r>
        <w:rPr>
          <w:rFonts w:cs="Segoe UI"/>
          <w:szCs w:val="22"/>
          <w:lang w:val="pl"/>
        </w:rPr>
        <w:t>Adhesive</w:t>
      </w:r>
      <w:proofErr w:type="spellEnd"/>
      <w:r>
        <w:rPr>
          <w:rFonts w:cs="Segoe UI"/>
          <w:szCs w:val="22"/>
          <w:lang w:val="pl"/>
        </w:rPr>
        <w:t xml:space="preserve"> Technologies </w:t>
      </w:r>
      <w:r w:rsidRPr="00291FD6">
        <w:rPr>
          <w:rFonts w:cs="Segoe UI"/>
          <w:szCs w:val="22"/>
          <w:lang w:val="pl"/>
        </w:rPr>
        <w:t>(kleje budowlane i konsumenckie oraz kleje i technologie dla przemysłu)</w:t>
      </w:r>
      <w:r>
        <w:rPr>
          <w:rFonts w:cs="Segoe UI"/>
          <w:szCs w:val="22"/>
          <w:lang w:val="pl"/>
        </w:rPr>
        <w:t xml:space="preserve"> opracowano nową technologię pod marką Loctite, która umożliwia zastąpienie polietylenu papierem w produkcji opakowań przeznaczonych zarówno do żywności, jak i innych zastosowań. Poza wprowadzaniem innowacji na rzecz bardziej zrównoważonych produktów, Henkel zawarł również umowę wirtualnego zakupu energii ze źródeł odnawialnych, która pokryje zapotrzebowanie na energię wszystkich zakładów Henkla w Ameryce Północnej. Henkel był pierwszą firmą, która wyemitowała obligację powiązaną z redukcją odpadów z tworzyw sztucznych o wartości około 100 mln euro w celu sfinansowania działań mających na celu zmniejszenie ilości odpadów z tworzyw sztucznych w całym łańcuchu wartości. Obligacja daje wyraz zobowiązaniu do </w:t>
      </w:r>
      <w:hyperlink r:id="rId12" w:tgtFrame="_blank" w:history="1">
        <w:r>
          <w:rPr>
            <w:rFonts w:cs="Segoe UI"/>
            <w:szCs w:val="22"/>
            <w:lang w:val="pl"/>
          </w:rPr>
          <w:t>wspierania gospodarki o obiegu zamkniętym, zmniejszenia ilości odpadów z tworzyw</w:t>
        </w:r>
      </w:hyperlink>
      <w:r>
        <w:rPr>
          <w:rFonts w:cs="Segoe UI"/>
          <w:szCs w:val="22"/>
          <w:lang w:val="pl"/>
        </w:rPr>
        <w:t xml:space="preserve"> sztucznych, a także zrównoważonego finansowania.</w:t>
      </w:r>
    </w:p>
    <w:p w14:paraId="2DCDB88B" w14:textId="77777777" w:rsidR="00014767" w:rsidRPr="00866562" w:rsidRDefault="00014767" w:rsidP="00014767">
      <w:pPr>
        <w:rPr>
          <w:rFonts w:cs="Segoe UI"/>
          <w:bCs/>
          <w:szCs w:val="22"/>
          <w:lang w:val="pl-PL"/>
        </w:rPr>
      </w:pPr>
      <w:bookmarkStart w:id="4" w:name="_Hlk63409035"/>
    </w:p>
    <w:p w14:paraId="482D830A" w14:textId="3A6AE12B" w:rsidR="00014767" w:rsidRPr="00866562" w:rsidRDefault="00014767" w:rsidP="00014767">
      <w:pPr>
        <w:rPr>
          <w:rFonts w:cs="Segoe UI"/>
          <w:bCs/>
          <w:szCs w:val="22"/>
          <w:lang w:val="pl-PL"/>
        </w:rPr>
      </w:pPr>
      <w:r>
        <w:rPr>
          <w:rFonts w:cs="Segoe UI"/>
          <w:szCs w:val="22"/>
          <w:lang w:val="pl"/>
        </w:rPr>
        <w:t xml:space="preserve">Henkel dąży do potrojenia </w:t>
      </w:r>
      <w:r>
        <w:rPr>
          <w:rFonts w:cs="Segoe UI"/>
          <w:b/>
          <w:bCs/>
          <w:szCs w:val="22"/>
          <w:lang w:val="pl"/>
        </w:rPr>
        <w:t>wartości swojej działalności, produktów i usług</w:t>
      </w:r>
      <w:r>
        <w:rPr>
          <w:rFonts w:cs="Segoe UI"/>
          <w:szCs w:val="22"/>
          <w:lang w:val="pl"/>
        </w:rPr>
        <w:t xml:space="preserve"> w stosunku do skali swojego wpływu na środowisko w latach 2010–2030. Aby osiągnąć ten długoterminowy cel</w:t>
      </w:r>
      <w:r w:rsidR="005C6A0C">
        <w:rPr>
          <w:rFonts w:cs="Segoe UI"/>
          <w:szCs w:val="22"/>
          <w:lang w:val="pl"/>
        </w:rPr>
        <w:t>,</w:t>
      </w:r>
      <w:r>
        <w:rPr>
          <w:rFonts w:cs="Segoe UI"/>
          <w:szCs w:val="22"/>
          <w:lang w:val="pl"/>
        </w:rPr>
        <w:t xml:space="preserve"> Henkel wyznaczył sobie cele średnioterminowe do 2020 roku. Firma zdołała je osiągnąć w większości obszarów. </w:t>
      </w:r>
      <w:bookmarkStart w:id="5" w:name="_Hlk63415349"/>
      <w:r>
        <w:rPr>
          <w:rFonts w:cs="Segoe UI"/>
          <w:szCs w:val="22"/>
          <w:lang w:val="pl"/>
        </w:rPr>
        <w:t>W 2020 roku Henkel poprawił efektywność wykorzystania zasobów o 64% w porównaniu z rokiem 2010.</w:t>
      </w:r>
    </w:p>
    <w:bookmarkEnd w:id="5"/>
    <w:p w14:paraId="1508E89B" w14:textId="77777777" w:rsidR="00014767" w:rsidRPr="00866562" w:rsidRDefault="00014767" w:rsidP="00014767">
      <w:pPr>
        <w:rPr>
          <w:rFonts w:cs="Segoe UI"/>
          <w:szCs w:val="22"/>
          <w:lang w:val="pl-PL"/>
        </w:rPr>
      </w:pPr>
    </w:p>
    <w:bookmarkEnd w:id="4"/>
    <w:p w14:paraId="11D05136" w14:textId="30B16164" w:rsidR="00014767" w:rsidRPr="00866562" w:rsidRDefault="00014767" w:rsidP="00014767">
      <w:pPr>
        <w:rPr>
          <w:rFonts w:cs="Segoe UI"/>
          <w:szCs w:val="22"/>
          <w:lang w:val="pl-PL"/>
        </w:rPr>
      </w:pPr>
      <w:r>
        <w:rPr>
          <w:rFonts w:cs="Segoe UI"/>
          <w:szCs w:val="22"/>
          <w:lang w:val="pl"/>
        </w:rPr>
        <w:t xml:space="preserve">Oprócz innowacji i zrównoważonego rozwoju, innym kluczowym czynnikiem wzmacniającym przewagę konkurencyjną Henkla jest wykorzystanie </w:t>
      </w:r>
      <w:r>
        <w:rPr>
          <w:rFonts w:cs="Segoe UI"/>
          <w:b/>
          <w:bCs/>
          <w:szCs w:val="22"/>
          <w:lang w:val="pl"/>
        </w:rPr>
        <w:t xml:space="preserve">cyfryzacji </w:t>
      </w:r>
      <w:r>
        <w:rPr>
          <w:rFonts w:cs="Segoe UI"/>
          <w:szCs w:val="22"/>
          <w:lang w:val="pl"/>
        </w:rPr>
        <w:t>w celu tworzenia wartości dla klientów i konsumentów we wszystkich sektorach biznesowych. Aby umożliwić i przyspieszyć ten proces, w 2020 roku Henkel utworzył nową jednostkę o nazwie Henkel dx, łączącą kompetencje w zakresie technologii cyfrowych, zarządzania procesami biznesowymi i IT w ramach jednej globalnej organizacji. Henkel dx otworzył swoje pierwsze centrum innowacji w Berlinie, a w przyszłości planuje rozbudowę globalnej sieci o kolejne tego typu ośrodki. W 2020 roku nastąpił znaczny wzrost udziału sprzedaży w kanałach cyfrowych z korzyścią dla wszystkich sektorów biznesowych. W ujęciu ogólnym sprzedaż w kanałach cyfrowych Henk</w:t>
      </w:r>
      <w:r w:rsidR="005C6A0C">
        <w:rPr>
          <w:rFonts w:cs="Segoe UI"/>
          <w:szCs w:val="22"/>
          <w:lang w:val="pl"/>
        </w:rPr>
        <w:t>la</w:t>
      </w:r>
      <w:r>
        <w:rPr>
          <w:rFonts w:cs="Segoe UI"/>
          <w:szCs w:val="22"/>
          <w:lang w:val="pl"/>
        </w:rPr>
        <w:t xml:space="preserve"> wzrosła o około 20%, przy czym segmenty konsumenckie łącznie odnotowały wzrost o ponad 60%. Na poziomie Grupy, udział sprzedaży w kanałach cyfrowych w sprzedaży ogółem wzrósł do około 15%.</w:t>
      </w:r>
    </w:p>
    <w:p w14:paraId="7FC8425B" w14:textId="77777777" w:rsidR="00014767" w:rsidRPr="00866562" w:rsidRDefault="00014767" w:rsidP="00014767">
      <w:pPr>
        <w:rPr>
          <w:rFonts w:cs="Segoe UI"/>
          <w:szCs w:val="22"/>
          <w:lang w:val="pl-PL"/>
        </w:rPr>
      </w:pPr>
    </w:p>
    <w:p w14:paraId="40A690AC" w14:textId="70782E20" w:rsidR="00014767" w:rsidRPr="00866562" w:rsidRDefault="00014767" w:rsidP="00014767">
      <w:pPr>
        <w:rPr>
          <w:rFonts w:cs="Segoe UI"/>
          <w:szCs w:val="22"/>
          <w:lang w:val="pl-PL"/>
        </w:rPr>
      </w:pPr>
      <w:r>
        <w:rPr>
          <w:rFonts w:cs="Segoe UI"/>
          <w:szCs w:val="22"/>
          <w:lang w:val="pl"/>
        </w:rPr>
        <w:t xml:space="preserve">Ważnym elementem ram strategicznych Henkla są efektywne, szybkie i nowoczesne </w:t>
      </w:r>
      <w:r>
        <w:rPr>
          <w:rFonts w:cs="Segoe UI"/>
          <w:b/>
          <w:bCs/>
          <w:szCs w:val="22"/>
          <w:lang w:val="pl"/>
        </w:rPr>
        <w:t>modele operacyjne</w:t>
      </w:r>
      <w:r>
        <w:rPr>
          <w:rFonts w:cs="Segoe UI"/>
          <w:szCs w:val="22"/>
          <w:lang w:val="pl"/>
        </w:rPr>
        <w:t xml:space="preserve">. Aby móc je wdrażać oraz aby zwiększać konkurencyjność i efektywność, Henkel stale dostosowuje i przekształca procesy i struktury w całej firmie. W ten sposób spółka dąży do uruchomienia nowych modeli biznesowych, zbliżenia się do klientów i konsumentów dzięki szybszemu procesowi decyzyjnemu oraz dalszego zwiększania efektywności. Dzięki wprowadzeniu w 2020 roku nowych struktur organizacyjnych w sektorze biznesowym </w:t>
      </w:r>
      <w:proofErr w:type="spellStart"/>
      <w:r>
        <w:rPr>
          <w:rFonts w:cs="Segoe UI"/>
          <w:szCs w:val="22"/>
          <w:lang w:val="pl"/>
        </w:rPr>
        <w:t>Adhesive</w:t>
      </w:r>
      <w:proofErr w:type="spellEnd"/>
      <w:r>
        <w:rPr>
          <w:rFonts w:cs="Segoe UI"/>
          <w:szCs w:val="22"/>
          <w:lang w:val="pl"/>
        </w:rPr>
        <w:t xml:space="preserve"> Technologies </w:t>
      </w:r>
      <w:r w:rsidRPr="00291FD6">
        <w:rPr>
          <w:rFonts w:cs="Segoe UI"/>
          <w:szCs w:val="22"/>
          <w:lang w:val="pl"/>
        </w:rPr>
        <w:t>(kleje budowlane i konsumenckie oraz kleje i technologie dla przemysłu)</w:t>
      </w:r>
      <w:r>
        <w:rPr>
          <w:rFonts w:cs="Segoe UI"/>
          <w:szCs w:val="22"/>
          <w:lang w:val="pl"/>
        </w:rPr>
        <w:t xml:space="preserve"> Henkel był w stanie jeszcze lepiej reagować na potrzeby konkretnych grup klientów i rynków oraz sprawnie je obsługiwać. W sektorach </w:t>
      </w:r>
      <w:proofErr w:type="spellStart"/>
      <w:r>
        <w:rPr>
          <w:rFonts w:cs="Segoe UI"/>
          <w:szCs w:val="22"/>
          <w:lang w:val="pl"/>
        </w:rPr>
        <w:t>Beauty</w:t>
      </w:r>
      <w:proofErr w:type="spellEnd"/>
      <w:r>
        <w:rPr>
          <w:rFonts w:cs="Segoe UI"/>
          <w:szCs w:val="22"/>
          <w:lang w:val="pl"/>
        </w:rPr>
        <w:t xml:space="preserve"> </w:t>
      </w:r>
      <w:proofErr w:type="spellStart"/>
      <w:r>
        <w:rPr>
          <w:rFonts w:cs="Segoe UI"/>
          <w:szCs w:val="22"/>
          <w:lang w:val="pl"/>
        </w:rPr>
        <w:t>Care</w:t>
      </w:r>
      <w:proofErr w:type="spellEnd"/>
      <w:r>
        <w:rPr>
          <w:rFonts w:cs="Segoe UI"/>
          <w:szCs w:val="22"/>
          <w:lang w:val="pl"/>
        </w:rPr>
        <w:t xml:space="preserve"> (kosmetyki) i </w:t>
      </w:r>
      <w:proofErr w:type="spellStart"/>
      <w:r>
        <w:rPr>
          <w:rFonts w:cs="Segoe UI"/>
          <w:szCs w:val="22"/>
          <w:lang w:val="pl"/>
        </w:rPr>
        <w:t>Laundry</w:t>
      </w:r>
      <w:proofErr w:type="spellEnd"/>
      <w:r>
        <w:rPr>
          <w:rFonts w:cs="Segoe UI"/>
          <w:szCs w:val="22"/>
          <w:lang w:val="pl"/>
        </w:rPr>
        <w:t xml:space="preserve"> &amp; Home </w:t>
      </w:r>
      <w:proofErr w:type="spellStart"/>
      <w:r>
        <w:rPr>
          <w:rFonts w:cs="Segoe UI"/>
          <w:szCs w:val="22"/>
          <w:lang w:val="pl"/>
        </w:rPr>
        <w:t>Care</w:t>
      </w:r>
      <w:proofErr w:type="spellEnd"/>
      <w:r>
        <w:rPr>
          <w:rFonts w:cs="Segoe UI"/>
          <w:szCs w:val="22"/>
          <w:lang w:val="pl"/>
        </w:rPr>
        <w:t xml:space="preserve"> (środki piorące i czystości) Henkel wdrożył kolejne zmiany organizacyjne mające na celu regionalizacj</w:t>
      </w:r>
      <w:r w:rsidR="003C3DDF">
        <w:rPr>
          <w:rFonts w:cs="Segoe UI"/>
          <w:szCs w:val="22"/>
          <w:lang w:val="pl"/>
        </w:rPr>
        <w:t>ę decyzji</w:t>
      </w:r>
      <w:r>
        <w:rPr>
          <w:rFonts w:cs="Segoe UI"/>
          <w:szCs w:val="22"/>
          <w:lang w:val="pl"/>
        </w:rPr>
        <w:t xml:space="preserve"> i </w:t>
      </w:r>
      <w:r w:rsidR="003C3DDF">
        <w:rPr>
          <w:rFonts w:cs="Segoe UI"/>
          <w:szCs w:val="22"/>
          <w:lang w:val="pl"/>
        </w:rPr>
        <w:t>działań</w:t>
      </w:r>
      <w:r>
        <w:rPr>
          <w:rFonts w:cs="Segoe UI"/>
          <w:szCs w:val="22"/>
          <w:lang w:val="pl"/>
        </w:rPr>
        <w:t xml:space="preserve">.  </w:t>
      </w:r>
    </w:p>
    <w:p w14:paraId="5108FAD0" w14:textId="77777777" w:rsidR="00014767" w:rsidRPr="00866562" w:rsidRDefault="00014767" w:rsidP="00014767">
      <w:pPr>
        <w:rPr>
          <w:rFonts w:cs="Segoe UI"/>
          <w:szCs w:val="22"/>
          <w:lang w:val="pl-PL"/>
        </w:rPr>
      </w:pPr>
    </w:p>
    <w:p w14:paraId="608ADFB8" w14:textId="0CB03651" w:rsidR="00014767" w:rsidRPr="00866562" w:rsidRDefault="00014767" w:rsidP="00014767">
      <w:pPr>
        <w:rPr>
          <w:lang w:val="pl-PL"/>
        </w:rPr>
      </w:pPr>
      <w:r>
        <w:rPr>
          <w:szCs w:val="22"/>
          <w:lang w:val="pl"/>
        </w:rPr>
        <w:t xml:space="preserve">Dalszy rozwój kultury organizacyjnej i przyspieszenie </w:t>
      </w:r>
      <w:r>
        <w:rPr>
          <w:b/>
          <w:bCs/>
          <w:szCs w:val="22"/>
          <w:lang w:val="pl"/>
        </w:rPr>
        <w:t>transformacji kulturowej</w:t>
      </w:r>
      <w:r>
        <w:rPr>
          <w:szCs w:val="22"/>
          <w:lang w:val="pl"/>
        </w:rPr>
        <w:t xml:space="preserve"> stanowią sedno strategii Ukierunkowanego Rozwoju firmy Henkel. Celem Henkla jest wspieranie kultury współpracy, </w:t>
      </w:r>
      <w:r w:rsidR="003C3DDF">
        <w:rPr>
          <w:szCs w:val="22"/>
          <w:lang w:val="pl"/>
        </w:rPr>
        <w:t xml:space="preserve">czyli zwiększoną decyzyjność i przedsiębiorczość pracowników w zgodzie z zasadami </w:t>
      </w:r>
      <w:proofErr w:type="spellStart"/>
      <w:r w:rsidR="003C3DDF">
        <w:rPr>
          <w:szCs w:val="22"/>
          <w:lang w:val="pl"/>
        </w:rPr>
        <w:t>Leadership</w:t>
      </w:r>
      <w:proofErr w:type="spellEnd"/>
      <w:r w:rsidR="003C3DDF">
        <w:rPr>
          <w:szCs w:val="22"/>
          <w:lang w:val="pl"/>
        </w:rPr>
        <w:t xml:space="preserve"> </w:t>
      </w:r>
      <w:proofErr w:type="spellStart"/>
      <w:r w:rsidR="003C3DDF">
        <w:rPr>
          <w:szCs w:val="22"/>
          <w:lang w:val="pl"/>
        </w:rPr>
        <w:t>Commitments</w:t>
      </w:r>
      <w:proofErr w:type="spellEnd"/>
      <w:r w:rsidR="003C3DDF">
        <w:rPr>
          <w:szCs w:val="22"/>
          <w:lang w:val="pl"/>
        </w:rPr>
        <w:t>.</w:t>
      </w:r>
      <w:r>
        <w:rPr>
          <w:szCs w:val="22"/>
          <w:lang w:val="pl"/>
        </w:rPr>
        <w:t xml:space="preserve"> W 2020 roku Henkel wdrożył szereg działań mających na celu rozwijanie kultury współpracy wśród pracowników oraz zwiększania ich samodzielności, podnoszenia kwalifikacji oraz umożliwiania im rozwoju osobistego i zawodowego. Henkel przeprowadził globalne badanie</w:t>
      </w:r>
      <w:r w:rsidR="003C3DDF">
        <w:rPr>
          <w:szCs w:val="22"/>
          <w:lang w:val="pl"/>
        </w:rPr>
        <w:t xml:space="preserve"> opinii pracowników, </w:t>
      </w:r>
      <w:r>
        <w:rPr>
          <w:szCs w:val="22"/>
          <w:lang w:val="pl"/>
        </w:rPr>
        <w:t>aby zidentyfikować mocne strony</w:t>
      </w:r>
      <w:r w:rsidR="003C3DDF">
        <w:rPr>
          <w:szCs w:val="22"/>
          <w:lang w:val="pl"/>
        </w:rPr>
        <w:t xml:space="preserve"> organizacji</w:t>
      </w:r>
      <w:r>
        <w:rPr>
          <w:szCs w:val="22"/>
          <w:lang w:val="pl"/>
        </w:rPr>
        <w:t xml:space="preserve"> i obszary wymagające poprawy oraz zaplanować działania</w:t>
      </w:r>
      <w:r w:rsidR="003C3DDF">
        <w:rPr>
          <w:szCs w:val="22"/>
          <w:lang w:val="pl"/>
        </w:rPr>
        <w:t>, mające na celu wzmocnienie kultury korporacyjnej</w:t>
      </w:r>
      <w:r>
        <w:rPr>
          <w:szCs w:val="22"/>
          <w:lang w:val="pl"/>
        </w:rPr>
        <w:t xml:space="preserve">. </w:t>
      </w:r>
      <w:r w:rsidR="00CB2782">
        <w:rPr>
          <w:szCs w:val="22"/>
          <w:lang w:val="pl"/>
        </w:rPr>
        <w:t xml:space="preserve">Dzięki podjętym </w:t>
      </w:r>
      <w:r>
        <w:rPr>
          <w:szCs w:val="22"/>
          <w:lang w:val="pl"/>
        </w:rPr>
        <w:t xml:space="preserve">spółce </w:t>
      </w:r>
      <w:r w:rsidR="00CB2782">
        <w:rPr>
          <w:szCs w:val="22"/>
          <w:lang w:val="pl"/>
        </w:rPr>
        <w:t xml:space="preserve">udało się </w:t>
      </w:r>
      <w:r>
        <w:rPr>
          <w:szCs w:val="22"/>
          <w:lang w:val="pl"/>
        </w:rPr>
        <w:t xml:space="preserve">uzyskać duże lepsze </w:t>
      </w:r>
      <w:r w:rsidR="00CB2782">
        <w:rPr>
          <w:szCs w:val="22"/>
          <w:lang w:val="pl"/>
        </w:rPr>
        <w:t>pozycje</w:t>
      </w:r>
      <w:r>
        <w:rPr>
          <w:szCs w:val="22"/>
          <w:lang w:val="pl"/>
        </w:rPr>
        <w:t xml:space="preserve"> w kluczowych rankingach reputacji pracodawców i popraw</w:t>
      </w:r>
      <w:r w:rsidR="00CB2782">
        <w:rPr>
          <w:szCs w:val="22"/>
          <w:lang w:val="pl"/>
        </w:rPr>
        <w:t>ić</w:t>
      </w:r>
      <w:r>
        <w:rPr>
          <w:szCs w:val="22"/>
          <w:lang w:val="pl"/>
        </w:rPr>
        <w:t xml:space="preserve"> kluczow</w:t>
      </w:r>
      <w:r w:rsidR="00CB2782">
        <w:rPr>
          <w:szCs w:val="22"/>
          <w:lang w:val="pl"/>
        </w:rPr>
        <w:t>e</w:t>
      </w:r>
      <w:r>
        <w:rPr>
          <w:szCs w:val="22"/>
          <w:lang w:val="pl"/>
        </w:rPr>
        <w:t xml:space="preserve"> wskaźnik</w:t>
      </w:r>
      <w:r w:rsidR="00CB2782">
        <w:rPr>
          <w:szCs w:val="22"/>
          <w:lang w:val="pl"/>
        </w:rPr>
        <w:t>i</w:t>
      </w:r>
      <w:r>
        <w:rPr>
          <w:szCs w:val="22"/>
          <w:lang w:val="pl"/>
        </w:rPr>
        <w:t xml:space="preserve"> w tym zakresie.</w:t>
      </w:r>
      <w:r>
        <w:rPr>
          <w:lang w:val="pl"/>
        </w:rPr>
        <w:t xml:space="preserve"> </w:t>
      </w:r>
    </w:p>
    <w:p w14:paraId="4AB56DBC" w14:textId="77777777" w:rsidR="00014767" w:rsidRPr="00866562" w:rsidRDefault="00014767" w:rsidP="00014767">
      <w:pPr>
        <w:rPr>
          <w:lang w:val="pl-PL"/>
        </w:rPr>
      </w:pPr>
    </w:p>
    <w:p w14:paraId="2D3FA19C" w14:textId="653C221A" w:rsidR="00014767" w:rsidRPr="00291FD6" w:rsidRDefault="00014767" w:rsidP="00014767">
      <w:pPr>
        <w:rPr>
          <w:rFonts w:cs="Segoe UI"/>
          <w:szCs w:val="22"/>
          <w:lang w:val="pl-PL"/>
        </w:rPr>
      </w:pPr>
      <w:r w:rsidRPr="00617357">
        <w:rPr>
          <w:lang w:val="pl"/>
        </w:rPr>
        <w:t>–</w:t>
      </w:r>
      <w:r>
        <w:rPr>
          <w:lang w:val="pl"/>
        </w:rPr>
        <w:t xml:space="preserve"> </w:t>
      </w:r>
      <w:r w:rsidRPr="00291FD6">
        <w:rPr>
          <w:szCs w:val="22"/>
          <w:lang w:val="pl"/>
        </w:rPr>
        <w:t>Jestem dumny z postępów, jakie poczyniliśmy w realizacji nasze</w:t>
      </w:r>
      <w:r w:rsidR="00CB2782">
        <w:rPr>
          <w:szCs w:val="22"/>
          <w:lang w:val="pl"/>
        </w:rPr>
        <w:t>j</w:t>
      </w:r>
      <w:r w:rsidRPr="00291FD6">
        <w:rPr>
          <w:szCs w:val="22"/>
          <w:lang w:val="pl"/>
        </w:rPr>
        <w:t xml:space="preserve"> strategi</w:t>
      </w:r>
      <w:r w:rsidR="00CB2782">
        <w:rPr>
          <w:szCs w:val="22"/>
          <w:lang w:val="pl"/>
        </w:rPr>
        <w:t>i,</w:t>
      </w:r>
      <w:r w:rsidRPr="00291FD6">
        <w:rPr>
          <w:szCs w:val="22"/>
          <w:lang w:val="pl"/>
        </w:rPr>
        <w:t xml:space="preserve"> odpowiadając jednocześnie na wyzwania związane z kryzysem wywołanym globalną pandemią. Jestem pod wrażeniem odporności naszej firmy, która umożliwiła wypracowanie bardzo dobrych wyników i dalsze wzmocnienie naszych fundamentów finansowych. Najważniejsze jest jednak poczucie wdzięczności i głębokiego szacunku dla naszych pracowników. Ich zaangażowanie, współpraca i pozytywne nastawienie, jakim wykazali się w 2020 roku, wzruszają mnie i inspirują. </w:t>
      </w:r>
      <w:bookmarkStart w:id="6" w:name="_Hlk63957031"/>
      <w:r w:rsidRPr="00291FD6">
        <w:rPr>
          <w:szCs w:val="22"/>
          <w:lang w:val="pl"/>
        </w:rPr>
        <w:t xml:space="preserve">Chciałbym podziękować wszystkim </w:t>
      </w:r>
      <w:r w:rsidR="00CB2782">
        <w:rPr>
          <w:szCs w:val="22"/>
          <w:lang w:val="pl"/>
        </w:rPr>
        <w:t xml:space="preserve">pracownikom </w:t>
      </w:r>
      <w:r w:rsidRPr="00291FD6">
        <w:rPr>
          <w:szCs w:val="22"/>
          <w:lang w:val="pl"/>
        </w:rPr>
        <w:t xml:space="preserve">za </w:t>
      </w:r>
      <w:r w:rsidR="00CB2782">
        <w:rPr>
          <w:szCs w:val="22"/>
          <w:lang w:val="pl"/>
        </w:rPr>
        <w:t>ich wielki trud</w:t>
      </w:r>
      <w:r>
        <w:rPr>
          <w:szCs w:val="22"/>
          <w:lang w:val="pl"/>
        </w:rPr>
        <w:t xml:space="preserve"> </w:t>
      </w:r>
      <w:r w:rsidRPr="00291FD6">
        <w:rPr>
          <w:szCs w:val="22"/>
          <w:lang w:val="pl"/>
        </w:rPr>
        <w:t>w tym wyjątkowym roku</w:t>
      </w:r>
      <w:bookmarkEnd w:id="6"/>
      <w:r w:rsidRPr="00291FD6">
        <w:rPr>
          <w:szCs w:val="22"/>
          <w:lang w:val="pl"/>
        </w:rPr>
        <w:t xml:space="preserve"> – podsumował </w:t>
      </w:r>
      <w:proofErr w:type="spellStart"/>
      <w:r w:rsidRPr="00291FD6">
        <w:rPr>
          <w:szCs w:val="22"/>
          <w:lang w:val="pl"/>
        </w:rPr>
        <w:t>Carsten</w:t>
      </w:r>
      <w:proofErr w:type="spellEnd"/>
      <w:r w:rsidRPr="00291FD6">
        <w:rPr>
          <w:szCs w:val="22"/>
          <w:lang w:val="pl"/>
        </w:rPr>
        <w:t xml:space="preserve"> </w:t>
      </w:r>
      <w:proofErr w:type="spellStart"/>
      <w:r w:rsidRPr="00291FD6">
        <w:rPr>
          <w:szCs w:val="22"/>
          <w:lang w:val="pl"/>
        </w:rPr>
        <w:t>Knobel</w:t>
      </w:r>
      <w:proofErr w:type="spellEnd"/>
      <w:r w:rsidRPr="00291FD6">
        <w:rPr>
          <w:szCs w:val="22"/>
          <w:lang w:val="pl"/>
        </w:rPr>
        <w:t>.</w:t>
      </w:r>
    </w:p>
    <w:p w14:paraId="7D27AF1E" w14:textId="77777777" w:rsidR="00014767" w:rsidRPr="00866562" w:rsidRDefault="00014767" w:rsidP="00014767">
      <w:pPr>
        <w:rPr>
          <w:rFonts w:cs="Segoe UI"/>
          <w:szCs w:val="22"/>
          <w:lang w:val="pl-PL"/>
        </w:rPr>
      </w:pPr>
    </w:p>
    <w:p w14:paraId="7675FCBE" w14:textId="77777777" w:rsidR="00014767" w:rsidRPr="00866562" w:rsidRDefault="00014767" w:rsidP="00014767">
      <w:pPr>
        <w:rPr>
          <w:rFonts w:cs="Segoe UI"/>
          <w:szCs w:val="22"/>
          <w:lang w:val="pl-PL"/>
        </w:rPr>
      </w:pPr>
    </w:p>
    <w:p w14:paraId="276E0620" w14:textId="77777777" w:rsidR="00014767" w:rsidRPr="00866562" w:rsidRDefault="00014767" w:rsidP="00014767">
      <w:pPr>
        <w:rPr>
          <w:rStyle w:val="AboutandContactHeadline"/>
          <w:lang w:val="pl-PL"/>
        </w:rPr>
      </w:pPr>
      <w:r>
        <w:rPr>
          <w:rStyle w:val="AboutandContactHeadline"/>
          <w:lang w:val="pl"/>
        </w:rPr>
        <w:t>O firmie Henkel</w:t>
      </w:r>
    </w:p>
    <w:p w14:paraId="42EDD244" w14:textId="17FCDB8A" w:rsidR="00014767" w:rsidRPr="00866562" w:rsidRDefault="00014767" w:rsidP="00014767">
      <w:pPr>
        <w:rPr>
          <w:rStyle w:val="AboutandContactBody"/>
          <w:lang w:val="pl-PL"/>
        </w:rPr>
      </w:pPr>
      <w:r>
        <w:rPr>
          <w:rStyle w:val="AboutandContactBody"/>
          <w:lang w:val="pl"/>
        </w:rPr>
        <w:t xml:space="preserve">Henkel jest firmą działającą globalnie, posiadającą zrównoważony i zdywersyfikowany portfel produktów i usług. Dzięki silnym markom, innowacyjności i posiadanym technologiom, spółka zajmuje czołową pozycję w ramach wszystkich trzech sektorów biznesowych, zarówno w segmencie konsumentów indywidualnych, jak i klientów przemysłowych. Henkel </w:t>
      </w:r>
      <w:proofErr w:type="spellStart"/>
      <w:r>
        <w:rPr>
          <w:rStyle w:val="AboutandContactBody"/>
          <w:lang w:val="pl"/>
        </w:rPr>
        <w:t>Adhesive</w:t>
      </w:r>
      <w:proofErr w:type="spellEnd"/>
      <w:r>
        <w:rPr>
          <w:rStyle w:val="AboutandContactBody"/>
          <w:lang w:val="pl"/>
        </w:rPr>
        <w:t xml:space="preserve"> Technologies jest globalnym liderem rynku klejów budowlanych i konsumenckich oraz klejów i technologii dla przemysłu we wszystkich segmentach tej branży. W ramach sektorów biznesowych </w:t>
      </w:r>
      <w:proofErr w:type="spellStart"/>
      <w:r>
        <w:rPr>
          <w:rStyle w:val="AboutandContactBody"/>
          <w:lang w:val="pl"/>
        </w:rPr>
        <w:t>Laundry</w:t>
      </w:r>
      <w:proofErr w:type="spellEnd"/>
      <w:r>
        <w:rPr>
          <w:rStyle w:val="AboutandContactBody"/>
          <w:lang w:val="pl"/>
        </w:rPr>
        <w:t xml:space="preserve"> &amp; Home </w:t>
      </w:r>
      <w:proofErr w:type="spellStart"/>
      <w:r>
        <w:rPr>
          <w:rStyle w:val="AboutandContactBody"/>
          <w:lang w:val="pl"/>
        </w:rPr>
        <w:t>Care</w:t>
      </w:r>
      <w:proofErr w:type="spellEnd"/>
      <w:r>
        <w:rPr>
          <w:rStyle w:val="AboutandContactBody"/>
          <w:lang w:val="pl"/>
        </w:rPr>
        <w:t xml:space="preserve"> (środki piorące i czystości) oraz </w:t>
      </w:r>
      <w:proofErr w:type="spellStart"/>
      <w:r>
        <w:rPr>
          <w:rStyle w:val="AboutandContactBody"/>
          <w:lang w:val="pl"/>
        </w:rPr>
        <w:t>Beauty</w:t>
      </w:r>
      <w:proofErr w:type="spellEnd"/>
      <w:r>
        <w:rPr>
          <w:rStyle w:val="AboutandContactBody"/>
          <w:lang w:val="pl"/>
        </w:rPr>
        <w:t xml:space="preserve"> </w:t>
      </w:r>
      <w:proofErr w:type="spellStart"/>
      <w:r>
        <w:rPr>
          <w:rStyle w:val="AboutandContactBody"/>
          <w:lang w:val="pl"/>
        </w:rPr>
        <w:t>Care</w:t>
      </w:r>
      <w:proofErr w:type="spellEnd"/>
      <w:r>
        <w:rPr>
          <w:rStyle w:val="AboutandContactBody"/>
          <w:lang w:val="pl"/>
        </w:rPr>
        <w:t xml:space="preserve"> (kosmetyki) Henkel zajmuje czołowe miejsca na wielu rynkach i w wielu grupach asortymentowych na całym świecie. Firma została założona w 1876 roku i ma za sobą już ponad 140 lat pełnej sukcesów działalności. W 2020 roku Henkel osiągnął przychody ze sprzedaży na poziomie ponad 19 mld euro oraz skorygowany zysk z działalności operacyjnej w wysokości blisko 2,6 mld euro. Firma zatrudnia na całym świecie około 53 000 pracowników, tworzących zaangażowany i zróżnicowany zespół, który łączy silna kultura korporacyjna, wspólne dążenie do tworzenia trwałej wartości oraz wspólny system wartości. Jako uznany lider zrównoważonego rozwoju, Henkel zajmuje czołowe miejsca w wielu międzynarodowych indeksach i rankingach. Akcje uprzywilejowane spółki wchodzą w skład niemieckiego indeksu giełdowego DAX. Więcej informacji można znaleźć na stronie</w:t>
      </w:r>
      <w:r w:rsidR="008B2728">
        <w:rPr>
          <w:rStyle w:val="AboutandContactBody"/>
          <w:lang w:val="pl"/>
        </w:rPr>
        <w:t xml:space="preserve"> </w:t>
      </w:r>
      <w:r>
        <w:rPr>
          <w:rStyle w:val="AboutandContactBody"/>
          <w:lang w:val="pl"/>
        </w:rPr>
        <w:t xml:space="preserve">internetowej </w:t>
      </w:r>
      <w:hyperlink r:id="rId13" w:history="1">
        <w:r>
          <w:rPr>
            <w:rStyle w:val="Hipercze"/>
            <w:lang w:val="pl"/>
          </w:rPr>
          <w:t>www.henkel.com</w:t>
        </w:r>
      </w:hyperlink>
      <w:r w:rsidR="008B2728" w:rsidRPr="008B2728">
        <w:rPr>
          <w:rStyle w:val="Hipercze"/>
          <w:color w:val="auto"/>
          <w:u w:val="none"/>
          <w:lang w:val="pl"/>
        </w:rPr>
        <w:t xml:space="preserve"> oraz</w:t>
      </w:r>
      <w:r w:rsidR="008B2728" w:rsidRPr="008B2728">
        <w:rPr>
          <w:rStyle w:val="Hipercze"/>
          <w:color w:val="auto"/>
          <w:lang w:val="pl"/>
        </w:rPr>
        <w:t xml:space="preserve"> </w:t>
      </w:r>
      <w:hyperlink r:id="rId14" w:history="1">
        <w:r w:rsidR="008B2728" w:rsidRPr="00A24387">
          <w:rPr>
            <w:rStyle w:val="Hipercze"/>
            <w:szCs w:val="24"/>
            <w:lang w:val="pl"/>
          </w:rPr>
          <w:t>www.henkel.pl</w:t>
        </w:r>
      </w:hyperlink>
      <w:r w:rsidR="008B2728">
        <w:rPr>
          <w:rStyle w:val="AboutandContactBody"/>
          <w:lang w:val="pl"/>
        </w:rPr>
        <w:t xml:space="preserve">  </w:t>
      </w:r>
    </w:p>
    <w:p w14:paraId="38A84FF9" w14:textId="77777777" w:rsidR="00014767" w:rsidRPr="00866562" w:rsidRDefault="00014767" w:rsidP="00014767">
      <w:pPr>
        <w:rPr>
          <w:rFonts w:asciiTheme="majorHAnsi" w:hAnsiTheme="majorHAnsi" w:cs="Cambria"/>
          <w:bCs/>
          <w:sz w:val="14"/>
          <w:szCs w:val="14"/>
          <w:lang w:val="pl-PL"/>
        </w:rPr>
      </w:pPr>
    </w:p>
    <w:p w14:paraId="2C10D20F" w14:textId="77777777" w:rsidR="00014767" w:rsidRPr="00866562" w:rsidRDefault="00014767" w:rsidP="00014767">
      <w:pPr>
        <w:rPr>
          <w:rFonts w:asciiTheme="majorHAnsi" w:hAnsiTheme="majorHAnsi" w:cs="Cambria"/>
          <w:bCs/>
          <w:sz w:val="14"/>
          <w:szCs w:val="14"/>
          <w:lang w:val="pl-PL"/>
        </w:rPr>
      </w:pPr>
    </w:p>
    <w:p w14:paraId="1C5751AF" w14:textId="77777777" w:rsidR="00014767" w:rsidRPr="00866562" w:rsidRDefault="00014767" w:rsidP="00014767">
      <w:pPr>
        <w:rPr>
          <w:rFonts w:asciiTheme="majorHAnsi" w:hAnsiTheme="majorHAnsi" w:cs="Cambria"/>
          <w:lang w:val="pl-PL"/>
        </w:rPr>
      </w:pPr>
      <w:r>
        <w:rPr>
          <w:rFonts w:asciiTheme="majorHAnsi" w:hAnsiTheme="majorHAnsi" w:cs="Cambria"/>
          <w:sz w:val="14"/>
          <w:szCs w:val="14"/>
          <w:lang w:val="pl"/>
        </w:rPr>
        <w:t xml:space="preserve">Niniejszy dokument zawiera stwierdzenia dotyczące przyszłości sformułowane na podstawie aktualnych założeń i szacunków zarządu Henkel AG &amp; Co. </w:t>
      </w:r>
      <w:proofErr w:type="spellStart"/>
      <w:r>
        <w:rPr>
          <w:rFonts w:asciiTheme="majorHAnsi" w:hAnsiTheme="majorHAnsi" w:cs="Cambria"/>
          <w:sz w:val="14"/>
          <w:szCs w:val="14"/>
          <w:lang w:val="pl"/>
        </w:rPr>
        <w:t>KGaA</w:t>
      </w:r>
      <w:proofErr w:type="spellEnd"/>
      <w:r>
        <w:rPr>
          <w:rFonts w:asciiTheme="majorHAnsi" w:hAnsiTheme="majorHAnsi" w:cs="Cambria"/>
          <w:sz w:val="14"/>
          <w:szCs w:val="14"/>
          <w:lang w:val="pl"/>
        </w:rPr>
        <w:t xml:space="preserve">. Stwierdzenia odnoszące się do przyszłości charakteryzują się użyciem słów takich, jak „oczekiwać”, „zamierzać”, „planować”, „przewidywać”, „uważać", „szacować" i podobnych wyrażeń. Stwierdzeń dotyczących przyszłości nie należy traktować jako gwarancji, że określone założenia czy oczekiwania okażą się trafne. Faktyczne przyszłe wyniki spółki Henkel AG &amp; Co. </w:t>
      </w:r>
      <w:proofErr w:type="spellStart"/>
      <w:r>
        <w:rPr>
          <w:rFonts w:asciiTheme="majorHAnsi" w:hAnsiTheme="majorHAnsi" w:cs="Cambria"/>
          <w:sz w:val="14"/>
          <w:szCs w:val="14"/>
          <w:lang w:val="pl"/>
        </w:rPr>
        <w:t>KGaA</w:t>
      </w:r>
      <w:proofErr w:type="spellEnd"/>
      <w:r>
        <w:rPr>
          <w:rFonts w:asciiTheme="majorHAnsi" w:hAnsiTheme="majorHAnsi" w:cs="Cambria"/>
          <w:sz w:val="14"/>
          <w:szCs w:val="14"/>
          <w:lang w:val="pl"/>
        </w:rPr>
        <w:t xml:space="preserve"> i jej podmiotów powiązanych uzależnione są od szeregu czynników ryzyka i niepewności, w związku z czym mogą one istotnie odbiegać od wyników wskazanych w stwierdzeniach dotyczących przyszłości. Na wiele z tych czynników, np. przyszłą sytuację gospodarczą czy działania konkurencji i innych uczestników rynku, Henkel nie ma wpływu, a ich dokładne przewidzenie nie jest możliwe. Henkel nie zamierza ani nie podejmuje się aktualizować stwierdzeń dotyczących przyszłości. </w:t>
      </w:r>
    </w:p>
    <w:p w14:paraId="5CE55DF2" w14:textId="77777777" w:rsidR="00014767" w:rsidRPr="00866562" w:rsidRDefault="00014767" w:rsidP="00014767">
      <w:pPr>
        <w:rPr>
          <w:rFonts w:asciiTheme="majorHAnsi" w:hAnsiTheme="majorHAnsi" w:cs="Cambria"/>
          <w:bCs/>
          <w:sz w:val="14"/>
          <w:szCs w:val="14"/>
          <w:lang w:val="pl-PL"/>
        </w:rPr>
      </w:pPr>
    </w:p>
    <w:p w14:paraId="6651EFAB" w14:textId="77777777" w:rsidR="00014767" w:rsidRPr="00866562" w:rsidRDefault="00014767" w:rsidP="00014767">
      <w:pPr>
        <w:rPr>
          <w:rFonts w:asciiTheme="majorHAnsi" w:hAnsiTheme="majorHAnsi" w:cs="Cambria"/>
          <w:bCs/>
          <w:sz w:val="14"/>
          <w:szCs w:val="14"/>
          <w:lang w:val="pl-PL"/>
        </w:rPr>
      </w:pPr>
      <w:r>
        <w:rPr>
          <w:rFonts w:asciiTheme="majorHAnsi" w:hAnsiTheme="majorHAnsi" w:cs="Cambria"/>
          <w:sz w:val="14"/>
          <w:szCs w:val="14"/>
          <w:lang w:val="pl"/>
        </w:rPr>
        <w:t>Niniejszy dokument zawiera niezdefiniowane wyraźnie w obowiązujących zasadach sprawozdawczości finansowej dodatkowe wskaźniki finansowe, które stanowią lub mogą stanowić Alternatywne Pomiary Wyników (niebędące wskaźnikami przewidzianymi w ogólnie przyjętych zasadach rachunkowości). Takie dodatkowe wskaźniki finansowe nie powinny być analizowane w oderwaniu od wskaźników prezentujących aktywa netto, sytuację finansową lub wyniki działalności Henkel, które zostały przedstawione zgodnie z obowiązującymi zasadami sprawozdawczości finansowej w skonsolidowanym sprawozdaniu finansowym spółki, ani traktowane jako alternatywa dla tych wskaźników. Podobnie nazwane Alternatywne Pomiary Wyników podawane lub opisywane przez inne spółki mogą być obliczane w inny sposób.</w:t>
      </w:r>
    </w:p>
    <w:p w14:paraId="70645C65" w14:textId="77777777" w:rsidR="00014767" w:rsidRPr="00866562" w:rsidRDefault="00014767" w:rsidP="00014767">
      <w:pPr>
        <w:rPr>
          <w:rFonts w:asciiTheme="majorHAnsi" w:hAnsiTheme="majorHAnsi" w:cs="Cambria"/>
          <w:bCs/>
          <w:sz w:val="14"/>
          <w:szCs w:val="14"/>
          <w:lang w:val="pl-PL"/>
        </w:rPr>
      </w:pPr>
    </w:p>
    <w:p w14:paraId="55397066" w14:textId="77777777" w:rsidR="00014767" w:rsidRPr="00866562" w:rsidRDefault="00014767" w:rsidP="00014767">
      <w:pPr>
        <w:rPr>
          <w:rFonts w:asciiTheme="majorHAnsi" w:hAnsiTheme="majorHAnsi" w:cs="Cambria"/>
          <w:bCs/>
          <w:sz w:val="14"/>
          <w:szCs w:val="14"/>
          <w:lang w:val="pl-PL"/>
        </w:rPr>
      </w:pPr>
      <w:r>
        <w:rPr>
          <w:rFonts w:asciiTheme="majorHAnsi" w:hAnsiTheme="majorHAnsi" w:cs="Cambria"/>
          <w:sz w:val="14"/>
          <w:szCs w:val="14"/>
          <w:lang w:val="pl"/>
        </w:rPr>
        <w:t>Niniejszy dokument ma charakter wyłącznie informacyjny i nie stanowi porady inwestycyjnej ani oferty sprzedaży lub zaproszenia do składania ofert nabycia jakichkolwiek papierów wartościowych.</w:t>
      </w:r>
    </w:p>
    <w:p w14:paraId="1799CD80" w14:textId="77777777" w:rsidR="00014767" w:rsidRPr="00866562" w:rsidRDefault="00014767" w:rsidP="00014767">
      <w:pPr>
        <w:rPr>
          <w:rFonts w:asciiTheme="majorHAnsi" w:hAnsiTheme="majorHAnsi" w:cs="Cambria"/>
          <w:bCs/>
          <w:sz w:val="14"/>
          <w:szCs w:val="14"/>
          <w:lang w:val="pl-PL"/>
        </w:rPr>
      </w:pPr>
    </w:p>
    <w:p w14:paraId="026D762E" w14:textId="77777777" w:rsidR="00014767" w:rsidRDefault="00014767" w:rsidP="00014767">
      <w:pPr>
        <w:spacing w:line="240" w:lineRule="auto"/>
        <w:jc w:val="left"/>
        <w:rPr>
          <w:rFonts w:asciiTheme="majorHAnsi" w:hAnsiTheme="majorHAnsi" w:cs="Cambria"/>
          <w:b/>
          <w:bCs/>
          <w:szCs w:val="20"/>
          <w:lang w:val="pl"/>
        </w:rPr>
      </w:pPr>
    </w:p>
    <w:p w14:paraId="3C5B6B8C" w14:textId="77777777" w:rsidR="00014767" w:rsidRPr="00B00B9A" w:rsidRDefault="00014767" w:rsidP="00014767">
      <w:pPr>
        <w:rPr>
          <w:b/>
          <w:lang w:val="pl-PL"/>
        </w:rPr>
      </w:pPr>
      <w:r w:rsidRPr="00B00B9A">
        <w:rPr>
          <w:b/>
          <w:lang w:val="pl-PL"/>
        </w:rPr>
        <w:t>Kontakt dla prasy:</w:t>
      </w:r>
    </w:p>
    <w:p w14:paraId="1A39B37B" w14:textId="77777777" w:rsidR="00014767" w:rsidRPr="00014767" w:rsidRDefault="00014767" w:rsidP="00014767">
      <w:pPr>
        <w:rPr>
          <w:sz w:val="18"/>
          <w:szCs w:val="18"/>
          <w:lang w:val="pl-PL"/>
        </w:rPr>
      </w:pPr>
      <w:r w:rsidRPr="00014767">
        <w:rPr>
          <w:sz w:val="18"/>
          <w:szCs w:val="18"/>
          <w:lang w:val="pl-PL"/>
        </w:rPr>
        <w:t>Dorota Strosznajder</w:t>
      </w:r>
      <w:r w:rsidRPr="00014767">
        <w:rPr>
          <w:sz w:val="18"/>
          <w:szCs w:val="18"/>
          <w:lang w:val="pl-PL"/>
        </w:rPr>
        <w:tab/>
      </w:r>
      <w:r w:rsidRPr="00014767">
        <w:rPr>
          <w:sz w:val="18"/>
          <w:szCs w:val="18"/>
          <w:lang w:val="pl-PL"/>
        </w:rPr>
        <w:tab/>
      </w:r>
      <w:r w:rsidRPr="00014767">
        <w:rPr>
          <w:sz w:val="18"/>
          <w:szCs w:val="18"/>
          <w:lang w:val="pl-PL"/>
        </w:rPr>
        <w:tab/>
      </w:r>
      <w:r w:rsidRPr="00014767">
        <w:rPr>
          <w:sz w:val="18"/>
          <w:szCs w:val="18"/>
          <w:lang w:val="pl-PL"/>
        </w:rPr>
        <w:tab/>
        <w:t xml:space="preserve">Magdalena Bryksa-Szymańczak </w:t>
      </w:r>
    </w:p>
    <w:p w14:paraId="32A72317" w14:textId="30D09161" w:rsidR="00014767" w:rsidRPr="00014767" w:rsidRDefault="00014767" w:rsidP="00014767">
      <w:pPr>
        <w:rPr>
          <w:sz w:val="18"/>
          <w:szCs w:val="18"/>
        </w:rPr>
      </w:pPr>
      <w:r w:rsidRPr="00014767">
        <w:rPr>
          <w:sz w:val="18"/>
          <w:szCs w:val="18"/>
          <w:lang w:val="pl-PL"/>
        </w:rPr>
        <w:t>Henkel Polska Sp. z o.o.</w:t>
      </w:r>
      <w:r w:rsidRPr="00014767">
        <w:rPr>
          <w:sz w:val="18"/>
          <w:szCs w:val="18"/>
          <w:lang w:val="pl-PL"/>
        </w:rPr>
        <w:tab/>
      </w:r>
      <w:r w:rsidRPr="00014767">
        <w:rPr>
          <w:sz w:val="18"/>
          <w:szCs w:val="18"/>
          <w:lang w:val="pl-PL"/>
        </w:rPr>
        <w:tab/>
      </w:r>
      <w:r w:rsidRPr="00014767">
        <w:rPr>
          <w:sz w:val="18"/>
          <w:szCs w:val="18"/>
          <w:lang w:val="pl-PL"/>
        </w:rPr>
        <w:tab/>
      </w:r>
      <w:r>
        <w:rPr>
          <w:sz w:val="18"/>
          <w:szCs w:val="18"/>
          <w:lang w:val="pl-PL"/>
        </w:rPr>
        <w:tab/>
      </w:r>
      <w:r w:rsidRPr="00014767">
        <w:rPr>
          <w:sz w:val="18"/>
          <w:szCs w:val="18"/>
        </w:rPr>
        <w:t>Solski Communications</w:t>
      </w:r>
    </w:p>
    <w:p w14:paraId="50FA060B" w14:textId="77777777" w:rsidR="00014767" w:rsidRPr="00014767" w:rsidRDefault="00014767" w:rsidP="00014767">
      <w:pPr>
        <w:rPr>
          <w:sz w:val="18"/>
          <w:szCs w:val="18"/>
          <w:lang w:val="en-GB"/>
        </w:rPr>
      </w:pPr>
      <w:proofErr w:type="spellStart"/>
      <w:r w:rsidRPr="00014767">
        <w:rPr>
          <w:sz w:val="18"/>
          <w:szCs w:val="18"/>
        </w:rPr>
        <w:t>tel</w:t>
      </w:r>
      <w:proofErr w:type="spellEnd"/>
      <w:r w:rsidRPr="00014767">
        <w:rPr>
          <w:sz w:val="18"/>
          <w:szCs w:val="18"/>
        </w:rPr>
        <w:t>: (022) 565 66 65</w:t>
      </w:r>
      <w:r w:rsidRPr="00014767">
        <w:rPr>
          <w:sz w:val="18"/>
          <w:szCs w:val="18"/>
        </w:rPr>
        <w:tab/>
      </w:r>
      <w:r w:rsidRPr="00014767">
        <w:rPr>
          <w:sz w:val="18"/>
          <w:szCs w:val="18"/>
        </w:rPr>
        <w:tab/>
      </w:r>
      <w:r w:rsidRPr="00014767">
        <w:rPr>
          <w:sz w:val="18"/>
          <w:szCs w:val="18"/>
        </w:rPr>
        <w:tab/>
      </w:r>
      <w:r w:rsidRPr="00014767">
        <w:rPr>
          <w:sz w:val="18"/>
          <w:szCs w:val="18"/>
        </w:rPr>
        <w:tab/>
      </w:r>
      <w:proofErr w:type="spellStart"/>
      <w:r w:rsidRPr="00014767">
        <w:rPr>
          <w:sz w:val="18"/>
          <w:szCs w:val="18"/>
        </w:rPr>
        <w:t>tel</w:t>
      </w:r>
      <w:proofErr w:type="spellEnd"/>
      <w:r w:rsidRPr="00014767">
        <w:rPr>
          <w:sz w:val="18"/>
          <w:szCs w:val="18"/>
        </w:rPr>
        <w:t>: (022) 242 86 43</w:t>
      </w:r>
    </w:p>
    <w:p w14:paraId="22C6A1EC" w14:textId="762D7580" w:rsidR="00014767" w:rsidRPr="00014767" w:rsidRDefault="00DC3D6B" w:rsidP="00014767">
      <w:pPr>
        <w:rPr>
          <w:sz w:val="18"/>
          <w:szCs w:val="18"/>
        </w:rPr>
      </w:pPr>
      <w:hyperlink r:id="rId15" w:history="1">
        <w:r w:rsidR="00014767" w:rsidRPr="00014767">
          <w:rPr>
            <w:rStyle w:val="Hipercze"/>
          </w:rPr>
          <w:t>dorota.strosznajder@henkel.com</w:t>
        </w:r>
      </w:hyperlink>
      <w:r w:rsidR="00014767" w:rsidRPr="00014767">
        <w:rPr>
          <w:sz w:val="18"/>
          <w:szCs w:val="18"/>
        </w:rPr>
        <w:tab/>
      </w:r>
      <w:r w:rsidR="00014767" w:rsidRPr="00014767">
        <w:rPr>
          <w:sz w:val="18"/>
          <w:szCs w:val="18"/>
        </w:rPr>
        <w:tab/>
      </w:r>
      <w:r w:rsidR="00014767">
        <w:rPr>
          <w:sz w:val="18"/>
          <w:szCs w:val="18"/>
        </w:rPr>
        <w:tab/>
      </w:r>
      <w:hyperlink r:id="rId16" w:history="1">
        <w:r w:rsidR="00014767" w:rsidRPr="00C34916">
          <w:rPr>
            <w:rStyle w:val="Hipercze"/>
          </w:rPr>
          <w:t>mszymanczak@solskipr.pl</w:t>
        </w:r>
      </w:hyperlink>
      <w:r w:rsidR="00014767" w:rsidRPr="00014767">
        <w:rPr>
          <w:sz w:val="18"/>
          <w:szCs w:val="18"/>
        </w:rPr>
        <w:t xml:space="preserve"> </w:t>
      </w:r>
    </w:p>
    <w:p w14:paraId="5C3F045C" w14:textId="5CAE26AE" w:rsidR="00A20162" w:rsidRPr="00014767" w:rsidRDefault="00A20162" w:rsidP="00014767">
      <w:pPr>
        <w:rPr>
          <w:rStyle w:val="AboutandContactBody"/>
        </w:rPr>
      </w:pPr>
    </w:p>
    <w:sectPr w:rsidR="00A20162" w:rsidRPr="0001476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6C57E" w14:textId="77777777" w:rsidR="00256575" w:rsidRDefault="00256575">
      <w:r>
        <w:separator/>
      </w:r>
    </w:p>
  </w:endnote>
  <w:endnote w:type="continuationSeparator" w:id="0">
    <w:p w14:paraId="7A5FFE04" w14:textId="77777777" w:rsidR="00256575" w:rsidRDefault="002565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10C9" w14:textId="52C3591B" w:rsidR="00CF6F33" w:rsidRPr="00112A28" w:rsidRDefault="00112A28" w:rsidP="00112A28">
    <w:pPr>
      <w:pStyle w:val="Stopka"/>
      <w:tabs>
        <w:tab w:val="clear" w:pos="7083"/>
        <w:tab w:val="clear" w:pos="8640"/>
        <w:tab w:val="right" w:pos="9071"/>
      </w:tabs>
      <w:jc w:val="both"/>
    </w:pPr>
    <w:r w:rsidRPr="00BF6E82">
      <w:t>Henkel AG &amp; Co. KGaA</w:t>
    </w:r>
    <w:r>
      <w:tab/>
    </w:r>
    <w:r w:rsidR="00014767">
      <w:t>Strona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DC3D6B">
      <w:fldChar w:fldCharType="begin"/>
    </w:r>
    <w:r w:rsidR="00DC3D6B">
      <w:instrText xml:space="preserve"> NUMPAGES  \* Arabic  \* MERGEFORMAT </w:instrText>
    </w:r>
    <w:r w:rsidR="00DC3D6B">
      <w:fldChar w:fldCharType="separate"/>
    </w:r>
    <w:r>
      <w:t>2</w:t>
    </w:r>
    <w:r w:rsidR="00DC3D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A058E" w14:textId="0C43A62A" w:rsidR="00CF6F33" w:rsidRPr="00992A11" w:rsidRDefault="002B69BE" w:rsidP="00992A11">
    <w:pPr>
      <w:pStyle w:val="Stopka"/>
    </w:pPr>
    <w:r>
      <w:drawing>
        <wp:anchor distT="0" distB="0" distL="114300" distR="114300" simplePos="0" relativeHeight="251662848" behindDoc="0" locked="0" layoutInCell="1" allowOverlap="1" wp14:anchorId="113D2C9A" wp14:editId="0C5A9F7A">
          <wp:simplePos x="0" y="0"/>
          <wp:positionH relativeFrom="column">
            <wp:posOffset>3061335</wp:posOffset>
          </wp:positionH>
          <wp:positionV relativeFrom="paragraph">
            <wp:posOffset>-381635</wp:posOffset>
          </wp:positionV>
          <wp:extent cx="607695" cy="303530"/>
          <wp:effectExtent l="0" t="0" r="1905" b="1270"/>
          <wp:wrapSquare wrapText="bothSides"/>
          <wp:docPr id="13" name="Obraz 13" descr="Ceresit CX 5 - 25KG Zaprawa szybkowiążąca 7807156920 - Allegro.p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resit CX 5 - 25KG Zaprawa szybkowiążąca 7807156920 - Allegro.p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695" cy="303530"/>
                  </a:xfrm>
                  <a:prstGeom prst="rect">
                    <a:avLst/>
                  </a:prstGeom>
                  <a:noFill/>
                  <a:ln>
                    <a:noFill/>
                  </a:ln>
                </pic:spPr>
              </pic:pic>
            </a:graphicData>
          </a:graphic>
          <wp14:sizeRelH relativeFrom="page">
            <wp14:pctWidth>0</wp14:pctWidth>
          </wp14:sizeRelH>
          <wp14:sizeRelV relativeFrom="page">
            <wp14:pctHeight>0</wp14:pctHeight>
          </wp14:sizeRelV>
        </wp:anchor>
      </w:drawing>
    </w:r>
    <w:r w:rsidR="00A20162" w:rsidRPr="00992A11">
      <w:drawing>
        <wp:anchor distT="0" distB="0" distL="114300" distR="114300" simplePos="0" relativeHeight="251664896" behindDoc="0" locked="0" layoutInCell="1" allowOverlap="1" wp14:anchorId="1A54C71A" wp14:editId="51E86C4A">
          <wp:simplePos x="0" y="0"/>
          <wp:positionH relativeFrom="margin">
            <wp:posOffset>3681874</wp:posOffset>
          </wp:positionH>
          <wp:positionV relativeFrom="paragraph">
            <wp:posOffset>-426981</wp:posOffset>
          </wp:positionV>
          <wp:extent cx="2187790" cy="384807"/>
          <wp:effectExtent l="0" t="0" r="0" b="0"/>
          <wp:wrapNone/>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63152" r="-1159"/>
                  <a:stretch/>
                </pic:blipFill>
                <pic:spPr bwMode="auto">
                  <a:xfrm>
                    <a:off x="0" y="0"/>
                    <a:ext cx="2187790" cy="3848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A20162" w:rsidRPr="00992A11">
      <w:drawing>
        <wp:anchor distT="0" distB="0" distL="114300" distR="114300" simplePos="0" relativeHeight="251660800" behindDoc="0" locked="0" layoutInCell="1" allowOverlap="1" wp14:anchorId="261A1AD9" wp14:editId="0DDFB0E8">
          <wp:simplePos x="0" y="0"/>
          <wp:positionH relativeFrom="margin">
            <wp:align>left</wp:align>
          </wp:positionH>
          <wp:positionV relativeFrom="paragraph">
            <wp:posOffset>-420799</wp:posOffset>
          </wp:positionV>
          <wp:extent cx="3028950" cy="384810"/>
          <wp:effectExtent l="0" t="0" r="0" b="0"/>
          <wp:wrapNone/>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r="47380"/>
                  <a:stretch/>
                </pic:blipFill>
                <pic:spPr bwMode="auto">
                  <a:xfrm>
                    <a:off x="0" y="0"/>
                    <a:ext cx="3028950" cy="3848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1421C">
      <w:t>Strona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61A27" w14:textId="77777777" w:rsidR="00256575" w:rsidRDefault="00256575">
      <w:r>
        <w:separator/>
      </w:r>
    </w:p>
  </w:footnote>
  <w:footnote w:type="continuationSeparator" w:id="0">
    <w:p w14:paraId="08414804" w14:textId="77777777" w:rsidR="00256575" w:rsidRDefault="002565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ACE39" w14:textId="77777777" w:rsidR="00112A28" w:rsidRDefault="00112A28" w:rsidP="00112A28">
    <w:pPr>
      <w:pStyle w:val="Nagwek"/>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E86010" w14:textId="73D59E5B" w:rsidR="00CF6F33" w:rsidRPr="00EB46D9" w:rsidRDefault="0059722C" w:rsidP="00EB46D9">
    <w:pPr>
      <w:pStyle w:val="Nagwek"/>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2EA65F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41421C">
      <w:t>Informacja</w:t>
    </w:r>
    <w:proofErr w:type="spellEnd"/>
    <w:r w:rsidR="0041421C">
      <w:t xml:space="preserve"> </w:t>
    </w:r>
    <w:proofErr w:type="spellStart"/>
    <w:r w:rsidR="0041421C">
      <w:t>prasowa</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savePreviewPicture/>
  <w:hdrShapeDefaults>
    <o:shapedefaults v:ext="edit" spidmax="4097">
      <o:colormru v:ext="edit" colors="#e1000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4767"/>
    <w:rsid w:val="00021C67"/>
    <w:rsid w:val="00030557"/>
    <w:rsid w:val="00030F51"/>
    <w:rsid w:val="00035A84"/>
    <w:rsid w:val="00040CC9"/>
    <w:rsid w:val="00051E86"/>
    <w:rsid w:val="000575F9"/>
    <w:rsid w:val="000618FC"/>
    <w:rsid w:val="00067071"/>
    <w:rsid w:val="00080D10"/>
    <w:rsid w:val="0008357F"/>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DA9"/>
    <w:rsid w:val="0013305B"/>
    <w:rsid w:val="00133B99"/>
    <w:rsid w:val="001443BD"/>
    <w:rsid w:val="001577E9"/>
    <w:rsid w:val="0016138C"/>
    <w:rsid w:val="001731CE"/>
    <w:rsid w:val="001B7C20"/>
    <w:rsid w:val="001C0B32"/>
    <w:rsid w:val="001C4BE1"/>
    <w:rsid w:val="001D7ADF"/>
    <w:rsid w:val="001E0F71"/>
    <w:rsid w:val="001E6D05"/>
    <w:rsid w:val="001E7C28"/>
    <w:rsid w:val="001F1BDF"/>
    <w:rsid w:val="001F7110"/>
    <w:rsid w:val="001F7E96"/>
    <w:rsid w:val="00202284"/>
    <w:rsid w:val="00212488"/>
    <w:rsid w:val="00220628"/>
    <w:rsid w:val="002304D2"/>
    <w:rsid w:val="00234ABD"/>
    <w:rsid w:val="00236E2A"/>
    <w:rsid w:val="00237F62"/>
    <w:rsid w:val="0024586A"/>
    <w:rsid w:val="00256575"/>
    <w:rsid w:val="00256F0C"/>
    <w:rsid w:val="00262C05"/>
    <w:rsid w:val="00281D14"/>
    <w:rsid w:val="00282C13"/>
    <w:rsid w:val="002A0DF7"/>
    <w:rsid w:val="002A2975"/>
    <w:rsid w:val="002A60E0"/>
    <w:rsid w:val="002B69BE"/>
    <w:rsid w:val="002C1344"/>
    <w:rsid w:val="002C252E"/>
    <w:rsid w:val="002C6773"/>
    <w:rsid w:val="002D2A3D"/>
    <w:rsid w:val="002E0B17"/>
    <w:rsid w:val="002E4FFB"/>
    <w:rsid w:val="002E7DED"/>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6EE9"/>
    <w:rsid w:val="00377CBB"/>
    <w:rsid w:val="003877B6"/>
    <w:rsid w:val="00393887"/>
    <w:rsid w:val="00394C6B"/>
    <w:rsid w:val="003A4E62"/>
    <w:rsid w:val="003B1069"/>
    <w:rsid w:val="003B390A"/>
    <w:rsid w:val="003C15DE"/>
    <w:rsid w:val="003C3DDF"/>
    <w:rsid w:val="003C4EB2"/>
    <w:rsid w:val="003F1AF3"/>
    <w:rsid w:val="003F4D8D"/>
    <w:rsid w:val="0041421C"/>
    <w:rsid w:val="004313E7"/>
    <w:rsid w:val="0044763B"/>
    <w:rsid w:val="004629B3"/>
    <w:rsid w:val="0046376E"/>
    <w:rsid w:val="0046690F"/>
    <w:rsid w:val="00472FEC"/>
    <w:rsid w:val="00490A03"/>
    <w:rsid w:val="00493327"/>
    <w:rsid w:val="00494DBE"/>
    <w:rsid w:val="00495CE6"/>
    <w:rsid w:val="004A323C"/>
    <w:rsid w:val="004B54E8"/>
    <w:rsid w:val="004C4FEB"/>
    <w:rsid w:val="004C6B79"/>
    <w:rsid w:val="004D059B"/>
    <w:rsid w:val="004D4CB6"/>
    <w:rsid w:val="004E3341"/>
    <w:rsid w:val="004F10C1"/>
    <w:rsid w:val="00502E62"/>
    <w:rsid w:val="00506B8A"/>
    <w:rsid w:val="0052212B"/>
    <w:rsid w:val="00534B46"/>
    <w:rsid w:val="00540358"/>
    <w:rsid w:val="00540D47"/>
    <w:rsid w:val="00550864"/>
    <w:rsid w:val="0055571E"/>
    <w:rsid w:val="00556F67"/>
    <w:rsid w:val="005833F0"/>
    <w:rsid w:val="00586CAF"/>
    <w:rsid w:val="005873E9"/>
    <w:rsid w:val="00591180"/>
    <w:rsid w:val="0059722C"/>
    <w:rsid w:val="00597D07"/>
    <w:rsid w:val="005A3846"/>
    <w:rsid w:val="005B6A58"/>
    <w:rsid w:val="005C6A0C"/>
    <w:rsid w:val="005C7112"/>
    <w:rsid w:val="005D0561"/>
    <w:rsid w:val="005D0AD9"/>
    <w:rsid w:val="005D22F6"/>
    <w:rsid w:val="005E0C30"/>
    <w:rsid w:val="005E69D9"/>
    <w:rsid w:val="005F27F4"/>
    <w:rsid w:val="005F3239"/>
    <w:rsid w:val="005F6567"/>
    <w:rsid w:val="00607256"/>
    <w:rsid w:val="006144B1"/>
    <w:rsid w:val="006335F1"/>
    <w:rsid w:val="006345B6"/>
    <w:rsid w:val="00635712"/>
    <w:rsid w:val="00643D8A"/>
    <w:rsid w:val="00652229"/>
    <w:rsid w:val="00652793"/>
    <w:rsid w:val="006626CA"/>
    <w:rsid w:val="00663487"/>
    <w:rsid w:val="00672382"/>
    <w:rsid w:val="00682643"/>
    <w:rsid w:val="00682EB9"/>
    <w:rsid w:val="0068441A"/>
    <w:rsid w:val="00690B19"/>
    <w:rsid w:val="006A0A3C"/>
    <w:rsid w:val="006A79F0"/>
    <w:rsid w:val="006B47EE"/>
    <w:rsid w:val="006B499F"/>
    <w:rsid w:val="006D4996"/>
    <w:rsid w:val="006D54AB"/>
    <w:rsid w:val="006E3006"/>
    <w:rsid w:val="006E5032"/>
    <w:rsid w:val="006E5BDA"/>
    <w:rsid w:val="006F0FC7"/>
    <w:rsid w:val="006F39A9"/>
    <w:rsid w:val="006F670F"/>
    <w:rsid w:val="00703272"/>
    <w:rsid w:val="0070733C"/>
    <w:rsid w:val="00710C5D"/>
    <w:rsid w:val="007132F9"/>
    <w:rsid w:val="0071348C"/>
    <w:rsid w:val="00717273"/>
    <w:rsid w:val="00720FD4"/>
    <w:rsid w:val="00724AF2"/>
    <w:rsid w:val="0073096C"/>
    <w:rsid w:val="00742398"/>
    <w:rsid w:val="007507B5"/>
    <w:rsid w:val="0075091D"/>
    <w:rsid w:val="00753A24"/>
    <w:rsid w:val="00772188"/>
    <w:rsid w:val="007813D0"/>
    <w:rsid w:val="00785993"/>
    <w:rsid w:val="007866E2"/>
    <w:rsid w:val="00786BA3"/>
    <w:rsid w:val="0079202F"/>
    <w:rsid w:val="00795AF2"/>
    <w:rsid w:val="007A2AAD"/>
    <w:rsid w:val="007A4432"/>
    <w:rsid w:val="007A784E"/>
    <w:rsid w:val="007B499C"/>
    <w:rsid w:val="007B4D4B"/>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596E"/>
    <w:rsid w:val="0089796A"/>
    <w:rsid w:val="008A2375"/>
    <w:rsid w:val="008B2728"/>
    <w:rsid w:val="008D76C5"/>
    <w:rsid w:val="008E0AFA"/>
    <w:rsid w:val="008E75D3"/>
    <w:rsid w:val="008F125E"/>
    <w:rsid w:val="008F4D2F"/>
    <w:rsid w:val="00906292"/>
    <w:rsid w:val="00917162"/>
    <w:rsid w:val="009251CC"/>
    <w:rsid w:val="0092714E"/>
    <w:rsid w:val="00942002"/>
    <w:rsid w:val="00947885"/>
    <w:rsid w:val="00952168"/>
    <w:rsid w:val="009527FE"/>
    <w:rsid w:val="009739A0"/>
    <w:rsid w:val="00974F84"/>
    <w:rsid w:val="009767C7"/>
    <w:rsid w:val="0098579A"/>
    <w:rsid w:val="0099195A"/>
    <w:rsid w:val="00992A11"/>
    <w:rsid w:val="00994681"/>
    <w:rsid w:val="0099486A"/>
    <w:rsid w:val="009A0E26"/>
    <w:rsid w:val="009A16EC"/>
    <w:rsid w:val="009B29B7"/>
    <w:rsid w:val="009B3B37"/>
    <w:rsid w:val="009B7D1F"/>
    <w:rsid w:val="009C088E"/>
    <w:rsid w:val="009C4D35"/>
    <w:rsid w:val="009D1522"/>
    <w:rsid w:val="009D7252"/>
    <w:rsid w:val="009E34CB"/>
    <w:rsid w:val="009E5EB4"/>
    <w:rsid w:val="00A044D6"/>
    <w:rsid w:val="00A04ADB"/>
    <w:rsid w:val="00A11E0F"/>
    <w:rsid w:val="00A20162"/>
    <w:rsid w:val="00A26CB6"/>
    <w:rsid w:val="00A32F82"/>
    <w:rsid w:val="00A32F8B"/>
    <w:rsid w:val="00A3756F"/>
    <w:rsid w:val="00A42D6F"/>
    <w:rsid w:val="00A45A62"/>
    <w:rsid w:val="00A54AC5"/>
    <w:rsid w:val="00A55DC3"/>
    <w:rsid w:val="00A56D41"/>
    <w:rsid w:val="00A61353"/>
    <w:rsid w:val="00A66DB1"/>
    <w:rsid w:val="00A67A92"/>
    <w:rsid w:val="00A87870"/>
    <w:rsid w:val="00A91A70"/>
    <w:rsid w:val="00AA1B85"/>
    <w:rsid w:val="00AB1CB6"/>
    <w:rsid w:val="00AB1D9A"/>
    <w:rsid w:val="00AD44FE"/>
    <w:rsid w:val="00AE49F1"/>
    <w:rsid w:val="00B05CCA"/>
    <w:rsid w:val="00B14271"/>
    <w:rsid w:val="00B16270"/>
    <w:rsid w:val="00B2685D"/>
    <w:rsid w:val="00B30351"/>
    <w:rsid w:val="00B33C2A"/>
    <w:rsid w:val="00B422EC"/>
    <w:rsid w:val="00B726D4"/>
    <w:rsid w:val="00B8214F"/>
    <w:rsid w:val="00B86A4F"/>
    <w:rsid w:val="00B93035"/>
    <w:rsid w:val="00B958E8"/>
    <w:rsid w:val="00B97E4A"/>
    <w:rsid w:val="00BA09B2"/>
    <w:rsid w:val="00BA5B46"/>
    <w:rsid w:val="00BB5D0B"/>
    <w:rsid w:val="00BC0995"/>
    <w:rsid w:val="00BE04C5"/>
    <w:rsid w:val="00BE793A"/>
    <w:rsid w:val="00BF2B82"/>
    <w:rsid w:val="00BF432A"/>
    <w:rsid w:val="00BF6E82"/>
    <w:rsid w:val="00C060C7"/>
    <w:rsid w:val="00C24C17"/>
    <w:rsid w:val="00C3758F"/>
    <w:rsid w:val="00C40B88"/>
    <w:rsid w:val="00C47D87"/>
    <w:rsid w:val="00C5376E"/>
    <w:rsid w:val="00C808A6"/>
    <w:rsid w:val="00C97091"/>
    <w:rsid w:val="00C97260"/>
    <w:rsid w:val="00CA2001"/>
    <w:rsid w:val="00CB2782"/>
    <w:rsid w:val="00CB5B6C"/>
    <w:rsid w:val="00CC052E"/>
    <w:rsid w:val="00CD16BE"/>
    <w:rsid w:val="00CD4616"/>
    <w:rsid w:val="00CD56AF"/>
    <w:rsid w:val="00CE33D5"/>
    <w:rsid w:val="00CF5D37"/>
    <w:rsid w:val="00CF6F33"/>
    <w:rsid w:val="00D02248"/>
    <w:rsid w:val="00D063B8"/>
    <w:rsid w:val="00D06825"/>
    <w:rsid w:val="00D17E3B"/>
    <w:rsid w:val="00D23C09"/>
    <w:rsid w:val="00D23CED"/>
    <w:rsid w:val="00D24BD2"/>
    <w:rsid w:val="00D2573D"/>
    <w:rsid w:val="00D260A2"/>
    <w:rsid w:val="00D30CC6"/>
    <w:rsid w:val="00D3260C"/>
    <w:rsid w:val="00D35790"/>
    <w:rsid w:val="00D5653B"/>
    <w:rsid w:val="00D62EF1"/>
    <w:rsid w:val="00D6309D"/>
    <w:rsid w:val="00D644CA"/>
    <w:rsid w:val="00D66FC2"/>
    <w:rsid w:val="00D76C7E"/>
    <w:rsid w:val="00D771DE"/>
    <w:rsid w:val="00D7776D"/>
    <w:rsid w:val="00D9293F"/>
    <w:rsid w:val="00D93598"/>
    <w:rsid w:val="00DA1E18"/>
    <w:rsid w:val="00DA2009"/>
    <w:rsid w:val="00DB05B1"/>
    <w:rsid w:val="00DB5A79"/>
    <w:rsid w:val="00DC2465"/>
    <w:rsid w:val="00DC3D6B"/>
    <w:rsid w:val="00DD512E"/>
    <w:rsid w:val="00DE1177"/>
    <w:rsid w:val="00DE2CEA"/>
    <w:rsid w:val="00DE6A3C"/>
    <w:rsid w:val="00DE74F4"/>
    <w:rsid w:val="00DE7F97"/>
    <w:rsid w:val="00DF1010"/>
    <w:rsid w:val="00DF5AEA"/>
    <w:rsid w:val="00DF63F6"/>
    <w:rsid w:val="00E13747"/>
    <w:rsid w:val="00E25AEA"/>
    <w:rsid w:val="00E30DEF"/>
    <w:rsid w:val="00E30ED2"/>
    <w:rsid w:val="00E31276"/>
    <w:rsid w:val="00E37F70"/>
    <w:rsid w:val="00E446C1"/>
    <w:rsid w:val="00E758B9"/>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512BA"/>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D2BD3"/>
    <w:rsid w:val="00FD4CCA"/>
    <w:rsid w:val="00FE2A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e1000f"/>
    </o:shapedefaults>
    <o:shapelayout v:ext="edit">
      <o:idmap v:ext="edit" data="1"/>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2A2975"/>
    <w:pPr>
      <w:spacing w:line="276" w:lineRule="auto"/>
      <w:jc w:val="both"/>
    </w:pPr>
    <w:rPr>
      <w:sz w:val="22"/>
    </w:rPr>
  </w:style>
  <w:style w:type="paragraph" w:styleId="Nagwek1">
    <w:name w:val="heading 1"/>
    <w:basedOn w:val="Normalny"/>
    <w:next w:val="Normalny"/>
    <w:link w:val="Nagwek1Znak"/>
    <w:uiPriority w:val="99"/>
    <w:qFormat/>
    <w:rsid w:val="00097261"/>
    <w:pPr>
      <w:keepNext/>
      <w:spacing w:line="420" w:lineRule="atLeast"/>
      <w:outlineLvl w:val="0"/>
    </w:pPr>
    <w:rPr>
      <w:rFonts w:cs="Arial"/>
      <w:b/>
      <w:bCs/>
      <w:kern w:val="32"/>
      <w:sz w:val="36"/>
      <w:szCs w:val="32"/>
    </w:rPr>
  </w:style>
  <w:style w:type="paragraph" w:styleId="Nagwek2">
    <w:name w:val="heading 2"/>
    <w:basedOn w:val="Normalny"/>
    <w:next w:val="Normalny"/>
    <w:qFormat/>
    <w:rsid w:val="003F46B0"/>
    <w:pPr>
      <w:keepNext/>
      <w:outlineLvl w:val="1"/>
    </w:pPr>
    <w:rPr>
      <w:rFonts w:cs="Arial"/>
      <w:bCs/>
      <w:iCs/>
      <w:color w:val="E1000F"/>
      <w:szCs w:val="28"/>
    </w:rPr>
  </w:style>
  <w:style w:type="paragraph" w:styleId="Nagwek3">
    <w:name w:val="heading 3"/>
    <w:basedOn w:val="Nagwek2"/>
    <w:next w:val="Normalny"/>
    <w:qFormat/>
    <w:rsid w:val="006F1596"/>
    <w:pPr>
      <w:outlineLvl w:val="2"/>
    </w:pPr>
    <w:rPr>
      <w:color w:val="auto"/>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Stopka">
    <w:name w:val="footer"/>
    <w:basedOn w:val="Normalny"/>
    <w:link w:val="StopkaZnak"/>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ny"/>
    <w:rsid w:val="006F1596"/>
    <w:pPr>
      <w:spacing w:after="300"/>
    </w:pPr>
    <w:rPr>
      <w:color w:val="415055"/>
      <w:sz w:val="24"/>
    </w:rPr>
  </w:style>
  <w:style w:type="paragraph" w:customStyle="1" w:styleId="NumBullet">
    <w:name w:val="Num_Bullet"/>
    <w:basedOn w:val="Normalny"/>
    <w:rsid w:val="00576BC8"/>
    <w:pPr>
      <w:numPr>
        <w:numId w:val="1"/>
      </w:numPr>
      <w:tabs>
        <w:tab w:val="clear" w:pos="567"/>
        <w:tab w:val="left" w:pos="357"/>
      </w:tabs>
      <w:ind w:left="357" w:hanging="357"/>
    </w:pPr>
  </w:style>
  <w:style w:type="paragraph" w:customStyle="1" w:styleId="Page1Name">
    <w:name w:val="Page1_Name"/>
    <w:basedOn w:val="Normalny"/>
    <w:rsid w:val="004F237B"/>
    <w:pPr>
      <w:spacing w:after="420" w:line="360" w:lineRule="atLeast"/>
    </w:pPr>
    <w:rPr>
      <w:b/>
      <w:sz w:val="30"/>
    </w:rPr>
  </w:style>
  <w:style w:type="paragraph" w:customStyle="1" w:styleId="Page1Title">
    <w:name w:val="Page1_Title"/>
    <w:basedOn w:val="Normalny"/>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ela-Siatka">
    <w:name w:val="Table Grid"/>
    <w:basedOn w:val="Standardowy"/>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ny"/>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ny"/>
    <w:rsid w:val="0048435F"/>
    <w:pPr>
      <w:spacing w:line="300" w:lineRule="atLeast"/>
    </w:pPr>
    <w:rPr>
      <w:sz w:val="24"/>
    </w:rPr>
  </w:style>
  <w:style w:type="character" w:customStyle="1" w:styleId="Nagwek1Znak">
    <w:name w:val="Nagłówek 1 Znak"/>
    <w:link w:val="Nagwek1"/>
    <w:uiPriority w:val="99"/>
    <w:locked/>
    <w:rsid w:val="00B422EC"/>
    <w:rPr>
      <w:rFonts w:ascii="Arial" w:hAnsi="Arial" w:cs="Arial"/>
      <w:b/>
      <w:bCs/>
      <w:kern w:val="32"/>
      <w:sz w:val="36"/>
      <w:szCs w:val="32"/>
      <w:lang w:val="de-DE"/>
    </w:rPr>
  </w:style>
  <w:style w:type="character" w:styleId="Hipercz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ny"/>
    <w:uiPriority w:val="34"/>
    <w:qFormat/>
    <w:rsid w:val="00B422EC"/>
    <w:pPr>
      <w:ind w:left="720"/>
    </w:pPr>
  </w:style>
  <w:style w:type="paragraph" w:styleId="Tekstdymka">
    <w:name w:val="Balloon Text"/>
    <w:basedOn w:val="Normalny"/>
    <w:link w:val="TekstdymkaZnak"/>
    <w:rsid w:val="00336854"/>
    <w:pPr>
      <w:spacing w:line="240" w:lineRule="auto"/>
    </w:pPr>
    <w:rPr>
      <w:sz w:val="18"/>
      <w:szCs w:val="18"/>
    </w:rPr>
  </w:style>
  <w:style w:type="character" w:customStyle="1" w:styleId="TekstdymkaZnak">
    <w:name w:val="Tekst dymka Znak"/>
    <w:link w:val="Tekstdymka"/>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StopkaZnak">
    <w:name w:val="Stopka Znak"/>
    <w:link w:val="Stopka"/>
    <w:uiPriority w:val="99"/>
    <w:rsid w:val="00992A11"/>
    <w:rPr>
      <w:rFonts w:ascii="Segoe UI" w:hAnsi="Segoe UI"/>
      <w:bCs/>
      <w:noProof/>
      <w:sz w:val="12"/>
      <w:szCs w:val="24"/>
      <w:lang w:val="de-DE"/>
    </w:rPr>
  </w:style>
  <w:style w:type="character" w:styleId="Nierozpoznanawzmiank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ny"/>
    <w:rsid w:val="00974F84"/>
    <w:rPr>
      <w:szCs w:val="20"/>
    </w:rPr>
  </w:style>
  <w:style w:type="paragraph" w:customStyle="1" w:styleId="Style12ptJustifiedLinespacing15lines1">
    <w:name w:val="Style 12 pt Justified Line spacing:  1.5 lines1"/>
    <w:basedOn w:val="Normalny"/>
    <w:rsid w:val="00974F84"/>
    <w:pPr>
      <w:spacing w:before="120"/>
    </w:pPr>
    <w:rPr>
      <w:szCs w:val="20"/>
    </w:rPr>
  </w:style>
  <w:style w:type="character" w:customStyle="1" w:styleId="Headline">
    <w:name w:val="Headline"/>
    <w:basedOn w:val="Domylnaczcionkaakapitu"/>
    <w:rsid w:val="00A3756F"/>
    <w:rPr>
      <w:b/>
      <w:bCs/>
      <w:sz w:val="32"/>
    </w:rPr>
  </w:style>
  <w:style w:type="paragraph" w:customStyle="1" w:styleId="MonthDayYear">
    <w:name w:val="Month Day Year"/>
    <w:basedOn w:val="Normalny"/>
    <w:rsid w:val="00643D8A"/>
    <w:pPr>
      <w:spacing w:before="120"/>
      <w:ind w:right="-1"/>
      <w:jc w:val="right"/>
    </w:pPr>
    <w:rPr>
      <w:szCs w:val="20"/>
    </w:rPr>
  </w:style>
  <w:style w:type="paragraph" w:customStyle="1" w:styleId="Topline">
    <w:name w:val="Topline"/>
    <w:basedOn w:val="Normalny"/>
    <w:qFormat/>
    <w:rsid w:val="00472FEC"/>
    <w:pPr>
      <w:spacing w:before="560" w:after="560"/>
    </w:pPr>
    <w:rPr>
      <w:rFonts w:cs="Segoe UI"/>
      <w:szCs w:val="22"/>
    </w:rPr>
  </w:style>
  <w:style w:type="character" w:customStyle="1" w:styleId="AboutandContactBody">
    <w:name w:val="About and Contact Body"/>
    <w:basedOn w:val="Domylnaczcionkaakapitu"/>
    <w:rsid w:val="00336854"/>
    <w:rPr>
      <w:rFonts w:ascii="Segoe UI" w:hAnsi="Segoe UI"/>
      <w:sz w:val="18"/>
    </w:rPr>
  </w:style>
  <w:style w:type="character" w:customStyle="1" w:styleId="AboutandContactHeadline">
    <w:name w:val="About and Contact Headline"/>
    <w:basedOn w:val="Domylnaczcionkaakapitu"/>
    <w:rsid w:val="00336854"/>
    <w:rPr>
      <w:rFonts w:ascii="Segoe UI" w:hAnsi="Segoe UI"/>
      <w:b/>
      <w:bCs/>
      <w:sz w:val="18"/>
    </w:rPr>
  </w:style>
  <w:style w:type="character" w:styleId="UyteHipercze">
    <w:name w:val="FollowedHyperlink"/>
    <w:basedOn w:val="Domylnaczcionkaakapitu"/>
    <w:rsid w:val="00A20162"/>
    <w:rPr>
      <w:color w:val="954F72" w:themeColor="followedHyperlink"/>
      <w:u w:val="single"/>
    </w:rPr>
  </w:style>
  <w:style w:type="paragraph" w:styleId="Akapitzlist">
    <w:name w:val="List Paragraph"/>
    <w:basedOn w:val="Normalny"/>
    <w:uiPriority w:val="34"/>
    <w:qFormat/>
    <w:rsid w:val="00014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C:\Usersfischerl\AppData\Local\Microsoft\Windows\INetCache\Content.Outlook\2MGCYH4Y\www.henke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henkel.com/spotlight/features/driving-progress-toward-a-circular-econom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szymanczak@solskipr.p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dorota.strosznajder@henkel.com"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8B46845E6F4494787881BCB071FEED2" ma:contentTypeVersion="9" ma:contentTypeDescription="Create a new document." ma:contentTypeScope="" ma:versionID="e1838f739cbe906565c4da17fe7ca5e9">
  <xsd:schema xmlns:xsd="http://www.w3.org/2001/XMLSchema" xmlns:xs="http://www.w3.org/2001/XMLSchema" xmlns:p="http://schemas.microsoft.com/office/2006/metadata/properties" xmlns:ns2="ccca362e-cf85-4f16-8b73-f94b25c87397" xmlns:ns3="dd711147-479d-48cd-8cde-486a92a72018" xmlns:ns4="35b47de6-8d4f-4de6-9664-c4f33e1cac18" targetNamespace="http://schemas.microsoft.com/office/2006/metadata/properties" ma:root="true" ma:fieldsID="813d7eec5b7647dd89a366c474f5f1a5" ns2:_="" ns3:_="" ns4:_="">
    <xsd:import namespace="ccca362e-cf85-4f16-8b73-f94b25c87397"/>
    <xsd:import namespace="dd711147-479d-48cd-8cde-486a92a72018"/>
    <xsd:import namespace="35b47de6-8d4f-4de6-9664-c4f33e1cac18"/>
    <xsd:element name="properties">
      <xsd:complexType>
        <xsd:sequence>
          <xsd:element name="documentManagement">
            <xsd:complexType>
              <xsd:all>
                <xsd:element ref="ns2:SharedWithUsers" minOccurs="0"/>
                <xsd:element ref="ns2:SharingHintHash" minOccurs="0"/>
                <xsd:element ref="ns3:SharedWithDetails" minOccurs="0"/>
                <xsd:element ref="ns4:MediaServiceMetadata" minOccurs="0"/>
                <xsd:element ref="ns4:MediaServiceFastMetadata"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ca362e-cf85-4f16-8b73-f94b25c873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711147-479d-48cd-8cde-486a92a72018" elementFormDefault="qualified">
    <xsd:import namespace="http://schemas.microsoft.com/office/2006/documentManagement/types"/>
    <xsd:import namespace="http://schemas.microsoft.com/office/infopath/2007/PartnerControls"/>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b47de6-8d4f-4de6-9664-c4f33e1cac1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72f792e8-4dad-42c1-ad63-44982727bf4d" ContentTypeId="0x01" PreviousValue="false"/>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50B7C023-369A-4906-AD44-19386E2B18AE}">
  <ds:schemaRefs>
    <ds:schemaRef ds:uri="http://schemas.openxmlformats.org/officeDocument/2006/bibliography"/>
  </ds:schemaRefs>
</ds:datastoreItem>
</file>

<file path=customXml/itemProps3.xml><?xml version="1.0" encoding="utf-8"?>
<ds:datastoreItem xmlns:ds="http://schemas.openxmlformats.org/officeDocument/2006/customXml" ds:itemID="{9F0A959A-F211-406C-9222-48BB63E353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ca362e-cf85-4f16-8b73-f94b25c87397"/>
    <ds:schemaRef ds:uri="dd711147-479d-48cd-8cde-486a92a72018"/>
    <ds:schemaRef ds:uri="35b47de6-8d4f-4de6-9664-c4f33e1cac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E590B4-7A0D-4F62-ACD8-2A023F14A26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5</TotalTime>
  <Pages>11</Pages>
  <Words>3596</Words>
  <Characters>23644</Characters>
  <Application>Microsoft Office Word</Application>
  <DocSecurity>4</DocSecurity>
  <Lines>197</Lines>
  <Paragraphs>54</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Pressemitteilung</vt:lpstr>
      <vt:lpstr>Pressemitteilung</vt:lpstr>
      <vt:lpstr>Pressemitteilung</vt:lpstr>
    </vt:vector>
  </TitlesOfParts>
  <Company>Henkel AG &amp; Co. KGaA</Company>
  <LinksUpToDate>false</LinksUpToDate>
  <CharactersWithSpaces>27186</CharactersWithSpaces>
  <SharedDoc>false</SharedDoc>
  <HLinks>
    <vt:vector size="6" baseType="variant">
      <vt:variant>
        <vt:i4>2490428</vt:i4>
      </vt:variant>
      <vt:variant>
        <vt:i4>0</vt:i4>
      </vt:variant>
      <vt:variant>
        <vt:i4>0</vt:i4>
      </vt:variant>
      <vt:variant>
        <vt:i4>5</vt:i4>
      </vt:variant>
      <vt:variant>
        <vt:lpwstr>http://www.henkel.com/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Klaudia Mencina</cp:lastModifiedBy>
  <cp:revision>2</cp:revision>
  <cp:lastPrinted>2016-11-16T01:11:00Z</cp:lastPrinted>
  <dcterms:created xsi:type="dcterms:W3CDTF">2021-03-04T18:44:00Z</dcterms:created>
  <dcterms:modified xsi:type="dcterms:W3CDTF">2021-03-04T18:44:00Z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0x010100A8B46845E6F4494787881BCB071FEED2</vt:lpwstr>
  </property>
</Properties>
</file>