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962B" w14:textId="77777777" w:rsidR="00B422EC" w:rsidRPr="000069EB" w:rsidRDefault="007020F2" w:rsidP="00E41377">
      <w:pPr>
        <w:pStyle w:val="MonthDayYear"/>
        <w:tabs>
          <w:tab w:val="left" w:pos="7513"/>
        </w:tabs>
        <w:jc w:val="left"/>
      </w:pPr>
      <w:r>
        <w:tab/>
        <w:t>4</w:t>
      </w:r>
      <w:r w:rsidR="003E143F">
        <w:t xml:space="preserve">. </w:t>
      </w:r>
      <w:r>
        <w:t>mart 2021</w:t>
      </w:r>
      <w:r w:rsidR="003E143F">
        <w:t xml:space="preserve">. </w:t>
      </w:r>
    </w:p>
    <w:p w14:paraId="02E7B310" w14:textId="77777777" w:rsidR="007F0F63" w:rsidRPr="00635616" w:rsidRDefault="00635616" w:rsidP="00635616">
      <w:pPr>
        <w:pStyle w:val="Topline"/>
        <w:spacing w:after="360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Henkel će predložiti dividende</w:t>
      </w:r>
      <w:r w:rsidR="003460C9">
        <w:rPr>
          <w:rFonts w:asciiTheme="majorHAnsi" w:hAnsiTheme="majorHAnsi"/>
        </w:rPr>
        <w:t xml:space="preserve"> kao</w:t>
      </w:r>
      <w:r>
        <w:rPr>
          <w:rFonts w:asciiTheme="majorHAnsi" w:hAnsiTheme="majorHAnsi"/>
        </w:rPr>
        <w:t xml:space="preserve"> na prošlogodišnjem nivou</w:t>
      </w:r>
    </w:p>
    <w:p w14:paraId="0DCD0C36" w14:textId="237438DA" w:rsidR="007F0F63" w:rsidRPr="00132B4A" w:rsidRDefault="00894CED" w:rsidP="00635616">
      <w:pPr>
        <w:jc w:val="left"/>
        <w:rPr>
          <w:rStyle w:val="Headline"/>
          <w:rFonts w:asciiTheme="majorHAnsi" w:hAnsiTheme="majorHAnsi" w:cstheme="majorHAnsi"/>
        </w:rPr>
      </w:pPr>
      <w:bookmarkStart w:id="0" w:name="_Hlk65790037"/>
      <w:r>
        <w:rPr>
          <w:rStyle w:val="Headline"/>
          <w:rFonts w:asciiTheme="majorHAnsi" w:hAnsiTheme="majorHAnsi"/>
        </w:rPr>
        <w:t>Henkel</w:t>
      </w:r>
      <w:r w:rsidR="00C66218">
        <w:rPr>
          <w:rStyle w:val="Headline"/>
          <w:rFonts w:asciiTheme="majorHAnsi" w:hAnsiTheme="majorHAnsi"/>
        </w:rPr>
        <w:t xml:space="preserve"> ostvario </w:t>
      </w:r>
      <w:bookmarkStart w:id="1" w:name="_Hlk65789989"/>
      <w:r w:rsidR="00FF5386">
        <w:rPr>
          <w:rStyle w:val="Headline"/>
          <w:rFonts w:asciiTheme="majorHAnsi" w:hAnsiTheme="majorHAnsi"/>
        </w:rPr>
        <w:t>snažan</w:t>
      </w:r>
      <w:r w:rsidR="00C66218">
        <w:rPr>
          <w:rStyle w:val="Headline"/>
          <w:rFonts w:asciiTheme="majorHAnsi" w:hAnsiTheme="majorHAnsi"/>
        </w:rPr>
        <w:t xml:space="preserve"> sveukupni poslovni rezultat uprkos značajnim uticajima pandemije COVID-19</w:t>
      </w:r>
      <w:bookmarkEnd w:id="1"/>
    </w:p>
    <w:bookmarkEnd w:id="0"/>
    <w:p w14:paraId="0E5A2B38" w14:textId="77777777" w:rsidR="00852511" w:rsidRPr="00132B4A" w:rsidRDefault="00852511" w:rsidP="00365E44"/>
    <w:p w14:paraId="3438C548" w14:textId="0EF7446D" w:rsidR="008743BF" w:rsidRPr="00355C70" w:rsidRDefault="002C73E7" w:rsidP="00635616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2" w:name="_Hlk65790075"/>
      <w:bookmarkStart w:id="3" w:name="_Hlk43712519"/>
      <w:r>
        <w:rPr>
          <w:rFonts w:asciiTheme="majorHAnsi" w:hAnsiTheme="majorHAnsi"/>
          <w:b/>
          <w:szCs w:val="22"/>
        </w:rPr>
        <w:t xml:space="preserve">Balansiran portfolio, moćne inovacije, finansijska snaga, i posvećen tim ključni su razlozi za </w:t>
      </w:r>
      <w:r w:rsidR="00FF5386">
        <w:rPr>
          <w:rFonts w:asciiTheme="majorHAnsi" w:hAnsiTheme="majorHAnsi"/>
          <w:b/>
          <w:szCs w:val="22"/>
        </w:rPr>
        <w:t>snažan</w:t>
      </w:r>
      <w:r>
        <w:rPr>
          <w:rFonts w:asciiTheme="majorHAnsi" w:hAnsiTheme="majorHAnsi"/>
          <w:b/>
          <w:szCs w:val="22"/>
        </w:rPr>
        <w:t xml:space="preserve"> poslovni rezulat tokom globalne krize</w:t>
      </w:r>
    </w:p>
    <w:bookmarkEnd w:id="2"/>
    <w:p w14:paraId="00F52F01" w14:textId="77777777" w:rsidR="008743BF" w:rsidRPr="00355C70" w:rsidRDefault="008743BF" w:rsidP="00635616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Rezultati za 2020</w:t>
      </w:r>
      <w:r w:rsidR="003E143F">
        <w:rPr>
          <w:rFonts w:asciiTheme="majorHAnsi" w:hAnsiTheme="majorHAnsi"/>
          <w:b/>
          <w:szCs w:val="22"/>
        </w:rPr>
        <w:t xml:space="preserve">. </w:t>
      </w:r>
      <w:r>
        <w:rPr>
          <w:rFonts w:asciiTheme="majorHAnsi" w:hAnsiTheme="majorHAnsi"/>
          <w:b/>
          <w:szCs w:val="22"/>
        </w:rPr>
        <w:t>na višem nivou u okviru ciljeva za celu godinu:</w:t>
      </w:r>
    </w:p>
    <w:p w14:paraId="5918F6A7" w14:textId="1367889B" w:rsidR="00635616" w:rsidRPr="001F14EA" w:rsidRDefault="00635616" w:rsidP="00060945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Prodaja grupe dostigla 19,3 milijarde evra, </w:t>
      </w:r>
      <w:bookmarkEnd w:id="3"/>
      <w:r>
        <w:rPr>
          <w:rFonts w:asciiTheme="majorHAnsi" w:hAnsiTheme="majorHAnsi"/>
          <w:b/>
          <w:szCs w:val="22"/>
        </w:rPr>
        <w:t>organsk</w:t>
      </w:r>
      <w:r w:rsidR="00111B14">
        <w:rPr>
          <w:rFonts w:asciiTheme="majorHAnsi" w:hAnsiTheme="majorHAnsi"/>
          <w:b/>
          <w:szCs w:val="22"/>
        </w:rPr>
        <w:t>i</w:t>
      </w:r>
      <w:r>
        <w:rPr>
          <w:rFonts w:asciiTheme="majorHAnsi" w:hAnsiTheme="majorHAnsi"/>
          <w:b/>
          <w:szCs w:val="22"/>
        </w:rPr>
        <w:t xml:space="preserve">:-0,7 </w:t>
      </w:r>
      <w:r w:rsidR="00111B14">
        <w:rPr>
          <w:rFonts w:asciiTheme="majorHAnsi" w:hAnsiTheme="majorHAnsi"/>
          <w:b/>
          <w:szCs w:val="22"/>
        </w:rPr>
        <w:t>odsto</w:t>
      </w:r>
    </w:p>
    <w:p w14:paraId="2DBB54D7" w14:textId="08E7CC63" w:rsidR="00635616" w:rsidRPr="00132B4A" w:rsidRDefault="00635616" w:rsidP="00060945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EBIT marža* iznosila 13,4 </w:t>
      </w:r>
      <w:r w:rsidR="00111B14">
        <w:rPr>
          <w:rFonts w:asciiTheme="majorHAnsi" w:hAnsiTheme="majorHAnsi"/>
          <w:b/>
        </w:rPr>
        <w:t>odsto</w:t>
      </w:r>
      <w:r>
        <w:rPr>
          <w:rFonts w:asciiTheme="majorHAnsi" w:hAnsiTheme="majorHAnsi"/>
          <w:b/>
        </w:rPr>
        <w:t>, -260 bazn</w:t>
      </w:r>
      <w:r w:rsidR="00111B14">
        <w:rPr>
          <w:rFonts w:asciiTheme="majorHAnsi" w:hAnsiTheme="majorHAnsi"/>
          <w:b/>
        </w:rPr>
        <w:t>ih</w:t>
      </w:r>
      <w:r>
        <w:rPr>
          <w:rFonts w:asciiTheme="majorHAnsi" w:hAnsiTheme="majorHAnsi"/>
          <w:b/>
        </w:rPr>
        <w:t xml:space="preserve"> poena,</w:t>
      </w:r>
      <w:r>
        <w:rPr>
          <w:rFonts w:asciiTheme="majorHAnsi" w:hAnsiTheme="majorHAnsi"/>
          <w:b/>
        </w:rPr>
        <w:br/>
        <w:t>što odgovara operativnom profitu* od 2,6 milijardi evra</w:t>
      </w:r>
    </w:p>
    <w:p w14:paraId="06B277D4" w14:textId="6F7C98AC" w:rsidR="00635616" w:rsidRPr="00132B4A" w:rsidRDefault="00635616" w:rsidP="00060945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Prihod po prioritetnoj akciji (EPS)</w:t>
      </w:r>
      <w:r>
        <w:rPr>
          <w:rFonts w:asciiTheme="majorHAnsi" w:hAnsiTheme="majorHAnsi"/>
          <w:b/>
          <w:szCs w:val="22"/>
        </w:rPr>
        <w:t>*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  <w:szCs w:val="22"/>
        </w:rPr>
        <w:t>4,26 evra</w:t>
      </w:r>
      <w:r w:rsidR="003E143F">
        <w:rPr>
          <w:rFonts w:asciiTheme="majorHAnsi" w:hAnsiTheme="majorHAnsi"/>
          <w:b/>
          <w:szCs w:val="22"/>
        </w:rPr>
        <w:t xml:space="preserve">. </w:t>
      </w:r>
      <w:r>
        <w:rPr>
          <w:rFonts w:asciiTheme="majorHAnsi" w:hAnsiTheme="majorHAnsi"/>
          <w:b/>
          <w:szCs w:val="22"/>
        </w:rPr>
        <w:br/>
        <w:t xml:space="preserve">- 17,9 </w:t>
      </w:r>
      <w:r w:rsidR="00111B14">
        <w:rPr>
          <w:rFonts w:asciiTheme="majorHAnsi" w:hAnsiTheme="majorHAnsi"/>
          <w:b/>
          <w:szCs w:val="22"/>
        </w:rPr>
        <w:t>odsto</w:t>
      </w:r>
      <w:r>
        <w:rPr>
          <w:rFonts w:asciiTheme="majorHAnsi" w:hAnsiTheme="majorHAnsi"/>
          <w:b/>
          <w:szCs w:val="22"/>
        </w:rPr>
        <w:t xml:space="preserve"> po stalnim kursevima</w:t>
      </w:r>
    </w:p>
    <w:p w14:paraId="07ABAA94" w14:textId="49CEED21" w:rsidR="00635616" w:rsidRPr="00485713" w:rsidRDefault="00485713" w:rsidP="0048571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V</w:t>
      </w:r>
      <w:r w:rsidR="00111B14">
        <w:rPr>
          <w:rFonts w:asciiTheme="majorHAnsi" w:hAnsiTheme="majorHAnsi"/>
          <w:b/>
          <w:szCs w:val="22"/>
        </w:rPr>
        <w:t>eoma</w:t>
      </w:r>
      <w:r>
        <w:rPr>
          <w:rFonts w:asciiTheme="majorHAnsi" w:hAnsiTheme="majorHAnsi"/>
          <w:b/>
          <w:szCs w:val="22"/>
        </w:rPr>
        <w:t xml:space="preserve"> snažan slobodan novčani tok od 2,3 milijarde evra,</w:t>
      </w:r>
      <w:r>
        <w:rPr>
          <w:rFonts w:asciiTheme="majorHAnsi" w:hAnsiTheme="majorHAnsi"/>
          <w:b/>
          <w:szCs w:val="22"/>
        </w:rPr>
        <w:br/>
        <w:t>neto finansijska pozicija značajno unapređena</w:t>
      </w:r>
    </w:p>
    <w:p w14:paraId="5FBBA9D5" w14:textId="77777777" w:rsidR="00A842D5" w:rsidRPr="00884019" w:rsidRDefault="009F563C" w:rsidP="004C0138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Predložene dividende na nivou od prošle godine:1,85 evra po prioritetnoj akciji</w:t>
      </w:r>
    </w:p>
    <w:p w14:paraId="3D6F47D1" w14:textId="77777777" w:rsidR="00256334" w:rsidRPr="00485713" w:rsidRDefault="00635616" w:rsidP="00256334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Realizacija agende zarad svrsishodnog rasta u skladu s planom, jasan plan za dalje sprovođenje u 2021</w:t>
      </w:r>
      <w:r w:rsidR="003E143F">
        <w:rPr>
          <w:rFonts w:asciiTheme="majorHAnsi" w:hAnsiTheme="majorHAnsi"/>
          <w:b/>
          <w:szCs w:val="22"/>
        </w:rPr>
        <w:t xml:space="preserve">. </w:t>
      </w:r>
      <w:r>
        <w:rPr>
          <w:rFonts w:asciiTheme="majorHAnsi" w:hAnsiTheme="majorHAnsi"/>
          <w:b/>
          <w:szCs w:val="22"/>
        </w:rPr>
        <w:t>i u budućnosti</w:t>
      </w:r>
    </w:p>
    <w:p w14:paraId="7122E4EE" w14:textId="77777777" w:rsidR="00C70DBC" w:rsidRDefault="004C0138" w:rsidP="004C0138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Prognoza za 2021:</w:t>
      </w:r>
    </w:p>
    <w:p w14:paraId="62B56DA7" w14:textId="64F15300" w:rsidR="00C70DBC" w:rsidRDefault="004C0138" w:rsidP="00C70DBC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Organski rast prodaje:</w:t>
      </w:r>
      <w:r w:rsidR="00111B14">
        <w:rPr>
          <w:rFonts w:asciiTheme="majorHAnsi" w:hAnsiTheme="majorHAnsi"/>
          <w:b/>
          <w:szCs w:val="22"/>
        </w:rPr>
        <w:t xml:space="preserve"> sa </w:t>
      </w:r>
      <w:r>
        <w:rPr>
          <w:rFonts w:asciiTheme="majorHAnsi" w:hAnsiTheme="majorHAnsi"/>
          <w:b/>
          <w:szCs w:val="22"/>
        </w:rPr>
        <w:t xml:space="preserve">2,0 </w:t>
      </w:r>
      <w:r w:rsidR="00111B14">
        <w:rPr>
          <w:rFonts w:asciiTheme="majorHAnsi" w:hAnsiTheme="majorHAnsi"/>
          <w:b/>
          <w:szCs w:val="22"/>
        </w:rPr>
        <w:t>na</w:t>
      </w:r>
      <w:r>
        <w:rPr>
          <w:rFonts w:asciiTheme="majorHAnsi" w:hAnsiTheme="majorHAnsi"/>
          <w:b/>
          <w:szCs w:val="22"/>
        </w:rPr>
        <w:t xml:space="preserve"> 5,0 </w:t>
      </w:r>
      <w:r w:rsidR="00111B14">
        <w:rPr>
          <w:rFonts w:asciiTheme="majorHAnsi" w:hAnsiTheme="majorHAnsi"/>
          <w:b/>
          <w:szCs w:val="22"/>
        </w:rPr>
        <w:t>odsto</w:t>
      </w:r>
    </w:p>
    <w:p w14:paraId="653C8EC9" w14:textId="3490D7D2" w:rsidR="00C70DBC" w:rsidRDefault="004C0138" w:rsidP="00C70DBC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EBIT marža*:</w:t>
      </w:r>
      <w:r w:rsidR="00111B14">
        <w:rPr>
          <w:rFonts w:asciiTheme="majorHAnsi" w:hAnsiTheme="majorHAnsi"/>
          <w:b/>
          <w:szCs w:val="22"/>
        </w:rPr>
        <w:t xml:space="preserve"> sa </w:t>
      </w:r>
      <w:r>
        <w:rPr>
          <w:rFonts w:asciiTheme="majorHAnsi" w:hAnsiTheme="majorHAnsi"/>
          <w:b/>
          <w:szCs w:val="22"/>
        </w:rPr>
        <w:t xml:space="preserve">13,5 </w:t>
      </w:r>
      <w:r w:rsidR="00111B14">
        <w:rPr>
          <w:rFonts w:asciiTheme="majorHAnsi" w:hAnsiTheme="majorHAnsi"/>
          <w:b/>
          <w:szCs w:val="22"/>
        </w:rPr>
        <w:t>na</w:t>
      </w:r>
      <w:r>
        <w:rPr>
          <w:rFonts w:asciiTheme="majorHAnsi" w:hAnsiTheme="majorHAnsi"/>
          <w:b/>
          <w:szCs w:val="22"/>
        </w:rPr>
        <w:t xml:space="preserve"> 14,5 </w:t>
      </w:r>
      <w:r w:rsidR="00111B14">
        <w:rPr>
          <w:rFonts w:asciiTheme="majorHAnsi" w:hAnsiTheme="majorHAnsi"/>
          <w:b/>
          <w:szCs w:val="22"/>
        </w:rPr>
        <w:t>odsto</w:t>
      </w:r>
    </w:p>
    <w:p w14:paraId="5F3E9D2B" w14:textId="47F29B6A" w:rsidR="004C0138" w:rsidRPr="004C0138" w:rsidRDefault="004C0138" w:rsidP="00C70DBC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Prihod po prioritetnoj akciji (EPS)*: rast između 5,0 i 15,0 </w:t>
      </w:r>
      <w:r w:rsidR="00111B14">
        <w:rPr>
          <w:rFonts w:asciiTheme="majorHAnsi" w:hAnsiTheme="majorHAnsi"/>
          <w:b/>
          <w:szCs w:val="22"/>
        </w:rPr>
        <w:t>odsto</w:t>
      </w:r>
      <w:r>
        <w:rPr>
          <w:rFonts w:asciiTheme="majorHAnsi" w:hAnsiTheme="majorHAnsi"/>
          <w:b/>
          <w:szCs w:val="22"/>
        </w:rPr>
        <w:t xml:space="preserve"> pri stalnim kursevima</w:t>
      </w:r>
    </w:p>
    <w:p w14:paraId="002066E6" w14:textId="77777777" w:rsidR="00635616" w:rsidRDefault="00635616" w:rsidP="00485713">
      <w:pPr>
        <w:spacing w:line="240" w:lineRule="auto"/>
        <w:jc w:val="left"/>
        <w:rPr>
          <w:rFonts w:cs="Segoe UI"/>
          <w:szCs w:val="22"/>
        </w:rPr>
      </w:pPr>
    </w:p>
    <w:p w14:paraId="761824B9" w14:textId="575316ED" w:rsidR="009E432C" w:rsidRDefault="006370F9" w:rsidP="00C10EA4">
      <w:pPr>
        <w:rPr>
          <w:rFonts w:cs="Segoe UI"/>
          <w:b/>
          <w:bCs/>
          <w:szCs w:val="22"/>
        </w:rPr>
      </w:pPr>
      <w:r>
        <w:rPr>
          <w:rFonts w:asciiTheme="majorHAnsi" w:hAnsiTheme="majorHAnsi"/>
          <w:b/>
          <w:bCs/>
          <w:sz w:val="24"/>
        </w:rPr>
        <w:pict w14:anchorId="2BDE088B">
          <v:shapetype id="_x0000_t202" coordsize="21600,21600" o:spt="202" path="m,l,21600r21600,l21600,xe">
            <v:stroke joinstyle="miter"/>
            <v:path gradientshapeok="t" o:connecttype="rect"/>
          </v:shapetype>
          <v:shape id="Textfeld 10" o:spid="_x0000_s1026" type="#_x0000_t202" style="position:absolute;left:0;text-align:left;margin-left:0;margin-top:112.6pt;width:368.8pt;height:19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" stroked="f">
            <v:textbox>
              <w:txbxContent>
                <w:p w14:paraId="6F9AD348" w14:textId="77777777" w:rsidR="00BE47D4" w:rsidRPr="00ED5A2D" w:rsidRDefault="00BE47D4" w:rsidP="00F94F8C">
                  <w:pPr>
                    <w:autoSpaceDE w:val="0"/>
                    <w:autoSpaceDN w:val="0"/>
                    <w:adjustRightInd w:val="0"/>
                    <w:spacing w:line="240" w:lineRule="auto"/>
                  </w:pPr>
                  <w:r>
                    <w:rPr>
                      <w:sz w:val="16"/>
                      <w:szCs w:val="16"/>
                    </w:rPr>
                    <w:t>*</w:t>
                  </w:r>
                  <w:r w:rsidR="003E143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Korigovano zbog jednokratnih troškova i dobiti, i zbog troškova restrukturiranja</w:t>
                  </w:r>
                  <w:r w:rsidR="003E143F">
                    <w:rPr>
                      <w:sz w:val="16"/>
                      <w:szCs w:val="16"/>
                    </w:rPr>
                    <w:t xml:space="preserve">. . </w:t>
                  </w:r>
                </w:p>
              </w:txbxContent>
            </v:textbox>
            <w10:wrap anchorx="margin"/>
          </v:shape>
        </w:pict>
      </w:r>
      <w:r w:rsidR="00796D1A">
        <w:rPr>
          <w:b/>
          <w:bCs/>
          <w:szCs w:val="22"/>
        </w:rPr>
        <w:t>Diseldorf - „Uprkos oštrom padu globalne ekonomije</w:t>
      </w:r>
      <w:r w:rsidR="00111B14">
        <w:rPr>
          <w:b/>
          <w:bCs/>
          <w:szCs w:val="22"/>
        </w:rPr>
        <w:t xml:space="preserve"> pod uticajem </w:t>
      </w:r>
      <w:r w:rsidR="00796D1A">
        <w:rPr>
          <w:b/>
          <w:bCs/>
          <w:szCs w:val="22"/>
        </w:rPr>
        <w:t>pandemije COVID-19</w:t>
      </w:r>
      <w:r w:rsidR="007138DD">
        <w:rPr>
          <w:b/>
          <w:bCs/>
          <w:szCs w:val="22"/>
        </w:rPr>
        <w:t>,</w:t>
      </w:r>
      <w:r w:rsidR="00796D1A">
        <w:rPr>
          <w:b/>
          <w:bCs/>
          <w:szCs w:val="22"/>
        </w:rPr>
        <w:t xml:space="preserve"> u 2020</w:t>
      </w:r>
      <w:r w:rsidR="003E143F">
        <w:rPr>
          <w:b/>
          <w:bCs/>
          <w:szCs w:val="22"/>
        </w:rPr>
        <w:t xml:space="preserve">. </w:t>
      </w:r>
      <w:r w:rsidR="00796D1A">
        <w:rPr>
          <w:b/>
          <w:bCs/>
          <w:szCs w:val="22"/>
        </w:rPr>
        <w:t xml:space="preserve">godini ostvarili smo </w:t>
      </w:r>
      <w:r w:rsidR="00FF5386">
        <w:rPr>
          <w:b/>
          <w:bCs/>
          <w:szCs w:val="22"/>
        </w:rPr>
        <w:t>snažne</w:t>
      </w:r>
      <w:r w:rsidR="00796D1A">
        <w:rPr>
          <w:b/>
          <w:bCs/>
          <w:szCs w:val="22"/>
        </w:rPr>
        <w:t xml:space="preserve"> ukupne rezultate u svim poslovnim </w:t>
      </w:r>
      <w:r w:rsidR="00111B14">
        <w:rPr>
          <w:b/>
          <w:bCs/>
          <w:szCs w:val="22"/>
        </w:rPr>
        <w:t>sektorima</w:t>
      </w:r>
      <w:r w:rsidR="003E143F">
        <w:rPr>
          <w:b/>
          <w:bCs/>
          <w:szCs w:val="22"/>
        </w:rPr>
        <w:t xml:space="preserve">. </w:t>
      </w:r>
      <w:r w:rsidR="00796D1A">
        <w:rPr>
          <w:b/>
          <w:bCs/>
          <w:szCs w:val="22"/>
        </w:rPr>
        <w:t>Tokom cele godine, naši rezultati bili su na višem nivou u okviru planiranih</w:t>
      </w:r>
      <w:r w:rsidR="00B70A06">
        <w:rPr>
          <w:b/>
          <w:bCs/>
          <w:szCs w:val="22"/>
        </w:rPr>
        <w:t xml:space="preserve"> vrednosti</w:t>
      </w:r>
      <w:r w:rsidR="003E143F">
        <w:rPr>
          <w:b/>
          <w:bCs/>
          <w:szCs w:val="22"/>
        </w:rPr>
        <w:t xml:space="preserve">. </w:t>
      </w:r>
      <w:r w:rsidR="00796D1A">
        <w:rPr>
          <w:b/>
          <w:bCs/>
          <w:szCs w:val="22"/>
        </w:rPr>
        <w:t xml:space="preserve">Postigli smo to zahvaljujući našem balansiranom portfoliju, uspešnim inovacijama, i </w:t>
      </w:r>
      <w:r w:rsidR="00796D1A">
        <w:rPr>
          <w:b/>
          <w:bCs/>
          <w:szCs w:val="22"/>
        </w:rPr>
        <w:lastRenderedPageBreak/>
        <w:t>finansijskoj snazi kao i izvanrednoj posvećenosti naših zaposlenih širom sveta</w:t>
      </w:r>
      <w:r w:rsidR="003E143F">
        <w:rPr>
          <w:b/>
          <w:bCs/>
          <w:szCs w:val="22"/>
        </w:rPr>
        <w:t xml:space="preserve">. </w:t>
      </w:r>
      <w:r w:rsidR="00796D1A">
        <w:rPr>
          <w:b/>
          <w:bCs/>
          <w:szCs w:val="22"/>
        </w:rPr>
        <w:t>Želeo bih da se zahvalim svima njima na izvan</w:t>
      </w:r>
      <w:r w:rsidR="003E143F">
        <w:rPr>
          <w:b/>
          <w:bCs/>
          <w:szCs w:val="22"/>
        </w:rPr>
        <w:t>rednom doprinosu u ovoj zaista i</w:t>
      </w:r>
      <w:r w:rsidR="00796D1A">
        <w:rPr>
          <w:b/>
          <w:bCs/>
          <w:szCs w:val="22"/>
        </w:rPr>
        <w:t xml:space="preserve">zazovnoj godini”, rekao je </w:t>
      </w:r>
      <w:r w:rsidR="00111B14">
        <w:rPr>
          <w:b/>
          <w:bCs/>
          <w:szCs w:val="22"/>
        </w:rPr>
        <w:t>I</w:t>
      </w:r>
      <w:r w:rsidR="00796D1A">
        <w:rPr>
          <w:b/>
          <w:bCs/>
          <w:szCs w:val="22"/>
        </w:rPr>
        <w:t>zvršni direktor Karsten Knobel</w:t>
      </w:r>
      <w:r w:rsidR="003E143F">
        <w:rPr>
          <w:b/>
          <w:bCs/>
          <w:szCs w:val="22"/>
        </w:rPr>
        <w:t xml:space="preserve">. </w:t>
      </w:r>
    </w:p>
    <w:p w14:paraId="1745BCA1" w14:textId="77777777" w:rsidR="009E432C" w:rsidRDefault="009E432C" w:rsidP="00C10EA4">
      <w:pPr>
        <w:rPr>
          <w:rFonts w:cs="Segoe UI"/>
          <w:b/>
          <w:bCs/>
          <w:szCs w:val="22"/>
        </w:rPr>
      </w:pPr>
    </w:p>
    <w:p w14:paraId="6962323F" w14:textId="1663CCA1" w:rsidR="00C10EA4" w:rsidRPr="00846017" w:rsidRDefault="009E432C" w:rsidP="00C10EA4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„Zabeležili smo prodaju od 19,3 milijarde evra, malo i</w:t>
      </w:r>
      <w:r w:rsidR="00111B14">
        <w:rPr>
          <w:b/>
          <w:bCs/>
          <w:szCs w:val="22"/>
        </w:rPr>
        <w:t>spod</w:t>
      </w:r>
      <w:r>
        <w:rPr>
          <w:b/>
          <w:bCs/>
          <w:szCs w:val="22"/>
        </w:rPr>
        <w:t xml:space="preserve"> nivoa iz prošle godine kada se posmatra organska prodaja, i održali profitabilnost poslovanja sa korigovanom EBIT maržom od 13,4 </w:t>
      </w:r>
      <w:r w:rsidR="00111B14">
        <w:rPr>
          <w:b/>
          <w:bCs/>
          <w:szCs w:val="22"/>
        </w:rPr>
        <w:t>odsto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Takođe smo generisali vrlo snažan slobodan tok gotovine od više od 2,3 milijarde evra, skoro na rekordnom nivou iz prošle godine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Na osnovu ovih </w:t>
      </w:r>
      <w:r w:rsidR="00226E97">
        <w:rPr>
          <w:b/>
          <w:bCs/>
          <w:szCs w:val="22"/>
        </w:rPr>
        <w:t>snažnih</w:t>
      </w:r>
      <w:r>
        <w:rPr>
          <w:b/>
          <w:bCs/>
          <w:szCs w:val="22"/>
        </w:rPr>
        <w:t xml:space="preserve"> rezultata i zahvaljujući našoj snažnoj finansijskoj osnovi, predložićemo stabilnu dividendu našim akcionarima na sledećoj godišnjoj Skupštini akcionara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Tokom poslednjih 35 godina, otkada je </w:t>
      </w:r>
      <w:r w:rsidR="00226E97">
        <w:rPr>
          <w:b/>
          <w:bCs/>
          <w:szCs w:val="22"/>
        </w:rPr>
        <w:t>izašao na berzu</w:t>
      </w:r>
      <w:r>
        <w:rPr>
          <w:b/>
          <w:bCs/>
          <w:szCs w:val="22"/>
        </w:rPr>
        <w:t>, Henkel je uvek isplaćivao dividende koje su više ili na nivou od prošle godine“</w:t>
      </w:r>
      <w:r w:rsidR="00226E97">
        <w:rPr>
          <w:b/>
          <w:bCs/>
          <w:szCs w:val="22"/>
        </w:rPr>
        <w:t>,</w:t>
      </w:r>
      <w:r>
        <w:rPr>
          <w:b/>
          <w:bCs/>
          <w:szCs w:val="22"/>
        </w:rPr>
        <w:t xml:space="preserve"> dodao je Knobel</w:t>
      </w:r>
      <w:r w:rsidR="003E143F">
        <w:rPr>
          <w:b/>
          <w:bCs/>
          <w:szCs w:val="22"/>
        </w:rPr>
        <w:t xml:space="preserve">. </w:t>
      </w:r>
    </w:p>
    <w:p w14:paraId="772E78D8" w14:textId="77777777" w:rsidR="00C10EA4" w:rsidRDefault="00C10EA4" w:rsidP="00643D8A">
      <w:pPr>
        <w:rPr>
          <w:rFonts w:cs="Segoe UI"/>
          <w:b/>
          <w:bCs/>
          <w:szCs w:val="22"/>
        </w:rPr>
      </w:pPr>
    </w:p>
    <w:p w14:paraId="4CDEEE21" w14:textId="7FA4EDFF" w:rsidR="007F0F63" w:rsidRPr="00846017" w:rsidRDefault="00C10EA4" w:rsidP="00643D8A">
      <w:pPr>
        <w:rPr>
          <w:rFonts w:cs="Segoe UI"/>
          <w:szCs w:val="22"/>
        </w:rPr>
      </w:pPr>
      <w:r>
        <w:rPr>
          <w:b/>
          <w:bCs/>
          <w:szCs w:val="22"/>
        </w:rPr>
        <w:t>„Tokom COVID-19 krize, fleksibilno i brzo smo se prilagodili promenama na našim tržištima, stavljajući bezbednost naših zaposlenih u vrh prioriteta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U isto vreme, uspeli smo da uspešno pokrenemo sprovođenje naše strateške agende na svim osnovama: oblikujući pobednički portfolio, stvarajući konkurentnu prednost ubrzavanjem značajnih inovacija, čvrsto integrišući održivost u sve što radimo, pokre</w:t>
      </w:r>
      <w:r w:rsidR="00226E97">
        <w:rPr>
          <w:b/>
          <w:bCs/>
          <w:szCs w:val="22"/>
        </w:rPr>
        <w:t>tanjem</w:t>
      </w:r>
      <w:r>
        <w:rPr>
          <w:b/>
          <w:bCs/>
          <w:szCs w:val="22"/>
        </w:rPr>
        <w:t xml:space="preserve"> digitaln</w:t>
      </w:r>
      <w:r w:rsidR="00226E97">
        <w:rPr>
          <w:b/>
          <w:bCs/>
          <w:szCs w:val="22"/>
        </w:rPr>
        <w:t>e</w:t>
      </w:r>
      <w:r>
        <w:rPr>
          <w:b/>
          <w:bCs/>
          <w:szCs w:val="22"/>
        </w:rPr>
        <w:t xml:space="preserve"> transformacij</w:t>
      </w:r>
      <w:r w:rsidR="00226E97">
        <w:rPr>
          <w:b/>
          <w:bCs/>
          <w:szCs w:val="22"/>
        </w:rPr>
        <w:t>e</w:t>
      </w:r>
      <w:r>
        <w:rPr>
          <w:b/>
          <w:bCs/>
          <w:szCs w:val="22"/>
        </w:rPr>
        <w:t>,</w:t>
      </w:r>
      <w:r w:rsidR="00226E97">
        <w:rPr>
          <w:b/>
          <w:bCs/>
          <w:szCs w:val="22"/>
        </w:rPr>
        <w:t xml:space="preserve"> kao</w:t>
      </w:r>
      <w:r>
        <w:rPr>
          <w:b/>
          <w:bCs/>
          <w:szCs w:val="22"/>
        </w:rPr>
        <w:t xml:space="preserve"> i pripremom poslovnih modela koji su spremni za budućnost</w:t>
      </w:r>
      <w:r w:rsidR="003E143F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</w:t>
      </w:r>
      <w:r w:rsidR="00226E97">
        <w:rPr>
          <w:b/>
          <w:bCs/>
          <w:szCs w:val="22"/>
        </w:rPr>
        <w:t>O</w:t>
      </w:r>
      <w:r>
        <w:rPr>
          <w:b/>
          <w:bCs/>
          <w:szCs w:val="22"/>
        </w:rPr>
        <w:t>no što mi je najvažnije, ojačali smo našu kulturu saradnje i napravili snažan zamah ka promenama, koje će nam omogućiti da isporučimo superiorne rezultate i svrsishodan rast - za naše klijente i potrošače, našu kompaniju, zaposlene i akcionare, kao i za druš</w:t>
      </w:r>
      <w:r w:rsidR="00226E97">
        <w:rPr>
          <w:b/>
          <w:bCs/>
          <w:szCs w:val="22"/>
        </w:rPr>
        <w:t>t</w:t>
      </w:r>
      <w:r>
        <w:rPr>
          <w:b/>
          <w:bCs/>
          <w:szCs w:val="22"/>
        </w:rPr>
        <w:t>vo i planetu</w:t>
      </w:r>
      <w:r w:rsidR="003E143F">
        <w:rPr>
          <w:b/>
          <w:bCs/>
          <w:szCs w:val="22"/>
        </w:rPr>
        <w:t>.</w:t>
      </w:r>
      <w:r w:rsidR="00226E97">
        <w:rPr>
          <w:b/>
          <w:bCs/>
          <w:szCs w:val="22"/>
        </w:rPr>
        <w:t>“</w:t>
      </w:r>
    </w:p>
    <w:p w14:paraId="1F6244FA" w14:textId="77777777" w:rsidR="0073100D" w:rsidRDefault="0073100D" w:rsidP="00846017">
      <w:pPr>
        <w:rPr>
          <w:rFonts w:cs="Segoe UI"/>
          <w:b/>
          <w:bCs/>
          <w:szCs w:val="22"/>
        </w:rPr>
      </w:pPr>
    </w:p>
    <w:p w14:paraId="17FCEE42" w14:textId="1535EB54" w:rsidR="00F33128" w:rsidRDefault="00226E97" w:rsidP="001E025F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Tokom godine</w:t>
      </w:r>
      <w:r w:rsidR="002D5D1D">
        <w:rPr>
          <w:b/>
          <w:bCs/>
          <w:szCs w:val="22"/>
        </w:rPr>
        <w:t xml:space="preserve"> poslovn</w:t>
      </w:r>
      <w:r>
        <w:rPr>
          <w:b/>
          <w:bCs/>
          <w:szCs w:val="22"/>
        </w:rPr>
        <w:t>i</w:t>
      </w:r>
      <w:r w:rsidR="002D5D1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sektor</w:t>
      </w:r>
      <w:r w:rsidR="002D5D1D">
        <w:rPr>
          <w:b/>
          <w:bCs/>
          <w:szCs w:val="22"/>
        </w:rPr>
        <w:t xml:space="preserve"> Adhezivi Tehnologije prijavi</w:t>
      </w:r>
      <w:r>
        <w:rPr>
          <w:b/>
          <w:bCs/>
          <w:szCs w:val="22"/>
        </w:rPr>
        <w:t>o</w:t>
      </w:r>
      <w:r w:rsidR="002D5D1D">
        <w:rPr>
          <w:b/>
          <w:bCs/>
          <w:szCs w:val="22"/>
        </w:rPr>
        <w:t xml:space="preserve"> je prodaju ispod nivoa od prethodne godine, što odražava značajan pad potražnje ključnih industrija</w:t>
      </w:r>
      <w:r w:rsidR="003E143F">
        <w:rPr>
          <w:b/>
          <w:bCs/>
          <w:szCs w:val="22"/>
        </w:rPr>
        <w:t xml:space="preserve">. </w:t>
      </w:r>
      <w:r w:rsidR="002D5D1D">
        <w:rPr>
          <w:b/>
          <w:bCs/>
          <w:szCs w:val="22"/>
        </w:rPr>
        <w:t xml:space="preserve">Međutim, zahvaljujući </w:t>
      </w:r>
      <w:r>
        <w:rPr>
          <w:b/>
          <w:bCs/>
          <w:szCs w:val="22"/>
        </w:rPr>
        <w:t>širini svog</w:t>
      </w:r>
      <w:r w:rsidR="002D5D1D">
        <w:rPr>
          <w:b/>
          <w:bCs/>
          <w:szCs w:val="22"/>
        </w:rPr>
        <w:t xml:space="preserve"> portfolija i uspešnim inovativnim rešenjima, poslovn</w:t>
      </w:r>
      <w:r>
        <w:rPr>
          <w:b/>
          <w:bCs/>
          <w:szCs w:val="22"/>
        </w:rPr>
        <w:t>i sektor</w:t>
      </w:r>
      <w:r w:rsidR="002D5D1D">
        <w:rPr>
          <w:b/>
          <w:bCs/>
          <w:szCs w:val="22"/>
        </w:rPr>
        <w:t xml:space="preserve"> je dokaza</w:t>
      </w:r>
      <w:r w:rsidR="004D53F2">
        <w:rPr>
          <w:b/>
          <w:bCs/>
          <w:szCs w:val="22"/>
        </w:rPr>
        <w:t>o</w:t>
      </w:r>
      <w:r w:rsidR="002D5D1D">
        <w:rPr>
          <w:b/>
          <w:bCs/>
          <w:szCs w:val="22"/>
        </w:rPr>
        <w:t xml:space="preserve"> svoju </w:t>
      </w:r>
      <w:r w:rsidR="004D53F2">
        <w:rPr>
          <w:b/>
          <w:bCs/>
          <w:szCs w:val="22"/>
        </w:rPr>
        <w:t>snagu</w:t>
      </w:r>
      <w:r w:rsidR="002D5D1D">
        <w:rPr>
          <w:b/>
          <w:bCs/>
          <w:szCs w:val="22"/>
        </w:rPr>
        <w:t xml:space="preserve"> tokom globalnog ekonomskog pada</w:t>
      </w:r>
      <w:r w:rsidR="003E143F">
        <w:rPr>
          <w:b/>
          <w:bCs/>
          <w:szCs w:val="22"/>
        </w:rPr>
        <w:t xml:space="preserve">. </w:t>
      </w:r>
    </w:p>
    <w:p w14:paraId="5D4D1FBC" w14:textId="77777777" w:rsidR="00F33128" w:rsidRDefault="00F33128" w:rsidP="001E025F">
      <w:pPr>
        <w:rPr>
          <w:rFonts w:cs="Segoe UI"/>
          <w:b/>
          <w:bCs/>
          <w:szCs w:val="22"/>
        </w:rPr>
      </w:pPr>
    </w:p>
    <w:p w14:paraId="72C74D41" w14:textId="7783A9BB" w:rsidR="00F33128" w:rsidRDefault="002D5D1D" w:rsidP="001E025F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 xml:space="preserve">Razvoj organske prodaje u </w:t>
      </w:r>
      <w:r w:rsidR="004D53F2">
        <w:rPr>
          <w:b/>
          <w:bCs/>
          <w:szCs w:val="22"/>
        </w:rPr>
        <w:t>poslovnom sektoru</w:t>
      </w:r>
      <w:r>
        <w:rPr>
          <w:b/>
          <w:bCs/>
          <w:szCs w:val="22"/>
        </w:rPr>
        <w:t xml:space="preserve"> Beauty Care bio je manji u odnosu na prošlogodišnji nivo, zbog snažnog uticaja na poslovanje frizera zbog obaveznih zatvaranja, dok je maloprodaja ostvarila dobar rast</w:t>
      </w:r>
      <w:r w:rsidR="003E143F">
        <w:rPr>
          <w:b/>
          <w:bCs/>
          <w:szCs w:val="22"/>
        </w:rPr>
        <w:t xml:space="preserve">. </w:t>
      </w:r>
      <w:r>
        <w:rPr>
          <w:b/>
          <w:bCs/>
        </w:rPr>
        <w:t xml:space="preserve">To je rezultat uspešnog razvoja </w:t>
      </w:r>
      <w:r w:rsidR="004D53F2">
        <w:rPr>
          <w:b/>
          <w:bCs/>
        </w:rPr>
        <w:t>glavnih</w:t>
      </w:r>
      <w:r>
        <w:rPr>
          <w:b/>
          <w:bCs/>
        </w:rPr>
        <w:t xml:space="preserve"> brendova, kao i predstavljanja novih proizvoda kao odgovor na ključne potrošačke trendove</w:t>
      </w:r>
      <w:r w:rsidR="003E143F">
        <w:rPr>
          <w:b/>
          <w:bCs/>
        </w:rPr>
        <w:t xml:space="preserve">. </w:t>
      </w:r>
    </w:p>
    <w:p w14:paraId="62EBAE46" w14:textId="77777777" w:rsidR="0014444F" w:rsidRDefault="0014444F" w:rsidP="001E025F">
      <w:pPr>
        <w:rPr>
          <w:rFonts w:cs="Segoe UI"/>
          <w:b/>
          <w:bCs/>
          <w:szCs w:val="22"/>
        </w:rPr>
      </w:pPr>
    </w:p>
    <w:p w14:paraId="0689906B" w14:textId="234E5D56" w:rsidR="001E025F" w:rsidRDefault="002D5D1D" w:rsidP="001E025F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Poslovn</w:t>
      </w:r>
      <w:r w:rsidR="004D53F2">
        <w:rPr>
          <w:b/>
          <w:bCs/>
          <w:szCs w:val="22"/>
        </w:rPr>
        <w:t>i</w:t>
      </w:r>
      <w:r>
        <w:rPr>
          <w:b/>
          <w:bCs/>
          <w:szCs w:val="22"/>
        </w:rPr>
        <w:t xml:space="preserve"> </w:t>
      </w:r>
      <w:r w:rsidR="004D53F2">
        <w:rPr>
          <w:b/>
          <w:bCs/>
          <w:szCs w:val="22"/>
        </w:rPr>
        <w:t>sektor</w:t>
      </w:r>
      <w:r>
        <w:rPr>
          <w:b/>
          <w:bCs/>
          <w:szCs w:val="22"/>
        </w:rPr>
        <w:t xml:space="preserve"> Deterdžent</w:t>
      </w:r>
      <w:r w:rsidR="004D53F2">
        <w:rPr>
          <w:b/>
          <w:bCs/>
          <w:szCs w:val="22"/>
        </w:rPr>
        <w:t>i</w:t>
      </w:r>
      <w:r>
        <w:rPr>
          <w:b/>
          <w:bCs/>
          <w:szCs w:val="22"/>
        </w:rPr>
        <w:t xml:space="preserve"> i kućna hemija postig</w:t>
      </w:r>
      <w:r w:rsidR="004D53F2">
        <w:rPr>
          <w:b/>
          <w:bCs/>
          <w:szCs w:val="22"/>
        </w:rPr>
        <w:t>ao</w:t>
      </w:r>
      <w:r>
        <w:rPr>
          <w:b/>
          <w:bCs/>
          <w:szCs w:val="22"/>
        </w:rPr>
        <w:t xml:space="preserve"> je v</w:t>
      </w:r>
      <w:r w:rsidR="004D53F2">
        <w:rPr>
          <w:b/>
          <w:bCs/>
          <w:szCs w:val="22"/>
        </w:rPr>
        <w:t>eoma</w:t>
      </w:r>
      <w:r>
        <w:rPr>
          <w:b/>
          <w:bCs/>
          <w:szCs w:val="22"/>
        </w:rPr>
        <w:t xml:space="preserve"> snažan organski rast prodaje koji je rezultat kako porasta potražnje za higijenskim proizvodima i uspešni</w:t>
      </w:r>
      <w:r w:rsidR="004D53F2">
        <w:rPr>
          <w:b/>
          <w:bCs/>
          <w:szCs w:val="22"/>
        </w:rPr>
        <w:t>m</w:t>
      </w:r>
      <w:r>
        <w:rPr>
          <w:b/>
          <w:bCs/>
          <w:szCs w:val="22"/>
        </w:rPr>
        <w:t xml:space="preserve"> inovacija</w:t>
      </w:r>
      <w:r w:rsidR="004D53F2">
        <w:rPr>
          <w:b/>
          <w:bCs/>
          <w:szCs w:val="22"/>
        </w:rPr>
        <w:t>ma</w:t>
      </w:r>
      <w:r>
        <w:rPr>
          <w:b/>
          <w:bCs/>
          <w:szCs w:val="22"/>
        </w:rPr>
        <w:t xml:space="preserve">, tako i odgovora na povećanu tražnju za </w:t>
      </w:r>
      <w:r w:rsidR="004D53F2">
        <w:rPr>
          <w:b/>
          <w:bCs/>
          <w:szCs w:val="22"/>
        </w:rPr>
        <w:t>više održivim</w:t>
      </w:r>
      <w:r>
        <w:rPr>
          <w:b/>
          <w:bCs/>
          <w:szCs w:val="22"/>
        </w:rPr>
        <w:t xml:space="preserve"> proizvodima</w:t>
      </w:r>
      <w:r w:rsidR="003E143F">
        <w:rPr>
          <w:b/>
          <w:bCs/>
          <w:szCs w:val="22"/>
        </w:rPr>
        <w:t xml:space="preserve">. </w:t>
      </w:r>
    </w:p>
    <w:p w14:paraId="66761C4E" w14:textId="77777777" w:rsidR="00E46297" w:rsidRDefault="00E46297" w:rsidP="00F33128">
      <w:pPr>
        <w:rPr>
          <w:rFonts w:cs="Segoe UI"/>
          <w:b/>
          <w:bCs/>
          <w:szCs w:val="22"/>
        </w:rPr>
      </w:pPr>
    </w:p>
    <w:p w14:paraId="5C28C875" w14:textId="3C813AF8" w:rsidR="00F33128" w:rsidRDefault="0010465B" w:rsidP="00F33128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 xml:space="preserve">Nakon snažnog negativnog uticaja na prodaju Adheziva Tehnologija i </w:t>
      </w:r>
      <w:r w:rsidR="004D53F2">
        <w:rPr>
          <w:b/>
          <w:bCs/>
          <w:szCs w:val="22"/>
        </w:rPr>
        <w:t>sektora</w:t>
      </w:r>
      <w:r>
        <w:rPr>
          <w:b/>
          <w:bCs/>
          <w:szCs w:val="22"/>
        </w:rPr>
        <w:t xml:space="preserve"> Beauty Care zbog pandemije i zatvaranja u drugom tromesečju, sve tri poslovne jedinice su u drugoj polovini 2020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imale dobar organski rast u odnosu na prethodnu godinu</w:t>
      </w:r>
      <w:r w:rsidR="003E143F">
        <w:rPr>
          <w:b/>
          <w:bCs/>
          <w:szCs w:val="22"/>
        </w:rPr>
        <w:t xml:space="preserve">. </w:t>
      </w:r>
      <w:r>
        <w:rPr>
          <w:b/>
          <w:bCs/>
        </w:rPr>
        <w:t xml:space="preserve">Razvoj poslovanja u oblasti </w:t>
      </w:r>
      <w:r w:rsidR="004D53F2">
        <w:rPr>
          <w:b/>
          <w:bCs/>
        </w:rPr>
        <w:t>robe široke potrošnje sektora</w:t>
      </w:r>
      <w:r>
        <w:rPr>
          <w:b/>
          <w:bCs/>
        </w:rPr>
        <w:t xml:space="preserve"> Beauty Care i Deterdženti i kućna hemija takođe je podržan povećanim investicijama u brendove, inovacije i digitalizaciju</w:t>
      </w:r>
      <w:r w:rsidR="003E143F">
        <w:rPr>
          <w:b/>
          <w:bCs/>
        </w:rPr>
        <w:t xml:space="preserve">. </w:t>
      </w:r>
    </w:p>
    <w:p w14:paraId="239F0E77" w14:textId="77777777" w:rsidR="002D5D1D" w:rsidRDefault="002D5D1D" w:rsidP="002D5D1D">
      <w:pPr>
        <w:rPr>
          <w:rFonts w:cs="Segoe UI"/>
          <w:b/>
          <w:bCs/>
          <w:szCs w:val="22"/>
        </w:rPr>
      </w:pPr>
    </w:p>
    <w:p w14:paraId="27FABC88" w14:textId="2EF47BE6" w:rsidR="0073100D" w:rsidRDefault="002D5D1D" w:rsidP="002D5D1D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 xml:space="preserve">„Razvoj naših prihoda </w:t>
      </w:r>
      <w:r w:rsidR="004D53F2">
        <w:rPr>
          <w:b/>
          <w:bCs/>
          <w:szCs w:val="22"/>
        </w:rPr>
        <w:t>ogleda se u našim</w:t>
      </w:r>
      <w:r>
        <w:rPr>
          <w:b/>
          <w:bCs/>
          <w:szCs w:val="22"/>
        </w:rPr>
        <w:t xml:space="preserve"> povećan</w:t>
      </w:r>
      <w:r w:rsidR="004D53F2">
        <w:rPr>
          <w:b/>
          <w:bCs/>
          <w:szCs w:val="22"/>
        </w:rPr>
        <w:t>im</w:t>
      </w:r>
      <w:r>
        <w:rPr>
          <w:b/>
          <w:bCs/>
          <w:szCs w:val="22"/>
        </w:rPr>
        <w:t xml:space="preserve"> investicij</w:t>
      </w:r>
      <w:r w:rsidR="004D53F2">
        <w:rPr>
          <w:b/>
          <w:bCs/>
          <w:szCs w:val="22"/>
        </w:rPr>
        <w:t>ama</w:t>
      </w:r>
      <w:r>
        <w:rPr>
          <w:b/>
          <w:bCs/>
          <w:szCs w:val="22"/>
        </w:rPr>
        <w:t xml:space="preserve"> koje smo </w:t>
      </w:r>
      <w:r w:rsidR="004D53F2">
        <w:rPr>
          <w:b/>
          <w:bCs/>
          <w:szCs w:val="22"/>
        </w:rPr>
        <w:t>pojačali</w:t>
      </w:r>
      <w:r>
        <w:rPr>
          <w:b/>
          <w:bCs/>
          <w:szCs w:val="22"/>
        </w:rPr>
        <w:t>, kao što je najavljeno, na početku 2020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godine - uprkos krizi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Pad potražnje u ključnim poslovnim segmentima tokom COVID-19 krize takođe je negativno uticao na našu profitabilnost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Međutim, zahvaljujući našem uspešnom upravljanju troškovima i implementaciji unapređenjih poslovnih modela, uspeli smo da delimično umanjim</w:t>
      </w:r>
      <w:r w:rsidR="004D53F2">
        <w:rPr>
          <w:b/>
          <w:bCs/>
          <w:szCs w:val="22"/>
        </w:rPr>
        <w:t>o</w:t>
      </w:r>
      <w:r>
        <w:rPr>
          <w:b/>
          <w:bCs/>
          <w:szCs w:val="22"/>
        </w:rPr>
        <w:t xml:space="preserve"> uticaj krize na naše prihode," objasnio je Karsten Knobel</w:t>
      </w:r>
      <w:r w:rsidR="003E143F">
        <w:rPr>
          <w:b/>
          <w:bCs/>
          <w:szCs w:val="22"/>
        </w:rPr>
        <w:t xml:space="preserve">. </w:t>
      </w:r>
    </w:p>
    <w:p w14:paraId="591F63F4" w14:textId="77777777" w:rsidR="00846017" w:rsidRPr="00846017" w:rsidRDefault="00846017" w:rsidP="00846017">
      <w:pPr>
        <w:rPr>
          <w:rFonts w:cs="Segoe UI"/>
          <w:b/>
          <w:bCs/>
          <w:szCs w:val="22"/>
        </w:rPr>
      </w:pPr>
    </w:p>
    <w:p w14:paraId="244A6A79" w14:textId="0F9D9401" w:rsidR="00074DEF" w:rsidRDefault="00846017" w:rsidP="00074DEF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„Dok upravljamo trenutnom krizom, ostajemo potpuno posvećeni našoj am</w:t>
      </w:r>
      <w:r w:rsidR="004D53F2">
        <w:rPr>
          <w:b/>
          <w:bCs/>
          <w:szCs w:val="22"/>
        </w:rPr>
        <w:t>bicioznoj</w:t>
      </w:r>
      <w:r>
        <w:rPr>
          <w:b/>
          <w:bCs/>
          <w:szCs w:val="22"/>
        </w:rPr>
        <w:t xml:space="preserve"> agendi za rast u narednim godinama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Gledajući u budućnost, više nego ikad smo uvereni da ćemo realizovati našu agendu </w:t>
      </w:r>
      <w:r w:rsidR="004D53F2">
        <w:rPr>
          <w:b/>
          <w:bCs/>
          <w:szCs w:val="22"/>
        </w:rPr>
        <w:t>za svrsishodan rast</w:t>
      </w:r>
      <w:r>
        <w:rPr>
          <w:b/>
          <w:bCs/>
          <w:szCs w:val="22"/>
        </w:rPr>
        <w:t xml:space="preserve"> (Purposeful Growth) sa našim globalnim timom</w:t>
      </w:r>
      <w:r w:rsidR="00521E63">
        <w:rPr>
          <w:b/>
          <w:bCs/>
          <w:szCs w:val="22"/>
        </w:rPr>
        <w:t>, kao i da ćemo</w:t>
      </w:r>
      <w:r>
        <w:rPr>
          <w:b/>
          <w:bCs/>
          <w:szCs w:val="22"/>
        </w:rPr>
        <w:t xml:space="preserve"> uspešno oblikovati našu budućnost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“</w:t>
      </w:r>
    </w:p>
    <w:p w14:paraId="55E36DD6" w14:textId="77777777" w:rsidR="00812A87" w:rsidRPr="0014444F" w:rsidRDefault="00812A87" w:rsidP="0014444F">
      <w:pPr>
        <w:rPr>
          <w:rFonts w:cs="Segoe UI"/>
          <w:b/>
          <w:bCs/>
          <w:szCs w:val="22"/>
        </w:rPr>
      </w:pPr>
    </w:p>
    <w:p w14:paraId="10F98855" w14:textId="52DE04E7" w:rsidR="004C0138" w:rsidRPr="004C0138" w:rsidRDefault="004C0138" w:rsidP="00D741E9">
      <w:pPr>
        <w:spacing w:after="120"/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Prognoza za 2021</w:t>
      </w:r>
      <w:r w:rsidR="003E143F">
        <w:rPr>
          <w:b/>
          <w:bCs/>
          <w:szCs w:val="22"/>
        </w:rPr>
        <w:t>.</w:t>
      </w:r>
      <w:r w:rsidR="00521E63">
        <w:rPr>
          <w:b/>
          <w:bCs/>
          <w:szCs w:val="22"/>
        </w:rPr>
        <w:t xml:space="preserve"> godinu</w:t>
      </w:r>
    </w:p>
    <w:p w14:paraId="4FEFD355" w14:textId="66A035A0" w:rsidR="00A00F7E" w:rsidRDefault="00A00F7E" w:rsidP="00A00F7E">
      <w:pPr>
        <w:rPr>
          <w:rFonts w:cs="Segoe UI"/>
          <w:b/>
          <w:bCs/>
          <w:szCs w:val="22"/>
        </w:rPr>
      </w:pPr>
      <w:r>
        <w:rPr>
          <w:b/>
          <w:bCs/>
          <w:szCs w:val="22"/>
        </w:rPr>
        <w:t>Henkel očekuje da</w:t>
      </w:r>
      <w:r w:rsidR="00521E63">
        <w:rPr>
          <w:b/>
          <w:bCs/>
          <w:szCs w:val="22"/>
        </w:rPr>
        <w:t xml:space="preserve"> će</w:t>
      </w:r>
      <w:r>
        <w:rPr>
          <w:b/>
          <w:bCs/>
          <w:szCs w:val="22"/>
        </w:rPr>
        <w:t xml:space="preserve"> generi</w:t>
      </w:r>
      <w:r w:rsidR="00521E63">
        <w:rPr>
          <w:b/>
          <w:bCs/>
          <w:szCs w:val="22"/>
        </w:rPr>
        <w:t>sati</w:t>
      </w:r>
      <w:r>
        <w:rPr>
          <w:b/>
          <w:bCs/>
          <w:szCs w:val="22"/>
        </w:rPr>
        <w:t xml:space="preserve"> rast prodaje i prihoda u fiskalnoj 2021</w:t>
      </w:r>
      <w:r w:rsidR="003E143F">
        <w:rPr>
          <w:b/>
          <w:bCs/>
          <w:szCs w:val="22"/>
        </w:rPr>
        <w:t>.</w:t>
      </w:r>
      <w:r w:rsidR="00521E63">
        <w:rPr>
          <w:b/>
          <w:bCs/>
          <w:szCs w:val="22"/>
        </w:rPr>
        <w:t xml:space="preserve"> godini.</w:t>
      </w:r>
      <w:r w:rsidR="003E143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Kompanija očekuje organski rast prodaje od 2,0 do 5,0 </w:t>
      </w:r>
      <w:r w:rsidR="00111B14">
        <w:rPr>
          <w:b/>
          <w:bCs/>
          <w:szCs w:val="22"/>
        </w:rPr>
        <w:t>odsto</w:t>
      </w:r>
      <w:r>
        <w:rPr>
          <w:b/>
          <w:bCs/>
          <w:szCs w:val="22"/>
        </w:rPr>
        <w:t xml:space="preserve"> i korigovani prinos od prodaje (EBIT</w:t>
      </w:r>
      <w:r w:rsidR="00521E63">
        <w:rPr>
          <w:b/>
          <w:bCs/>
          <w:szCs w:val="22"/>
        </w:rPr>
        <w:t xml:space="preserve"> </w:t>
      </w:r>
      <w:r>
        <w:rPr>
          <w:b/>
          <w:bCs/>
        </w:rPr>
        <w:t>marža</w:t>
      </w:r>
      <w:bookmarkStart w:id="4" w:name="_Hlk62818311"/>
      <w:r>
        <w:rPr>
          <w:b/>
          <w:bCs/>
          <w:szCs w:val="22"/>
        </w:rPr>
        <w:t xml:space="preserve">) u opsegu od 13,5 do 14,5 </w:t>
      </w:r>
      <w:r w:rsidR="00111B14">
        <w:rPr>
          <w:b/>
          <w:bCs/>
          <w:szCs w:val="22"/>
        </w:rPr>
        <w:t>odsto</w:t>
      </w:r>
      <w:r w:rsidR="003E143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Za korigovani prihod po p</w:t>
      </w:r>
      <w:r w:rsidR="006F6283">
        <w:rPr>
          <w:b/>
          <w:bCs/>
          <w:szCs w:val="22"/>
        </w:rPr>
        <w:t>rioritetnim</w:t>
      </w:r>
      <w:r>
        <w:rPr>
          <w:b/>
          <w:bCs/>
          <w:szCs w:val="22"/>
        </w:rPr>
        <w:t xml:space="preserve"> akcijama (EPS) pri konstantnim kursevima, Henkel očekuje povećanje od 5,0 do 15,0 </w:t>
      </w:r>
      <w:r w:rsidR="006F6283">
        <w:rPr>
          <w:b/>
          <w:bCs/>
          <w:szCs w:val="22"/>
        </w:rPr>
        <w:t>odsto</w:t>
      </w:r>
      <w:r w:rsidR="003E143F">
        <w:rPr>
          <w:b/>
          <w:bCs/>
          <w:szCs w:val="22"/>
        </w:rPr>
        <w:t xml:space="preserve">. </w:t>
      </w:r>
    </w:p>
    <w:bookmarkEnd w:id="4"/>
    <w:p w14:paraId="3E8B5565" w14:textId="77777777" w:rsidR="004C0138" w:rsidRDefault="004C0138" w:rsidP="00846017">
      <w:pPr>
        <w:rPr>
          <w:rFonts w:cs="Segoe UI"/>
          <w:b/>
          <w:bCs/>
          <w:szCs w:val="22"/>
        </w:rPr>
      </w:pPr>
    </w:p>
    <w:p w14:paraId="0257E4A7" w14:textId="0DF050A1" w:rsidR="00846017" w:rsidRPr="00846017" w:rsidRDefault="00846017" w:rsidP="00846017">
      <w:pPr>
        <w:spacing w:after="120"/>
        <w:rPr>
          <w:rFonts w:cs="Segoe UI"/>
          <w:b/>
          <w:bCs/>
          <w:szCs w:val="22"/>
        </w:rPr>
      </w:pPr>
      <w:r>
        <w:rPr>
          <w:b/>
          <w:bCs/>
          <w:szCs w:val="22"/>
        </w:rPr>
        <w:t xml:space="preserve">Prodaja </w:t>
      </w:r>
      <w:r w:rsidR="006F6283">
        <w:rPr>
          <w:b/>
          <w:bCs/>
          <w:szCs w:val="22"/>
        </w:rPr>
        <w:t>G</w:t>
      </w:r>
      <w:r>
        <w:rPr>
          <w:b/>
          <w:bCs/>
          <w:szCs w:val="22"/>
        </w:rPr>
        <w:t>rupe i rezultati od prihoda u fiskalnoj 2020</w:t>
      </w:r>
      <w:r w:rsidR="003E143F">
        <w:rPr>
          <w:b/>
          <w:bCs/>
          <w:szCs w:val="22"/>
        </w:rPr>
        <w:t>.</w:t>
      </w:r>
      <w:r w:rsidR="006F6283">
        <w:rPr>
          <w:b/>
          <w:bCs/>
          <w:szCs w:val="22"/>
        </w:rPr>
        <w:t xml:space="preserve"> godini</w:t>
      </w:r>
      <w:r w:rsidR="003E143F">
        <w:rPr>
          <w:b/>
          <w:bCs/>
          <w:szCs w:val="22"/>
        </w:rPr>
        <w:t xml:space="preserve"> </w:t>
      </w:r>
    </w:p>
    <w:p w14:paraId="00EB8FCC" w14:textId="16F6AF57" w:rsidR="00AC2BC8" w:rsidRDefault="00846017" w:rsidP="00AC2BC8">
      <w:pPr>
        <w:rPr>
          <w:rFonts w:cs="Segoe UI"/>
          <w:szCs w:val="22"/>
        </w:rPr>
      </w:pPr>
      <w:r>
        <w:t>Sa 19,25 mil</w:t>
      </w:r>
      <w:r w:rsidR="006F6283">
        <w:t>ijardi</w:t>
      </w:r>
      <w:r>
        <w:t xml:space="preserve"> evra, </w:t>
      </w:r>
      <w:r>
        <w:rPr>
          <w:b/>
          <w:bCs/>
        </w:rPr>
        <w:t xml:space="preserve">prodaja </w:t>
      </w:r>
      <w:r>
        <w:t xml:space="preserve">Henkel </w:t>
      </w:r>
      <w:r w:rsidR="006F6283">
        <w:t>G</w:t>
      </w:r>
      <w:r>
        <w:t>rupe u fiskalnoj 2020</w:t>
      </w:r>
      <w:r w:rsidR="003E143F">
        <w:t xml:space="preserve">. </w:t>
      </w:r>
      <w:r>
        <w:t>bila je -4,3</w:t>
      </w:r>
      <w:r w:rsidR="006F6283">
        <w:t xml:space="preserve"> odsto</w:t>
      </w:r>
      <w:r>
        <w:t xml:space="preserve"> ispod perioda iz prethodne godine</w:t>
      </w:r>
      <w:r w:rsidR="003E143F">
        <w:t xml:space="preserve">. </w:t>
      </w:r>
      <w:r>
        <w:rPr>
          <w:b/>
          <w:bCs/>
        </w:rPr>
        <w:t>Organski</w:t>
      </w:r>
      <w:r>
        <w:t xml:space="preserve"> rast prodaje, ne računajući uticaj valuta i akvizicija/divesticija, zabeležio je </w:t>
      </w:r>
      <w:r w:rsidR="006F6283">
        <w:t>slabi</w:t>
      </w:r>
      <w:r>
        <w:t xml:space="preserve"> pad od -0,7</w:t>
      </w:r>
      <w:r w:rsidR="006F6283">
        <w:t xml:space="preserve"> odsto</w:t>
      </w:r>
      <w:r w:rsidR="003E143F">
        <w:t xml:space="preserve">. </w:t>
      </w:r>
      <w:r>
        <w:t xml:space="preserve">Doprinos od akvizicija i divesticija iznosio je 0,3 </w:t>
      </w:r>
      <w:r w:rsidR="00111B14">
        <w:t>odsto</w:t>
      </w:r>
      <w:r w:rsidR="003E143F">
        <w:t xml:space="preserve">. </w:t>
      </w:r>
      <w:r>
        <w:t>Uticaj kursa na prodaju bio je negativan i iznosio je -3,9 odsto</w:t>
      </w:r>
      <w:r w:rsidR="003E143F">
        <w:t xml:space="preserve">. </w:t>
      </w:r>
      <w:r>
        <w:rPr>
          <w:b/>
          <w:bCs/>
        </w:rPr>
        <w:t>Korigovani prinos od prodaje</w:t>
      </w:r>
      <w:r w:rsidR="006F6283">
        <w:rPr>
          <w:b/>
          <w:bCs/>
        </w:rPr>
        <w:t xml:space="preserve"> </w:t>
      </w:r>
      <w:r>
        <w:rPr>
          <w:b/>
          <w:bCs/>
        </w:rPr>
        <w:t xml:space="preserve">(korigovana EBIT marža) </w:t>
      </w:r>
      <w:r>
        <w:t xml:space="preserve">dostigao je 13,4 </w:t>
      </w:r>
      <w:r w:rsidR="00111B14">
        <w:t>odsto</w:t>
      </w:r>
      <w:r>
        <w:t>, -2,6 procent</w:t>
      </w:r>
      <w:r w:rsidR="006F6283">
        <w:t>nih</w:t>
      </w:r>
      <w:r>
        <w:t xml:space="preserve"> poena manje u odnosu na prethodnu godinu</w:t>
      </w:r>
      <w:r w:rsidR="003E143F">
        <w:t xml:space="preserve">. </w:t>
      </w:r>
      <w:r>
        <w:t>Na razvoj su takođe uticale veće investicije u marketing i oglašavanje, kao i u digital i IT</w:t>
      </w:r>
      <w:r w:rsidR="003E143F">
        <w:t xml:space="preserve">. </w:t>
      </w:r>
      <w:r>
        <w:rPr>
          <w:b/>
          <w:bCs/>
        </w:rPr>
        <w:t>Korigovani prihodi po prioritetnoj akciji</w:t>
      </w:r>
      <w:r>
        <w:t xml:space="preserve"> su opali za -21,5 </w:t>
      </w:r>
      <w:r w:rsidR="00111B14">
        <w:t>odsto</w:t>
      </w:r>
      <w:r>
        <w:t xml:space="preserve"> sa 5,43 evra u fiskalnoj godini 2019</w:t>
      </w:r>
      <w:r w:rsidR="003E143F">
        <w:t xml:space="preserve">. </w:t>
      </w:r>
      <w:r>
        <w:t>na 4,26 evra</w:t>
      </w:r>
      <w:r w:rsidR="003E143F">
        <w:t xml:space="preserve">. </w:t>
      </w:r>
      <w:r>
        <w:t xml:space="preserve">Pri konstantnim kursevima, korigovani prihodi po preferencijalnim akcijama smanjeni su za -17,9 </w:t>
      </w:r>
      <w:r w:rsidR="00111B14">
        <w:t>odsto</w:t>
      </w:r>
      <w:r w:rsidR="003E143F">
        <w:t xml:space="preserve">. </w:t>
      </w:r>
    </w:p>
    <w:p w14:paraId="67F83045" w14:textId="358FC86C" w:rsidR="00AC2BC8" w:rsidRDefault="00AC2BC8" w:rsidP="00AC2BC8">
      <w:pPr>
        <w:rPr>
          <w:rFonts w:cs="Segoe UI"/>
          <w:szCs w:val="22"/>
        </w:rPr>
      </w:pPr>
      <w:r>
        <w:rPr>
          <w:b/>
          <w:bCs/>
        </w:rPr>
        <w:lastRenderedPageBreak/>
        <w:t xml:space="preserve">Neto obrtni kapital </w:t>
      </w:r>
      <w:r>
        <w:t>značajno je unapređen i iznosio je na 0,7</w:t>
      </w:r>
      <w:r w:rsidR="003C09AA">
        <w:t xml:space="preserve"> odsto</w:t>
      </w:r>
      <w:r>
        <w:t xml:space="preserve"> prodaje, u odnosu na 3,9</w:t>
      </w:r>
      <w:r w:rsidR="003C09AA">
        <w:t xml:space="preserve"> odsto</w:t>
      </w:r>
      <w:r>
        <w:t xml:space="preserve"> iz prošle godine</w:t>
      </w:r>
      <w:r w:rsidR="003E143F">
        <w:t xml:space="preserve">. </w:t>
      </w:r>
      <w:r>
        <w:rPr>
          <w:b/>
          <w:bCs/>
        </w:rPr>
        <w:t xml:space="preserve">Slobodni tokovi gotovine </w:t>
      </w:r>
      <w:r>
        <w:t>ostali su vrlo snažni</w:t>
      </w:r>
      <w:r w:rsidR="003E143F">
        <w:t xml:space="preserve">. </w:t>
      </w:r>
      <w:r>
        <w:t>Na nivou od 2</w:t>
      </w:r>
      <w:r w:rsidR="003E143F">
        <w:t>.</w:t>
      </w:r>
      <w:r>
        <w:t>338 miliona evra, skoro su dostigli nivo iz prethodne godine (2019</w:t>
      </w:r>
      <w:r w:rsidR="003C09AA">
        <w:t xml:space="preserve">. godine </w:t>
      </w:r>
      <w:r>
        <w:t>2</w:t>
      </w:r>
      <w:r w:rsidR="003E143F">
        <w:t xml:space="preserve">. </w:t>
      </w:r>
      <w:r>
        <w:t>471 miliona evra)</w:t>
      </w:r>
      <w:r w:rsidR="003E143F">
        <w:t xml:space="preserve">. </w:t>
      </w:r>
      <w:r>
        <w:t>Na datum 31</w:t>
      </w:r>
      <w:r w:rsidR="003E143F">
        <w:t xml:space="preserve">. </w:t>
      </w:r>
      <w:r>
        <w:t>decembar 2020</w:t>
      </w:r>
      <w:r w:rsidR="003E143F">
        <w:t xml:space="preserve">. </w:t>
      </w:r>
      <w:r>
        <w:t xml:space="preserve">godine, Henkelova </w:t>
      </w:r>
      <w:r>
        <w:rPr>
          <w:b/>
          <w:bCs/>
        </w:rPr>
        <w:t xml:space="preserve">neto finansijska pozicija </w:t>
      </w:r>
      <w:r>
        <w:t>značajno je poboljšana i iznosila</w:t>
      </w:r>
      <w:r w:rsidR="008D1F99">
        <w:t xml:space="preserve"> </w:t>
      </w:r>
      <w:r>
        <w:t>je</w:t>
      </w:r>
      <w:r w:rsidR="008D1F99">
        <w:t xml:space="preserve"> </w:t>
      </w:r>
      <w:r>
        <w:t>-888 miliona evra (31</w:t>
      </w:r>
      <w:r w:rsidR="003E143F">
        <w:t xml:space="preserve">. </w:t>
      </w:r>
      <w:r>
        <w:t>decembar, 2019:</w:t>
      </w:r>
      <w:r w:rsidR="003C09AA">
        <w:t xml:space="preserve"> </w:t>
      </w:r>
      <w:r>
        <w:t>-2</w:t>
      </w:r>
      <w:r w:rsidR="003E143F">
        <w:t>.</w:t>
      </w:r>
      <w:r>
        <w:t xml:space="preserve">047 </w:t>
      </w:r>
      <w:r w:rsidR="003C09AA">
        <w:t xml:space="preserve">milijardi </w:t>
      </w:r>
      <w:r>
        <w:t>evra)</w:t>
      </w:r>
      <w:r w:rsidR="003E143F">
        <w:t xml:space="preserve">. </w:t>
      </w:r>
    </w:p>
    <w:p w14:paraId="3760A984" w14:textId="77777777" w:rsidR="00846017" w:rsidRDefault="00846017" w:rsidP="00846017">
      <w:pPr>
        <w:rPr>
          <w:rFonts w:cs="Segoe UI"/>
          <w:szCs w:val="22"/>
        </w:rPr>
      </w:pPr>
    </w:p>
    <w:p w14:paraId="12540D9D" w14:textId="2E04E51A" w:rsidR="007E6B73" w:rsidRPr="00FD3DEF" w:rsidRDefault="00FD3DEF" w:rsidP="00FD3DEF">
      <w:pPr>
        <w:rPr>
          <w:rFonts w:cs="Segoe UI"/>
          <w:szCs w:val="22"/>
        </w:rPr>
      </w:pPr>
      <w:r w:rsidRPr="003C09AA">
        <w:t>Poslovn</w:t>
      </w:r>
      <w:r w:rsidR="003C09AA">
        <w:t>i sektor</w:t>
      </w:r>
      <w:r>
        <w:t xml:space="preserve"> </w:t>
      </w:r>
      <w:r w:rsidRPr="003C09AA">
        <w:rPr>
          <w:b/>
          <w:bCs/>
        </w:rPr>
        <w:t>Adhezivi Tehnologije</w:t>
      </w:r>
      <w:r>
        <w:t xml:space="preserve"> prijavi</w:t>
      </w:r>
      <w:r w:rsidR="003C09AA">
        <w:t>o</w:t>
      </w:r>
      <w:r>
        <w:t xml:space="preserve"> je organski razvoj prodaje od -4,2 odsto</w:t>
      </w:r>
      <w:r w:rsidR="003E143F">
        <w:t xml:space="preserve">.  </w:t>
      </w:r>
      <w:r w:rsidR="003C09AA">
        <w:t>P</w:t>
      </w:r>
      <w:r>
        <w:t>rodaj</w:t>
      </w:r>
      <w:r w:rsidR="003C09AA">
        <w:t>a</w:t>
      </w:r>
      <w:r>
        <w:t xml:space="preserve"> poslovn</w:t>
      </w:r>
      <w:r w:rsidR="003C09AA">
        <w:t>og sektora</w:t>
      </w:r>
      <w:r>
        <w:t xml:space="preserve"> </w:t>
      </w:r>
      <w:r>
        <w:rPr>
          <w:b/>
          <w:bCs/>
        </w:rPr>
        <w:t>Beauty Care</w:t>
      </w:r>
      <w:r>
        <w:t xml:space="preserve"> </w:t>
      </w:r>
      <w:r w:rsidR="003C09AA">
        <w:t>organski je bila</w:t>
      </w:r>
      <w:r>
        <w:t xml:space="preserve"> -2,8 odsto manj</w:t>
      </w:r>
      <w:r w:rsidR="003C09AA">
        <w:t>a</w:t>
      </w:r>
      <w:r>
        <w:t xml:space="preserve"> u odnosu na prethodnu godinu</w:t>
      </w:r>
      <w:r w:rsidR="003E143F">
        <w:t xml:space="preserve">. </w:t>
      </w:r>
      <w:r>
        <w:t>Poslovn</w:t>
      </w:r>
      <w:r w:rsidR="003C09AA">
        <w:t>i sektor</w:t>
      </w:r>
      <w:r w:rsidR="003E143F">
        <w:t xml:space="preserve"> </w:t>
      </w:r>
      <w:r>
        <w:rPr>
          <w:b/>
          <w:bCs/>
        </w:rPr>
        <w:t>Deterdženti i kućna hemija</w:t>
      </w:r>
      <w:r w:rsidR="003E143F">
        <w:rPr>
          <w:b/>
          <w:bCs/>
        </w:rPr>
        <w:t xml:space="preserve"> </w:t>
      </w:r>
      <w:r>
        <w:t>postig</w:t>
      </w:r>
      <w:r w:rsidR="003C09AA">
        <w:t>ao je</w:t>
      </w:r>
      <w:r>
        <w:t xml:space="preserve"> snažan organski rast prodaje od 5</w:t>
      </w:r>
      <w:r w:rsidR="003C09AA">
        <w:t>,</w:t>
      </w:r>
      <w:r>
        <w:t xml:space="preserve">6 </w:t>
      </w:r>
      <w:r w:rsidR="003C09AA">
        <w:t>odsto</w:t>
      </w:r>
      <w:r w:rsidR="003E143F">
        <w:t xml:space="preserve">. </w:t>
      </w:r>
    </w:p>
    <w:p w14:paraId="3D9AFFA6" w14:textId="77777777" w:rsidR="00AA0D54" w:rsidRDefault="00AA0D54" w:rsidP="00846017">
      <w:pPr>
        <w:rPr>
          <w:rFonts w:cs="Segoe UI"/>
          <w:szCs w:val="22"/>
        </w:rPr>
      </w:pPr>
    </w:p>
    <w:p w14:paraId="7E4E654F" w14:textId="48400196" w:rsidR="00AA0D54" w:rsidRPr="001E4CCB" w:rsidRDefault="00AA0D54" w:rsidP="00AA0D54">
      <w:pPr>
        <w:rPr>
          <w:rFonts w:cs="Segoe UI"/>
          <w:szCs w:val="22"/>
        </w:rPr>
      </w:pPr>
      <w:r>
        <w:t xml:space="preserve">Upravni odbor, </w:t>
      </w:r>
      <w:r w:rsidR="003C09AA">
        <w:t>N</w:t>
      </w:r>
      <w:r>
        <w:t xml:space="preserve">adzorni odbor i </w:t>
      </w:r>
      <w:r w:rsidR="003C09AA">
        <w:t>O</w:t>
      </w:r>
      <w:r>
        <w:t>dbor akcionara predložiće na godišnjoj skupštini 16</w:t>
      </w:r>
      <w:r w:rsidR="003E143F">
        <w:t xml:space="preserve">. </w:t>
      </w:r>
      <w:r>
        <w:t>aprila 2021</w:t>
      </w:r>
      <w:r w:rsidR="003E143F">
        <w:t xml:space="preserve">. </w:t>
      </w:r>
      <w:r>
        <w:t>godine istu</w:t>
      </w:r>
      <w:r>
        <w:rPr>
          <w:b/>
          <w:bCs/>
        </w:rPr>
        <w:t xml:space="preserve"> dividendu</w:t>
      </w:r>
      <w:r>
        <w:t xml:space="preserve"> kao i prethodne godine, i to 1,85 evra po prioritetnoj akciji i 1,83 evra po običnoj akciji</w:t>
      </w:r>
      <w:r w:rsidR="003E143F">
        <w:t xml:space="preserve">. </w:t>
      </w:r>
      <w:r>
        <w:t>Ovo je jednako iznosu isplate od 43,7 odsto, što je iznad ciljanog raspona od 30 do 40 odsto</w:t>
      </w:r>
      <w:r w:rsidR="00BD0A9A">
        <w:t xml:space="preserve"> i </w:t>
      </w:r>
      <w:r>
        <w:t>odražava posebnu prirodu tereta na zaradi izazvanog pandemijom COVID-19</w:t>
      </w:r>
      <w:r w:rsidR="003E143F">
        <w:t xml:space="preserve">. </w:t>
      </w:r>
    </w:p>
    <w:p w14:paraId="20917805" w14:textId="77777777" w:rsidR="00846017" w:rsidRPr="00846017" w:rsidRDefault="00846017" w:rsidP="00846017">
      <w:pPr>
        <w:rPr>
          <w:rFonts w:cs="Segoe UI"/>
          <w:b/>
          <w:szCs w:val="22"/>
        </w:rPr>
      </w:pPr>
    </w:p>
    <w:p w14:paraId="07B61616" w14:textId="77777777" w:rsidR="00846017" w:rsidRPr="00846017" w:rsidRDefault="008A1BD0" w:rsidP="00846017">
      <w:pPr>
        <w:spacing w:after="120"/>
        <w:rPr>
          <w:rFonts w:cs="Segoe UI"/>
          <w:szCs w:val="22"/>
        </w:rPr>
      </w:pPr>
      <w:r>
        <w:rPr>
          <w:b/>
          <w:szCs w:val="22"/>
        </w:rPr>
        <w:t>Agenda „Svrsishodni rast“ (Purposeful Growth):</w:t>
      </w:r>
      <w:r w:rsidR="003E143F">
        <w:rPr>
          <w:b/>
          <w:szCs w:val="22"/>
        </w:rPr>
        <w:t xml:space="preserve"> </w:t>
      </w:r>
      <w:r>
        <w:rPr>
          <w:b/>
          <w:szCs w:val="22"/>
        </w:rPr>
        <w:t>Snažan zamah</w:t>
      </w:r>
    </w:p>
    <w:p w14:paraId="6F79FB4B" w14:textId="7BF3C994" w:rsidR="00846017" w:rsidRPr="00846017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t>Početkom marta 2020</w:t>
      </w:r>
      <w:r w:rsidR="003E143F">
        <w:t xml:space="preserve">. </w:t>
      </w:r>
      <w:r>
        <w:t>godine, Henkel je predstavio plan rasta kompanije za nadolazeće godine sa fokusom na: oblikovanje pobedničkog port</w:t>
      </w:r>
      <w:r w:rsidR="00BD0A9A">
        <w:t>folija</w:t>
      </w:r>
      <w:r>
        <w:t>, jačanj</w:t>
      </w:r>
      <w:r w:rsidR="00BD0A9A">
        <w:t>e</w:t>
      </w:r>
      <w:r>
        <w:t xml:space="preserve"> konkurentne prednosti kompanije, posebno u oblasti inovacija, održivosti i digitalizacije, uspostavljanje </w:t>
      </w:r>
      <w:r w:rsidR="00BD0A9A">
        <w:t>operativnih</w:t>
      </w:r>
      <w:r>
        <w:t xml:space="preserve"> modela spremnih za budućnosti kao i kreiranje </w:t>
      </w:r>
      <w:r w:rsidR="00BD0A9A">
        <w:t xml:space="preserve">snažne </w:t>
      </w:r>
      <w:r>
        <w:t>korporativne kulture</w:t>
      </w:r>
      <w:r w:rsidR="00BD0A9A">
        <w:t xml:space="preserve"> saradnje</w:t>
      </w:r>
      <w:r w:rsidR="003E143F">
        <w:t xml:space="preserve">. </w:t>
      </w:r>
      <w:r w:rsidR="00BD0A9A" w:rsidRPr="00BD0A9A">
        <w:t>„</w:t>
      </w:r>
      <w:r>
        <w:t>Ovaj strateški okvir će pomoći kompaniji Henkel da osvoji 2020-te sa jasnim fokusom na svrsishodan rast</w:t>
      </w:r>
      <w:r w:rsidR="003E143F">
        <w:t xml:space="preserve">. </w:t>
      </w:r>
      <w:r>
        <w:t>Uprkos našoj posvećenosti upravljanju krizom u 2020</w:t>
      </w:r>
      <w:r w:rsidR="003E143F">
        <w:t xml:space="preserve">. </w:t>
      </w:r>
      <w:r>
        <w:t>godini, uspeli smo da započnemo sa primenom naše agende rasta</w:t>
      </w:r>
      <w:r w:rsidR="003E143F">
        <w:t xml:space="preserve">. </w:t>
      </w:r>
      <w:r>
        <w:t>U potpunosti smo posvećeni daljem napretku u 2021</w:t>
      </w:r>
      <w:r w:rsidR="003E143F">
        <w:t xml:space="preserve">. </w:t>
      </w:r>
      <w:r>
        <w:t xml:space="preserve">godini kao i </w:t>
      </w:r>
      <w:r w:rsidR="00BD0A9A">
        <w:t>u godinama koje dolaze</w:t>
      </w:r>
      <w:r>
        <w:t>,” izjavio je Karsten Knobel</w:t>
      </w:r>
      <w:r w:rsidR="003E143F">
        <w:t xml:space="preserve">. </w:t>
      </w:r>
      <w:r w:rsidR="00BD0A9A">
        <w:t xml:space="preserve"> </w:t>
      </w:r>
    </w:p>
    <w:p w14:paraId="35AA5A04" w14:textId="77777777" w:rsidR="00DB5C7A" w:rsidRDefault="00DB5C7A" w:rsidP="007B2DAD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634C2956" w14:textId="474505BD" w:rsidR="00816094" w:rsidRDefault="00846017" w:rsidP="007B2DAD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t xml:space="preserve">Ključni element budućeg pravca kompanije Henkel je </w:t>
      </w:r>
      <w:r>
        <w:rPr>
          <w:b/>
          <w:bCs/>
        </w:rPr>
        <w:t>aktivno upravljanje portfoliom</w:t>
      </w:r>
      <w:r w:rsidR="003E143F">
        <w:rPr>
          <w:b/>
          <w:bCs/>
        </w:rPr>
        <w:t xml:space="preserve">. </w:t>
      </w:r>
      <w:r>
        <w:t xml:space="preserve">Henkel je identifikovao brendove i kategorije sa ukupnim obimom prodaje većim od jedne milijarde evra, uglavnom unutar svojih </w:t>
      </w:r>
      <w:r w:rsidR="009D3305">
        <w:t>proizvoda široke potrošnje</w:t>
      </w:r>
      <w:r>
        <w:t>, od koji je oko 50 odsto</w:t>
      </w:r>
      <w:r w:rsidR="009D3305">
        <w:t xml:space="preserve"> bilo</w:t>
      </w:r>
      <w:r>
        <w:t xml:space="preserve"> predviđeno za prodaju ili ukidanje do 2021</w:t>
      </w:r>
      <w:r w:rsidR="003E143F">
        <w:t xml:space="preserve">. </w:t>
      </w:r>
      <w:r>
        <w:t>godine</w:t>
      </w:r>
      <w:r w:rsidR="003E143F">
        <w:t xml:space="preserve">. </w:t>
      </w:r>
      <w:r>
        <w:t xml:space="preserve">Očekuje se da će preostali brendovi i </w:t>
      </w:r>
      <w:r w:rsidR="009D3305">
        <w:t>biznisi</w:t>
      </w:r>
      <w:r>
        <w:t xml:space="preserve"> pokazati </w:t>
      </w:r>
      <w:r w:rsidR="009D3305">
        <w:t>održiva poboljšanja performansi</w:t>
      </w:r>
      <w:r w:rsidR="003E143F">
        <w:t xml:space="preserve">. </w:t>
      </w:r>
      <w:r>
        <w:t>U 2020</w:t>
      </w:r>
      <w:r w:rsidR="003E143F">
        <w:t xml:space="preserve">. </w:t>
      </w:r>
      <w:r>
        <w:t xml:space="preserve">godini, 60 odsto osnovice prihoda ovih brendova i </w:t>
      </w:r>
      <w:r w:rsidR="009D3305">
        <w:t>biznisa</w:t>
      </w:r>
      <w:r>
        <w:t xml:space="preserve"> prikazalo je poboljšani zamah bruto prihoda</w:t>
      </w:r>
      <w:r w:rsidR="003E143F">
        <w:t xml:space="preserve">. </w:t>
      </w:r>
      <w:r>
        <w:t xml:space="preserve"> </w:t>
      </w:r>
    </w:p>
    <w:p w14:paraId="7BDAB8EE" w14:textId="77777777" w:rsidR="007B2DAD" w:rsidRPr="008743BF" w:rsidRDefault="007B2DAD" w:rsidP="007B2DAD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5431858B" w14:textId="77777777" w:rsidR="009D3305" w:rsidRDefault="00DE6154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t>Kompanija Henkel je ojačala svoj portfoli</w:t>
      </w:r>
      <w:r w:rsidR="003304F0">
        <w:t>o</w:t>
      </w:r>
      <w:r>
        <w:t xml:space="preserve"> </w:t>
      </w:r>
      <w:r w:rsidR="009D3305">
        <w:t>merdžerima</w:t>
      </w:r>
      <w:r>
        <w:t xml:space="preserve"> i akvizicijama, koristeći svoj snažan bilans stanja</w:t>
      </w:r>
      <w:r w:rsidR="003E143F">
        <w:t xml:space="preserve">. </w:t>
      </w:r>
      <w:r>
        <w:t>Henkel se 2020</w:t>
      </w:r>
      <w:r w:rsidR="003E143F">
        <w:t xml:space="preserve">. </w:t>
      </w:r>
      <w:r>
        <w:t xml:space="preserve">godine dogovorio i zaključio dve akvizicije sa kombinovanom nabavnom cenom od oko 500 miliona evra u okviru svojih </w:t>
      </w:r>
      <w:r w:rsidR="009D3305">
        <w:t>sektora</w:t>
      </w:r>
      <w:r>
        <w:t xml:space="preserve"> Beauty Care i Adhezivi Tehnologije</w:t>
      </w:r>
      <w:r w:rsidR="003E143F">
        <w:t xml:space="preserve">. </w:t>
      </w:r>
    </w:p>
    <w:p w14:paraId="11503BBA" w14:textId="576E0A5B" w:rsidR="00846017" w:rsidRPr="00846017" w:rsidRDefault="005230C7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lastRenderedPageBreak/>
        <w:t>Da bi nastavila da jača svoju</w:t>
      </w:r>
      <w:r>
        <w:rPr>
          <w:b/>
          <w:bCs/>
        </w:rPr>
        <w:t xml:space="preserve"> konkurentnu prednost</w:t>
      </w:r>
      <w:r>
        <w:t xml:space="preserve">, kompanija Henkel ubrzava </w:t>
      </w:r>
      <w:r>
        <w:rPr>
          <w:b/>
          <w:bCs/>
        </w:rPr>
        <w:t>inovacije</w:t>
      </w:r>
      <w:r>
        <w:t xml:space="preserve">, podstiče </w:t>
      </w:r>
      <w:r>
        <w:rPr>
          <w:b/>
          <w:bCs/>
        </w:rPr>
        <w:t>održivost</w:t>
      </w:r>
      <w:r>
        <w:t xml:space="preserve"> kao </w:t>
      </w:r>
      <w:r w:rsidR="009D3305">
        <w:t>faktor po kome</w:t>
      </w:r>
      <w:r>
        <w:t xml:space="preserve"> se izdvaja, i pokreće </w:t>
      </w:r>
      <w:r>
        <w:rPr>
          <w:b/>
          <w:bCs/>
        </w:rPr>
        <w:t>digitalnu</w:t>
      </w:r>
      <w:r>
        <w:t xml:space="preserve"> transformaciju kompanije</w:t>
      </w:r>
      <w:r w:rsidR="003E143F">
        <w:t xml:space="preserve">. </w:t>
      </w:r>
    </w:p>
    <w:p w14:paraId="4E101647" w14:textId="77777777" w:rsidR="00846017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5A33751D" w14:textId="48729FCD" w:rsidR="00081241" w:rsidRDefault="00A4474B" w:rsidP="00A61481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t>Kompanija Henkel je 2020</w:t>
      </w:r>
      <w:r w:rsidR="003E143F">
        <w:t xml:space="preserve">. </w:t>
      </w:r>
      <w:r>
        <w:t>godine povećala</w:t>
      </w:r>
      <w:r w:rsidR="009D3305">
        <w:t xml:space="preserve"> je</w:t>
      </w:r>
      <w:r>
        <w:t xml:space="preserve"> </w:t>
      </w:r>
      <w:r w:rsidRPr="009D3305">
        <w:rPr>
          <w:b/>
          <w:bCs/>
        </w:rPr>
        <w:t>investicije</w:t>
      </w:r>
      <w:r>
        <w:t xml:space="preserve"> za oko 200 miliona evra u odnosu na 2019</w:t>
      </w:r>
      <w:r w:rsidR="003E143F">
        <w:t xml:space="preserve">. </w:t>
      </w:r>
      <w:r>
        <w:t>godinu (350 miliona evra više u odnosu na 2018</w:t>
      </w:r>
      <w:r w:rsidR="003E143F">
        <w:t xml:space="preserve">. </w:t>
      </w:r>
      <w:r>
        <w:t>godinu) za jačanje svojih brendova, tehnologija i inovacija, kao i za ubrzanje digitalne transformacije kompanije</w:t>
      </w:r>
      <w:r w:rsidR="003E143F">
        <w:t xml:space="preserve">. </w:t>
      </w:r>
    </w:p>
    <w:p w14:paraId="0320B2C7" w14:textId="77777777" w:rsidR="005D68AA" w:rsidRDefault="005D68AA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18773C96" w14:textId="15DCBF21" w:rsidR="00205A66" w:rsidRDefault="00205A66" w:rsidP="00846017">
      <w:pPr>
        <w:autoSpaceDE w:val="0"/>
        <w:autoSpaceDN w:val="0"/>
        <w:adjustRightInd w:val="0"/>
        <w:rPr>
          <w:rFonts w:cs="Segoe UI"/>
          <w:bCs/>
          <w:szCs w:val="22"/>
        </w:rPr>
      </w:pPr>
      <w:r>
        <w:t>Da bi ubrzali</w:t>
      </w:r>
      <w:r>
        <w:rPr>
          <w:b/>
          <w:bCs/>
        </w:rPr>
        <w:t xml:space="preserve"> inovacije</w:t>
      </w:r>
      <w:r>
        <w:t xml:space="preserve"> i razvili</w:t>
      </w:r>
      <w:r>
        <w:rPr>
          <w:b/>
          <w:bCs/>
        </w:rPr>
        <w:t xml:space="preserve"> nove poslovne modele</w:t>
      </w:r>
      <w:r>
        <w:t xml:space="preserve">, </w:t>
      </w:r>
      <w:r w:rsidR="009D3305">
        <w:t>poslovni sektori robe široke potrošnje,</w:t>
      </w:r>
      <w:r>
        <w:t xml:space="preserve"> Beauty Care i </w:t>
      </w:r>
      <w:r w:rsidR="00056B79">
        <w:t>Deterždenti i kućna hemija</w:t>
      </w:r>
      <w:r>
        <w:t xml:space="preserve"> uspostavil</w:t>
      </w:r>
      <w:r w:rsidR="00056B79">
        <w:t>i</w:t>
      </w:r>
      <w:r>
        <w:t xml:space="preserve"> su interne inkubatorske timove, kombinujući agilne pristupe radu sa razmerama i stručnošću svetske kompanije: Fritz Beauty Lab, inspirisan osnivačem kompanije Fricom Henkelom, ima za cilj identifikovanje područja sa potencijalom za rast </w:t>
      </w:r>
      <w:r w:rsidR="00056B79">
        <w:t>postojećih</w:t>
      </w:r>
      <w:r>
        <w:t xml:space="preserve"> brendova ili slobodnih područja za stvaranje potpuno novih brendova</w:t>
      </w:r>
      <w:r w:rsidR="003E143F">
        <w:t xml:space="preserve">. </w:t>
      </w:r>
      <w:r>
        <w:t xml:space="preserve">U </w:t>
      </w:r>
      <w:r w:rsidR="00056B79">
        <w:t>sektoru</w:t>
      </w:r>
      <w:r>
        <w:t xml:space="preserve"> Adhezivi </w:t>
      </w:r>
      <w:r w:rsidR="00056B79">
        <w:t>T</w:t>
      </w:r>
      <w:r>
        <w:t>ehnologije kompanija Henkel je nastavila da ulaže u svoj najsavremeniji centar za inovacije u Di</w:t>
      </w:r>
      <w:r w:rsidR="00056B79">
        <w:t>s</w:t>
      </w:r>
      <w:r>
        <w:t>eldorfu</w:t>
      </w:r>
      <w:r w:rsidR="003E143F">
        <w:t xml:space="preserve">. </w:t>
      </w:r>
    </w:p>
    <w:p w14:paraId="315BF421" w14:textId="77777777" w:rsidR="00DB5C7A" w:rsidRDefault="00DB5C7A" w:rsidP="00F46B50">
      <w:pPr>
        <w:rPr>
          <w:rFonts w:cs="Segoe UI"/>
          <w:b/>
          <w:szCs w:val="22"/>
        </w:rPr>
      </w:pPr>
    </w:p>
    <w:p w14:paraId="2FB151DB" w14:textId="0E147C18" w:rsidR="00974EE4" w:rsidRDefault="00846017" w:rsidP="00F46B50">
      <w:pPr>
        <w:rPr>
          <w:rFonts w:cs="Segoe UI"/>
          <w:bCs/>
          <w:szCs w:val="22"/>
        </w:rPr>
      </w:pPr>
      <w:r>
        <w:rPr>
          <w:b/>
          <w:bCs/>
        </w:rPr>
        <w:t>Održivost</w:t>
      </w:r>
      <w:r>
        <w:t xml:space="preserve"> je </w:t>
      </w:r>
      <w:r w:rsidR="00056B79">
        <w:t>jedna od najvećih snaga</w:t>
      </w:r>
      <w:r>
        <w:t xml:space="preserve"> kompanije Henkel</w:t>
      </w:r>
      <w:r w:rsidR="003E143F">
        <w:t xml:space="preserve">. </w:t>
      </w:r>
      <w:r w:rsidR="00056B79">
        <w:t>K</w:t>
      </w:r>
      <w:r>
        <w:t>ompanija ima vodeću ulogu koju redovno potvrđuju ocene i rangiranja</w:t>
      </w:r>
      <w:r w:rsidR="003E143F">
        <w:t xml:space="preserve">. </w:t>
      </w:r>
      <w:r w:rsidR="00056B79">
        <w:t>Sa snažnom osnovom, održivost nastavlja da bude konkurentska prednost kompanije Henkel</w:t>
      </w:r>
      <w:r w:rsidR="003E143F">
        <w:t xml:space="preserve">. </w:t>
      </w:r>
      <w:r w:rsidR="00056B79">
        <w:t xml:space="preserve">Tokom </w:t>
      </w:r>
      <w:r>
        <w:t>2020</w:t>
      </w:r>
      <w:r w:rsidR="003E143F">
        <w:t xml:space="preserve">. </w:t>
      </w:r>
      <w:r>
        <w:t xml:space="preserve">godine, Henkel je uspešno nastavio da integriše održivost u svim svojim poslovnim aktivnostima i da podstiče napredak duž </w:t>
      </w:r>
      <w:r w:rsidR="00056B79">
        <w:t xml:space="preserve">čitavog </w:t>
      </w:r>
      <w:r>
        <w:t>lanca vrednosti</w:t>
      </w:r>
      <w:r w:rsidR="003E143F">
        <w:t xml:space="preserve">. </w:t>
      </w:r>
      <w:r>
        <w:t xml:space="preserve">Henkel je takođe prva kompanija koja je emitovala obveznicu za smanjenje plastičnog otpada vrednu oko 100 miliona evra kako bi finansirao mere za smanjenje plastičnog otpada duž </w:t>
      </w:r>
      <w:r w:rsidR="00056B79">
        <w:t>čitavog</w:t>
      </w:r>
      <w:r>
        <w:t xml:space="preserve"> lanca vrednosti</w:t>
      </w:r>
      <w:r w:rsidR="003E143F">
        <w:t xml:space="preserve">. </w:t>
      </w:r>
      <w:r>
        <w:t xml:space="preserve">Ova obveznica </w:t>
      </w:r>
      <w:r w:rsidR="00D65C99">
        <w:t xml:space="preserve">naglašava </w:t>
      </w:r>
      <w:r>
        <w:t xml:space="preserve">predanost kompanije Henkel </w:t>
      </w:r>
      <w:r w:rsidR="00056B79">
        <w:t xml:space="preserve">u </w:t>
      </w:r>
      <w:r>
        <w:t xml:space="preserve">podsticanju </w:t>
      </w:r>
      <w:r w:rsidR="00056B79">
        <w:t>cirkularne</w:t>
      </w:r>
      <w:r>
        <w:t xml:space="preserve"> ekonomije</w:t>
      </w:r>
      <w:r w:rsidR="00056B79">
        <w:t>,</w:t>
      </w:r>
      <w:r>
        <w:t xml:space="preserve"> smanjenju plastičnog otpada kao i održivim finansijama</w:t>
      </w:r>
      <w:r w:rsidR="003E143F">
        <w:t xml:space="preserve">. </w:t>
      </w:r>
      <w:r>
        <w:t xml:space="preserve"> </w:t>
      </w:r>
    </w:p>
    <w:p w14:paraId="409E1D6B" w14:textId="77777777" w:rsidR="00EA539B" w:rsidRDefault="00EA539B" w:rsidP="00F46B50">
      <w:pPr>
        <w:rPr>
          <w:rFonts w:cs="Segoe UI"/>
          <w:bCs/>
          <w:szCs w:val="22"/>
        </w:rPr>
      </w:pPr>
      <w:bookmarkStart w:id="5" w:name="_Hlk63409035"/>
    </w:p>
    <w:p w14:paraId="0CDB6A11" w14:textId="2BB06883" w:rsidR="0015299A" w:rsidRDefault="00074DEF" w:rsidP="0015299A">
      <w:pPr>
        <w:rPr>
          <w:rFonts w:cs="Segoe UI"/>
          <w:bCs/>
          <w:szCs w:val="22"/>
        </w:rPr>
      </w:pPr>
      <w:r>
        <w:t xml:space="preserve">Kompanija Henkel sledi </w:t>
      </w:r>
      <w:r w:rsidR="00056B79">
        <w:t>svoj cilj da utrostruči</w:t>
      </w:r>
      <w:r>
        <w:t xml:space="preserve"> </w:t>
      </w:r>
      <w:r>
        <w:rPr>
          <w:b/>
          <w:bCs/>
        </w:rPr>
        <w:t>vrednosti svojih operacija, proizvoda i usluga</w:t>
      </w:r>
      <w:r>
        <w:t xml:space="preserve"> u odnosu na svoj ekološki otisak u periodu 2010-2030</w:t>
      </w:r>
      <w:r w:rsidR="00056B79">
        <w:t xml:space="preserve"> godine</w:t>
      </w:r>
      <w:r w:rsidR="003E143F">
        <w:t xml:space="preserve">. </w:t>
      </w:r>
      <w:r>
        <w:t xml:space="preserve">Na putu ka ispunjenju svog </w:t>
      </w:r>
      <w:r w:rsidR="00056B79">
        <w:t xml:space="preserve">dugoročnog </w:t>
      </w:r>
      <w:r>
        <w:t>cilja, Henkel je definisao srednjoročne ciljeve za 2020</w:t>
      </w:r>
      <w:r w:rsidR="003E143F">
        <w:t xml:space="preserve">. </w:t>
      </w:r>
      <w:r>
        <w:t>godinu</w:t>
      </w:r>
      <w:r w:rsidR="003E143F">
        <w:t xml:space="preserve">. </w:t>
      </w:r>
      <w:r>
        <w:t>Kompanija je uspela da ostvari</w:t>
      </w:r>
      <w:r w:rsidR="00056B79">
        <w:t xml:space="preserve"> </w:t>
      </w:r>
      <w:r>
        <w:t>većinu uspostavljenih ciljeva</w:t>
      </w:r>
      <w:bookmarkStart w:id="6" w:name="_Hlk63415349"/>
      <w:r w:rsidR="00056B79">
        <w:t xml:space="preserve"> i da</w:t>
      </w:r>
      <w:r>
        <w:t xml:space="preserve"> poboljša efikasnost</w:t>
      </w:r>
      <w:r w:rsidR="00056B79">
        <w:t xml:space="preserve"> resursa</w:t>
      </w:r>
      <w:r>
        <w:t xml:space="preserve"> u 2020</w:t>
      </w:r>
      <w:r w:rsidR="003E143F">
        <w:t xml:space="preserve">. </w:t>
      </w:r>
      <w:r>
        <w:t>godini za 64 odsto u poređenju sa 2010</w:t>
      </w:r>
      <w:r w:rsidR="003E143F">
        <w:t xml:space="preserve">. </w:t>
      </w:r>
      <w:r>
        <w:t>godinom</w:t>
      </w:r>
      <w:r w:rsidR="003E143F">
        <w:t xml:space="preserve">. </w:t>
      </w:r>
    </w:p>
    <w:bookmarkEnd w:id="6"/>
    <w:p w14:paraId="5880B9A2" w14:textId="77777777" w:rsidR="00E41985" w:rsidRDefault="00E41985" w:rsidP="00846017">
      <w:pPr>
        <w:rPr>
          <w:rFonts w:cs="Segoe UI"/>
          <w:szCs w:val="22"/>
          <w:lang w:eastAsia="de-DE"/>
        </w:rPr>
      </w:pPr>
    </w:p>
    <w:bookmarkEnd w:id="5"/>
    <w:p w14:paraId="5D5E632D" w14:textId="46CC8675" w:rsidR="00846017" w:rsidRPr="00846017" w:rsidRDefault="00601DC6" w:rsidP="009F610E">
      <w:pPr>
        <w:rPr>
          <w:rFonts w:cs="Segoe UI"/>
          <w:szCs w:val="22"/>
        </w:rPr>
      </w:pPr>
      <w:r>
        <w:t xml:space="preserve">Još jedan ključni pokretač u procesu jačanja konkurentne prednosti kompanije Henkel je </w:t>
      </w:r>
      <w:r w:rsidR="00496A2A" w:rsidRPr="00496A2A">
        <w:t>i transformi</w:t>
      </w:r>
      <w:r w:rsidR="00496A2A">
        <w:t>sanje</w:t>
      </w:r>
      <w:r w:rsidR="00496A2A" w:rsidRPr="00496A2A">
        <w:t xml:space="preserve"> </w:t>
      </w:r>
      <w:r w:rsidR="00496A2A" w:rsidRPr="00496A2A">
        <w:rPr>
          <w:b/>
          <w:bCs/>
        </w:rPr>
        <w:t xml:space="preserve">digitala </w:t>
      </w:r>
      <w:r w:rsidR="00496A2A" w:rsidRPr="00496A2A">
        <w:t>u stvaraoca vrednosti za kupce i potrošače</w:t>
      </w:r>
      <w:r>
        <w:t xml:space="preserve"> širom poslovnih </w:t>
      </w:r>
      <w:r w:rsidR="00496A2A">
        <w:t>sektora</w:t>
      </w:r>
      <w:r w:rsidR="003E143F">
        <w:t xml:space="preserve">. </w:t>
      </w:r>
      <w:r>
        <w:t>Kako bi se omogućio i ubrzao ovaj proces, Henkel je kreirao novu jedinicu 2020</w:t>
      </w:r>
      <w:r w:rsidR="003E143F">
        <w:t xml:space="preserve">. </w:t>
      </w:r>
      <w:r>
        <w:t>godine pod nazivom Henkel dx, kombinacijom digitalnih ekspertiza, ekspertiza upravljanj</w:t>
      </w:r>
      <w:r w:rsidR="00496A2A">
        <w:t>a</w:t>
      </w:r>
      <w:r>
        <w:t xml:space="preserve"> poslovnim procesima i IT ekspertizom u jedinstvenu globalnu organizaciju</w:t>
      </w:r>
      <w:r w:rsidR="003E143F">
        <w:t xml:space="preserve">. </w:t>
      </w:r>
      <w:r>
        <w:t>Digitalna prodaja kompanije Henkel povećala se za oko 20 odsto, sa kombinovanim rastom potrošački</w:t>
      </w:r>
      <w:r w:rsidR="00496A2A">
        <w:t>h sektora</w:t>
      </w:r>
      <w:r>
        <w:t xml:space="preserve"> većim od </w:t>
      </w:r>
      <w:r>
        <w:lastRenderedPageBreak/>
        <w:t>60 odsto</w:t>
      </w:r>
      <w:r w:rsidR="003E143F">
        <w:t xml:space="preserve">. </w:t>
      </w:r>
      <w:r>
        <w:t>Na nivou Grup</w:t>
      </w:r>
      <w:r w:rsidR="00496A2A">
        <w:t>e</w:t>
      </w:r>
      <w:r>
        <w:t>, udeo digitalne prodaje u celokupnim prodajama povećao se i popeo na oko 15 odsto</w:t>
      </w:r>
      <w:r w:rsidR="003E143F">
        <w:t xml:space="preserve">. </w:t>
      </w:r>
    </w:p>
    <w:p w14:paraId="090FA1B3" w14:textId="77777777" w:rsidR="00846017" w:rsidRDefault="00846017" w:rsidP="00846017">
      <w:pPr>
        <w:rPr>
          <w:rFonts w:cs="Segoe UI"/>
          <w:szCs w:val="22"/>
          <w:lang w:eastAsia="de-DE"/>
        </w:rPr>
      </w:pPr>
    </w:p>
    <w:p w14:paraId="37BAF62B" w14:textId="20A88B4E" w:rsidR="005A7E97" w:rsidRDefault="00496A2A" w:rsidP="00846017">
      <w:pPr>
        <w:rPr>
          <w:rFonts w:cs="Segoe UI"/>
          <w:szCs w:val="22"/>
        </w:rPr>
      </w:pPr>
      <w:r>
        <w:t>Š</w:t>
      </w:r>
      <w:r w:rsidRPr="00496A2A">
        <w:t>tedljiv</w:t>
      </w:r>
      <w:r>
        <w:t>i</w:t>
      </w:r>
      <w:r w:rsidRPr="00496A2A">
        <w:t>, brz</w:t>
      </w:r>
      <w:r>
        <w:t>i</w:t>
      </w:r>
      <w:r w:rsidRPr="00496A2A">
        <w:t xml:space="preserve"> </w:t>
      </w:r>
      <w:r w:rsidR="00607094">
        <w:rPr>
          <w:b/>
          <w:bCs/>
        </w:rPr>
        <w:t>operativni modeli</w:t>
      </w:r>
      <w:r w:rsidR="00607094">
        <w:t xml:space="preserve"> spremni za budućnost su još jedan bitan element strateškog okvira kompanije Henkel</w:t>
      </w:r>
      <w:r w:rsidR="003E143F">
        <w:t xml:space="preserve">. </w:t>
      </w:r>
      <w:r w:rsidR="00607094">
        <w:t>Da bi osigurala ovo i unapredila konkurentnost i efikasnost, kompanija konstantno prilagođava i preoblikuje procese i strukture na nivou cele kompanije</w:t>
      </w:r>
      <w:r w:rsidR="003E143F">
        <w:t xml:space="preserve">. </w:t>
      </w:r>
    </w:p>
    <w:p w14:paraId="1A82948F" w14:textId="77777777" w:rsidR="00B634AB" w:rsidRDefault="00B634AB" w:rsidP="00846017">
      <w:pPr>
        <w:rPr>
          <w:rFonts w:cs="Segoe UI"/>
          <w:szCs w:val="22"/>
          <w:lang w:eastAsia="de-DE"/>
        </w:rPr>
      </w:pPr>
    </w:p>
    <w:p w14:paraId="1E89E9A0" w14:textId="13E34292" w:rsidR="005D68AA" w:rsidRDefault="00BE2D0A" w:rsidP="00846017">
      <w:r>
        <w:t xml:space="preserve">Dalje razvijanje korporativne kulture grupe Henkel i ubrzavanje </w:t>
      </w:r>
      <w:r>
        <w:rPr>
          <w:b/>
          <w:bCs/>
        </w:rPr>
        <w:t>kulturne transformacije je</w:t>
      </w:r>
      <w:r w:rsidR="006B5C59">
        <w:t xml:space="preserve"> u srcu agende „Svrshishodni rast“ (</w:t>
      </w:r>
      <w:r>
        <w:t>Purposeful Growth) kompanije Henkel</w:t>
      </w:r>
      <w:r w:rsidR="003E143F">
        <w:t xml:space="preserve">. </w:t>
      </w:r>
      <w:r>
        <w:t>Kompanija teži da neguje kulturu saradnje sa osnaženim ljudima i</w:t>
      </w:r>
      <w:r w:rsidR="00890332">
        <w:t xml:space="preserve"> svojim Leadership Commitments vrednosima u središtu</w:t>
      </w:r>
      <w:r w:rsidR="003E143F">
        <w:t xml:space="preserve">. </w:t>
      </w:r>
      <w:r>
        <w:t>Henkel je 2020</w:t>
      </w:r>
      <w:r w:rsidR="003E143F">
        <w:t xml:space="preserve">. </w:t>
      </w:r>
      <w:r>
        <w:t xml:space="preserve">godine pokrenuo niz mera za unapređenje kulture saradnje i osnaživanja i projekte usavršavanja sposobnosti zaposlenih, </w:t>
      </w:r>
      <w:r w:rsidR="00890332">
        <w:t>i takođe je</w:t>
      </w:r>
      <w:r>
        <w:t xml:space="preserve"> omogućio svojim ljudima da rastu i razvijaju se – i lično i profesionalno</w:t>
      </w:r>
      <w:r w:rsidR="003E143F">
        <w:t xml:space="preserve">. </w:t>
      </w:r>
    </w:p>
    <w:p w14:paraId="2BD45107" w14:textId="77777777" w:rsidR="005D68AA" w:rsidRDefault="005D68AA" w:rsidP="00846017"/>
    <w:p w14:paraId="0B355256" w14:textId="5D521AFA" w:rsidR="00C64D40" w:rsidRDefault="005D68AA" w:rsidP="00846017">
      <w:r>
        <w:t>„Ponosan sam na napredak koji smo postigli u realizaciji naše strateške agende, u isto vreme boreći se sa globalnom pandemijom</w:t>
      </w:r>
      <w:r w:rsidR="003E143F">
        <w:t xml:space="preserve">. </w:t>
      </w:r>
      <w:r>
        <w:t>Impresioniran sam otpornošću našeg poslovanja koja nam je omogućila da postignemo velika poslovna postignuća i da dodatno ojačamo našu finansijsku osnovu</w:t>
      </w:r>
      <w:r w:rsidR="003E143F">
        <w:t xml:space="preserve">. </w:t>
      </w:r>
      <w:r>
        <w:t>Ali najvažniji osećaj je zahvalnost i iskreno poštovanje prema našim zaposlenima u kompaniji Henkel</w:t>
      </w:r>
      <w:r w:rsidR="003E143F">
        <w:t xml:space="preserve">. </w:t>
      </w:r>
      <w:r>
        <w:t>Postignuća, saradnja i pozitivan stav koji su pokazali u 2020</w:t>
      </w:r>
      <w:r w:rsidR="003E143F">
        <w:t xml:space="preserve">. </w:t>
      </w:r>
      <w:r>
        <w:t>godini dirnuli su me i inspirisali</w:t>
      </w:r>
      <w:r w:rsidR="003E143F">
        <w:t xml:space="preserve">. </w:t>
      </w:r>
      <w:r>
        <w:t>Želeo bih da zahvalim svima njima na neprocenjivim doprinosima u ovoj zaista izuzetnoj godini”, rezimirao je Karsten Knobel</w:t>
      </w:r>
      <w:r w:rsidR="003E143F">
        <w:t xml:space="preserve">. </w:t>
      </w:r>
    </w:p>
    <w:p w14:paraId="31E1DE75" w14:textId="41200F16" w:rsidR="00890332" w:rsidRDefault="00890332" w:rsidP="00846017"/>
    <w:p w14:paraId="548D4C20" w14:textId="77777777" w:rsidR="00890332" w:rsidRPr="00DD2B21" w:rsidRDefault="00890332" w:rsidP="00DD2B21">
      <w:pPr>
        <w:rPr>
          <w:rStyle w:val="AboutandContactHeadline"/>
          <w:lang w:val="en-US"/>
        </w:rPr>
      </w:pPr>
      <w:r w:rsidRPr="00DD2B21">
        <w:rPr>
          <w:rStyle w:val="AboutandContactHeadline"/>
          <w:lang w:val="en-US"/>
        </w:rPr>
        <w:t>O Henkelu</w:t>
      </w:r>
    </w:p>
    <w:p w14:paraId="4BAE5791" w14:textId="4984C2D6" w:rsidR="00890332" w:rsidRPr="00DD2B21" w:rsidRDefault="00890332" w:rsidP="00890332">
      <w:pPr>
        <w:rPr>
          <w:rStyle w:val="AboutandContactBody"/>
        </w:rPr>
      </w:pPr>
      <w:r w:rsidRPr="00DD2B21">
        <w:rPr>
          <w:rStyle w:val="AboutandContactBody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 w:rsidR="00DD2B21" w:rsidRPr="00DD2B21">
        <w:rPr>
          <w:rStyle w:val="AboutandContactBody"/>
        </w:rPr>
        <w:t>20</w:t>
      </w:r>
      <w:r w:rsidRPr="00DD2B21">
        <w:rPr>
          <w:rStyle w:val="AboutandContactBody"/>
        </w:rPr>
        <w:t xml:space="preserve">. godini, kompanija Henkel ostvarila je prodaju veću od </w:t>
      </w:r>
      <w:r w:rsidR="00DD2B21" w:rsidRPr="00DD2B21">
        <w:rPr>
          <w:rStyle w:val="AboutandContactBody"/>
        </w:rPr>
        <w:t>19</w:t>
      </w:r>
      <w:r w:rsidRPr="00DD2B21">
        <w:rPr>
          <w:rStyle w:val="AboutandContactBody"/>
        </w:rPr>
        <w:t xml:space="preserve"> milijardi evra i operativni profit veći od </w:t>
      </w:r>
      <w:r w:rsidR="00DD2B21" w:rsidRPr="00DD2B21">
        <w:rPr>
          <w:rStyle w:val="AboutandContactBody"/>
        </w:rPr>
        <w:t>2,6</w:t>
      </w:r>
      <w:r w:rsidRPr="00DD2B21">
        <w:rPr>
          <w:rStyle w:val="AboutandContactBody"/>
        </w:rPr>
        <w:t xml:space="preserve"> milijarde evra. Henkel zapošljava više od 5</w:t>
      </w:r>
      <w:r w:rsidR="00DD2B21" w:rsidRPr="00DD2B21">
        <w:rPr>
          <w:rStyle w:val="AboutandContactBody"/>
        </w:rPr>
        <w:t>3</w:t>
      </w:r>
      <w:r w:rsidRPr="00DD2B21">
        <w:rPr>
          <w:rStyle w:val="AboutandContactBody"/>
        </w:rPr>
        <w:t xml:space="preserve"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informacija, posetite </w:t>
      </w:r>
      <w:r w:rsidR="00F5721E">
        <w:fldChar w:fldCharType="begin"/>
      </w:r>
      <w:r w:rsidR="00F5721E">
        <w:instrText xml:space="preserve"> HYPERLINK "http://www.henkel.com" </w:instrText>
      </w:r>
      <w:r w:rsidR="00F5721E">
        <w:fldChar w:fldCharType="separate"/>
      </w:r>
      <w:r w:rsidRPr="00DD2B21">
        <w:rPr>
          <w:rStyle w:val="AboutandContactBody"/>
        </w:rPr>
        <w:t>www.henkel.com</w:t>
      </w:r>
      <w:r w:rsidR="00F5721E">
        <w:rPr>
          <w:rStyle w:val="AboutandContactBody"/>
        </w:rPr>
        <w:fldChar w:fldCharType="end"/>
      </w:r>
      <w:r w:rsidRPr="00DD2B21">
        <w:rPr>
          <w:rStyle w:val="AboutandContactBody"/>
        </w:rPr>
        <w:t xml:space="preserve">  </w:t>
      </w:r>
    </w:p>
    <w:p w14:paraId="7A623DBF" w14:textId="77777777" w:rsidR="00890332" w:rsidRDefault="00890332" w:rsidP="00890332">
      <w:pPr>
        <w:pStyle w:val="He01Flietext"/>
        <w:rPr>
          <w:sz w:val="20"/>
          <w:szCs w:val="20"/>
          <w:u w:val="single"/>
          <w:lang w:val="en-US"/>
        </w:rPr>
      </w:pPr>
    </w:p>
    <w:p w14:paraId="25E7D40E" w14:textId="77777777" w:rsidR="00890332" w:rsidRPr="00DD2B21" w:rsidRDefault="00890332" w:rsidP="00890332">
      <w:pPr>
        <w:pStyle w:val="He01Flietext"/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</w:pP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Ovaj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dokument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sadrži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odnose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poslovanje,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rezultate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druge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događaje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okolnosti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u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važne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za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Henkelu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mogu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smatrati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izjavama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odnose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odnose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odlikuju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rečima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poput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„</w:t>
      </w:r>
      <w:proofErr w:type="spellStart"/>
      <w:proofErr w:type="gram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očekivati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“</w:t>
      </w:r>
      <w:proofErr w:type="gram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, „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nameravati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“, „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planirati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“, „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predviđati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“, „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procenjivati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“,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sličnim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terminima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Ove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informacije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sadrže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odnose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zasnovane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trenutnim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procenama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predviđanjma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rukovodstva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komanije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Henkel AG &amp; Co.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KGaA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Takvim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izjavama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bilo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koji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način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ne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garantuje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da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će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takva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očekivanja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ostvariti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učinci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rezultati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će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Henkel AG &amp; Co.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KGaA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njegova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povezana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društva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stvarno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ostvariti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zavisi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od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više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rizika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neizvesnosti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,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stoga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mogu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razlikovati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materijalno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od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odnose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Mnogi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od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ovih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faktora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van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Henkelove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kontrole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ne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mogu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precizno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predvideti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,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poput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budućeg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privrednog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ambijenta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radnji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konkurenata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drugih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učesnika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proofErr w:type="gram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tržišta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..</w:t>
      </w:r>
      <w:proofErr w:type="gram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Henkel ne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planira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niti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obavezuje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da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ažurira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bilo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izjavu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se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odnosi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budućnost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.</w:t>
      </w:r>
    </w:p>
    <w:p w14:paraId="49BEE6BD" w14:textId="77777777" w:rsidR="00890332" w:rsidRPr="00DD2B21" w:rsidRDefault="00890332" w:rsidP="00890332">
      <w:pPr>
        <w:pStyle w:val="He01Flietext"/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</w:pP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lastRenderedPageBreak/>
        <w:t>Ovaj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dokument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uključuje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dodatne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mere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nisu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jasno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definisane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u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primenjivom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okviru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finansijskog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izveštavanja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,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mogu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biti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alternative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merama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učinaka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Ove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dodatne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mere ne bi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trebalo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posmatrati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izolovane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kao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alternative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merama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Henkelove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neto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imovine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finansijskih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pozicija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rezultata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poslovanja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kao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što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prikazani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u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skladu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primenjivim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okvirom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finansijskog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izveštavanja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u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svojim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konsolidovanim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finansijskim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izveštajima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.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Druge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kompanije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izveštavaju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opisuju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slično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naslovljene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alternativne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mere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učinaka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bi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mogle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da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ih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računaju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drugačije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.</w:t>
      </w:r>
    </w:p>
    <w:p w14:paraId="3BA6CFB4" w14:textId="77777777" w:rsidR="00890332" w:rsidRPr="00DD2B21" w:rsidRDefault="00890332" w:rsidP="00890332">
      <w:pPr>
        <w:pStyle w:val="He01Flietext"/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</w:pP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Ovaj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dokument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je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izdat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isključivo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u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svrhe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obaveštenja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i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nije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namenjen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da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služi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kao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savet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za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ulaganje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ponuda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za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prodaju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,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ili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potraživanje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ponude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za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kupovinu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bilo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kojih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hartija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od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 xml:space="preserve"> </w:t>
      </w:r>
      <w:proofErr w:type="spellStart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vrednosti</w:t>
      </w:r>
      <w:proofErr w:type="spellEnd"/>
      <w:r w:rsidRPr="00DD2B21">
        <w:rPr>
          <w:rFonts w:asciiTheme="majorHAnsi" w:eastAsia="Times New Roman" w:hAnsiTheme="majorHAnsi" w:cstheme="majorHAnsi"/>
          <w:bCs/>
          <w:sz w:val="14"/>
          <w:szCs w:val="14"/>
          <w:lang w:val="en-US"/>
        </w:rPr>
        <w:t>.</w:t>
      </w:r>
    </w:p>
    <w:p w14:paraId="4C69C89A" w14:textId="6E288657" w:rsidR="00890332" w:rsidRPr="00DD2B21" w:rsidRDefault="00890332" w:rsidP="00DD2B21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Cs w:val="18"/>
          <w:lang w:val="en-US"/>
        </w:rPr>
      </w:pPr>
      <w:proofErr w:type="spellStart"/>
      <w:r w:rsidRPr="00DD2B21">
        <w:rPr>
          <w:rStyle w:val="AboutandContactBody"/>
          <w:rFonts w:asciiTheme="majorHAnsi" w:hAnsiTheme="majorHAnsi" w:cstheme="majorHAnsi"/>
          <w:b/>
          <w:szCs w:val="18"/>
          <w:lang w:val="en-US"/>
        </w:rPr>
        <w:t>Kontakt</w:t>
      </w:r>
      <w:proofErr w:type="spellEnd"/>
      <w:r w:rsidR="00832810">
        <w:rPr>
          <w:rStyle w:val="AboutandContactBody"/>
          <w:rFonts w:asciiTheme="majorHAnsi" w:hAnsiTheme="majorHAnsi" w:cstheme="majorHAnsi"/>
          <w:b/>
          <w:szCs w:val="18"/>
          <w:lang w:val="en-US"/>
        </w:rPr>
        <w:br/>
      </w:r>
    </w:p>
    <w:p w14:paraId="1A3EE729" w14:textId="77777777" w:rsidR="00890332" w:rsidRPr="00DD2B21" w:rsidRDefault="00890332" w:rsidP="00832810">
      <w:pPr>
        <w:pStyle w:val="He01Flietext"/>
        <w:tabs>
          <w:tab w:val="left" w:pos="4536"/>
        </w:tabs>
        <w:spacing w:line="276" w:lineRule="auto"/>
        <w:rPr>
          <w:sz w:val="18"/>
          <w:szCs w:val="18"/>
        </w:rPr>
      </w:pPr>
      <w:r w:rsidRPr="00DD2B21">
        <w:rPr>
          <w:b/>
          <w:bCs/>
          <w:sz w:val="18"/>
          <w:szCs w:val="18"/>
        </w:rPr>
        <w:t>Jelena Gavrilović Šarenac</w:t>
      </w:r>
      <w:r w:rsidRPr="00DD2B21">
        <w:rPr>
          <w:b/>
          <w:bCs/>
          <w:sz w:val="18"/>
          <w:szCs w:val="18"/>
        </w:rPr>
        <w:tab/>
        <w:t>Jelena Stojanović</w:t>
      </w:r>
      <w:r w:rsidRPr="00DD2B21">
        <w:rPr>
          <w:sz w:val="18"/>
          <w:szCs w:val="18"/>
        </w:rPr>
        <w:br/>
      </w:r>
      <w:r w:rsidRPr="00832810">
        <w:rPr>
          <w:rStyle w:val="AboutandContactBody"/>
          <w:rFonts w:asciiTheme="majorHAnsi" w:eastAsia="Times New Roman" w:hAnsiTheme="majorHAnsi" w:cs="Times New Roman"/>
          <w:szCs w:val="24"/>
          <w:lang w:val="en-US"/>
        </w:rPr>
        <w:t>Telefon</w:t>
      </w:r>
      <w:r w:rsidRPr="00DD2B21">
        <w:rPr>
          <w:sz w:val="18"/>
          <w:szCs w:val="18"/>
        </w:rPr>
        <w:t>: +381 11 207 22 09</w:t>
      </w:r>
      <w:r w:rsidRPr="00DD2B21">
        <w:rPr>
          <w:sz w:val="18"/>
          <w:szCs w:val="18"/>
        </w:rPr>
        <w:tab/>
        <w:t>Telefon: +381 11 207 21 86</w:t>
      </w:r>
      <w:r w:rsidRPr="00DD2B21">
        <w:rPr>
          <w:sz w:val="18"/>
          <w:szCs w:val="18"/>
        </w:rPr>
        <w:br/>
        <w:t>E-mail: jelena.sarenac@henkel.com</w:t>
      </w:r>
      <w:r w:rsidRPr="00DD2B21">
        <w:rPr>
          <w:sz w:val="18"/>
          <w:szCs w:val="18"/>
        </w:rPr>
        <w:tab/>
        <w:t>E-mail: jelena.stojanovic@henkel.com</w:t>
      </w:r>
    </w:p>
    <w:p w14:paraId="4377CFB1" w14:textId="695E1D53" w:rsidR="00890332" w:rsidRPr="00832810" w:rsidRDefault="00832810" w:rsidP="008328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  <w:lang w:val="fr-FR"/>
        </w:rPr>
      </w:pPr>
      <w:r>
        <w:rPr>
          <w:u w:val="single"/>
          <w:lang w:val="en-US"/>
        </w:rPr>
        <w:br/>
      </w:r>
      <w:hyperlink r:id="rId13" w:history="1">
        <w:r w:rsidRPr="009A5773">
          <w:rPr>
            <w:rStyle w:val="Hyperlink"/>
            <w:rFonts w:asciiTheme="majorHAnsi" w:hAnsiTheme="majorHAnsi" w:cstheme="majorHAnsi"/>
            <w:lang w:val="fr-FR"/>
          </w:rPr>
          <w:t>www.henkel.com/press</w:t>
        </w:r>
      </w:hyperlink>
      <w:r>
        <w:rPr>
          <w:rStyle w:val="AboutandContactBody"/>
          <w:rFonts w:asciiTheme="majorHAnsi" w:hAnsiTheme="majorHAnsi" w:cstheme="majorHAnsi"/>
          <w:szCs w:val="18"/>
          <w:lang w:val="fr-FR"/>
        </w:rPr>
        <w:t xml:space="preserve"> </w:t>
      </w:r>
    </w:p>
    <w:p w14:paraId="6667995B" w14:textId="5A97DEFB" w:rsidR="00890332" w:rsidRPr="00832810" w:rsidRDefault="006370F9" w:rsidP="008328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  <w:lang w:val="fr-FR"/>
        </w:rPr>
      </w:pPr>
      <w:hyperlink r:id="rId14" w:history="1">
        <w:r w:rsidR="00890332" w:rsidRPr="00832810">
          <w:rPr>
            <w:rStyle w:val="AboutandContactBody"/>
            <w:rFonts w:asciiTheme="majorHAnsi" w:hAnsiTheme="majorHAnsi" w:cstheme="majorHAnsi"/>
            <w:lang w:val="fr-FR"/>
          </w:rPr>
          <w:t>www.henkel.com/ir</w:t>
        </w:r>
      </w:hyperlink>
      <w:r w:rsidR="00832810">
        <w:rPr>
          <w:rStyle w:val="AboutandContactBody"/>
          <w:rFonts w:asciiTheme="majorHAnsi" w:hAnsiTheme="majorHAnsi" w:cstheme="majorHAnsi"/>
          <w:lang w:val="fr-FR"/>
        </w:rPr>
        <w:t xml:space="preserve"> </w:t>
      </w:r>
    </w:p>
    <w:p w14:paraId="2F733304" w14:textId="0F521742" w:rsidR="00890332" w:rsidRPr="00832810" w:rsidRDefault="006370F9" w:rsidP="008328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  <w:lang w:val="fr-FR"/>
        </w:rPr>
      </w:pPr>
      <w:hyperlink r:id="rId15" w:history="1">
        <w:r w:rsidR="00890332" w:rsidRPr="00832810">
          <w:rPr>
            <w:rStyle w:val="AboutandContactBody"/>
            <w:rFonts w:asciiTheme="majorHAnsi" w:hAnsiTheme="majorHAnsi" w:cstheme="majorHAnsi"/>
            <w:lang w:val="fr-FR"/>
          </w:rPr>
          <w:t>www.henkel.rs</w:t>
        </w:r>
      </w:hyperlink>
      <w:r w:rsidR="00832810">
        <w:rPr>
          <w:rStyle w:val="AboutandContactBody"/>
          <w:rFonts w:asciiTheme="majorHAnsi" w:hAnsiTheme="majorHAnsi" w:cstheme="majorHAnsi"/>
          <w:lang w:val="fr-FR"/>
        </w:rPr>
        <w:t xml:space="preserve"> </w:t>
      </w:r>
      <w:r w:rsidR="00890332" w:rsidRPr="00832810">
        <w:rPr>
          <w:rStyle w:val="AboutandContactBody"/>
          <w:rFonts w:asciiTheme="majorHAnsi" w:hAnsiTheme="majorHAnsi" w:cstheme="majorHAnsi"/>
          <w:szCs w:val="18"/>
          <w:lang w:val="fr-FR"/>
        </w:rPr>
        <w:t xml:space="preserve"> </w:t>
      </w:r>
    </w:p>
    <w:p w14:paraId="05EF9E01" w14:textId="77777777" w:rsidR="00890332" w:rsidRDefault="00890332" w:rsidP="00846017">
      <w:pPr>
        <w:rPr>
          <w:rFonts w:cs="Segoe UI"/>
          <w:szCs w:val="22"/>
        </w:rPr>
      </w:pPr>
    </w:p>
    <w:p w14:paraId="17A46A16" w14:textId="77777777" w:rsidR="00D83609" w:rsidRDefault="00D83609" w:rsidP="00846017">
      <w:pPr>
        <w:rPr>
          <w:rFonts w:cs="Segoe UI"/>
          <w:szCs w:val="22"/>
          <w:lang w:eastAsia="de-DE"/>
        </w:rPr>
      </w:pPr>
    </w:p>
    <w:p w14:paraId="1986945A" w14:textId="77777777" w:rsidR="00A15D78" w:rsidRDefault="00A15D78" w:rsidP="00846017">
      <w:pPr>
        <w:rPr>
          <w:rFonts w:cs="Segoe UI"/>
          <w:szCs w:val="22"/>
          <w:lang w:eastAsia="de-DE"/>
        </w:rPr>
      </w:pPr>
    </w:p>
    <w:p w14:paraId="5AF609AD" w14:textId="77777777" w:rsidR="00ED58D9" w:rsidRDefault="00ED58D9" w:rsidP="00ED58D9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  <w:lang w:val="fr-FR"/>
        </w:rPr>
      </w:pPr>
    </w:p>
    <w:sectPr w:rsidR="00ED58D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87BE" w14:textId="77777777" w:rsidR="006370F9" w:rsidRDefault="006370F9">
      <w:r>
        <w:separator/>
      </w:r>
    </w:p>
  </w:endnote>
  <w:endnote w:type="continuationSeparator" w:id="0">
    <w:p w14:paraId="28F5F709" w14:textId="77777777" w:rsidR="006370F9" w:rsidRDefault="006370F9">
      <w:r>
        <w:continuationSeparator/>
      </w:r>
    </w:p>
  </w:endnote>
  <w:endnote w:type="continuationNotice" w:id="1">
    <w:p w14:paraId="11B05798" w14:textId="77777777" w:rsidR="006370F9" w:rsidRDefault="006370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CC73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</w:t>
    </w:r>
    <w:r w:rsidR="003E143F">
      <w:t xml:space="preserve">. </w:t>
    </w:r>
    <w:r>
      <w:t>KGaA</w:t>
    </w:r>
    <w:r>
      <w:tab/>
      <w:t xml:space="preserve">Strana </w:t>
    </w:r>
    <w:r w:rsidR="00317B6E" w:rsidRPr="00BF6E82">
      <w:fldChar w:fldCharType="begin"/>
    </w:r>
    <w:r w:rsidRPr="00BF6E82">
      <w:instrText xml:space="preserve"> PAGE  \* Arabic  \* MERGEFORMAT </w:instrText>
    </w:r>
    <w:r w:rsidR="00317B6E" w:rsidRPr="00BF6E82">
      <w:fldChar w:fldCharType="separate"/>
    </w:r>
    <w:r w:rsidR="006B5C59">
      <w:t>6</w:t>
    </w:r>
    <w:r w:rsidR="00317B6E" w:rsidRPr="00BF6E82">
      <w:fldChar w:fldCharType="end"/>
    </w:r>
    <w:r>
      <w:t>/</w:t>
    </w:r>
    <w:r w:rsidR="006370F9">
      <w:fldChar w:fldCharType="begin"/>
    </w:r>
    <w:r w:rsidR="006370F9">
      <w:instrText xml:space="preserve"> NUMPAGES  \* Arabic  \* MERGEFORMAT </w:instrText>
    </w:r>
    <w:r w:rsidR="006370F9">
      <w:fldChar w:fldCharType="separate"/>
    </w:r>
    <w:r w:rsidR="006B5C59">
      <w:t>6</w:t>
    </w:r>
    <w:r w:rsidR="006370F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D4ED" w14:textId="77777777" w:rsidR="00111B14" w:rsidRPr="00D804B7" w:rsidRDefault="00111B14" w:rsidP="00111B14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  <w:lang w:val="en-US"/>
      </w:rPr>
      <w:drawing>
        <wp:inline distT="0" distB="0" distL="0" distR="0" wp14:anchorId="0661F964" wp14:editId="77A92CE5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302C368B" wp14:editId="2B3534F6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333D7944" wp14:editId="5861EC82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3FBB2A04" wp14:editId="0A47BFC9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7D953DCF" wp14:editId="61712C74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 w:rsidRPr="00F46820">
      <w:rPr>
        <w:rFonts w:cs="Arial"/>
        <w:szCs w:val="14"/>
        <w:lang w:val="en-US"/>
      </w:rPr>
      <w:drawing>
        <wp:inline distT="0" distB="0" distL="0" distR="0" wp14:anchorId="4DC33A87" wp14:editId="55A92575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drawing>
        <wp:inline distT="0" distB="0" distL="0" distR="0" wp14:anchorId="550EE03B" wp14:editId="36BD1266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  <w:lang w:val="en-US"/>
      </w:rPr>
      <w:drawing>
        <wp:inline distT="0" distB="0" distL="0" distR="0" wp14:anchorId="0E779A2A" wp14:editId="1D61FF32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</w:t>
    </w:r>
    <w:r w:rsidRPr="00F46820">
      <w:rPr>
        <w:rFonts w:cs="Arial"/>
        <w:szCs w:val="14"/>
        <w:lang w:val="en-US"/>
      </w:rPr>
      <w:drawing>
        <wp:inline distT="0" distB="0" distL="0" distR="0" wp14:anchorId="5387F502" wp14:editId="21CF3162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 </w:t>
    </w:r>
    <w:r>
      <w:rPr>
        <w:rFonts w:cs="Arial"/>
        <w:szCs w:val="14"/>
        <w:lang w:val="en-US"/>
      </w:rPr>
      <w:drawing>
        <wp:inline distT="0" distB="0" distL="0" distR="0" wp14:anchorId="24A64668" wp14:editId="19E7DA67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 </w:t>
    </w:r>
    <w:r w:rsidRPr="00F46820">
      <w:rPr>
        <w:rFonts w:cs="Arial"/>
        <w:szCs w:val="14"/>
        <w:lang w:val="en-US"/>
      </w:rPr>
      <w:drawing>
        <wp:inline distT="0" distB="0" distL="0" distR="0" wp14:anchorId="6EB253FE" wp14:editId="4A4D286A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0D144F24" wp14:editId="5F2CC961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  <w:lang w:val="en-US"/>
      </w:rPr>
      <w:t xml:space="preserve"> </w:t>
    </w:r>
    <w:r>
      <w:rPr>
        <w:rFonts w:cs="Arial"/>
        <w:szCs w:val="14"/>
        <w:lang w:val="en-US"/>
      </w:rPr>
      <w:drawing>
        <wp:inline distT="0" distB="0" distL="0" distR="0" wp14:anchorId="54367C02" wp14:editId="49403689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2569E" w14:textId="77777777" w:rsidR="00111B14" w:rsidRPr="0087067A" w:rsidRDefault="00111B14" w:rsidP="00111B14">
    <w:pPr>
      <w:pStyle w:val="Footer"/>
    </w:pPr>
  </w:p>
  <w:p w14:paraId="4117AE7D" w14:textId="04FAC2DA" w:rsidR="00CF6F33" w:rsidRPr="00992A11" w:rsidRDefault="0059722C" w:rsidP="00992A11">
    <w:pPr>
      <w:pStyle w:val="Footer"/>
    </w:pPr>
    <w:r>
      <w:t xml:space="preserve">Strana </w:t>
    </w:r>
    <w:r w:rsidR="00317B6E" w:rsidRPr="00992A11">
      <w:fldChar w:fldCharType="begin"/>
    </w:r>
    <w:r w:rsidR="00262C05" w:rsidRPr="00992A11">
      <w:instrText>PAGE</w:instrText>
    </w:r>
    <w:r w:rsidR="00CF6F33" w:rsidRPr="00992A11">
      <w:instrText xml:space="preserve">  \* Arabic  \* MERGEFORMAT </w:instrText>
    </w:r>
    <w:r w:rsidR="00317B6E" w:rsidRPr="00992A11">
      <w:fldChar w:fldCharType="separate"/>
    </w:r>
    <w:r w:rsidR="00B70A06">
      <w:t>1</w:t>
    </w:r>
    <w:r w:rsidR="00317B6E" w:rsidRPr="00992A11">
      <w:fldChar w:fldCharType="end"/>
    </w:r>
    <w:r>
      <w:t>/</w:t>
    </w:r>
    <w:r w:rsidR="006370F9">
      <w:fldChar w:fldCharType="begin"/>
    </w:r>
    <w:r w:rsidR="006370F9">
      <w:instrText xml:space="preserve">NUMPAGES  \* Arabic  \* MERGEFORMAT </w:instrText>
    </w:r>
    <w:r w:rsidR="006370F9">
      <w:fldChar w:fldCharType="separate"/>
    </w:r>
    <w:r w:rsidR="00B70A06">
      <w:t>6</w:t>
    </w:r>
    <w:r w:rsidR="006370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0D60" w14:textId="77777777" w:rsidR="006370F9" w:rsidRDefault="006370F9">
      <w:r>
        <w:separator/>
      </w:r>
    </w:p>
  </w:footnote>
  <w:footnote w:type="continuationSeparator" w:id="0">
    <w:p w14:paraId="3E36FCD3" w14:textId="77777777" w:rsidR="006370F9" w:rsidRDefault="006370F9">
      <w:r>
        <w:continuationSeparator/>
      </w:r>
    </w:p>
  </w:footnote>
  <w:footnote w:type="continuationNotice" w:id="1">
    <w:p w14:paraId="099FA3D4" w14:textId="77777777" w:rsidR="006370F9" w:rsidRDefault="006370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6685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6F4F" w14:textId="07DA8D73" w:rsidR="00CF6F33" w:rsidRPr="00EB46D9" w:rsidRDefault="0059722C" w:rsidP="00EB46D9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 wp14:anchorId="1BA9542F" wp14:editId="4A0F6132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1B14">
      <w:t>Saopštenje</w:t>
    </w:r>
    <w:r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17F59"/>
    <w:rsid w:val="00021C67"/>
    <w:rsid w:val="00023952"/>
    <w:rsid w:val="000301F0"/>
    <w:rsid w:val="00030557"/>
    <w:rsid w:val="00030F51"/>
    <w:rsid w:val="00035A84"/>
    <w:rsid w:val="00036080"/>
    <w:rsid w:val="00040CC9"/>
    <w:rsid w:val="000425ED"/>
    <w:rsid w:val="000510FC"/>
    <w:rsid w:val="00051E86"/>
    <w:rsid w:val="00056B79"/>
    <w:rsid w:val="000575F9"/>
    <w:rsid w:val="00060945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A1694"/>
    <w:rsid w:val="000B4727"/>
    <w:rsid w:val="000B53C2"/>
    <w:rsid w:val="000B5D2F"/>
    <w:rsid w:val="000B695A"/>
    <w:rsid w:val="000C210A"/>
    <w:rsid w:val="000C3502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B14"/>
    <w:rsid w:val="00111F4D"/>
    <w:rsid w:val="00112A28"/>
    <w:rsid w:val="00115230"/>
    <w:rsid w:val="00115B5F"/>
    <w:rsid w:val="001162B4"/>
    <w:rsid w:val="00122CBC"/>
    <w:rsid w:val="00126C65"/>
    <w:rsid w:val="00126D4A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95540"/>
    <w:rsid w:val="001A5529"/>
    <w:rsid w:val="001B074E"/>
    <w:rsid w:val="001B6717"/>
    <w:rsid w:val="001B69C1"/>
    <w:rsid w:val="001B771D"/>
    <w:rsid w:val="001B7C20"/>
    <w:rsid w:val="001C0B32"/>
    <w:rsid w:val="001C2D66"/>
    <w:rsid w:val="001C4BE1"/>
    <w:rsid w:val="001C4EE1"/>
    <w:rsid w:val="001D7ADF"/>
    <w:rsid w:val="001E025F"/>
    <w:rsid w:val="001E0F71"/>
    <w:rsid w:val="001E4CCB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BF4"/>
    <w:rsid w:val="00220628"/>
    <w:rsid w:val="002260C7"/>
    <w:rsid w:val="00226E97"/>
    <w:rsid w:val="002304D2"/>
    <w:rsid w:val="00233D04"/>
    <w:rsid w:val="00234ABD"/>
    <w:rsid w:val="00236491"/>
    <w:rsid w:val="00236E2A"/>
    <w:rsid w:val="00237F62"/>
    <w:rsid w:val="0024586A"/>
    <w:rsid w:val="002502E1"/>
    <w:rsid w:val="002518A2"/>
    <w:rsid w:val="00256334"/>
    <w:rsid w:val="00256F0C"/>
    <w:rsid w:val="00262C05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4B43"/>
    <w:rsid w:val="002F7E11"/>
    <w:rsid w:val="00304087"/>
    <w:rsid w:val="00310ACD"/>
    <w:rsid w:val="0031379F"/>
    <w:rsid w:val="0031621E"/>
    <w:rsid w:val="00316A16"/>
    <w:rsid w:val="00317B6E"/>
    <w:rsid w:val="00320A26"/>
    <w:rsid w:val="00321344"/>
    <w:rsid w:val="003304F0"/>
    <w:rsid w:val="0033451C"/>
    <w:rsid w:val="00336854"/>
    <w:rsid w:val="0033769B"/>
    <w:rsid w:val="0034015C"/>
    <w:rsid w:val="003424A3"/>
    <w:rsid w:val="003439F2"/>
    <w:rsid w:val="003442F4"/>
    <w:rsid w:val="00344F6B"/>
    <w:rsid w:val="003460C9"/>
    <w:rsid w:val="00353705"/>
    <w:rsid w:val="0035523B"/>
    <w:rsid w:val="00355C70"/>
    <w:rsid w:val="003562E8"/>
    <w:rsid w:val="0036357D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4E62"/>
    <w:rsid w:val="003B1069"/>
    <w:rsid w:val="003B390A"/>
    <w:rsid w:val="003B4E3A"/>
    <w:rsid w:val="003B5B1D"/>
    <w:rsid w:val="003B6145"/>
    <w:rsid w:val="003C09AA"/>
    <w:rsid w:val="003C15DE"/>
    <w:rsid w:val="003C2889"/>
    <w:rsid w:val="003C4EB2"/>
    <w:rsid w:val="003C6613"/>
    <w:rsid w:val="003D3968"/>
    <w:rsid w:val="003E143F"/>
    <w:rsid w:val="003F1AF3"/>
    <w:rsid w:val="003F4D8D"/>
    <w:rsid w:val="0040386D"/>
    <w:rsid w:val="00411259"/>
    <w:rsid w:val="00421F2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6A2A"/>
    <w:rsid w:val="004978FE"/>
    <w:rsid w:val="004A144D"/>
    <w:rsid w:val="004A323C"/>
    <w:rsid w:val="004B54E8"/>
    <w:rsid w:val="004C0138"/>
    <w:rsid w:val="004C4FEB"/>
    <w:rsid w:val="004C6B79"/>
    <w:rsid w:val="004C7345"/>
    <w:rsid w:val="004D059B"/>
    <w:rsid w:val="004D0E64"/>
    <w:rsid w:val="004D48A8"/>
    <w:rsid w:val="004D4CB6"/>
    <w:rsid w:val="004D53F2"/>
    <w:rsid w:val="004D6E5D"/>
    <w:rsid w:val="004E3341"/>
    <w:rsid w:val="004F10C1"/>
    <w:rsid w:val="004F5AD9"/>
    <w:rsid w:val="00502E62"/>
    <w:rsid w:val="00506B8A"/>
    <w:rsid w:val="00506F06"/>
    <w:rsid w:val="005179F7"/>
    <w:rsid w:val="00521E63"/>
    <w:rsid w:val="0052212B"/>
    <w:rsid w:val="005230C7"/>
    <w:rsid w:val="0052380E"/>
    <w:rsid w:val="005266EA"/>
    <w:rsid w:val="00534B46"/>
    <w:rsid w:val="00540358"/>
    <w:rsid w:val="00540D47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6567"/>
    <w:rsid w:val="00601DC6"/>
    <w:rsid w:val="00607094"/>
    <w:rsid w:val="00607256"/>
    <w:rsid w:val="00607DEE"/>
    <w:rsid w:val="006144B1"/>
    <w:rsid w:val="006335F1"/>
    <w:rsid w:val="006345B6"/>
    <w:rsid w:val="00635616"/>
    <w:rsid w:val="00635712"/>
    <w:rsid w:val="006368FF"/>
    <w:rsid w:val="006370F9"/>
    <w:rsid w:val="006375DD"/>
    <w:rsid w:val="0064107F"/>
    <w:rsid w:val="006410A9"/>
    <w:rsid w:val="00643D8A"/>
    <w:rsid w:val="00652229"/>
    <w:rsid w:val="00652793"/>
    <w:rsid w:val="00656E74"/>
    <w:rsid w:val="006626CA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B2286"/>
    <w:rsid w:val="006B47EE"/>
    <w:rsid w:val="006B499F"/>
    <w:rsid w:val="006B5C59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283"/>
    <w:rsid w:val="006F670F"/>
    <w:rsid w:val="006F77F3"/>
    <w:rsid w:val="007020F2"/>
    <w:rsid w:val="00702921"/>
    <w:rsid w:val="00703272"/>
    <w:rsid w:val="0070733C"/>
    <w:rsid w:val="00710C5D"/>
    <w:rsid w:val="00710DA8"/>
    <w:rsid w:val="0071348C"/>
    <w:rsid w:val="007138DD"/>
    <w:rsid w:val="00717273"/>
    <w:rsid w:val="00720FD4"/>
    <w:rsid w:val="00721C67"/>
    <w:rsid w:val="00724AF2"/>
    <w:rsid w:val="0073096C"/>
    <w:rsid w:val="0073100D"/>
    <w:rsid w:val="00733A46"/>
    <w:rsid w:val="007350FE"/>
    <w:rsid w:val="00735AA2"/>
    <w:rsid w:val="00740D6B"/>
    <w:rsid w:val="00742398"/>
    <w:rsid w:val="007432A9"/>
    <w:rsid w:val="007507B5"/>
    <w:rsid w:val="0075091D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813D0"/>
    <w:rsid w:val="007845AC"/>
    <w:rsid w:val="00785993"/>
    <w:rsid w:val="007866E2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B73"/>
    <w:rsid w:val="007E6EA1"/>
    <w:rsid w:val="007F0F63"/>
    <w:rsid w:val="007F2B1E"/>
    <w:rsid w:val="007F62B4"/>
    <w:rsid w:val="00801517"/>
    <w:rsid w:val="00811882"/>
    <w:rsid w:val="00812A87"/>
    <w:rsid w:val="00813492"/>
    <w:rsid w:val="00813F53"/>
    <w:rsid w:val="00816094"/>
    <w:rsid w:val="00817AE8"/>
    <w:rsid w:val="00817DE8"/>
    <w:rsid w:val="008229F5"/>
    <w:rsid w:val="0082699A"/>
    <w:rsid w:val="00832633"/>
    <w:rsid w:val="00832810"/>
    <w:rsid w:val="00833CEB"/>
    <w:rsid w:val="008372D2"/>
    <w:rsid w:val="008377BC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956"/>
    <w:rsid w:val="008743BF"/>
    <w:rsid w:val="00880E72"/>
    <w:rsid w:val="008825EE"/>
    <w:rsid w:val="00884019"/>
    <w:rsid w:val="0088596E"/>
    <w:rsid w:val="008877FC"/>
    <w:rsid w:val="00890332"/>
    <w:rsid w:val="0089131F"/>
    <w:rsid w:val="00894CED"/>
    <w:rsid w:val="00895BD6"/>
    <w:rsid w:val="0089796A"/>
    <w:rsid w:val="008A1BD0"/>
    <w:rsid w:val="008A2375"/>
    <w:rsid w:val="008C353D"/>
    <w:rsid w:val="008D1F99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1B56"/>
    <w:rsid w:val="00914B5B"/>
    <w:rsid w:val="00917162"/>
    <w:rsid w:val="009178AA"/>
    <w:rsid w:val="009251CC"/>
    <w:rsid w:val="0092714E"/>
    <w:rsid w:val="009324F0"/>
    <w:rsid w:val="0093658D"/>
    <w:rsid w:val="009405E5"/>
    <w:rsid w:val="00941F98"/>
    <w:rsid w:val="00942002"/>
    <w:rsid w:val="00947885"/>
    <w:rsid w:val="009504AB"/>
    <w:rsid w:val="00952168"/>
    <w:rsid w:val="009527FE"/>
    <w:rsid w:val="009529B2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3B37"/>
    <w:rsid w:val="009B7D1F"/>
    <w:rsid w:val="009C088E"/>
    <w:rsid w:val="009C4D35"/>
    <w:rsid w:val="009C5368"/>
    <w:rsid w:val="009D1522"/>
    <w:rsid w:val="009D3305"/>
    <w:rsid w:val="009D47C1"/>
    <w:rsid w:val="009D7252"/>
    <w:rsid w:val="009E432C"/>
    <w:rsid w:val="009E5EB4"/>
    <w:rsid w:val="009F5149"/>
    <w:rsid w:val="009F563C"/>
    <w:rsid w:val="009F610E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0DD7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C07B3"/>
    <w:rsid w:val="00AC2BC8"/>
    <w:rsid w:val="00AC3540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422EC"/>
    <w:rsid w:val="00B44875"/>
    <w:rsid w:val="00B50B6B"/>
    <w:rsid w:val="00B54885"/>
    <w:rsid w:val="00B634AB"/>
    <w:rsid w:val="00B70A06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B46"/>
    <w:rsid w:val="00BB2D73"/>
    <w:rsid w:val="00BB45BA"/>
    <w:rsid w:val="00BB5D0B"/>
    <w:rsid w:val="00BB799A"/>
    <w:rsid w:val="00BC0995"/>
    <w:rsid w:val="00BC6B70"/>
    <w:rsid w:val="00BD0A9A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61A9"/>
    <w:rsid w:val="00C24C17"/>
    <w:rsid w:val="00C329C9"/>
    <w:rsid w:val="00C3758F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F466D"/>
    <w:rsid w:val="00CF5D37"/>
    <w:rsid w:val="00CF6F33"/>
    <w:rsid w:val="00D02248"/>
    <w:rsid w:val="00D063B8"/>
    <w:rsid w:val="00D06825"/>
    <w:rsid w:val="00D110AD"/>
    <w:rsid w:val="00D17E3B"/>
    <w:rsid w:val="00D2306F"/>
    <w:rsid w:val="00D23C09"/>
    <w:rsid w:val="00D23CED"/>
    <w:rsid w:val="00D24BD2"/>
    <w:rsid w:val="00D25390"/>
    <w:rsid w:val="00D2573D"/>
    <w:rsid w:val="00D260A2"/>
    <w:rsid w:val="00D30CC6"/>
    <w:rsid w:val="00D31722"/>
    <w:rsid w:val="00D3260C"/>
    <w:rsid w:val="00D35790"/>
    <w:rsid w:val="00D36183"/>
    <w:rsid w:val="00D42064"/>
    <w:rsid w:val="00D5611E"/>
    <w:rsid w:val="00D5653B"/>
    <w:rsid w:val="00D61DFE"/>
    <w:rsid w:val="00D62EF1"/>
    <w:rsid w:val="00D6309D"/>
    <w:rsid w:val="00D63118"/>
    <w:rsid w:val="00D644CA"/>
    <w:rsid w:val="00D64EA0"/>
    <w:rsid w:val="00D65C99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A586C"/>
    <w:rsid w:val="00DB05B1"/>
    <w:rsid w:val="00DB3786"/>
    <w:rsid w:val="00DB59E8"/>
    <w:rsid w:val="00DB5A79"/>
    <w:rsid w:val="00DB5C7A"/>
    <w:rsid w:val="00DC2465"/>
    <w:rsid w:val="00DC7D48"/>
    <w:rsid w:val="00DD2B21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C3"/>
    <w:rsid w:val="00F0448F"/>
    <w:rsid w:val="00F0716C"/>
    <w:rsid w:val="00F13564"/>
    <w:rsid w:val="00F24F3D"/>
    <w:rsid w:val="00F270E9"/>
    <w:rsid w:val="00F27440"/>
    <w:rsid w:val="00F275C0"/>
    <w:rsid w:val="00F317B5"/>
    <w:rsid w:val="00F33128"/>
    <w:rsid w:val="00F341FB"/>
    <w:rsid w:val="00F346B6"/>
    <w:rsid w:val="00F36145"/>
    <w:rsid w:val="00F37BDD"/>
    <w:rsid w:val="00F41503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5721E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697F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56B85"/>
  <w15:docId w15:val="{2E4B1AAB-E23C-4055-9384-29BFFDB8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</w:rPr>
  </w:style>
  <w:style w:type="paragraph" w:customStyle="1" w:styleId="He01Flietext">
    <w:name w:val="_He_01_Fließtext"/>
    <w:qFormat/>
    <w:rsid w:val="00890332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890332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3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r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/i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16760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37</cp:revision>
  <cp:lastPrinted>2021-03-04T21:41:00Z</cp:lastPrinted>
  <dcterms:created xsi:type="dcterms:W3CDTF">2021-03-02T13:40:00Z</dcterms:created>
  <dcterms:modified xsi:type="dcterms:W3CDTF">2021-03-04T21:42:00Z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