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9D4F" w14:textId="705935DB" w:rsidR="00B422EC" w:rsidRPr="00336469" w:rsidRDefault="004D4CB6" w:rsidP="00A66DB1">
      <w:pPr>
        <w:spacing w:before="120"/>
        <w:jc w:val="right"/>
        <w:rPr>
          <w:rFonts w:ascii="Segoe UI" w:hAnsi="Segoe UI" w:cs="Segoe UI"/>
          <w:sz w:val="24"/>
          <w:lang w:val="hu"/>
        </w:rPr>
      </w:pPr>
      <w:r w:rsidRPr="00EF2D0D">
        <w:rPr>
          <w:bCs/>
          <w:i/>
          <w:iCs/>
          <w:sz w:val="22"/>
          <w:szCs w:val="22"/>
          <w:lang w:val="en-US"/>
        </w:rPr>
        <w:t xml:space="preserve"> </w:t>
      </w:r>
      <w:r w:rsidR="00A86132" w:rsidRPr="00EF2D0D">
        <w:rPr>
          <w:rFonts w:ascii="Segoe UI" w:hAnsi="Segoe UI" w:cs="Segoe UI"/>
          <w:sz w:val="22"/>
          <w:szCs w:val="22"/>
          <w:lang w:val="hu"/>
        </w:rPr>
        <w:t>202</w:t>
      </w:r>
      <w:r w:rsidR="00751576">
        <w:rPr>
          <w:rFonts w:ascii="Segoe UI" w:hAnsi="Segoe UI" w:cs="Segoe UI"/>
          <w:sz w:val="22"/>
          <w:szCs w:val="22"/>
          <w:lang w:val="hu"/>
        </w:rPr>
        <w:t>1 március 4</w:t>
      </w:r>
      <w:r w:rsidR="003C6A25" w:rsidRPr="00336469">
        <w:rPr>
          <w:rFonts w:ascii="Segoe UI" w:hAnsi="Segoe UI" w:cs="Segoe UI"/>
          <w:sz w:val="24"/>
          <w:lang w:val="hu"/>
        </w:rPr>
        <w:t>.</w:t>
      </w:r>
    </w:p>
    <w:p w14:paraId="6109E250" w14:textId="77777777" w:rsidR="00751576" w:rsidRPr="001059C5" w:rsidRDefault="00751576" w:rsidP="00751576">
      <w:pPr>
        <w:pStyle w:val="Topline"/>
        <w:spacing w:after="360"/>
        <w:rPr>
          <w:rFonts w:cs="Cambria"/>
          <w:lang w:val="hu"/>
        </w:rPr>
      </w:pPr>
      <w:r w:rsidRPr="002D5526">
        <w:rPr>
          <w:rFonts w:cs="Cambria"/>
          <w:lang w:val="hu"/>
        </w:rPr>
        <w:t>A Henkel osztalékot javasol az előző év szintjén</w:t>
      </w:r>
    </w:p>
    <w:p w14:paraId="4DB65869" w14:textId="745E608D" w:rsidR="00336469" w:rsidRDefault="00751576" w:rsidP="00336469">
      <w:pPr>
        <w:rPr>
          <w:rStyle w:val="Headline"/>
          <w:rFonts w:ascii="Segoe UI" w:hAnsi="Segoe UI" w:cs="Segoe UI"/>
          <w:lang w:val="hu"/>
        </w:rPr>
      </w:pPr>
      <w:r w:rsidRPr="00751576">
        <w:rPr>
          <w:rStyle w:val="Headline"/>
          <w:rFonts w:ascii="Segoe UI" w:hAnsi="Segoe UI" w:cs="Segoe UI"/>
          <w:lang w:val="hu"/>
        </w:rPr>
        <w:t>A Henkel átfogó robusztus teljesítményt nyújtott a 2020-as üzleti évben, a COVID-19 világjárvány jelentős hatása ellenére</w:t>
      </w:r>
    </w:p>
    <w:p w14:paraId="63AAF5A9" w14:textId="77777777" w:rsidR="00751576" w:rsidRPr="00336469" w:rsidRDefault="00751576" w:rsidP="00336469">
      <w:pPr>
        <w:rPr>
          <w:rFonts w:ascii="Segoe UI" w:hAnsi="Segoe UI" w:cs="Segoe UI"/>
          <w:lang w:val="hu"/>
        </w:rPr>
      </w:pPr>
    </w:p>
    <w:p w14:paraId="08C47BD2" w14:textId="77777777" w:rsidR="00751576" w:rsidRPr="00C31F37" w:rsidRDefault="00751576" w:rsidP="00751576">
      <w:pPr>
        <w:pStyle w:val="Listaszerbekezds"/>
        <w:numPr>
          <w:ilvl w:val="0"/>
          <w:numId w:val="15"/>
        </w:numPr>
        <w:spacing w:after="80" w:line="276" w:lineRule="auto"/>
        <w:ind w:left="357" w:right="-108" w:hanging="357"/>
        <w:contextualSpacing w:val="0"/>
        <w:rPr>
          <w:rFonts w:ascii="Segoe UI" w:hAnsi="Segoe UI" w:cs="Segoe UI"/>
          <w:b/>
          <w:sz w:val="22"/>
          <w:szCs w:val="22"/>
          <w:lang w:val="hu"/>
        </w:rPr>
      </w:pPr>
      <w:bookmarkStart w:id="0" w:name="_Hlk43712519"/>
      <w:r w:rsidRPr="00C31F37">
        <w:rPr>
          <w:rFonts w:ascii="Segoe UI" w:hAnsi="Segoe UI" w:cs="Segoe UI"/>
          <w:b/>
          <w:bCs/>
          <w:sz w:val="22"/>
          <w:szCs w:val="22"/>
          <w:lang w:val="hu"/>
        </w:rPr>
        <w:t xml:space="preserve">Kiegyensúlyozott portfólió, erős innovációk, pénzügyi erő és elkötelezett csapat, </w:t>
      </w:r>
      <w:r w:rsidRPr="00C31F37">
        <w:rPr>
          <w:rFonts w:ascii="Segoe UI" w:hAnsi="Segoe UI" w:cs="Segoe UI"/>
          <w:sz w:val="22"/>
          <w:szCs w:val="22"/>
          <w:lang w:val="hu"/>
        </w:rPr>
        <w:br/>
      </w:r>
      <w:r w:rsidRPr="00C31F37">
        <w:rPr>
          <w:rFonts w:ascii="Segoe UI" w:hAnsi="Segoe UI" w:cs="Segoe UI"/>
          <w:b/>
          <w:bCs/>
          <w:sz w:val="22"/>
          <w:szCs w:val="22"/>
          <w:lang w:val="hu"/>
        </w:rPr>
        <w:t>mint a globális válságban a stabil üzleti teljesítmény kulcsfontosságú elősegítői</w:t>
      </w:r>
    </w:p>
    <w:p w14:paraId="74CED538" w14:textId="77777777" w:rsidR="00751576" w:rsidRPr="00C31F37" w:rsidRDefault="00751576" w:rsidP="00751576">
      <w:pPr>
        <w:pStyle w:val="Listaszerbekezds"/>
        <w:numPr>
          <w:ilvl w:val="0"/>
          <w:numId w:val="15"/>
        </w:numPr>
        <w:spacing w:after="80" w:line="276" w:lineRule="auto"/>
        <w:ind w:left="357" w:right="-108" w:hanging="357"/>
        <w:contextualSpacing w:val="0"/>
        <w:rPr>
          <w:rFonts w:ascii="Segoe UI" w:hAnsi="Segoe UI" w:cs="Segoe UI"/>
          <w:b/>
          <w:sz w:val="22"/>
          <w:szCs w:val="22"/>
          <w:lang w:val="hu"/>
        </w:rPr>
      </w:pPr>
      <w:r w:rsidRPr="00C31F37">
        <w:rPr>
          <w:rFonts w:ascii="Segoe UI" w:hAnsi="Segoe UI" w:cs="Segoe UI"/>
          <w:b/>
          <w:bCs/>
          <w:sz w:val="22"/>
          <w:szCs w:val="22"/>
          <w:lang w:val="hu"/>
        </w:rPr>
        <w:t>2020-as eredmények az egész éves előrejelzés felső szegmensében:</w:t>
      </w:r>
    </w:p>
    <w:p w14:paraId="3DD6AC72" w14:textId="77777777" w:rsidR="00751576" w:rsidRPr="00C31F37" w:rsidRDefault="00751576" w:rsidP="00C31F37">
      <w:pPr>
        <w:pStyle w:val="Listaszerbekezds"/>
        <w:numPr>
          <w:ilvl w:val="1"/>
          <w:numId w:val="16"/>
        </w:numPr>
        <w:spacing w:after="80" w:line="266" w:lineRule="auto"/>
        <w:ind w:right="-108"/>
        <w:contextualSpacing w:val="0"/>
        <w:rPr>
          <w:rFonts w:ascii="Segoe UI" w:hAnsi="Segoe UI" w:cs="Segoe UI"/>
          <w:b/>
          <w:bCs/>
          <w:sz w:val="22"/>
          <w:szCs w:val="22"/>
          <w:lang w:val="hu"/>
        </w:rPr>
      </w:pPr>
      <w:r w:rsidRPr="00C31F37">
        <w:rPr>
          <w:rFonts w:ascii="Segoe UI" w:hAnsi="Segoe UI" w:cs="Segoe UI"/>
          <w:b/>
          <w:bCs/>
          <w:sz w:val="22"/>
          <w:szCs w:val="22"/>
          <w:lang w:val="hu"/>
        </w:rPr>
        <w:t>A csoport árbevétele eléri a 19,3 milliárd eurót, szervesen: -0,7 százalék</w:t>
      </w:r>
    </w:p>
    <w:p w14:paraId="6FA268DA" w14:textId="47B91AF1" w:rsidR="00751576" w:rsidRPr="00C31F37" w:rsidRDefault="00751576" w:rsidP="00C31F37">
      <w:pPr>
        <w:pStyle w:val="Listaszerbekezds"/>
        <w:numPr>
          <w:ilvl w:val="1"/>
          <w:numId w:val="16"/>
        </w:numPr>
        <w:spacing w:after="80" w:line="266" w:lineRule="auto"/>
        <w:ind w:right="-108"/>
        <w:contextualSpacing w:val="0"/>
        <w:rPr>
          <w:rFonts w:ascii="Segoe UI" w:hAnsi="Segoe UI" w:cs="Segoe UI"/>
          <w:b/>
          <w:bCs/>
          <w:sz w:val="22"/>
          <w:szCs w:val="22"/>
          <w:lang w:val="hu"/>
        </w:rPr>
      </w:pPr>
      <w:r w:rsidRPr="00C31F37">
        <w:rPr>
          <w:rFonts w:ascii="Segoe UI" w:hAnsi="Segoe UI" w:cs="Segoe UI"/>
          <w:b/>
          <w:bCs/>
          <w:sz w:val="22"/>
          <w:szCs w:val="22"/>
          <w:lang w:val="hu"/>
        </w:rPr>
        <w:t xml:space="preserve">EBIT </w:t>
      </w:r>
      <w:proofErr w:type="spellStart"/>
      <w:r w:rsidRPr="00C31F37">
        <w:rPr>
          <w:rFonts w:ascii="Segoe UI" w:hAnsi="Segoe UI" w:cs="Segoe UI"/>
          <w:b/>
          <w:bCs/>
          <w:sz w:val="22"/>
          <w:szCs w:val="22"/>
          <w:lang w:val="hu"/>
        </w:rPr>
        <w:t>marzs</w:t>
      </w:r>
      <w:proofErr w:type="spellEnd"/>
      <w:r w:rsidRPr="00C31F37">
        <w:rPr>
          <w:rFonts w:ascii="Segoe UI" w:hAnsi="Segoe UI" w:cs="Segoe UI"/>
          <w:b/>
          <w:bCs/>
          <w:sz w:val="22"/>
          <w:szCs w:val="22"/>
          <w:lang w:val="hu"/>
        </w:rPr>
        <w:t>* 13,4 száz</w:t>
      </w:r>
      <w:r w:rsidR="00C31F37">
        <w:rPr>
          <w:rFonts w:ascii="Segoe UI" w:hAnsi="Segoe UI" w:cs="Segoe UI"/>
          <w:b/>
          <w:bCs/>
          <w:sz w:val="22"/>
          <w:szCs w:val="22"/>
          <w:lang w:val="hu"/>
        </w:rPr>
        <w:t>a</w:t>
      </w:r>
      <w:r w:rsidRPr="00C31F37">
        <w:rPr>
          <w:rFonts w:ascii="Segoe UI" w:hAnsi="Segoe UI" w:cs="Segoe UI"/>
          <w:b/>
          <w:bCs/>
          <w:sz w:val="22"/>
          <w:szCs w:val="22"/>
          <w:lang w:val="hu"/>
        </w:rPr>
        <w:t xml:space="preserve">lékon, -260 bázispont, </w:t>
      </w:r>
      <w:r w:rsidRPr="00C31F37">
        <w:rPr>
          <w:rFonts w:ascii="Segoe UI" w:hAnsi="Segoe UI" w:cs="Segoe UI"/>
          <w:b/>
          <w:bCs/>
          <w:sz w:val="22"/>
          <w:szCs w:val="22"/>
          <w:lang w:val="hu"/>
        </w:rPr>
        <w:br/>
        <w:t>amely 2,6 milliárd euró üzemi eredménynek felel meg</w:t>
      </w:r>
    </w:p>
    <w:p w14:paraId="449D726C" w14:textId="77777777" w:rsidR="00751576" w:rsidRPr="00C31F37" w:rsidRDefault="00751576" w:rsidP="00C31F37">
      <w:pPr>
        <w:pStyle w:val="Listaszerbekezds"/>
        <w:numPr>
          <w:ilvl w:val="1"/>
          <w:numId w:val="16"/>
        </w:numPr>
        <w:spacing w:after="80" w:line="266" w:lineRule="auto"/>
        <w:ind w:right="-108"/>
        <w:contextualSpacing w:val="0"/>
        <w:rPr>
          <w:rFonts w:ascii="Segoe UI" w:hAnsi="Segoe UI" w:cs="Segoe UI"/>
          <w:b/>
          <w:bCs/>
          <w:sz w:val="22"/>
          <w:szCs w:val="22"/>
          <w:lang w:val="hu"/>
        </w:rPr>
      </w:pPr>
      <w:r w:rsidRPr="00C31F37">
        <w:rPr>
          <w:rFonts w:ascii="Segoe UI" w:hAnsi="Segoe UI" w:cs="Segoe UI"/>
          <w:b/>
          <w:bCs/>
          <w:sz w:val="22"/>
          <w:szCs w:val="22"/>
          <w:lang w:val="hu"/>
        </w:rPr>
        <w:t>Az elsőbbségi részvények korrigált hozama (EPS)*: 4,26 euró,</w:t>
      </w:r>
      <w:r w:rsidRPr="00C31F37">
        <w:rPr>
          <w:rFonts w:ascii="Segoe UI" w:hAnsi="Segoe UI" w:cs="Segoe UI"/>
          <w:b/>
          <w:bCs/>
          <w:sz w:val="22"/>
          <w:szCs w:val="22"/>
          <w:lang w:val="hu"/>
        </w:rPr>
        <w:br/>
        <w:t xml:space="preserve">-17,9 százalék állandó árfolyamon </w:t>
      </w:r>
    </w:p>
    <w:p w14:paraId="673B838E" w14:textId="77777777" w:rsidR="00751576" w:rsidRPr="00C31F37" w:rsidRDefault="00751576" w:rsidP="00751576">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C31F37">
        <w:rPr>
          <w:rFonts w:ascii="Segoe UI" w:hAnsi="Segoe UI" w:cs="Segoe UI"/>
          <w:b/>
          <w:bCs/>
          <w:sz w:val="22"/>
          <w:szCs w:val="22"/>
          <w:lang w:val="hu"/>
        </w:rPr>
        <w:t xml:space="preserve">Nagyon erős, 2,3 milliárd euró szabad cash flow, </w:t>
      </w:r>
      <w:r w:rsidRPr="00C31F37">
        <w:rPr>
          <w:rFonts w:ascii="Segoe UI" w:hAnsi="Segoe UI" w:cs="Segoe UI"/>
          <w:sz w:val="22"/>
          <w:szCs w:val="22"/>
          <w:lang w:val="hu"/>
        </w:rPr>
        <w:br/>
      </w:r>
      <w:r w:rsidRPr="00C31F37">
        <w:rPr>
          <w:rFonts w:ascii="Segoe UI" w:hAnsi="Segoe UI" w:cs="Segoe UI"/>
          <w:b/>
          <w:bCs/>
          <w:sz w:val="22"/>
          <w:szCs w:val="22"/>
          <w:lang w:val="hu"/>
        </w:rPr>
        <w:t>a nettó pénzügyi helyzet jelentősen javult</w:t>
      </w:r>
    </w:p>
    <w:p w14:paraId="7132D51F" w14:textId="77777777" w:rsidR="00751576" w:rsidRPr="00C31F37" w:rsidRDefault="00751576" w:rsidP="00751576">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C31F37">
        <w:rPr>
          <w:rFonts w:ascii="Segoe UI" w:hAnsi="Segoe UI" w:cs="Segoe UI"/>
          <w:b/>
          <w:bCs/>
          <w:sz w:val="22"/>
          <w:szCs w:val="22"/>
          <w:lang w:val="hu"/>
        </w:rPr>
        <w:t>Javasolt osztalék az előző év szintjén: 1,85 euro elsőbbségi részvényenként</w:t>
      </w:r>
    </w:p>
    <w:p w14:paraId="4626EDBD" w14:textId="77777777" w:rsidR="00751576" w:rsidRPr="00C31F37" w:rsidRDefault="00751576" w:rsidP="00751576">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C31F37">
        <w:rPr>
          <w:rFonts w:ascii="Segoe UI" w:hAnsi="Segoe UI" w:cs="Segoe UI"/>
          <w:b/>
          <w:bCs/>
          <w:sz w:val="22"/>
          <w:szCs w:val="22"/>
          <w:lang w:val="hu"/>
        </w:rPr>
        <w:t xml:space="preserve">A célzott növekedés akciótervének végrehajtása a megfelelő mederben halad, </w:t>
      </w:r>
      <w:r w:rsidRPr="00C31F37">
        <w:rPr>
          <w:rFonts w:ascii="Segoe UI" w:hAnsi="Segoe UI" w:cs="Segoe UI"/>
          <w:sz w:val="22"/>
          <w:szCs w:val="22"/>
          <w:lang w:val="hu"/>
        </w:rPr>
        <w:br/>
      </w:r>
      <w:r w:rsidRPr="00C31F37">
        <w:rPr>
          <w:rFonts w:ascii="Segoe UI" w:hAnsi="Segoe UI" w:cs="Segoe UI"/>
          <w:b/>
          <w:bCs/>
          <w:sz w:val="22"/>
          <w:szCs w:val="22"/>
          <w:lang w:val="hu"/>
        </w:rPr>
        <w:t xml:space="preserve">világos ütemterv a további végrehajtáshoz 2021-ben és azon túl </w:t>
      </w:r>
    </w:p>
    <w:p w14:paraId="5E7B3FA7" w14:textId="77777777" w:rsidR="00751576" w:rsidRPr="00C31F37" w:rsidRDefault="00751576" w:rsidP="00751576">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C31F37">
        <w:rPr>
          <w:rFonts w:ascii="Segoe UI" w:hAnsi="Segoe UI" w:cs="Segoe UI"/>
          <w:b/>
          <w:bCs/>
          <w:sz w:val="22"/>
          <w:szCs w:val="22"/>
          <w:lang w:val="hu"/>
        </w:rPr>
        <w:t xml:space="preserve">2021-es kilátások: </w:t>
      </w:r>
    </w:p>
    <w:p w14:paraId="3945DB43" w14:textId="77777777" w:rsidR="00751576" w:rsidRPr="00C31F37" w:rsidRDefault="00751576" w:rsidP="00C31F37">
      <w:pPr>
        <w:pStyle w:val="Listaszerbekezds"/>
        <w:numPr>
          <w:ilvl w:val="1"/>
          <w:numId w:val="17"/>
        </w:numPr>
        <w:spacing w:after="80" w:line="266" w:lineRule="auto"/>
        <w:ind w:right="-108"/>
        <w:contextualSpacing w:val="0"/>
        <w:rPr>
          <w:rFonts w:ascii="Segoe UI" w:hAnsi="Segoe UI" w:cs="Segoe UI"/>
          <w:b/>
          <w:sz w:val="22"/>
          <w:szCs w:val="22"/>
        </w:rPr>
      </w:pPr>
      <w:r w:rsidRPr="00C31F37">
        <w:rPr>
          <w:rFonts w:ascii="Segoe UI" w:hAnsi="Segoe UI" w:cs="Segoe UI"/>
          <w:b/>
          <w:bCs/>
          <w:sz w:val="22"/>
          <w:szCs w:val="22"/>
          <w:lang w:val="hu"/>
        </w:rPr>
        <w:t>Szerves árbevétel-növekedés: 2,0-5,0 százalék</w:t>
      </w:r>
    </w:p>
    <w:p w14:paraId="47F95AE7" w14:textId="77777777" w:rsidR="00751576" w:rsidRPr="00C31F37" w:rsidRDefault="00751576" w:rsidP="00C31F37">
      <w:pPr>
        <w:pStyle w:val="Listaszerbekezds"/>
        <w:numPr>
          <w:ilvl w:val="1"/>
          <w:numId w:val="17"/>
        </w:numPr>
        <w:spacing w:after="80" w:line="266" w:lineRule="auto"/>
        <w:ind w:right="-108"/>
        <w:contextualSpacing w:val="0"/>
        <w:rPr>
          <w:rFonts w:ascii="Segoe UI" w:hAnsi="Segoe UI" w:cs="Segoe UI"/>
          <w:b/>
          <w:sz w:val="22"/>
          <w:szCs w:val="22"/>
        </w:rPr>
      </w:pPr>
      <w:r w:rsidRPr="00C31F37">
        <w:rPr>
          <w:rFonts w:ascii="Segoe UI" w:hAnsi="Segoe UI" w:cs="Segoe UI"/>
          <w:b/>
          <w:bCs/>
          <w:sz w:val="22"/>
          <w:szCs w:val="22"/>
          <w:lang w:val="hu"/>
        </w:rPr>
        <w:t xml:space="preserve">EBIT </w:t>
      </w:r>
      <w:proofErr w:type="spellStart"/>
      <w:r w:rsidRPr="00C31F37">
        <w:rPr>
          <w:rFonts w:ascii="Segoe UI" w:hAnsi="Segoe UI" w:cs="Segoe UI"/>
          <w:b/>
          <w:bCs/>
          <w:sz w:val="22"/>
          <w:szCs w:val="22"/>
          <w:lang w:val="hu"/>
        </w:rPr>
        <w:t>marzs</w:t>
      </w:r>
      <w:proofErr w:type="spellEnd"/>
      <w:r w:rsidRPr="00C31F37">
        <w:rPr>
          <w:rFonts w:ascii="Segoe UI" w:hAnsi="Segoe UI" w:cs="Segoe UI"/>
          <w:b/>
          <w:bCs/>
          <w:sz w:val="22"/>
          <w:szCs w:val="22"/>
          <w:lang w:val="hu"/>
        </w:rPr>
        <w:t>*: 13,5-14,5 százalék</w:t>
      </w:r>
    </w:p>
    <w:p w14:paraId="44212749" w14:textId="77777777" w:rsidR="00751576" w:rsidRPr="002D5526" w:rsidRDefault="00751576" w:rsidP="00C31F37">
      <w:pPr>
        <w:pStyle w:val="Listaszerbekezds"/>
        <w:numPr>
          <w:ilvl w:val="1"/>
          <w:numId w:val="17"/>
        </w:numPr>
        <w:spacing w:after="80" w:line="266" w:lineRule="auto"/>
        <w:ind w:right="-108"/>
        <w:contextualSpacing w:val="0"/>
        <w:rPr>
          <w:rFonts w:cs="Cambria"/>
          <w:b/>
          <w:szCs w:val="22"/>
        </w:rPr>
      </w:pPr>
      <w:r w:rsidRPr="00C31F37">
        <w:rPr>
          <w:rFonts w:ascii="Segoe UI" w:hAnsi="Segoe UI" w:cs="Segoe UI"/>
          <w:b/>
          <w:bCs/>
          <w:sz w:val="22"/>
          <w:szCs w:val="22"/>
          <w:lang w:val="hu"/>
        </w:rPr>
        <w:t>Az elsőbbségi részvények korrigált hozama (EPS)*: 5,0 és 15,0 százalék közötti növekedés, állandó árfolyamon</w:t>
      </w:r>
    </w:p>
    <w:bookmarkEnd w:id="0"/>
    <w:p w14:paraId="30BE0C0B" w14:textId="234B57EF" w:rsidR="00336469" w:rsidRDefault="00336469" w:rsidP="00336469">
      <w:pPr>
        <w:rPr>
          <w:rFonts w:ascii="Segoe UI" w:hAnsi="Segoe UI" w:cs="Segoe UI"/>
          <w:szCs w:val="22"/>
        </w:rPr>
      </w:pPr>
    </w:p>
    <w:p w14:paraId="1C793123" w14:textId="705EBFDD" w:rsidR="00C31F37" w:rsidRDefault="00C31F37" w:rsidP="00336469">
      <w:pPr>
        <w:rPr>
          <w:rFonts w:ascii="Segoe UI" w:hAnsi="Segoe UI" w:cs="Segoe UI"/>
          <w:szCs w:val="22"/>
        </w:rPr>
      </w:pPr>
    </w:p>
    <w:p w14:paraId="7DF36B4E" w14:textId="7C51366A" w:rsidR="00C31F37" w:rsidRDefault="00C31F37" w:rsidP="00336469">
      <w:pPr>
        <w:rPr>
          <w:rFonts w:ascii="Segoe UI" w:hAnsi="Segoe UI" w:cs="Segoe UI"/>
          <w:szCs w:val="22"/>
        </w:rPr>
      </w:pPr>
      <w:r>
        <w:rPr>
          <w:rFonts w:ascii="Segoe UI" w:hAnsi="Segoe UI" w:cs="Segoe UI"/>
          <w:noProof/>
          <w:szCs w:val="22"/>
        </w:rPr>
        <w:drawing>
          <wp:inline distT="0" distB="0" distL="0" distR="0" wp14:anchorId="00048501" wp14:editId="7950EE8D">
            <wp:extent cx="3601062" cy="189914"/>
            <wp:effectExtent l="0" t="0" r="0" b="63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3234" cy="193193"/>
                    </a:xfrm>
                    <a:prstGeom prst="rect">
                      <a:avLst/>
                    </a:prstGeom>
                    <a:noFill/>
                  </pic:spPr>
                </pic:pic>
              </a:graphicData>
            </a:graphic>
          </wp:inline>
        </w:drawing>
      </w:r>
    </w:p>
    <w:p w14:paraId="0C79F155" w14:textId="7629B998" w:rsidR="00C31F37" w:rsidRDefault="00C31F37" w:rsidP="00336469">
      <w:pPr>
        <w:rPr>
          <w:rFonts w:ascii="Segoe UI" w:hAnsi="Segoe UI" w:cs="Segoe UI"/>
          <w:szCs w:val="22"/>
        </w:rPr>
      </w:pPr>
      <w:r>
        <w:rPr>
          <w:rFonts w:ascii="Segoe UI" w:hAnsi="Segoe UI" w:cs="Segoe UI"/>
          <w:noProof/>
          <w:szCs w:val="22"/>
        </w:rPr>
        <mc:AlternateContent>
          <mc:Choice Requires="wps">
            <w:drawing>
              <wp:anchor distT="45720" distB="45720" distL="114300" distR="114300" simplePos="0" relativeHeight="251658240" behindDoc="0" locked="0" layoutInCell="1" allowOverlap="1" wp14:anchorId="3D47BA54" wp14:editId="00A93382">
                <wp:simplePos x="0" y="0"/>
                <wp:positionH relativeFrom="margin">
                  <wp:align>left</wp:align>
                </wp:positionH>
                <wp:positionV relativeFrom="paragraph">
                  <wp:posOffset>10285095</wp:posOffset>
                </wp:positionV>
                <wp:extent cx="4683760" cy="241300"/>
                <wp:effectExtent l="0" t="0" r="2540" b="635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984BF" w14:textId="77777777" w:rsidR="00C31F37" w:rsidRPr="00ED5A2D" w:rsidRDefault="00C31F37" w:rsidP="00C31F37">
                            <w:pPr>
                              <w:autoSpaceDE w:val="0"/>
                              <w:autoSpaceDN w:val="0"/>
                              <w:adjustRightInd w:val="0"/>
                              <w:spacing w:line="240" w:lineRule="auto"/>
                            </w:pPr>
                            <w:r>
                              <w:rPr>
                                <w:sz w:val="16"/>
                                <w:szCs w:val="16"/>
                                <w:lang w:val="hu"/>
                              </w:rPr>
                              <w:t>* Az egyszeri költségekkel és bevétellel, valamint a szerkezetátalakítási költségekkel kiigazítva.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47BA54" id="_x0000_t202" coordsize="21600,21600" o:spt="202" path="m,l,21600r21600,l21600,xe">
                <v:stroke joinstyle="miter"/>
                <v:path gradientshapeok="t" o:connecttype="rect"/>
              </v:shapetype>
              <v:shape id="Szövegdoboz 3" o:spid="_x0000_s1026" type="#_x0000_t202" style="position:absolute;margin-left:0;margin-top:809.85pt;width:368.8pt;height:19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" stroked="f">
                <v:textbox>
                  <w:txbxContent>
                    <w:p w14:paraId="633984BF" w14:textId="77777777" w:rsidR="00C31F37" w:rsidRPr="00ED5A2D" w:rsidRDefault="00C31F37" w:rsidP="00C31F37">
                      <w:pPr>
                        <w:autoSpaceDE w:val="0"/>
                        <w:autoSpaceDN w:val="0"/>
                        <w:adjustRightInd w:val="0"/>
                        <w:spacing w:line="240" w:lineRule="auto"/>
                      </w:pPr>
                      <w:r>
                        <w:rPr>
                          <w:sz w:val="16"/>
                          <w:szCs w:val="16"/>
                          <w:lang w:val="hu"/>
                        </w:rPr>
                        <w:t>* Az egyszeri költségekkel és bevétellel, valamint a szerkezetátalakítási költségekkel kiigazítva.</w:t>
                      </w:r>
                    </w:p>
                  </w:txbxContent>
                </v:textbox>
                <w10:wrap anchorx="margin"/>
              </v:shape>
            </w:pict>
          </mc:Fallback>
        </mc:AlternateContent>
      </w:r>
    </w:p>
    <w:p w14:paraId="4BEA8B27" w14:textId="52AC1099" w:rsidR="00C31F37" w:rsidRPr="00A561C8" w:rsidRDefault="00C31F37" w:rsidP="00A561C8">
      <w:pPr>
        <w:spacing w:line="276" w:lineRule="auto"/>
        <w:jc w:val="both"/>
        <w:rPr>
          <w:rFonts w:ascii="Segoe UI" w:hAnsi="Segoe UI" w:cs="Segoe UI"/>
          <w:b/>
          <w:bCs/>
          <w:sz w:val="22"/>
          <w:szCs w:val="22"/>
          <w:lang w:val="hu-HU"/>
        </w:rPr>
      </w:pPr>
      <w:r w:rsidRPr="00A561C8">
        <w:rPr>
          <w:rFonts w:ascii="Segoe UI" w:hAnsi="Segoe UI" w:cs="Segoe UI"/>
          <w:b/>
          <w:bCs/>
          <w:sz w:val="22"/>
          <w:szCs w:val="22"/>
          <w:lang w:val="hu-HU"/>
        </w:rPr>
        <w:lastRenderedPageBreak/>
        <w:t xml:space="preserve">Düsseldorf - „Annak ellenére, hogy a globális gazdaság a COVID-19 járvány következtében visszaesett, 2020-ban minden üzletágban átfogó, megbízható teljesítményt nyújtottunk. Az egész év során üzleti eredményeink az előrejelzésünk felső szegmensében voltak. Kiegyensúlyozott portfóliónknak, sikeres innovációinknak és pénzügyi erőnknek, valamint munkatársaink kiemelkedő elkötelezettségének köszönhetően értük ezt el világszerte. Szeretném megköszönni mindannyiuknak ebben a valóban kihívásokkal teli évben nyújtott kitűnő hozzájárulást” – mondta </w:t>
      </w:r>
      <w:proofErr w:type="spellStart"/>
      <w:r w:rsidRPr="00A561C8">
        <w:rPr>
          <w:rFonts w:ascii="Segoe UI" w:hAnsi="Segoe UI" w:cs="Segoe UI"/>
          <w:b/>
          <w:bCs/>
          <w:sz w:val="22"/>
          <w:szCs w:val="22"/>
          <w:lang w:val="hu-HU"/>
        </w:rPr>
        <w:t>Carsten</w:t>
      </w:r>
      <w:proofErr w:type="spellEnd"/>
      <w:r w:rsidRPr="00A561C8">
        <w:rPr>
          <w:rFonts w:ascii="Segoe UI" w:hAnsi="Segoe UI" w:cs="Segoe UI"/>
          <w:b/>
          <w:bCs/>
          <w:sz w:val="22"/>
          <w:szCs w:val="22"/>
          <w:lang w:val="hu-HU"/>
        </w:rPr>
        <w:t xml:space="preserve"> </w:t>
      </w:r>
      <w:proofErr w:type="spellStart"/>
      <w:r w:rsidRPr="00A561C8">
        <w:rPr>
          <w:rFonts w:ascii="Segoe UI" w:hAnsi="Segoe UI" w:cs="Segoe UI"/>
          <w:b/>
          <w:bCs/>
          <w:sz w:val="22"/>
          <w:szCs w:val="22"/>
          <w:lang w:val="hu-HU"/>
        </w:rPr>
        <w:t>Knobel</w:t>
      </w:r>
      <w:proofErr w:type="spellEnd"/>
      <w:r w:rsidRPr="00A561C8">
        <w:rPr>
          <w:rFonts w:ascii="Segoe UI" w:hAnsi="Segoe UI" w:cs="Segoe UI"/>
          <w:b/>
          <w:bCs/>
          <w:sz w:val="22"/>
          <w:szCs w:val="22"/>
          <w:lang w:val="hu-HU"/>
        </w:rPr>
        <w:t xml:space="preserve">, a Henkel igazgatóságának elnöke. </w:t>
      </w:r>
    </w:p>
    <w:p w14:paraId="7FE92491" w14:textId="77777777" w:rsidR="00C31F37" w:rsidRPr="00A561C8" w:rsidRDefault="00C31F37" w:rsidP="00A561C8">
      <w:pPr>
        <w:spacing w:line="276" w:lineRule="auto"/>
        <w:jc w:val="both"/>
        <w:rPr>
          <w:rFonts w:ascii="Segoe UI" w:hAnsi="Segoe UI" w:cs="Segoe UI"/>
          <w:b/>
          <w:bCs/>
          <w:sz w:val="22"/>
          <w:szCs w:val="22"/>
          <w:lang w:val="hu-HU"/>
        </w:rPr>
      </w:pPr>
    </w:p>
    <w:p w14:paraId="2E2CC0DE" w14:textId="25FCA571" w:rsidR="00C31F37" w:rsidRPr="00A561C8" w:rsidRDefault="00C31F37" w:rsidP="00A561C8">
      <w:pPr>
        <w:spacing w:line="276" w:lineRule="auto"/>
        <w:jc w:val="both"/>
        <w:rPr>
          <w:rFonts w:ascii="Segoe UI" w:hAnsi="Segoe UI" w:cs="Segoe UI"/>
          <w:b/>
          <w:bCs/>
          <w:sz w:val="22"/>
          <w:szCs w:val="22"/>
          <w:lang w:val="hu-HU"/>
        </w:rPr>
      </w:pPr>
      <w:r w:rsidRPr="00A561C8">
        <w:rPr>
          <w:rFonts w:ascii="Segoe UI" w:hAnsi="Segoe UI" w:cs="Segoe UI"/>
          <w:b/>
          <w:bCs/>
          <w:sz w:val="22"/>
          <w:szCs w:val="22"/>
          <w:lang w:val="hu-HU"/>
        </w:rPr>
        <w:t>„19,3 milliárd eurós árbevételt könyvelhettünk el, amely szerves értelemben valamivel elmarad az előző évi szinttől, és nyereséges üzleti tevékenységet tartottunk fenn, 13,4 százalékos korrigált EBIT-</w:t>
      </w:r>
      <w:proofErr w:type="spellStart"/>
      <w:r w:rsidRPr="00A561C8">
        <w:rPr>
          <w:rFonts w:ascii="Segoe UI" w:hAnsi="Segoe UI" w:cs="Segoe UI"/>
          <w:b/>
          <w:bCs/>
          <w:sz w:val="22"/>
          <w:szCs w:val="22"/>
          <w:lang w:val="hu-HU"/>
        </w:rPr>
        <w:t>marzs</w:t>
      </w:r>
      <w:proofErr w:type="spellEnd"/>
      <w:r w:rsidRPr="00A561C8">
        <w:rPr>
          <w:rFonts w:ascii="Segoe UI" w:hAnsi="Segoe UI" w:cs="Segoe UI"/>
          <w:b/>
          <w:bCs/>
          <w:sz w:val="22"/>
          <w:szCs w:val="22"/>
          <w:lang w:val="hu-HU"/>
        </w:rPr>
        <w:t xml:space="preserve"> mellett. Ezenkívül nagyon erős, 2,3 milliárd eurót meghaladó szabad cash flow-t termeltünk, szinte az előző év rekordszintjén. Ezen robusztus eredmények és az erős pénzügyi bázisunk alapján stabil osztalékot javaslunk részvényeseinknek a közelgő éves közgyűlésen. Az elmúlt 35 év tőzsdei részvétel</w:t>
      </w:r>
      <w:r w:rsidR="005234A3">
        <w:rPr>
          <w:rFonts w:ascii="Segoe UI" w:hAnsi="Segoe UI" w:cs="Segoe UI"/>
          <w:b/>
          <w:bCs/>
          <w:sz w:val="22"/>
          <w:szCs w:val="22"/>
          <w:lang w:val="hu-HU"/>
        </w:rPr>
        <w:t xml:space="preserve"> alatt</w:t>
      </w:r>
      <w:r w:rsidRPr="00A561C8">
        <w:rPr>
          <w:rFonts w:ascii="Segoe UI" w:hAnsi="Segoe UI" w:cs="Segoe UI"/>
          <w:b/>
          <w:bCs/>
          <w:sz w:val="22"/>
          <w:szCs w:val="22"/>
          <w:lang w:val="hu-HU"/>
        </w:rPr>
        <w:t xml:space="preserve">, a Henkel mindig olyan osztalékot fizetett, amely meghaladta az előző évit vagy legalábbis egy szinten volt az előző évivel” – tette hozzá </w:t>
      </w:r>
      <w:proofErr w:type="spellStart"/>
      <w:r w:rsidRPr="00A561C8">
        <w:rPr>
          <w:rFonts w:ascii="Segoe UI" w:hAnsi="Segoe UI" w:cs="Segoe UI"/>
          <w:b/>
          <w:bCs/>
          <w:sz w:val="22"/>
          <w:szCs w:val="22"/>
          <w:lang w:val="hu-HU"/>
        </w:rPr>
        <w:t>Knobel</w:t>
      </w:r>
      <w:proofErr w:type="spellEnd"/>
      <w:r w:rsidRPr="00A561C8">
        <w:rPr>
          <w:rFonts w:ascii="Segoe UI" w:hAnsi="Segoe UI" w:cs="Segoe UI"/>
          <w:b/>
          <w:bCs/>
          <w:sz w:val="22"/>
          <w:szCs w:val="22"/>
          <w:lang w:val="hu-HU"/>
        </w:rPr>
        <w:t xml:space="preserve">. </w:t>
      </w:r>
    </w:p>
    <w:p w14:paraId="05EFD799" w14:textId="77777777" w:rsidR="00C31F37" w:rsidRPr="00A561C8" w:rsidRDefault="00C31F37" w:rsidP="00A561C8">
      <w:pPr>
        <w:spacing w:line="276" w:lineRule="auto"/>
        <w:rPr>
          <w:rFonts w:ascii="Segoe UI" w:hAnsi="Segoe UI" w:cs="Segoe UI"/>
          <w:sz w:val="22"/>
          <w:szCs w:val="22"/>
          <w:lang w:val="hu-HU"/>
        </w:rPr>
      </w:pPr>
    </w:p>
    <w:p w14:paraId="5D2EBEFB" w14:textId="77777777" w:rsidR="00C31F37" w:rsidRPr="00A561C8" w:rsidRDefault="00C31F37" w:rsidP="00A561C8">
      <w:pPr>
        <w:spacing w:line="276" w:lineRule="auto"/>
        <w:jc w:val="both"/>
        <w:rPr>
          <w:rFonts w:ascii="Segoe UI" w:hAnsi="Segoe UI" w:cs="Segoe UI"/>
          <w:b/>
          <w:bCs/>
          <w:sz w:val="22"/>
          <w:szCs w:val="22"/>
          <w:lang w:val="hu-HU"/>
        </w:rPr>
      </w:pPr>
      <w:r w:rsidRPr="00A561C8">
        <w:rPr>
          <w:rFonts w:ascii="Segoe UI" w:hAnsi="Segoe UI" w:cs="Segoe UI"/>
          <w:b/>
          <w:bCs/>
          <w:sz w:val="22"/>
          <w:szCs w:val="22"/>
          <w:lang w:val="hu-HU"/>
        </w:rPr>
        <w:t>„A COVID-19 válság idején rugalmasan és gyorsan alkalmazkodtunk piacaink változásaihoz, és munkatársaink biztonsága volt a legfontosabb prioritás. Ugyanakkor sikeresen elindíthattuk és irányíthattuk stratégiai akciótervünket az összes pilléren: nyerő portfólió kialakításában, versenyképességünk megerősítésében a hatásos innovációk felgyorsításával, a fenntarthatóság még további, minden tevékenységünkbe történő szilárd integrálásával, és a digitális átalakulás előmozdításával valamint a jövőre felkészített működési modellek biztosításával. De ami a legfontosabb számomra, megerősítettük együttműködési kultúránkat, és erőteljes lendületet generáltunk a változásokhoz, amelyek lehetővé teszik számunkra a kiváló teljesítmény és a céltudatos növekedés elérését – ügyfeleink és fogyasztóink, vállalatunk, munkatársaink és részvényeseink, valamint a társadalom és a bolygó számára.”</w:t>
      </w:r>
    </w:p>
    <w:p w14:paraId="65617813" w14:textId="77777777" w:rsidR="00C31F37" w:rsidRPr="00A561C8" w:rsidRDefault="00C31F37" w:rsidP="00A561C8">
      <w:pPr>
        <w:spacing w:line="276" w:lineRule="auto"/>
        <w:jc w:val="both"/>
        <w:rPr>
          <w:rFonts w:ascii="Segoe UI" w:hAnsi="Segoe UI" w:cs="Segoe UI"/>
          <w:b/>
          <w:bCs/>
          <w:sz w:val="22"/>
          <w:szCs w:val="22"/>
          <w:lang w:val="hu-HU"/>
        </w:rPr>
      </w:pPr>
    </w:p>
    <w:p w14:paraId="2A322B02" w14:textId="2E0594CD" w:rsidR="00751576" w:rsidRPr="00A561C8" w:rsidRDefault="00C31F37" w:rsidP="00A561C8">
      <w:pPr>
        <w:spacing w:line="276" w:lineRule="auto"/>
        <w:jc w:val="both"/>
        <w:rPr>
          <w:rFonts w:ascii="Segoe UI" w:hAnsi="Segoe UI" w:cs="Segoe UI"/>
          <w:b/>
          <w:bCs/>
          <w:sz w:val="22"/>
          <w:szCs w:val="22"/>
          <w:lang w:val="hu-HU"/>
        </w:rPr>
      </w:pPr>
      <w:r w:rsidRPr="00A561C8">
        <w:rPr>
          <w:rFonts w:ascii="Segoe UI" w:hAnsi="Segoe UI" w:cs="Segoe UI"/>
          <w:b/>
          <w:bCs/>
          <w:sz w:val="22"/>
          <w:szCs w:val="22"/>
          <w:lang w:val="hu-HU"/>
        </w:rPr>
        <w:t>Az Adhesive Technologies üzletág az előző év szintje alatti árbevételről számolt be, ami a kulcsfontosságú iparágak részéről a kereslet jelentős csökkenését tükrözi. A portfólió szélességének és a sikeres innovatív megoldásoknak köszönhetően azonban az üzletág bebizonyította szilárdságát a globális gazdasági visszaesés ellenére.</w:t>
      </w:r>
    </w:p>
    <w:p w14:paraId="22E6BAE4" w14:textId="089C94A6" w:rsidR="00751576" w:rsidRPr="00A561C8" w:rsidRDefault="00751576" w:rsidP="00A561C8">
      <w:pPr>
        <w:spacing w:line="276" w:lineRule="auto"/>
        <w:jc w:val="both"/>
        <w:rPr>
          <w:rFonts w:ascii="Segoe UI" w:hAnsi="Segoe UI" w:cs="Segoe UI"/>
          <w:b/>
          <w:bCs/>
          <w:sz w:val="22"/>
          <w:szCs w:val="22"/>
          <w:lang w:val="hu-HU"/>
        </w:rPr>
      </w:pPr>
    </w:p>
    <w:p w14:paraId="4BC92E43" w14:textId="77777777" w:rsidR="00C31F37" w:rsidRPr="005234A3" w:rsidRDefault="00C31F37" w:rsidP="00A561C8">
      <w:pPr>
        <w:spacing w:line="276" w:lineRule="auto"/>
        <w:jc w:val="both"/>
        <w:rPr>
          <w:rFonts w:ascii="Segoe UI" w:hAnsi="Segoe UI" w:cs="Segoe UI"/>
          <w:b/>
          <w:bCs/>
          <w:sz w:val="22"/>
          <w:szCs w:val="22"/>
          <w:lang w:val="hu-HU"/>
        </w:rPr>
      </w:pPr>
      <w:r w:rsidRPr="005234A3">
        <w:rPr>
          <w:rFonts w:ascii="Segoe UI" w:hAnsi="Segoe UI" w:cs="Segoe UI"/>
          <w:b/>
          <w:bCs/>
          <w:sz w:val="22"/>
          <w:szCs w:val="22"/>
          <w:lang w:val="hu-HU"/>
        </w:rPr>
        <w:t xml:space="preserve">A Beauty Care szerves árbevételének alakulása az előző évi szint alatt maradt, amelyet a kényszerbezárások miatt a Fodrász Szalon tevékenysége erősen befolyásolt, míg a kiskereskedelmi üzlet jó növekedést ért el, amelyet a csúcsmárkák sikeres fejlesztése, </w:t>
      </w:r>
      <w:r w:rsidRPr="005234A3">
        <w:rPr>
          <w:rFonts w:ascii="Segoe UI" w:hAnsi="Segoe UI" w:cs="Segoe UI"/>
          <w:b/>
          <w:bCs/>
          <w:sz w:val="22"/>
          <w:szCs w:val="22"/>
          <w:lang w:val="hu-HU"/>
        </w:rPr>
        <w:lastRenderedPageBreak/>
        <w:t xml:space="preserve">valamint a legfontosabb fogyasztói trendeket megcélzó új termékbevezetések támogattak. </w:t>
      </w:r>
    </w:p>
    <w:p w14:paraId="00008D98" w14:textId="77777777" w:rsidR="00C31F37" w:rsidRPr="005234A3" w:rsidRDefault="00C31F37" w:rsidP="00A561C8">
      <w:pPr>
        <w:spacing w:line="276" w:lineRule="auto"/>
        <w:jc w:val="both"/>
        <w:rPr>
          <w:rFonts w:ascii="Segoe UI" w:hAnsi="Segoe UI" w:cs="Segoe UI"/>
          <w:b/>
          <w:bCs/>
          <w:sz w:val="22"/>
          <w:szCs w:val="22"/>
          <w:lang w:val="hu-HU"/>
        </w:rPr>
      </w:pPr>
    </w:p>
    <w:p w14:paraId="3044BE1C" w14:textId="77777777" w:rsidR="00C31F37" w:rsidRPr="005234A3" w:rsidRDefault="00C31F37" w:rsidP="00A561C8">
      <w:pPr>
        <w:spacing w:line="276" w:lineRule="auto"/>
        <w:jc w:val="both"/>
        <w:rPr>
          <w:rFonts w:ascii="Segoe UI" w:hAnsi="Segoe UI" w:cs="Segoe UI"/>
          <w:b/>
          <w:bCs/>
          <w:sz w:val="22"/>
          <w:szCs w:val="22"/>
          <w:lang w:val="hu-HU"/>
        </w:rPr>
      </w:pPr>
      <w:r w:rsidRPr="005234A3">
        <w:rPr>
          <w:rFonts w:ascii="Segoe UI" w:hAnsi="Segoe UI" w:cs="Segoe UI"/>
          <w:b/>
          <w:bCs/>
          <w:sz w:val="22"/>
          <w:szCs w:val="22"/>
          <w:lang w:val="hu-HU"/>
        </w:rPr>
        <w:t xml:space="preserve">A Laundry &amp; Home Care üzletág nagyon erőteljes szerves árbevétel-növekedést ért el, köszönhetően mind a higiéniai termékek iránti kereslet növekedésének, mind pedig a sikeres innovációknak, amelyek a fenntarthatóbb termékek iránti megnövekedett keresletet is szolgálták. </w:t>
      </w:r>
    </w:p>
    <w:p w14:paraId="583E135C" w14:textId="77777777" w:rsidR="00C31F37" w:rsidRPr="00A561C8" w:rsidRDefault="00C31F37" w:rsidP="00A561C8">
      <w:pPr>
        <w:spacing w:line="276" w:lineRule="auto"/>
        <w:jc w:val="both"/>
        <w:rPr>
          <w:rFonts w:ascii="Segoe UI" w:hAnsi="Segoe UI" w:cs="Segoe UI"/>
          <w:sz w:val="22"/>
          <w:szCs w:val="22"/>
          <w:lang w:val="hu-HU"/>
        </w:rPr>
      </w:pPr>
    </w:p>
    <w:p w14:paraId="60799A38" w14:textId="77777777" w:rsidR="00C31F37" w:rsidRPr="005234A3" w:rsidRDefault="00C31F37" w:rsidP="00A561C8">
      <w:pPr>
        <w:spacing w:line="276" w:lineRule="auto"/>
        <w:jc w:val="both"/>
        <w:rPr>
          <w:rFonts w:ascii="Segoe UI" w:hAnsi="Segoe UI" w:cs="Segoe UI"/>
          <w:b/>
          <w:bCs/>
          <w:sz w:val="22"/>
          <w:szCs w:val="22"/>
          <w:lang w:val="hu-HU"/>
        </w:rPr>
      </w:pPr>
      <w:r w:rsidRPr="005234A3">
        <w:rPr>
          <w:rFonts w:ascii="Segoe UI" w:hAnsi="Segoe UI" w:cs="Segoe UI"/>
          <w:b/>
          <w:bCs/>
          <w:sz w:val="22"/>
          <w:szCs w:val="22"/>
          <w:lang w:val="hu-HU"/>
        </w:rPr>
        <w:t xml:space="preserve">Miután a járvány és az ehhez kapcsoló leállások súlyosan érintették az árbevételt a második negyedévben az Adhesive Technologies és a Beauty Care üzletágban, 2020 második felében mindhárom üzletág jó szerves növekedést jelentett az előző évhez képest. A fogyasztási cikkekkel foglalkozó üzletágak, a Beauty Care és a Laundry &amp; Home Care fejlesztését a márkákba, az innovációkba és a digitalizációba eszközölt megnövekedett beruházások is támogatták. </w:t>
      </w:r>
    </w:p>
    <w:p w14:paraId="341E4277" w14:textId="77777777" w:rsidR="00C31F37" w:rsidRPr="005234A3" w:rsidRDefault="00C31F37" w:rsidP="00A561C8">
      <w:pPr>
        <w:spacing w:line="276" w:lineRule="auto"/>
        <w:jc w:val="both"/>
        <w:rPr>
          <w:rFonts w:ascii="Segoe UI" w:hAnsi="Segoe UI" w:cs="Segoe UI"/>
          <w:b/>
          <w:bCs/>
          <w:sz w:val="22"/>
          <w:szCs w:val="22"/>
          <w:lang w:val="hu-HU"/>
        </w:rPr>
      </w:pPr>
    </w:p>
    <w:p w14:paraId="07E8AD32" w14:textId="77777777" w:rsidR="00C31F37" w:rsidRPr="005234A3" w:rsidRDefault="00C31F37" w:rsidP="00A561C8">
      <w:pPr>
        <w:spacing w:line="276" w:lineRule="auto"/>
        <w:jc w:val="both"/>
        <w:rPr>
          <w:rFonts w:ascii="Segoe UI" w:hAnsi="Segoe UI" w:cs="Segoe UI"/>
          <w:b/>
          <w:bCs/>
          <w:sz w:val="22"/>
          <w:szCs w:val="22"/>
          <w:lang w:val="hu-HU"/>
        </w:rPr>
      </w:pPr>
      <w:r w:rsidRPr="005234A3">
        <w:rPr>
          <w:rFonts w:ascii="Segoe UI" w:hAnsi="Segoe UI" w:cs="Segoe UI"/>
          <w:b/>
          <w:bCs/>
          <w:sz w:val="22"/>
          <w:szCs w:val="22"/>
          <w:lang w:val="hu-HU"/>
        </w:rPr>
        <w:t xml:space="preserve">Csoportszinten a korrigált üzemi eredmény (EBIT) -19,9 százalékkal, 2,6 milliárd euróra csökkent. A korrigált árbevétel-arányos megtérülés (EBIT </w:t>
      </w:r>
      <w:proofErr w:type="spellStart"/>
      <w:r w:rsidRPr="005234A3">
        <w:rPr>
          <w:rFonts w:ascii="Segoe UI" w:hAnsi="Segoe UI" w:cs="Segoe UI"/>
          <w:b/>
          <w:bCs/>
          <w:sz w:val="22"/>
          <w:szCs w:val="22"/>
          <w:lang w:val="hu-HU"/>
        </w:rPr>
        <w:t>marzs</w:t>
      </w:r>
      <w:proofErr w:type="spellEnd"/>
      <w:r w:rsidRPr="005234A3">
        <w:rPr>
          <w:rFonts w:ascii="Segoe UI" w:hAnsi="Segoe UI" w:cs="Segoe UI"/>
          <w:b/>
          <w:bCs/>
          <w:sz w:val="22"/>
          <w:szCs w:val="22"/>
          <w:lang w:val="hu-HU"/>
        </w:rPr>
        <w:t xml:space="preserve">) 13,4 százalék, amely    -2,6 százalékponttal alacsonyabb 2019-hez képest. Az elsőbbségi részvények korrigált hozama 4,26 euró volt, ami -17,9 százalékos visszaesést jelent állandó árfolyamon. </w:t>
      </w:r>
    </w:p>
    <w:p w14:paraId="0449021A" w14:textId="77777777" w:rsidR="00C31F37" w:rsidRPr="005234A3" w:rsidRDefault="00C31F37" w:rsidP="00A561C8">
      <w:pPr>
        <w:spacing w:line="276" w:lineRule="auto"/>
        <w:jc w:val="both"/>
        <w:rPr>
          <w:rFonts w:ascii="Segoe UI" w:hAnsi="Segoe UI" w:cs="Segoe UI"/>
          <w:b/>
          <w:bCs/>
          <w:sz w:val="22"/>
          <w:szCs w:val="22"/>
          <w:lang w:val="hu-HU"/>
        </w:rPr>
      </w:pPr>
    </w:p>
    <w:p w14:paraId="7FE255FD" w14:textId="77777777" w:rsidR="00C31F37" w:rsidRPr="005234A3" w:rsidRDefault="00C31F37" w:rsidP="00A561C8">
      <w:pPr>
        <w:spacing w:line="276" w:lineRule="auto"/>
        <w:jc w:val="both"/>
        <w:rPr>
          <w:rFonts w:ascii="Segoe UI" w:hAnsi="Segoe UI" w:cs="Segoe UI"/>
          <w:b/>
          <w:bCs/>
          <w:sz w:val="22"/>
          <w:szCs w:val="22"/>
          <w:lang w:val="hu-HU"/>
        </w:rPr>
      </w:pPr>
      <w:r w:rsidRPr="005234A3">
        <w:rPr>
          <w:rFonts w:ascii="Segoe UI" w:hAnsi="Segoe UI" w:cs="Segoe UI"/>
          <w:b/>
          <w:bCs/>
          <w:sz w:val="22"/>
          <w:szCs w:val="22"/>
          <w:lang w:val="hu-HU"/>
        </w:rPr>
        <w:t xml:space="preserve">„Eredményünk alakulása tükrözi megnövekedett befektetéseinket, amelyeket 2020 elején jelentettünk be és amelyhez a válság ellenére is ragaszkodtunk. A kulcsfontosságú üzleti szegmensekben a kereslet csökkenése a COVID-19 válság idején szintén negatívan befolyásolta jövedelmezőségünket. A sikeres költséggazdálkodásnak és a továbbfejlesztett működési modellek megvalósításának köszönhetően azonban részben enyhíteni tudtuk a válság eredményünkre kifejtett hatásait” – mondta </w:t>
      </w:r>
      <w:proofErr w:type="spellStart"/>
      <w:r w:rsidRPr="005234A3">
        <w:rPr>
          <w:rFonts w:ascii="Segoe UI" w:hAnsi="Segoe UI" w:cs="Segoe UI"/>
          <w:b/>
          <w:bCs/>
          <w:sz w:val="22"/>
          <w:szCs w:val="22"/>
          <w:lang w:val="hu-HU"/>
        </w:rPr>
        <w:t>Carsten</w:t>
      </w:r>
      <w:proofErr w:type="spellEnd"/>
      <w:r w:rsidRPr="005234A3">
        <w:rPr>
          <w:rFonts w:ascii="Segoe UI" w:hAnsi="Segoe UI" w:cs="Segoe UI"/>
          <w:b/>
          <w:bCs/>
          <w:sz w:val="22"/>
          <w:szCs w:val="22"/>
          <w:lang w:val="hu-HU"/>
        </w:rPr>
        <w:t xml:space="preserve"> </w:t>
      </w:r>
      <w:proofErr w:type="spellStart"/>
      <w:r w:rsidRPr="005234A3">
        <w:rPr>
          <w:rFonts w:ascii="Segoe UI" w:hAnsi="Segoe UI" w:cs="Segoe UI"/>
          <w:b/>
          <w:bCs/>
          <w:sz w:val="22"/>
          <w:szCs w:val="22"/>
          <w:lang w:val="hu-HU"/>
        </w:rPr>
        <w:t>Knobel</w:t>
      </w:r>
      <w:proofErr w:type="spellEnd"/>
      <w:r w:rsidRPr="005234A3">
        <w:rPr>
          <w:rFonts w:ascii="Segoe UI" w:hAnsi="Segoe UI" w:cs="Segoe UI"/>
          <w:b/>
          <w:bCs/>
          <w:sz w:val="22"/>
          <w:szCs w:val="22"/>
          <w:lang w:val="hu-HU"/>
        </w:rPr>
        <w:t>.</w:t>
      </w:r>
    </w:p>
    <w:p w14:paraId="2909D41B" w14:textId="77777777" w:rsidR="00C31F37" w:rsidRPr="005234A3" w:rsidRDefault="00C31F37" w:rsidP="00A561C8">
      <w:pPr>
        <w:spacing w:line="276" w:lineRule="auto"/>
        <w:jc w:val="both"/>
        <w:rPr>
          <w:rFonts w:ascii="Segoe UI" w:hAnsi="Segoe UI" w:cs="Segoe UI"/>
          <w:b/>
          <w:bCs/>
          <w:sz w:val="22"/>
          <w:szCs w:val="22"/>
          <w:lang w:val="hu-HU"/>
        </w:rPr>
      </w:pPr>
    </w:p>
    <w:p w14:paraId="791AD9C2" w14:textId="77777777" w:rsidR="00C31F37" w:rsidRPr="005234A3" w:rsidRDefault="00C31F37" w:rsidP="00A561C8">
      <w:pPr>
        <w:spacing w:line="276" w:lineRule="auto"/>
        <w:jc w:val="both"/>
        <w:rPr>
          <w:rFonts w:ascii="Segoe UI" w:hAnsi="Segoe UI" w:cs="Segoe UI"/>
          <w:b/>
          <w:bCs/>
          <w:sz w:val="22"/>
          <w:szCs w:val="22"/>
          <w:lang w:val="hu-HU"/>
        </w:rPr>
      </w:pPr>
      <w:r w:rsidRPr="005234A3">
        <w:rPr>
          <w:rFonts w:ascii="Segoe UI" w:hAnsi="Segoe UI" w:cs="Segoe UI"/>
          <w:b/>
          <w:bCs/>
          <w:sz w:val="22"/>
          <w:szCs w:val="22"/>
          <w:lang w:val="hu-HU"/>
        </w:rPr>
        <w:t>„A jelenlegi válság kezelésével továbbra is teljes mértékben elkötelezettek vagyunk az elkövetkező évekre vonatkozó, ambiciózus növekedést célzó cselekvési tervünk mellett. A jövőt tekintve minden eddiginél magabiztosabbak vagyunk abban, hogy globális csapatunkkal végrehajtjuk a Céltudatos Növekedés akciótervünket, és sikeresen alakítjuk jövőnket."</w:t>
      </w:r>
    </w:p>
    <w:p w14:paraId="1620F266" w14:textId="77777777" w:rsidR="00C31F37" w:rsidRPr="00A561C8" w:rsidRDefault="00C31F37" w:rsidP="00A561C8">
      <w:pPr>
        <w:spacing w:line="276" w:lineRule="auto"/>
        <w:jc w:val="both"/>
        <w:rPr>
          <w:rFonts w:ascii="Segoe UI" w:hAnsi="Segoe UI" w:cs="Segoe UI"/>
          <w:sz w:val="22"/>
          <w:szCs w:val="22"/>
          <w:lang w:val="hu-HU"/>
        </w:rPr>
      </w:pPr>
    </w:p>
    <w:p w14:paraId="08FFDD8B" w14:textId="77777777" w:rsidR="00C31F37" w:rsidRPr="005234A3" w:rsidRDefault="00C31F37" w:rsidP="005234A3">
      <w:pPr>
        <w:spacing w:after="120" w:line="276" w:lineRule="auto"/>
        <w:jc w:val="both"/>
        <w:rPr>
          <w:rFonts w:ascii="Segoe UI" w:hAnsi="Segoe UI" w:cs="Segoe UI"/>
          <w:b/>
          <w:bCs/>
          <w:sz w:val="22"/>
          <w:szCs w:val="22"/>
          <w:lang w:val="en-US"/>
        </w:rPr>
      </w:pPr>
      <w:r w:rsidRPr="005234A3">
        <w:rPr>
          <w:rFonts w:ascii="Segoe UI" w:hAnsi="Segoe UI" w:cs="Segoe UI"/>
          <w:b/>
          <w:bCs/>
          <w:sz w:val="22"/>
          <w:szCs w:val="22"/>
          <w:lang w:val="en-US"/>
        </w:rPr>
        <w:t>Kilátások 2021-re</w:t>
      </w:r>
    </w:p>
    <w:p w14:paraId="5AE2D099" w14:textId="77777777" w:rsidR="00C31F37" w:rsidRPr="005234A3" w:rsidRDefault="00C31F37" w:rsidP="00A561C8">
      <w:pPr>
        <w:spacing w:line="276" w:lineRule="auto"/>
        <w:jc w:val="both"/>
        <w:rPr>
          <w:rFonts w:ascii="Segoe UI" w:hAnsi="Segoe UI" w:cs="Segoe UI"/>
          <w:b/>
          <w:bCs/>
          <w:sz w:val="22"/>
          <w:szCs w:val="22"/>
          <w:lang w:val="hu-HU"/>
        </w:rPr>
      </w:pPr>
      <w:r w:rsidRPr="005234A3">
        <w:rPr>
          <w:rFonts w:ascii="Segoe UI" w:hAnsi="Segoe UI" w:cs="Segoe UI"/>
          <w:b/>
          <w:bCs/>
          <w:sz w:val="22"/>
          <w:szCs w:val="22"/>
          <w:lang w:val="hu-HU"/>
        </w:rPr>
        <w:t xml:space="preserve">„Ahogy belépünk 2021-be, továbbra is nagy bizonytalansággal kell szembenéznünk, hogy miként alakul a járvány, milyen gyorsan haladnak az oltási erőfeszítések, és ez milyen hatással lesz a sok országban jelenleg hatályos korlátozásokra. Arra számítunk, hogy az ipari kereslet, valamint a vállalatunk számára releváns fogyasztói szegmensek, különösen a Fodrász Szalon terület helyreáll. Ugyanakkor úgy gondoljuk, hogy a fogyasztói kereslet </w:t>
      </w:r>
      <w:r w:rsidRPr="005234A3">
        <w:rPr>
          <w:rFonts w:ascii="Segoe UI" w:hAnsi="Segoe UI" w:cs="Segoe UI"/>
          <w:b/>
          <w:bCs/>
          <w:sz w:val="22"/>
          <w:szCs w:val="22"/>
          <w:lang w:val="hu-HU"/>
        </w:rPr>
        <w:lastRenderedPageBreak/>
        <w:t xml:space="preserve">normalizálódik azokban a kategóriákban, amelyekben a kereslet a világjárvány miatt nagyobb volt. Ezenkívül feltételezzük, hogy az első negyedév során számos kulcsfontosságú piacon megszüntetik a jelenlegi korlátozásokat, és az év hátralévő részében nem lesznek széleskörű leállások a kiskereskedelmi és ipari vállalkozások, valamint a termelő létesítmények esetében” – mondta </w:t>
      </w:r>
      <w:proofErr w:type="spellStart"/>
      <w:r w:rsidRPr="005234A3">
        <w:rPr>
          <w:rFonts w:ascii="Segoe UI" w:hAnsi="Segoe UI" w:cs="Segoe UI"/>
          <w:b/>
          <w:bCs/>
          <w:sz w:val="22"/>
          <w:szCs w:val="22"/>
          <w:lang w:val="hu-HU"/>
        </w:rPr>
        <w:t>Carsten</w:t>
      </w:r>
      <w:proofErr w:type="spellEnd"/>
      <w:r w:rsidRPr="005234A3">
        <w:rPr>
          <w:rFonts w:ascii="Segoe UI" w:hAnsi="Segoe UI" w:cs="Segoe UI"/>
          <w:b/>
          <w:bCs/>
          <w:sz w:val="22"/>
          <w:szCs w:val="22"/>
          <w:lang w:val="hu-HU"/>
        </w:rPr>
        <w:t xml:space="preserve"> </w:t>
      </w:r>
      <w:proofErr w:type="spellStart"/>
      <w:r w:rsidRPr="005234A3">
        <w:rPr>
          <w:rFonts w:ascii="Segoe UI" w:hAnsi="Segoe UI" w:cs="Segoe UI"/>
          <w:b/>
          <w:bCs/>
          <w:sz w:val="22"/>
          <w:szCs w:val="22"/>
          <w:lang w:val="hu-HU"/>
        </w:rPr>
        <w:t>Knobel</w:t>
      </w:r>
      <w:proofErr w:type="spellEnd"/>
      <w:r w:rsidRPr="005234A3">
        <w:rPr>
          <w:rFonts w:ascii="Segoe UI" w:hAnsi="Segoe UI" w:cs="Segoe UI"/>
          <w:b/>
          <w:bCs/>
          <w:sz w:val="22"/>
          <w:szCs w:val="22"/>
          <w:lang w:val="hu-HU"/>
        </w:rPr>
        <w:t xml:space="preserve">. </w:t>
      </w:r>
    </w:p>
    <w:p w14:paraId="4A6952C6" w14:textId="77777777" w:rsidR="00C31F37" w:rsidRPr="00A561C8" w:rsidRDefault="00C31F37" w:rsidP="00A561C8">
      <w:pPr>
        <w:spacing w:line="276" w:lineRule="auto"/>
        <w:jc w:val="both"/>
        <w:rPr>
          <w:rFonts w:ascii="Segoe UI" w:hAnsi="Segoe UI" w:cs="Segoe UI"/>
          <w:sz w:val="22"/>
          <w:szCs w:val="22"/>
          <w:lang w:val="hu-HU"/>
        </w:rPr>
      </w:pPr>
    </w:p>
    <w:p w14:paraId="459963ED" w14:textId="77777777" w:rsidR="00C31F37" w:rsidRPr="00A561C8" w:rsidRDefault="00C31F37" w:rsidP="00A561C8">
      <w:pPr>
        <w:spacing w:line="276" w:lineRule="auto"/>
        <w:jc w:val="both"/>
        <w:rPr>
          <w:rFonts w:ascii="Segoe UI" w:hAnsi="Segoe UI" w:cs="Segoe UI"/>
          <w:sz w:val="22"/>
          <w:szCs w:val="22"/>
          <w:lang w:val="hu-HU"/>
        </w:rPr>
      </w:pPr>
      <w:r w:rsidRPr="005234A3">
        <w:rPr>
          <w:rFonts w:ascii="Segoe UI" w:hAnsi="Segoe UI" w:cs="Segoe UI"/>
          <w:b/>
          <w:bCs/>
          <w:sz w:val="22"/>
          <w:szCs w:val="22"/>
          <w:lang w:val="hu-HU"/>
        </w:rPr>
        <w:t>Ezen feltételezések alapján a Henkel 2021-es üzleti évben az árbevétel és eredmény növekedését várja. Csoportszinten a vállalat 2,0–5,0 százalékos szerves árbevétel növekedésre számít, a korrigált árbevétel-arányos megtérülést (EBIT-</w:t>
      </w:r>
      <w:proofErr w:type="spellStart"/>
      <w:r w:rsidRPr="005234A3">
        <w:rPr>
          <w:rFonts w:ascii="Segoe UI" w:hAnsi="Segoe UI" w:cs="Segoe UI"/>
          <w:b/>
          <w:bCs/>
          <w:sz w:val="22"/>
          <w:szCs w:val="22"/>
          <w:lang w:val="hu-HU"/>
        </w:rPr>
        <w:t>marzs</w:t>
      </w:r>
      <w:proofErr w:type="spellEnd"/>
      <w:r w:rsidRPr="005234A3">
        <w:rPr>
          <w:rFonts w:ascii="Segoe UI" w:hAnsi="Segoe UI" w:cs="Segoe UI"/>
          <w:b/>
          <w:bCs/>
          <w:sz w:val="22"/>
          <w:szCs w:val="22"/>
          <w:lang w:val="hu-HU"/>
        </w:rPr>
        <w:t>) 13,5–14,5 százalékos tartományban várja. Az elsőbbségi részvények korrigált hozama (EPS) vonatkozásában, állandó árfolyamon számolva a Henkel 5,0 és 15,0 százalék közötti növekedést vár</w:t>
      </w:r>
      <w:r w:rsidRPr="00A561C8">
        <w:rPr>
          <w:rFonts w:ascii="Segoe UI" w:hAnsi="Segoe UI" w:cs="Segoe UI"/>
          <w:sz w:val="22"/>
          <w:szCs w:val="22"/>
          <w:lang w:val="hu-HU"/>
        </w:rPr>
        <w:t>.</w:t>
      </w:r>
    </w:p>
    <w:p w14:paraId="289B4774" w14:textId="77777777" w:rsidR="00C31F37" w:rsidRPr="00A561C8" w:rsidRDefault="00C31F37" w:rsidP="00A561C8">
      <w:pPr>
        <w:spacing w:line="276" w:lineRule="auto"/>
        <w:jc w:val="both"/>
        <w:rPr>
          <w:rFonts w:ascii="Segoe UI" w:hAnsi="Segoe UI" w:cs="Segoe UI"/>
          <w:sz w:val="22"/>
          <w:szCs w:val="22"/>
          <w:lang w:val="hu-HU"/>
        </w:rPr>
      </w:pPr>
    </w:p>
    <w:p w14:paraId="6810E423" w14:textId="77777777" w:rsidR="00C31F37" w:rsidRPr="005234A3" w:rsidRDefault="00C31F37" w:rsidP="005234A3">
      <w:pPr>
        <w:spacing w:after="120" w:line="276" w:lineRule="auto"/>
        <w:jc w:val="both"/>
        <w:rPr>
          <w:rFonts w:ascii="Segoe UI" w:hAnsi="Segoe UI" w:cs="Segoe UI"/>
          <w:b/>
          <w:bCs/>
          <w:sz w:val="22"/>
          <w:szCs w:val="22"/>
          <w:lang w:val="en-US"/>
        </w:rPr>
      </w:pPr>
      <w:r w:rsidRPr="005234A3">
        <w:rPr>
          <w:rFonts w:ascii="Segoe UI" w:hAnsi="Segoe UI" w:cs="Segoe UI"/>
          <w:b/>
          <w:bCs/>
          <w:sz w:val="22"/>
          <w:szCs w:val="22"/>
          <w:lang w:val="en-US"/>
        </w:rPr>
        <w:t>Csoport-szintű árbevétel és eredmény a 2020-as üzleti évben</w:t>
      </w:r>
    </w:p>
    <w:p w14:paraId="52FBF3BD" w14:textId="77777777" w:rsidR="002C2275"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2020-as üzleti évben a Henkel-csoport </w:t>
      </w:r>
      <w:r w:rsidRPr="005234A3">
        <w:rPr>
          <w:rFonts w:ascii="Segoe UI" w:hAnsi="Segoe UI" w:cs="Segoe UI"/>
          <w:b/>
          <w:bCs/>
          <w:sz w:val="22"/>
          <w:szCs w:val="22"/>
          <w:lang w:val="hu-HU"/>
        </w:rPr>
        <w:t>árbevétele</w:t>
      </w:r>
      <w:r w:rsidRPr="00A561C8">
        <w:rPr>
          <w:rFonts w:ascii="Segoe UI" w:hAnsi="Segoe UI" w:cs="Segoe UI"/>
          <w:sz w:val="22"/>
          <w:szCs w:val="22"/>
          <w:lang w:val="hu-HU"/>
        </w:rPr>
        <w:t xml:space="preserve"> 19.250 millió eurót tett ki, ami -4,3 százalékkal volt alacsonyabb az előző év azonos időszakához képest. A </w:t>
      </w:r>
      <w:r w:rsidRPr="005234A3">
        <w:rPr>
          <w:rFonts w:ascii="Segoe UI" w:hAnsi="Segoe UI" w:cs="Segoe UI"/>
          <w:b/>
          <w:bCs/>
          <w:sz w:val="22"/>
          <w:szCs w:val="22"/>
          <w:lang w:val="hu-HU"/>
        </w:rPr>
        <w:t>szerves</w:t>
      </w:r>
      <w:r w:rsidRPr="00A561C8">
        <w:rPr>
          <w:rFonts w:ascii="Segoe UI" w:hAnsi="Segoe UI" w:cs="Segoe UI"/>
          <w:sz w:val="22"/>
          <w:szCs w:val="22"/>
          <w:lang w:val="hu-HU"/>
        </w:rPr>
        <w:t xml:space="preserve"> árbevétel-alakulás -0,7 százalékos volt, amely nem foglalja magába a árfolyamhatások és a felvásárlások/befektetés megszüntetések hatásait. A felvásárlásokból és befektetés-megszüntetésekből származó hozzájárulások mértéke 0,3 százalék volt. Az árfolyamhatások</w:t>
      </w:r>
      <w:r w:rsidR="002C2275">
        <w:rPr>
          <w:rFonts w:ascii="Segoe UI" w:hAnsi="Segoe UI" w:cs="Segoe UI"/>
          <w:sz w:val="22"/>
          <w:szCs w:val="22"/>
          <w:lang w:val="hu-HU"/>
        </w:rPr>
        <w:t xml:space="preserve">  </w:t>
      </w:r>
    </w:p>
    <w:p w14:paraId="6B0CF8FD" w14:textId="78DD0B00"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 -3,9 százalékos negatív eredményt gyakoroltak az árbevételre.</w:t>
      </w:r>
    </w:p>
    <w:p w14:paraId="6BB8FFCA" w14:textId="77777777" w:rsidR="00C31F37" w:rsidRPr="00A561C8" w:rsidRDefault="00C31F37" w:rsidP="00A561C8">
      <w:pPr>
        <w:spacing w:line="276" w:lineRule="auto"/>
        <w:jc w:val="both"/>
        <w:rPr>
          <w:rFonts w:ascii="Segoe UI" w:hAnsi="Segoe UI" w:cs="Segoe UI"/>
          <w:sz w:val="22"/>
          <w:szCs w:val="22"/>
          <w:lang w:val="hu-HU"/>
        </w:rPr>
      </w:pPr>
    </w:p>
    <w:p w14:paraId="3339C838"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COVID-19 járvány következtében a kulcsfontosságú iparágak keresletének jelentős csökkenése fényében az </w:t>
      </w:r>
      <w:r w:rsidRPr="005234A3">
        <w:rPr>
          <w:rFonts w:ascii="Segoe UI" w:hAnsi="Segoe UI" w:cs="Segoe UI"/>
          <w:b/>
          <w:bCs/>
          <w:sz w:val="22"/>
          <w:szCs w:val="22"/>
          <w:lang w:val="hu-HU"/>
        </w:rPr>
        <w:t>Adhesive Technologies</w:t>
      </w:r>
      <w:r w:rsidRPr="00A561C8">
        <w:rPr>
          <w:rFonts w:ascii="Segoe UI" w:hAnsi="Segoe UI" w:cs="Segoe UI"/>
          <w:sz w:val="22"/>
          <w:szCs w:val="22"/>
          <w:lang w:val="hu-HU"/>
        </w:rPr>
        <w:t xml:space="preserve"> üzletág a szerves árbevétel -4,2 százalékos csökkenéséről számolt be. A </w:t>
      </w:r>
      <w:r w:rsidRPr="005234A3">
        <w:rPr>
          <w:rFonts w:ascii="Segoe UI" w:hAnsi="Segoe UI" w:cs="Segoe UI"/>
          <w:b/>
          <w:bCs/>
          <w:sz w:val="22"/>
          <w:szCs w:val="22"/>
          <w:lang w:val="hu-HU"/>
        </w:rPr>
        <w:t>Beauty Care</w:t>
      </w:r>
      <w:r w:rsidRPr="00A561C8">
        <w:rPr>
          <w:rFonts w:ascii="Segoe UI" w:hAnsi="Segoe UI" w:cs="Segoe UI"/>
          <w:sz w:val="22"/>
          <w:szCs w:val="22"/>
          <w:lang w:val="hu-HU"/>
        </w:rPr>
        <w:t xml:space="preserve"> üzletágban az árbevétel szervesen </w:t>
      </w:r>
    </w:p>
    <w:p w14:paraId="4AC2CC1B"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-2,8 százalékkal az előző évi szint alatt volt, amelyet különösen a Fodrász Szalon kihívásai befolyásoltak számos kulcsfontosságú régióban és piacokon a járvány miatt, míg a kiskereskedelmi terület jó növekedést ért el. A </w:t>
      </w:r>
      <w:r w:rsidRPr="005234A3">
        <w:rPr>
          <w:rFonts w:ascii="Segoe UI" w:hAnsi="Segoe UI" w:cs="Segoe UI"/>
          <w:b/>
          <w:bCs/>
          <w:sz w:val="22"/>
          <w:szCs w:val="22"/>
          <w:lang w:val="hu-HU"/>
        </w:rPr>
        <w:t>Laundry &amp; Home Care</w:t>
      </w:r>
      <w:r w:rsidRPr="00A561C8">
        <w:rPr>
          <w:rFonts w:ascii="Segoe UI" w:hAnsi="Segoe UI" w:cs="Segoe UI"/>
          <w:sz w:val="22"/>
          <w:szCs w:val="22"/>
          <w:lang w:val="hu-HU"/>
        </w:rPr>
        <w:t xml:space="preserve"> üzletág nagyon markáns, 5,6 százalékos szerves árbevétel növekedést könyvelhetett el. A fejlődés motorját az erőteljes újítások és a járvány okozta, higiéniai termékek iránti megnövekedett kereslet jelentette.</w:t>
      </w:r>
    </w:p>
    <w:p w14:paraId="2E1D17C1" w14:textId="77777777" w:rsidR="00C31F37" w:rsidRPr="00A561C8" w:rsidRDefault="00C31F37" w:rsidP="00A561C8">
      <w:pPr>
        <w:spacing w:line="276" w:lineRule="auto"/>
        <w:jc w:val="both"/>
        <w:rPr>
          <w:rFonts w:ascii="Segoe UI" w:hAnsi="Segoe UI" w:cs="Segoe UI"/>
          <w:sz w:val="22"/>
          <w:szCs w:val="22"/>
          <w:lang w:val="hu-HU"/>
        </w:rPr>
      </w:pPr>
    </w:p>
    <w:p w14:paraId="2D2508D4"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5234A3">
        <w:rPr>
          <w:rFonts w:ascii="Segoe UI" w:hAnsi="Segoe UI" w:cs="Segoe UI"/>
          <w:b/>
          <w:bCs/>
          <w:sz w:val="22"/>
          <w:szCs w:val="22"/>
          <w:lang w:val="hu-HU"/>
        </w:rPr>
        <w:t>feltörekvő piacok</w:t>
      </w:r>
      <w:r w:rsidRPr="00A561C8">
        <w:rPr>
          <w:rFonts w:ascii="Segoe UI" w:hAnsi="Segoe UI" w:cs="Segoe UI"/>
          <w:sz w:val="22"/>
          <w:szCs w:val="22"/>
          <w:lang w:val="hu-HU"/>
        </w:rPr>
        <w:t xml:space="preserve"> 3,0 százalékos szerves árbevétel-növekedést értek el. Szerves árbevételünk az </w:t>
      </w:r>
      <w:r w:rsidRPr="005234A3">
        <w:rPr>
          <w:rFonts w:ascii="Segoe UI" w:hAnsi="Segoe UI" w:cs="Segoe UI"/>
          <w:b/>
          <w:bCs/>
          <w:sz w:val="22"/>
          <w:szCs w:val="22"/>
          <w:lang w:val="hu-HU"/>
        </w:rPr>
        <w:t>érett piacokon</w:t>
      </w:r>
      <w:r w:rsidRPr="00A561C8">
        <w:rPr>
          <w:rFonts w:ascii="Segoe UI" w:hAnsi="Segoe UI" w:cs="Segoe UI"/>
          <w:sz w:val="22"/>
          <w:szCs w:val="22"/>
          <w:lang w:val="hu-HU"/>
        </w:rPr>
        <w:t xml:space="preserve"> -3,2 százalékkal csökkent.</w:t>
      </w:r>
    </w:p>
    <w:p w14:paraId="00D06BF6" w14:textId="77777777" w:rsidR="00C31F37" w:rsidRPr="00A561C8" w:rsidRDefault="00C31F37" w:rsidP="00A561C8">
      <w:pPr>
        <w:spacing w:line="276" w:lineRule="auto"/>
        <w:jc w:val="both"/>
        <w:rPr>
          <w:rFonts w:ascii="Segoe UI" w:hAnsi="Segoe UI" w:cs="Segoe UI"/>
          <w:sz w:val="22"/>
          <w:szCs w:val="22"/>
          <w:lang w:val="hu-HU"/>
        </w:rPr>
      </w:pPr>
    </w:p>
    <w:p w14:paraId="2CC49F14" w14:textId="1DD92ADE"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rendkívüli verseny jellemezte piaci környezetben, </w:t>
      </w:r>
      <w:r w:rsidRPr="005234A3">
        <w:rPr>
          <w:rFonts w:ascii="Segoe UI" w:hAnsi="Segoe UI" w:cs="Segoe UI"/>
          <w:b/>
          <w:bCs/>
          <w:sz w:val="22"/>
          <w:szCs w:val="22"/>
          <w:lang w:val="hu-HU"/>
        </w:rPr>
        <w:t>Nyugat-Európában</w:t>
      </w:r>
      <w:r w:rsidRPr="00A561C8">
        <w:rPr>
          <w:rFonts w:ascii="Segoe UI" w:hAnsi="Segoe UI" w:cs="Segoe UI"/>
          <w:sz w:val="22"/>
          <w:szCs w:val="22"/>
          <w:lang w:val="hu-HU"/>
        </w:rPr>
        <w:t xml:space="preserve"> az árbevétel -4,4 százalékos csökkenést mutatott. </w:t>
      </w:r>
      <w:r w:rsidRPr="005234A3">
        <w:rPr>
          <w:rFonts w:ascii="Segoe UI" w:hAnsi="Segoe UI" w:cs="Segoe UI"/>
          <w:b/>
          <w:bCs/>
          <w:sz w:val="22"/>
          <w:szCs w:val="22"/>
          <w:lang w:val="hu-HU"/>
        </w:rPr>
        <w:t>Kelet-Európa</w:t>
      </w:r>
      <w:r w:rsidRPr="00A561C8">
        <w:rPr>
          <w:rFonts w:ascii="Segoe UI" w:hAnsi="Segoe UI" w:cs="Segoe UI"/>
          <w:sz w:val="22"/>
          <w:szCs w:val="22"/>
          <w:lang w:val="hu-HU"/>
        </w:rPr>
        <w:t xml:space="preserve"> 7,1 százalékos szerves növekedést ért el. </w:t>
      </w:r>
      <w:r w:rsidRPr="005234A3">
        <w:rPr>
          <w:rFonts w:ascii="Segoe UI" w:hAnsi="Segoe UI" w:cs="Segoe UI"/>
          <w:b/>
          <w:bCs/>
          <w:sz w:val="22"/>
          <w:szCs w:val="22"/>
          <w:lang w:val="hu-HU"/>
        </w:rPr>
        <w:t>Afrikában/a Közel-Keleten</w:t>
      </w:r>
      <w:r w:rsidRPr="00A561C8">
        <w:rPr>
          <w:rFonts w:ascii="Segoe UI" w:hAnsi="Segoe UI" w:cs="Segoe UI"/>
          <w:sz w:val="22"/>
          <w:szCs w:val="22"/>
          <w:lang w:val="hu-HU"/>
        </w:rPr>
        <w:t xml:space="preserve"> az árbevétel szerves növekedése 7,0 százalék volt. </w:t>
      </w:r>
      <w:r w:rsidRPr="005234A3">
        <w:rPr>
          <w:rFonts w:ascii="Segoe UI" w:hAnsi="Segoe UI" w:cs="Segoe UI"/>
          <w:b/>
          <w:bCs/>
          <w:sz w:val="22"/>
          <w:szCs w:val="22"/>
          <w:lang w:val="hu-HU"/>
        </w:rPr>
        <w:t>Észak-Amerikában</w:t>
      </w:r>
      <w:r w:rsidRPr="00A561C8">
        <w:rPr>
          <w:rFonts w:ascii="Segoe UI" w:hAnsi="Segoe UI" w:cs="Segoe UI"/>
          <w:sz w:val="22"/>
          <w:szCs w:val="22"/>
          <w:lang w:val="hu-HU"/>
        </w:rPr>
        <w:t xml:space="preserve"> a szerves árbevétel -2,2 százalékkal csökkent. </w:t>
      </w:r>
      <w:r w:rsidRPr="005234A3">
        <w:rPr>
          <w:rFonts w:ascii="Segoe UI" w:hAnsi="Segoe UI" w:cs="Segoe UI"/>
          <w:b/>
          <w:bCs/>
          <w:sz w:val="22"/>
          <w:szCs w:val="22"/>
          <w:lang w:val="hu-HU"/>
        </w:rPr>
        <w:t>Latin-Amerikában</w:t>
      </w:r>
      <w:r w:rsidRPr="00A561C8">
        <w:rPr>
          <w:rFonts w:ascii="Segoe UI" w:hAnsi="Segoe UI" w:cs="Segoe UI"/>
          <w:sz w:val="22"/>
          <w:szCs w:val="22"/>
          <w:lang w:val="hu-HU"/>
        </w:rPr>
        <w:t xml:space="preserve"> a szerves árbevétel 0,5 százalékkal csökkent. Az </w:t>
      </w:r>
      <w:r w:rsidRPr="005234A3">
        <w:rPr>
          <w:rFonts w:ascii="Segoe UI" w:hAnsi="Segoe UI" w:cs="Segoe UI"/>
          <w:b/>
          <w:bCs/>
          <w:sz w:val="22"/>
          <w:szCs w:val="22"/>
          <w:lang w:val="hu-HU"/>
        </w:rPr>
        <w:t>ázsiai-csendes-óceáni</w:t>
      </w:r>
      <w:r w:rsidRPr="00A561C8">
        <w:rPr>
          <w:rFonts w:ascii="Segoe UI" w:hAnsi="Segoe UI" w:cs="Segoe UI"/>
          <w:sz w:val="22"/>
          <w:szCs w:val="22"/>
          <w:lang w:val="hu-HU"/>
        </w:rPr>
        <w:t xml:space="preserve"> térségben az árbevétel szervesen -1,6 százalékkal csökkent.</w:t>
      </w:r>
    </w:p>
    <w:p w14:paraId="0E17888D" w14:textId="77777777" w:rsidR="00C31F37" w:rsidRPr="00A561C8" w:rsidRDefault="00C31F37" w:rsidP="00A561C8">
      <w:pPr>
        <w:spacing w:line="276" w:lineRule="auto"/>
        <w:jc w:val="both"/>
        <w:rPr>
          <w:rFonts w:ascii="Segoe UI" w:hAnsi="Segoe UI" w:cs="Segoe UI"/>
          <w:sz w:val="22"/>
          <w:szCs w:val="22"/>
          <w:lang w:val="hu-HU"/>
        </w:rPr>
      </w:pPr>
    </w:p>
    <w:p w14:paraId="37DE4B3C"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5234A3">
        <w:rPr>
          <w:rFonts w:ascii="Segoe UI" w:hAnsi="Segoe UI" w:cs="Segoe UI"/>
          <w:b/>
          <w:bCs/>
          <w:sz w:val="22"/>
          <w:szCs w:val="22"/>
          <w:lang w:val="hu-HU"/>
        </w:rPr>
        <w:t>korrigált üzemi eredmény (korrigált EBIT</w:t>
      </w:r>
      <w:r w:rsidRPr="00A561C8">
        <w:rPr>
          <w:rFonts w:ascii="Segoe UI" w:hAnsi="Segoe UI" w:cs="Segoe UI"/>
          <w:sz w:val="22"/>
          <w:szCs w:val="22"/>
          <w:lang w:val="hu-HU"/>
        </w:rPr>
        <w:t xml:space="preserve">) összege 2579 millió euró volt 2020-ban, a 2019-es üzleti év 3220 millió eurós összege után (-19,9 százalék). </w:t>
      </w:r>
    </w:p>
    <w:p w14:paraId="65F9179C" w14:textId="77777777" w:rsidR="00C31F37" w:rsidRPr="00A561C8" w:rsidRDefault="00C31F37" w:rsidP="00A561C8">
      <w:pPr>
        <w:spacing w:line="276" w:lineRule="auto"/>
        <w:jc w:val="both"/>
        <w:rPr>
          <w:rFonts w:ascii="Segoe UI" w:hAnsi="Segoe UI" w:cs="Segoe UI"/>
          <w:sz w:val="22"/>
          <w:szCs w:val="22"/>
          <w:lang w:val="hu-HU"/>
        </w:rPr>
      </w:pPr>
    </w:p>
    <w:p w14:paraId="200B9B35"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5234A3">
        <w:rPr>
          <w:rFonts w:ascii="Segoe UI" w:hAnsi="Segoe UI" w:cs="Segoe UI"/>
          <w:b/>
          <w:bCs/>
          <w:sz w:val="22"/>
          <w:szCs w:val="22"/>
          <w:lang w:val="hu-HU"/>
        </w:rPr>
        <w:t xml:space="preserve">korrigált árbevétel-arányos megtérülés (korrigált EBIT </w:t>
      </w:r>
      <w:proofErr w:type="spellStart"/>
      <w:r w:rsidRPr="005234A3">
        <w:rPr>
          <w:rFonts w:ascii="Segoe UI" w:hAnsi="Segoe UI" w:cs="Segoe UI"/>
          <w:b/>
          <w:bCs/>
          <w:sz w:val="22"/>
          <w:szCs w:val="22"/>
          <w:lang w:val="hu-HU"/>
        </w:rPr>
        <w:t>marzs</w:t>
      </w:r>
      <w:proofErr w:type="spellEnd"/>
      <w:r w:rsidRPr="005234A3">
        <w:rPr>
          <w:rFonts w:ascii="Segoe UI" w:hAnsi="Segoe UI" w:cs="Segoe UI"/>
          <w:b/>
          <w:bCs/>
          <w:sz w:val="22"/>
          <w:szCs w:val="22"/>
          <w:lang w:val="hu-HU"/>
        </w:rPr>
        <w:t>)</w:t>
      </w:r>
      <w:r w:rsidRPr="00A561C8">
        <w:rPr>
          <w:rFonts w:ascii="Segoe UI" w:hAnsi="Segoe UI" w:cs="Segoe UI"/>
          <w:sz w:val="22"/>
          <w:szCs w:val="22"/>
          <w:lang w:val="hu-HU"/>
        </w:rPr>
        <w:t xml:space="preserve"> 13,4 százalék volt, -2,6 százalékponttal alacsonyabb az előző évinél. A fejlődést befolyásolták a marketingbe és a reklámozásba, valamint a digitális és informatikai beruházásokba eszközölt nagyobb beruházások is.</w:t>
      </w:r>
    </w:p>
    <w:p w14:paraId="784E0A6E" w14:textId="77777777" w:rsidR="00C31F37" w:rsidRPr="00A561C8" w:rsidRDefault="00C31F37" w:rsidP="00A561C8">
      <w:pPr>
        <w:spacing w:line="276" w:lineRule="auto"/>
        <w:jc w:val="both"/>
        <w:rPr>
          <w:rFonts w:ascii="Segoe UI" w:hAnsi="Segoe UI" w:cs="Segoe UI"/>
          <w:sz w:val="22"/>
          <w:szCs w:val="22"/>
          <w:lang w:val="hu-HU"/>
        </w:rPr>
      </w:pPr>
    </w:p>
    <w:p w14:paraId="64F3176B"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Az </w:t>
      </w:r>
      <w:r w:rsidRPr="005234A3">
        <w:rPr>
          <w:rFonts w:ascii="Segoe UI" w:hAnsi="Segoe UI" w:cs="Segoe UI"/>
          <w:b/>
          <w:bCs/>
          <w:sz w:val="22"/>
          <w:szCs w:val="22"/>
          <w:lang w:val="hu-HU"/>
        </w:rPr>
        <w:t>elsőbbségi részvények korrigált hozama</w:t>
      </w:r>
      <w:r w:rsidRPr="00A561C8">
        <w:rPr>
          <w:rFonts w:ascii="Segoe UI" w:hAnsi="Segoe UI" w:cs="Segoe UI"/>
          <w:sz w:val="22"/>
          <w:szCs w:val="22"/>
          <w:lang w:val="hu-HU"/>
        </w:rPr>
        <w:t xml:space="preserve"> -21,5 százalékkal csökkent a 2019-as pénzügyi év 5,43 eurós összegéről 4,26 euróra. Állandó árfolyamon az elsőbbségi részvények korrigált hozama -17,9 százalékkal csökkent.</w:t>
      </w:r>
    </w:p>
    <w:p w14:paraId="5CD64EA4" w14:textId="77777777" w:rsidR="00C31F37" w:rsidRPr="00A561C8" w:rsidRDefault="00C31F37" w:rsidP="00A561C8">
      <w:pPr>
        <w:spacing w:line="276" w:lineRule="auto"/>
        <w:jc w:val="both"/>
        <w:rPr>
          <w:rFonts w:ascii="Segoe UI" w:hAnsi="Segoe UI" w:cs="Segoe UI"/>
          <w:sz w:val="22"/>
          <w:szCs w:val="22"/>
          <w:lang w:val="hu-HU"/>
        </w:rPr>
      </w:pPr>
    </w:p>
    <w:p w14:paraId="2493E390"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5234A3">
        <w:rPr>
          <w:rFonts w:ascii="Segoe UI" w:hAnsi="Segoe UI" w:cs="Segoe UI"/>
          <w:b/>
          <w:bCs/>
          <w:sz w:val="22"/>
          <w:szCs w:val="22"/>
          <w:lang w:val="hu-HU"/>
        </w:rPr>
        <w:t>nettó forgótőke</w:t>
      </w:r>
      <w:r w:rsidRPr="00A561C8">
        <w:rPr>
          <w:rFonts w:ascii="Segoe UI" w:hAnsi="Segoe UI" w:cs="Segoe UI"/>
          <w:sz w:val="22"/>
          <w:szCs w:val="22"/>
          <w:lang w:val="hu-HU"/>
        </w:rPr>
        <w:t xml:space="preserve"> jelentősen javult az árbevétel 0,7 százalékáig, szemben az előző év azonos időszakának 3,9 százalékával. </w:t>
      </w:r>
    </w:p>
    <w:p w14:paraId="588DDA10" w14:textId="77777777" w:rsidR="00C31F37" w:rsidRPr="00A561C8" w:rsidRDefault="00C31F37" w:rsidP="00A561C8">
      <w:pPr>
        <w:spacing w:line="276" w:lineRule="auto"/>
        <w:jc w:val="both"/>
        <w:rPr>
          <w:rFonts w:ascii="Segoe UI" w:hAnsi="Segoe UI" w:cs="Segoe UI"/>
          <w:sz w:val="22"/>
          <w:szCs w:val="22"/>
          <w:lang w:val="hu-HU"/>
        </w:rPr>
      </w:pPr>
    </w:p>
    <w:p w14:paraId="54F36DFB"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5234A3">
        <w:rPr>
          <w:rFonts w:ascii="Segoe UI" w:hAnsi="Segoe UI" w:cs="Segoe UI"/>
          <w:b/>
          <w:bCs/>
          <w:sz w:val="22"/>
          <w:szCs w:val="22"/>
          <w:lang w:val="hu-HU"/>
        </w:rPr>
        <w:t>szabad cash flow</w:t>
      </w:r>
      <w:r w:rsidRPr="00A561C8">
        <w:rPr>
          <w:rFonts w:ascii="Segoe UI" w:hAnsi="Segoe UI" w:cs="Segoe UI"/>
          <w:sz w:val="22"/>
          <w:szCs w:val="22"/>
          <w:lang w:val="hu-HU"/>
        </w:rPr>
        <w:t xml:space="preserve"> továbbra is nagyon erős volt. 2338 millió euróval majdnem elérte az előző évi szintet (2019: 2471 millió euró).</w:t>
      </w:r>
    </w:p>
    <w:p w14:paraId="19CF0BAE" w14:textId="77777777" w:rsidR="00C31F37" w:rsidRPr="00A561C8" w:rsidRDefault="00C31F37" w:rsidP="00A561C8">
      <w:pPr>
        <w:spacing w:line="276" w:lineRule="auto"/>
        <w:jc w:val="both"/>
        <w:rPr>
          <w:rFonts w:ascii="Segoe UI" w:hAnsi="Segoe UI" w:cs="Segoe UI"/>
          <w:sz w:val="22"/>
          <w:szCs w:val="22"/>
          <w:lang w:val="hu-HU"/>
        </w:rPr>
      </w:pPr>
    </w:p>
    <w:p w14:paraId="0EC291EE" w14:textId="2F4E3E3F"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2020. december 31-én a Henkel </w:t>
      </w:r>
      <w:r w:rsidRPr="002C28C1">
        <w:rPr>
          <w:rFonts w:ascii="Segoe UI" w:hAnsi="Segoe UI" w:cs="Segoe UI"/>
          <w:b/>
          <w:bCs/>
          <w:sz w:val="22"/>
          <w:szCs w:val="22"/>
          <w:lang w:val="hu-HU"/>
        </w:rPr>
        <w:t>nettó pénzügyi helyzete</w:t>
      </w:r>
      <w:r w:rsidRPr="00A561C8">
        <w:rPr>
          <w:rFonts w:ascii="Segoe UI" w:hAnsi="Segoe UI" w:cs="Segoe UI"/>
          <w:sz w:val="22"/>
          <w:szCs w:val="22"/>
          <w:lang w:val="hu-HU"/>
        </w:rPr>
        <w:t xml:space="preserve"> jelentősen javult -888 millió euróra (2019. december 31.: -2047 millió euró).</w:t>
      </w:r>
    </w:p>
    <w:p w14:paraId="59650FF5" w14:textId="77777777" w:rsidR="00C31F37" w:rsidRPr="00A561C8" w:rsidRDefault="00C31F37" w:rsidP="00A561C8">
      <w:pPr>
        <w:spacing w:line="276" w:lineRule="auto"/>
        <w:jc w:val="both"/>
        <w:rPr>
          <w:rFonts w:ascii="Segoe UI" w:hAnsi="Segoe UI" w:cs="Segoe UI"/>
          <w:sz w:val="22"/>
          <w:szCs w:val="22"/>
          <w:lang w:val="hu-HU"/>
        </w:rPr>
      </w:pPr>
    </w:p>
    <w:p w14:paraId="38944759" w14:textId="77777777" w:rsidR="002C28C1" w:rsidRDefault="00C31F37" w:rsidP="002C28C1">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Az igazgatóság, a felügyelő bizottság és a részvényesek bizottsága ugyanazt az </w:t>
      </w:r>
      <w:r w:rsidRPr="002C28C1">
        <w:rPr>
          <w:rFonts w:ascii="Segoe UI" w:hAnsi="Segoe UI" w:cs="Segoe UI"/>
          <w:b/>
          <w:bCs/>
          <w:sz w:val="22"/>
          <w:szCs w:val="22"/>
          <w:lang w:val="hu-HU"/>
        </w:rPr>
        <w:t>osztalékot</w:t>
      </w:r>
      <w:r w:rsidRPr="00A561C8">
        <w:rPr>
          <w:rFonts w:ascii="Segoe UI" w:hAnsi="Segoe UI" w:cs="Segoe UI"/>
          <w:sz w:val="22"/>
          <w:szCs w:val="22"/>
          <w:lang w:val="hu-HU"/>
        </w:rPr>
        <w:t xml:space="preserve"> javasolja a 2021. április 16-án megtartandó éves közgyűlésnek, mint az előző évben, azaz 1,85 eurót elsőbbségi részvényenként és 1,83 eurót törzsrészvényenként. Ez 43,7 százalékos kifizetési aránynak felel meg, amely meghaladja a 30-40 százalékos céltartományt, tükrözve a COVID-19 járvány által az eredményre nehezedő </w:t>
      </w:r>
      <w:proofErr w:type="spellStart"/>
      <w:r w:rsidRPr="00A561C8">
        <w:rPr>
          <w:rFonts w:ascii="Segoe UI" w:hAnsi="Segoe UI" w:cs="Segoe UI"/>
          <w:sz w:val="22"/>
          <w:szCs w:val="22"/>
          <w:lang w:val="hu-HU"/>
        </w:rPr>
        <w:t>terhek</w:t>
      </w:r>
      <w:proofErr w:type="spellEnd"/>
      <w:r w:rsidRPr="00A561C8">
        <w:rPr>
          <w:rFonts w:ascii="Segoe UI" w:hAnsi="Segoe UI" w:cs="Segoe UI"/>
          <w:sz w:val="22"/>
          <w:szCs w:val="22"/>
          <w:lang w:val="hu-HU"/>
        </w:rPr>
        <w:t xml:space="preserve"> különleges jellegét. Ez a kifizetés nem utolsósorban a Henkel-csoport erős pénzügyi bázisának és alacsony nettó pénzügyi adósságának köszönhető. A Henkel osztalékpolitikája a továbbiakban változatlan marad.</w:t>
      </w:r>
    </w:p>
    <w:p w14:paraId="3096E64F" w14:textId="77777777" w:rsidR="002C28C1" w:rsidRDefault="002C28C1" w:rsidP="002C28C1">
      <w:pPr>
        <w:spacing w:line="276" w:lineRule="auto"/>
        <w:jc w:val="both"/>
        <w:rPr>
          <w:rFonts w:ascii="Segoe UI" w:hAnsi="Segoe UI" w:cs="Segoe UI"/>
          <w:sz w:val="22"/>
          <w:szCs w:val="22"/>
          <w:lang w:val="hu-HU"/>
        </w:rPr>
      </w:pPr>
    </w:p>
    <w:p w14:paraId="267AEFE0" w14:textId="2B81E0B9" w:rsidR="00C31F37" w:rsidRPr="002C28C1" w:rsidRDefault="002C28C1" w:rsidP="002C28C1">
      <w:pPr>
        <w:spacing w:after="120" w:line="276" w:lineRule="auto"/>
        <w:jc w:val="both"/>
        <w:rPr>
          <w:rFonts w:ascii="Segoe UI" w:hAnsi="Segoe UI" w:cs="Segoe UI"/>
          <w:b/>
          <w:bCs/>
          <w:sz w:val="22"/>
          <w:szCs w:val="22"/>
          <w:lang w:val="en-US" w:eastAsia="de-DE"/>
        </w:rPr>
      </w:pPr>
      <w:r>
        <w:rPr>
          <w:rFonts w:ascii="Segoe UI" w:hAnsi="Segoe UI" w:cs="Segoe UI"/>
          <w:b/>
          <w:bCs/>
          <w:sz w:val="22"/>
          <w:szCs w:val="22"/>
          <w:lang w:val="en-US" w:eastAsia="de-DE"/>
        </w:rPr>
        <w:t>A</w:t>
      </w:r>
      <w:r w:rsidR="00C31F37" w:rsidRPr="002C28C1">
        <w:rPr>
          <w:rFonts w:ascii="Segoe UI" w:hAnsi="Segoe UI" w:cs="Segoe UI"/>
          <w:b/>
          <w:bCs/>
          <w:sz w:val="22"/>
          <w:szCs w:val="22"/>
          <w:lang w:val="en-US" w:eastAsia="de-DE"/>
        </w:rPr>
        <w:t xml:space="preserve">z </w:t>
      </w:r>
      <w:proofErr w:type="spellStart"/>
      <w:r w:rsidR="00C31F37" w:rsidRPr="002C28C1">
        <w:rPr>
          <w:rFonts w:ascii="Segoe UI" w:hAnsi="Segoe UI" w:cs="Segoe UI"/>
          <w:b/>
          <w:bCs/>
          <w:sz w:val="22"/>
          <w:szCs w:val="22"/>
          <w:lang w:val="en-US" w:eastAsia="de-DE"/>
        </w:rPr>
        <w:t>üzletágak</w:t>
      </w:r>
      <w:proofErr w:type="spellEnd"/>
      <w:r w:rsidR="00C31F37" w:rsidRPr="002C28C1">
        <w:rPr>
          <w:rFonts w:ascii="Segoe UI" w:hAnsi="Segoe UI" w:cs="Segoe UI"/>
          <w:b/>
          <w:bCs/>
          <w:sz w:val="22"/>
          <w:szCs w:val="22"/>
          <w:lang w:val="en-US" w:eastAsia="de-DE"/>
        </w:rPr>
        <w:t xml:space="preserve"> </w:t>
      </w:r>
      <w:proofErr w:type="spellStart"/>
      <w:r w:rsidR="00C31F37" w:rsidRPr="002C28C1">
        <w:rPr>
          <w:rFonts w:ascii="Segoe UI" w:hAnsi="Segoe UI" w:cs="Segoe UI"/>
          <w:b/>
          <w:bCs/>
          <w:sz w:val="22"/>
          <w:szCs w:val="22"/>
          <w:lang w:val="en-US" w:eastAsia="de-DE"/>
        </w:rPr>
        <w:t>teljesítménye</w:t>
      </w:r>
      <w:proofErr w:type="spellEnd"/>
      <w:r w:rsidR="00C31F37" w:rsidRPr="002C28C1">
        <w:rPr>
          <w:rFonts w:ascii="Segoe UI" w:hAnsi="Segoe UI" w:cs="Segoe UI"/>
          <w:b/>
          <w:bCs/>
          <w:sz w:val="22"/>
          <w:szCs w:val="22"/>
          <w:lang w:val="en-US" w:eastAsia="de-DE"/>
        </w:rPr>
        <w:t xml:space="preserve"> a 2020-as pénzügyi évben</w:t>
      </w:r>
    </w:p>
    <w:p w14:paraId="55512A5B" w14:textId="7C740168"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2020-as pénzügyi évben az </w:t>
      </w:r>
      <w:r w:rsidRPr="002C28C1">
        <w:rPr>
          <w:rFonts w:ascii="Segoe UI" w:hAnsi="Segoe UI" w:cs="Segoe UI"/>
          <w:b/>
          <w:bCs/>
          <w:sz w:val="22"/>
          <w:szCs w:val="22"/>
          <w:lang w:val="hu-HU"/>
        </w:rPr>
        <w:t>Adhesive Technologies</w:t>
      </w:r>
      <w:r w:rsidRPr="00A561C8">
        <w:rPr>
          <w:rFonts w:ascii="Segoe UI" w:hAnsi="Segoe UI" w:cs="Segoe UI"/>
          <w:sz w:val="22"/>
          <w:szCs w:val="22"/>
          <w:lang w:val="hu-HU"/>
        </w:rPr>
        <w:t xml:space="preserve"> üzletág </w:t>
      </w:r>
      <w:r w:rsidRPr="002C28C1">
        <w:rPr>
          <w:rFonts w:ascii="Segoe UI" w:hAnsi="Segoe UI" w:cs="Segoe UI"/>
          <w:b/>
          <w:bCs/>
          <w:sz w:val="22"/>
          <w:szCs w:val="22"/>
          <w:lang w:val="hu-HU"/>
        </w:rPr>
        <w:t>árbevétel</w:t>
      </w:r>
      <w:r w:rsidR="002C28C1">
        <w:rPr>
          <w:rFonts w:ascii="Segoe UI" w:hAnsi="Segoe UI" w:cs="Segoe UI"/>
          <w:b/>
          <w:bCs/>
          <w:sz w:val="22"/>
          <w:szCs w:val="22"/>
          <w:lang w:val="hu-HU"/>
        </w:rPr>
        <w:t>e</w:t>
      </w:r>
      <w:r w:rsidRPr="00A561C8">
        <w:rPr>
          <w:rFonts w:ascii="Segoe UI" w:hAnsi="Segoe UI" w:cs="Segoe UI"/>
          <w:sz w:val="22"/>
          <w:szCs w:val="22"/>
          <w:lang w:val="hu-HU"/>
        </w:rPr>
        <w:t xml:space="preserve"> elérte a 8684 millió eurót, ami nominálisan -8,2 százalékkal maradt el az előző évi szinttől. </w:t>
      </w:r>
      <w:r w:rsidRPr="002C28C1">
        <w:rPr>
          <w:rFonts w:ascii="Segoe UI" w:hAnsi="Segoe UI" w:cs="Segoe UI"/>
          <w:b/>
          <w:bCs/>
          <w:sz w:val="22"/>
          <w:szCs w:val="22"/>
          <w:lang w:val="hu-HU"/>
        </w:rPr>
        <w:t>Szervesen</w:t>
      </w:r>
      <w:r w:rsidRPr="00A561C8">
        <w:rPr>
          <w:rFonts w:ascii="Segoe UI" w:hAnsi="Segoe UI" w:cs="Segoe UI"/>
          <w:sz w:val="22"/>
          <w:szCs w:val="22"/>
          <w:lang w:val="hu-HU"/>
        </w:rPr>
        <w:t xml:space="preserve"> az árbevétel alakulása -4,2 százalék volt. Különösen az év első felét érintette erősen a COVID-19 járvány. Az év második felében azonban minden üzleti szegmensben és régióban fellendült a kereslet. A </w:t>
      </w:r>
      <w:r w:rsidRPr="002C28C1">
        <w:rPr>
          <w:rFonts w:ascii="Segoe UI" w:hAnsi="Segoe UI" w:cs="Segoe UI"/>
          <w:b/>
          <w:bCs/>
          <w:sz w:val="22"/>
          <w:szCs w:val="22"/>
          <w:lang w:val="hu-HU"/>
        </w:rPr>
        <w:t>korrigált üzemi eredmény</w:t>
      </w:r>
      <w:r w:rsidRPr="00A561C8">
        <w:rPr>
          <w:rFonts w:ascii="Segoe UI" w:hAnsi="Segoe UI" w:cs="Segoe UI"/>
          <w:sz w:val="22"/>
          <w:szCs w:val="22"/>
          <w:lang w:val="hu-HU"/>
        </w:rPr>
        <w:t xml:space="preserve"> összege elérte az 1320 millió eurót (előző év: 1712 millió euró). A </w:t>
      </w:r>
      <w:r w:rsidRPr="002C28C1">
        <w:rPr>
          <w:rFonts w:ascii="Segoe UI" w:hAnsi="Segoe UI" w:cs="Segoe UI"/>
          <w:b/>
          <w:bCs/>
          <w:sz w:val="22"/>
          <w:szCs w:val="22"/>
          <w:lang w:val="hu-HU"/>
        </w:rPr>
        <w:t>korrigált árbevétel-arányos megtérülés</w:t>
      </w:r>
      <w:r w:rsidRPr="00A561C8">
        <w:rPr>
          <w:rFonts w:ascii="Segoe UI" w:hAnsi="Segoe UI" w:cs="Segoe UI"/>
          <w:sz w:val="22"/>
          <w:szCs w:val="22"/>
          <w:lang w:val="hu-HU"/>
        </w:rPr>
        <w:t xml:space="preserve"> 15,2 százalék volt, amely alacsonyabb, mint a 2019 évi szint. A fedezet csökkenése elsősorban a világjárvány miatt jelentősen alacsonyabb értékesítési volumennek tudható be.</w:t>
      </w:r>
    </w:p>
    <w:p w14:paraId="25D2D7ED" w14:textId="77777777" w:rsidR="00C31F37" w:rsidRPr="00A561C8" w:rsidRDefault="00C31F37" w:rsidP="00A561C8">
      <w:pPr>
        <w:spacing w:line="276" w:lineRule="auto"/>
        <w:jc w:val="both"/>
        <w:rPr>
          <w:rFonts w:ascii="Segoe UI" w:hAnsi="Segoe UI" w:cs="Segoe UI"/>
          <w:sz w:val="22"/>
          <w:szCs w:val="22"/>
          <w:lang w:val="hu-HU"/>
        </w:rPr>
      </w:pPr>
    </w:p>
    <w:p w14:paraId="6AB464F0" w14:textId="382D351B"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2C28C1">
        <w:rPr>
          <w:rFonts w:ascii="Segoe UI" w:hAnsi="Segoe UI" w:cs="Segoe UI"/>
          <w:b/>
          <w:bCs/>
          <w:sz w:val="22"/>
          <w:szCs w:val="22"/>
          <w:lang w:val="hu-HU"/>
        </w:rPr>
        <w:t>Beauty Care</w:t>
      </w:r>
      <w:r w:rsidRPr="00A561C8">
        <w:rPr>
          <w:rFonts w:ascii="Segoe UI" w:hAnsi="Segoe UI" w:cs="Segoe UI"/>
          <w:sz w:val="22"/>
          <w:szCs w:val="22"/>
          <w:lang w:val="hu-HU"/>
        </w:rPr>
        <w:t xml:space="preserve"> üzletágban a 2020-as üzleti évben a </w:t>
      </w:r>
      <w:r w:rsidRPr="002C28C1">
        <w:rPr>
          <w:rFonts w:ascii="Segoe UI" w:hAnsi="Segoe UI" w:cs="Segoe UI"/>
          <w:b/>
          <w:bCs/>
          <w:sz w:val="22"/>
          <w:szCs w:val="22"/>
          <w:lang w:val="hu-HU"/>
        </w:rPr>
        <w:t>szerves</w:t>
      </w:r>
      <w:r w:rsidRPr="00A561C8">
        <w:rPr>
          <w:rFonts w:ascii="Segoe UI" w:hAnsi="Segoe UI" w:cs="Segoe UI"/>
          <w:sz w:val="22"/>
          <w:szCs w:val="22"/>
          <w:lang w:val="hu-HU"/>
        </w:rPr>
        <w:t xml:space="preserve"> </w:t>
      </w:r>
      <w:r w:rsidRPr="002C28C1">
        <w:rPr>
          <w:rFonts w:ascii="Segoe UI" w:hAnsi="Segoe UI" w:cs="Segoe UI"/>
          <w:b/>
          <w:bCs/>
          <w:sz w:val="22"/>
          <w:szCs w:val="22"/>
          <w:lang w:val="hu-HU"/>
        </w:rPr>
        <w:t>árbevétel</w:t>
      </w:r>
      <w:r w:rsidR="002C28C1">
        <w:rPr>
          <w:rFonts w:ascii="Segoe UI" w:hAnsi="Segoe UI" w:cs="Segoe UI"/>
          <w:sz w:val="22"/>
          <w:szCs w:val="22"/>
          <w:lang w:val="hu-HU"/>
        </w:rPr>
        <w:t xml:space="preserve"> </w:t>
      </w:r>
      <w:r w:rsidRPr="00A561C8">
        <w:rPr>
          <w:rFonts w:ascii="Segoe UI" w:hAnsi="Segoe UI" w:cs="Segoe UI"/>
          <w:sz w:val="22"/>
          <w:szCs w:val="22"/>
          <w:lang w:val="hu-HU"/>
        </w:rPr>
        <w:t xml:space="preserve">-2,8 százalékkal csökkent. Névlegesen az árbevétel -3,2 százalékkal alacsonyabb volt az előző évinél, elérve a 3752 millió eurót. A tendencia elsősorban annak köszönhető, hogy a COVID-19 járvány negatívan hatott a Fodrász Szalonra, míg a Kiskereskedelmi terület általában jó szerves árbevétel-növekedést ért el. A </w:t>
      </w:r>
      <w:r w:rsidRPr="002C28C1">
        <w:rPr>
          <w:rFonts w:ascii="Segoe UI" w:hAnsi="Segoe UI" w:cs="Segoe UI"/>
          <w:b/>
          <w:bCs/>
          <w:sz w:val="22"/>
          <w:szCs w:val="22"/>
          <w:lang w:val="hu-HU"/>
        </w:rPr>
        <w:t>korrigált üzemi eredmény</w:t>
      </w:r>
      <w:r w:rsidRPr="00A561C8">
        <w:rPr>
          <w:rFonts w:ascii="Segoe UI" w:hAnsi="Segoe UI" w:cs="Segoe UI"/>
          <w:sz w:val="22"/>
          <w:szCs w:val="22"/>
          <w:lang w:val="hu-HU"/>
        </w:rPr>
        <w:t xml:space="preserve"> összege elérte a 377 millió eurót (előző év: 519 millió euró)</w:t>
      </w:r>
      <w:r w:rsidR="002C28C1">
        <w:rPr>
          <w:rFonts w:ascii="Segoe UI" w:hAnsi="Segoe UI" w:cs="Segoe UI"/>
          <w:sz w:val="22"/>
          <w:szCs w:val="22"/>
          <w:lang w:val="hu-HU"/>
        </w:rPr>
        <w:t>.</w:t>
      </w:r>
      <w:r w:rsidRPr="00A561C8">
        <w:rPr>
          <w:rFonts w:ascii="Segoe UI" w:hAnsi="Segoe UI" w:cs="Segoe UI"/>
          <w:sz w:val="22"/>
          <w:szCs w:val="22"/>
          <w:lang w:val="hu-HU"/>
        </w:rPr>
        <w:t xml:space="preserve"> A </w:t>
      </w:r>
      <w:r w:rsidRPr="002C28C1">
        <w:rPr>
          <w:rFonts w:ascii="Segoe UI" w:hAnsi="Segoe UI" w:cs="Segoe UI"/>
          <w:b/>
          <w:bCs/>
          <w:sz w:val="22"/>
          <w:szCs w:val="22"/>
          <w:lang w:val="hu-HU"/>
        </w:rPr>
        <w:t>korrigált árbevétel-arányos megtérülés</w:t>
      </w:r>
      <w:r w:rsidRPr="00A561C8">
        <w:rPr>
          <w:rFonts w:ascii="Segoe UI" w:hAnsi="Segoe UI" w:cs="Segoe UI"/>
          <w:sz w:val="22"/>
          <w:szCs w:val="22"/>
          <w:lang w:val="hu-HU"/>
        </w:rPr>
        <w:t xml:space="preserve"> elérte a 10,0 százalékot, amit a Fodrász terület csökkenő értékesítési volumene, valamint a marketingbe és a reklámozásba, illetve a digitális és informatikai eszközökbe irányuló nagyobb befektetések befolyásoltak.</w:t>
      </w:r>
    </w:p>
    <w:p w14:paraId="259149D1" w14:textId="77777777" w:rsidR="00C31F37" w:rsidRPr="00A561C8" w:rsidRDefault="00C31F37" w:rsidP="00A561C8">
      <w:pPr>
        <w:spacing w:line="276" w:lineRule="auto"/>
        <w:jc w:val="both"/>
        <w:rPr>
          <w:rFonts w:ascii="Segoe UI" w:hAnsi="Segoe UI" w:cs="Segoe UI"/>
          <w:sz w:val="22"/>
          <w:szCs w:val="22"/>
          <w:lang w:val="hu-HU"/>
        </w:rPr>
      </w:pPr>
    </w:p>
    <w:p w14:paraId="51C9AFB7"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2C28C1">
        <w:rPr>
          <w:rFonts w:ascii="Segoe UI" w:hAnsi="Segoe UI" w:cs="Segoe UI"/>
          <w:b/>
          <w:bCs/>
          <w:sz w:val="22"/>
          <w:szCs w:val="22"/>
          <w:lang w:val="hu-HU"/>
        </w:rPr>
        <w:t>Laundry &amp; Home Care</w:t>
      </w:r>
      <w:r w:rsidRPr="00A561C8">
        <w:rPr>
          <w:rFonts w:ascii="Segoe UI" w:hAnsi="Segoe UI" w:cs="Segoe UI"/>
          <w:sz w:val="22"/>
          <w:szCs w:val="22"/>
          <w:lang w:val="hu-HU"/>
        </w:rPr>
        <w:t xml:space="preserve"> üzletág 5,6 százalékos </w:t>
      </w:r>
      <w:r w:rsidRPr="002C28C1">
        <w:rPr>
          <w:rFonts w:ascii="Segoe UI" w:hAnsi="Segoe UI" w:cs="Segoe UI"/>
          <w:b/>
          <w:bCs/>
          <w:sz w:val="22"/>
          <w:szCs w:val="22"/>
          <w:lang w:val="hu-HU"/>
        </w:rPr>
        <w:t>szerves árbevétel</w:t>
      </w:r>
      <w:r w:rsidRPr="00A561C8">
        <w:rPr>
          <w:rFonts w:ascii="Segoe UI" w:hAnsi="Segoe UI" w:cs="Segoe UI"/>
          <w:sz w:val="22"/>
          <w:szCs w:val="22"/>
          <w:lang w:val="hu-HU"/>
        </w:rPr>
        <w:t xml:space="preserve"> növekedést könyvelhetett el a 2020-as pénzügyi évben. A nominális árbevétel 0,7 százalékos növekedést mutatott és elérte a 6704 millió eurót. A </w:t>
      </w:r>
      <w:r w:rsidRPr="002C28C1">
        <w:rPr>
          <w:rFonts w:ascii="Segoe UI" w:hAnsi="Segoe UI" w:cs="Segoe UI"/>
          <w:b/>
          <w:bCs/>
          <w:sz w:val="22"/>
          <w:szCs w:val="22"/>
          <w:lang w:val="hu-HU"/>
        </w:rPr>
        <w:t>korrigált üzemi eredmény</w:t>
      </w:r>
      <w:r w:rsidRPr="00A561C8">
        <w:rPr>
          <w:rFonts w:ascii="Segoe UI" w:hAnsi="Segoe UI" w:cs="Segoe UI"/>
          <w:sz w:val="22"/>
          <w:szCs w:val="22"/>
          <w:lang w:val="hu-HU"/>
        </w:rPr>
        <w:t xml:space="preserve"> elérte az 1004 millió eurót. (Előző év: 1096 millió euró). A 15,0 százalékos, </w:t>
      </w:r>
      <w:r w:rsidRPr="002C28C1">
        <w:rPr>
          <w:rFonts w:ascii="Segoe UI" w:hAnsi="Segoe UI" w:cs="Segoe UI"/>
          <w:b/>
          <w:bCs/>
          <w:sz w:val="22"/>
          <w:szCs w:val="22"/>
          <w:lang w:val="hu-HU"/>
        </w:rPr>
        <w:t>korrigált árbevétel-arányos megtérülés</w:t>
      </w:r>
      <w:r w:rsidRPr="00A561C8">
        <w:rPr>
          <w:rFonts w:ascii="Segoe UI" w:hAnsi="Segoe UI" w:cs="Segoe UI"/>
          <w:sz w:val="22"/>
          <w:szCs w:val="22"/>
          <w:lang w:val="hu-HU"/>
        </w:rPr>
        <w:t xml:space="preserve"> a 2019-es szintnél alacsonyabb volt, főként a marketingbe és reklámozásba, valamint a digitális és az informatikai eszközökbe irányuló nagyobb beruházások miatt.</w:t>
      </w:r>
    </w:p>
    <w:p w14:paraId="4166E2B0" w14:textId="77777777" w:rsidR="00C31F37" w:rsidRPr="00A561C8" w:rsidRDefault="00C31F37" w:rsidP="00A561C8">
      <w:pPr>
        <w:spacing w:line="276" w:lineRule="auto"/>
        <w:jc w:val="both"/>
        <w:rPr>
          <w:rFonts w:ascii="Segoe UI" w:hAnsi="Segoe UI" w:cs="Segoe UI"/>
          <w:sz w:val="22"/>
          <w:szCs w:val="22"/>
          <w:lang w:val="hu-HU"/>
        </w:rPr>
      </w:pPr>
    </w:p>
    <w:p w14:paraId="2313404C" w14:textId="77777777" w:rsidR="00C31F37" w:rsidRPr="002C28C1" w:rsidRDefault="00C31F37" w:rsidP="002C28C1">
      <w:pPr>
        <w:spacing w:after="120" w:line="276" w:lineRule="auto"/>
        <w:jc w:val="both"/>
        <w:rPr>
          <w:rFonts w:ascii="Segoe UI" w:hAnsi="Segoe UI" w:cs="Segoe UI"/>
          <w:b/>
          <w:bCs/>
          <w:sz w:val="22"/>
          <w:szCs w:val="22"/>
          <w:lang w:val="hu-HU"/>
        </w:rPr>
      </w:pPr>
      <w:r w:rsidRPr="002C28C1">
        <w:rPr>
          <w:rFonts w:ascii="Segoe UI" w:hAnsi="Segoe UI" w:cs="Segoe UI"/>
          <w:b/>
          <w:bCs/>
          <w:sz w:val="22"/>
          <w:szCs w:val="22"/>
          <w:lang w:val="hu-HU"/>
        </w:rPr>
        <w:t xml:space="preserve">„Célzott növekedés” akcióterv: Nagy lendület </w:t>
      </w:r>
    </w:p>
    <w:p w14:paraId="34966C97"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2020 márciusának elején a Henkel bemutatta a vállalat következő évekre szóló növekedési menetrendjét, amely a következőkre összpontosít: a sikeres portfólió kialakítására, a versenyelőny megerősítésére, különösen az innováció, a fenntarthatóság és a digitalizáció területén, a jövőorientált működési modellek kialakítására, valamint erős és együttműködő vállalati kultúra megteremtésére. „Ez a stratégiai keret segít abban, hogy megnyerjük a következő évtizedet a Henkel számára, egyértelmű hangsúlyt fektetve a célzott növekedésre. Annak ellenére, hogy 2020-ban a válságkezelésre összpontosítottunk, bemutathattuk növekedési menetrendünket és elkezdhettük annak végrehajtását. Elhatároztuk, hogy 2021-ben és az elkövetkező években további előrelépéseket fogunk elérni” – mondta </w:t>
      </w:r>
      <w:proofErr w:type="spellStart"/>
      <w:r w:rsidRPr="00A561C8">
        <w:rPr>
          <w:rFonts w:ascii="Segoe UI" w:hAnsi="Segoe UI" w:cs="Segoe UI"/>
          <w:sz w:val="22"/>
          <w:szCs w:val="22"/>
          <w:lang w:val="hu-HU"/>
        </w:rPr>
        <w:t>Carsten</w:t>
      </w:r>
      <w:proofErr w:type="spellEnd"/>
      <w:r w:rsidRPr="00A561C8">
        <w:rPr>
          <w:rFonts w:ascii="Segoe UI" w:hAnsi="Segoe UI" w:cs="Segoe UI"/>
          <w:sz w:val="22"/>
          <w:szCs w:val="22"/>
          <w:lang w:val="hu-HU"/>
        </w:rPr>
        <w:t xml:space="preserve"> </w:t>
      </w:r>
      <w:proofErr w:type="spellStart"/>
      <w:r w:rsidRPr="00A561C8">
        <w:rPr>
          <w:rFonts w:ascii="Segoe UI" w:hAnsi="Segoe UI" w:cs="Segoe UI"/>
          <w:sz w:val="22"/>
          <w:szCs w:val="22"/>
          <w:lang w:val="hu-HU"/>
        </w:rPr>
        <w:t>Knobel</w:t>
      </w:r>
      <w:proofErr w:type="spellEnd"/>
      <w:r w:rsidRPr="00A561C8">
        <w:rPr>
          <w:rFonts w:ascii="Segoe UI" w:hAnsi="Segoe UI" w:cs="Segoe UI"/>
          <w:sz w:val="22"/>
          <w:szCs w:val="22"/>
          <w:lang w:val="hu-HU"/>
        </w:rPr>
        <w:t>.</w:t>
      </w:r>
    </w:p>
    <w:p w14:paraId="09D0B38D" w14:textId="77777777" w:rsidR="00C31F37" w:rsidRPr="00A561C8" w:rsidRDefault="00C31F37" w:rsidP="00A561C8">
      <w:pPr>
        <w:spacing w:line="276" w:lineRule="auto"/>
        <w:jc w:val="both"/>
        <w:rPr>
          <w:rFonts w:ascii="Segoe UI" w:hAnsi="Segoe UI" w:cs="Segoe UI"/>
          <w:sz w:val="22"/>
          <w:szCs w:val="22"/>
          <w:lang w:val="hu-HU"/>
        </w:rPr>
      </w:pPr>
    </w:p>
    <w:p w14:paraId="2684E1C5"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Henkel jövőbeli irányának kulcseleme az </w:t>
      </w:r>
      <w:r w:rsidRPr="002C28C1">
        <w:rPr>
          <w:rFonts w:ascii="Segoe UI" w:hAnsi="Segoe UI" w:cs="Segoe UI"/>
          <w:b/>
          <w:bCs/>
          <w:sz w:val="22"/>
          <w:szCs w:val="22"/>
          <w:lang w:val="hu-HU"/>
        </w:rPr>
        <w:t>aktív portfóliókezelés</w:t>
      </w:r>
      <w:r w:rsidRPr="00A561C8">
        <w:rPr>
          <w:rFonts w:ascii="Segoe UI" w:hAnsi="Segoe UI" w:cs="Segoe UI"/>
          <w:sz w:val="22"/>
          <w:szCs w:val="22"/>
          <w:lang w:val="hu-HU"/>
        </w:rPr>
        <w:t xml:space="preserve">. A Henkelnek vannak, elsősorban a fogyasztói üzletágaiban olyan márkái és termékkategóriái, melyeknek teljes forgalma meghaladja az egymilliárd eurót, és körülbelül 50 százalékuk megszűnik vagy eladásra kerül 2021-ig. A fennmaradó márkák és üzleti tevékenységek várhatóan fenntartható teljesítmény-javulást mutatnak. 2020-ban e márkák és üzleti tevékenységek bevételei alapjának már 60 százaléka javította az ütemtervet. </w:t>
      </w:r>
    </w:p>
    <w:p w14:paraId="52D60939" w14:textId="77777777" w:rsidR="00C31F37" w:rsidRPr="00A561C8" w:rsidRDefault="00C31F37" w:rsidP="00A561C8">
      <w:pPr>
        <w:spacing w:line="276" w:lineRule="auto"/>
        <w:jc w:val="both"/>
        <w:rPr>
          <w:rFonts w:ascii="Segoe UI" w:hAnsi="Segoe UI" w:cs="Segoe UI"/>
          <w:sz w:val="22"/>
          <w:szCs w:val="22"/>
          <w:lang w:val="hu-HU"/>
        </w:rPr>
      </w:pPr>
    </w:p>
    <w:p w14:paraId="782CB48F"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2020-as piaci bizonytalanságok ellenére a Henkel már több mint 100 millió euró éves árbevétel volumenű megállapodásokat írt alá eladásokról, az értékesítés befejezéséről vagy az üzleti tevékenységek megszüntetéséről. A Henkel aktív portfóliókezelésével kapcsolatban 2020-ban </w:t>
      </w:r>
      <w:r w:rsidRPr="00A561C8">
        <w:rPr>
          <w:rFonts w:ascii="Segoe UI" w:hAnsi="Segoe UI" w:cs="Segoe UI"/>
          <w:sz w:val="22"/>
          <w:szCs w:val="22"/>
          <w:lang w:val="hu-HU"/>
        </w:rPr>
        <w:lastRenderedPageBreak/>
        <w:t>mintegy 300 millió euró költséget könyvelt el, az eladandó vagy megszüntetendő vállalkozásokra.</w:t>
      </w:r>
    </w:p>
    <w:p w14:paraId="6617BE85" w14:textId="77777777" w:rsidR="00C31F37" w:rsidRPr="00A561C8" w:rsidRDefault="00C31F37" w:rsidP="00A561C8">
      <w:pPr>
        <w:spacing w:line="276" w:lineRule="auto"/>
        <w:jc w:val="both"/>
        <w:rPr>
          <w:rFonts w:ascii="Segoe UI" w:hAnsi="Segoe UI" w:cs="Segoe UI"/>
          <w:sz w:val="22"/>
          <w:szCs w:val="22"/>
          <w:lang w:val="hu-HU"/>
        </w:rPr>
      </w:pPr>
    </w:p>
    <w:p w14:paraId="37F4D5CD"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Ugyanakkor a Henkel </w:t>
      </w:r>
      <w:r w:rsidRPr="002C28C1">
        <w:rPr>
          <w:rFonts w:ascii="Segoe UI" w:hAnsi="Segoe UI" w:cs="Segoe UI"/>
          <w:b/>
          <w:bCs/>
          <w:sz w:val="22"/>
          <w:szCs w:val="22"/>
          <w:lang w:val="hu-HU"/>
        </w:rPr>
        <w:t>M&amp;A</w:t>
      </w:r>
      <w:r w:rsidRPr="00A561C8">
        <w:rPr>
          <w:rFonts w:ascii="Segoe UI" w:hAnsi="Segoe UI" w:cs="Segoe UI"/>
          <w:sz w:val="22"/>
          <w:szCs w:val="22"/>
          <w:lang w:val="hu-HU"/>
        </w:rPr>
        <w:t xml:space="preserve"> révén megerősítette portfólióját markáns mérlegének felhasználásával. 2020-ban a Henkel két akvizíciót kötött és zárt le, összesen mintegy 500 millió eurós vételárral a Beauty Care és Adhesive Technologies területén.</w:t>
      </w:r>
    </w:p>
    <w:p w14:paraId="46BAD903" w14:textId="77777777" w:rsidR="00C31F37" w:rsidRPr="00A561C8" w:rsidRDefault="00C31F37" w:rsidP="00A561C8">
      <w:pPr>
        <w:spacing w:line="276" w:lineRule="auto"/>
        <w:jc w:val="both"/>
        <w:rPr>
          <w:rFonts w:ascii="Segoe UI" w:hAnsi="Segoe UI" w:cs="Segoe UI"/>
          <w:sz w:val="22"/>
          <w:szCs w:val="22"/>
          <w:lang w:val="hu-HU"/>
        </w:rPr>
      </w:pPr>
    </w:p>
    <w:p w14:paraId="09242322" w14:textId="77777777" w:rsidR="00C31F37" w:rsidRPr="00A561C8" w:rsidRDefault="00C31F37" w:rsidP="00A561C8">
      <w:pPr>
        <w:spacing w:line="276" w:lineRule="auto"/>
        <w:jc w:val="both"/>
        <w:rPr>
          <w:rFonts w:ascii="Segoe UI" w:hAnsi="Segoe UI" w:cs="Segoe UI"/>
          <w:sz w:val="22"/>
          <w:szCs w:val="22"/>
          <w:lang w:val="hu-HU"/>
        </w:rPr>
      </w:pPr>
      <w:r w:rsidRPr="002C28C1">
        <w:rPr>
          <w:rFonts w:ascii="Segoe UI" w:hAnsi="Segoe UI" w:cs="Segoe UI"/>
          <w:b/>
          <w:bCs/>
          <w:sz w:val="22"/>
          <w:szCs w:val="22"/>
          <w:lang w:val="hu-HU"/>
        </w:rPr>
        <w:t>Versenyképességének</w:t>
      </w:r>
      <w:r w:rsidRPr="00A561C8">
        <w:rPr>
          <w:rFonts w:ascii="Segoe UI" w:hAnsi="Segoe UI" w:cs="Segoe UI"/>
          <w:sz w:val="22"/>
          <w:szCs w:val="22"/>
          <w:lang w:val="hu-HU"/>
        </w:rPr>
        <w:t xml:space="preserve"> további erősítése érdekében a Henkel a hatásos </w:t>
      </w:r>
      <w:r w:rsidRPr="002C28C1">
        <w:rPr>
          <w:rFonts w:ascii="Segoe UI" w:hAnsi="Segoe UI" w:cs="Segoe UI"/>
          <w:b/>
          <w:bCs/>
          <w:sz w:val="22"/>
          <w:szCs w:val="22"/>
          <w:lang w:val="hu-HU"/>
        </w:rPr>
        <w:t>innovációk</w:t>
      </w:r>
      <w:r w:rsidRPr="00A561C8">
        <w:rPr>
          <w:rFonts w:ascii="Segoe UI" w:hAnsi="Segoe UI" w:cs="Segoe UI"/>
          <w:sz w:val="22"/>
          <w:szCs w:val="22"/>
          <w:lang w:val="hu-HU"/>
        </w:rPr>
        <w:t xml:space="preserve"> felgyorsítására, a </w:t>
      </w:r>
      <w:r w:rsidRPr="002C28C1">
        <w:rPr>
          <w:rFonts w:ascii="Segoe UI" w:hAnsi="Segoe UI" w:cs="Segoe UI"/>
          <w:b/>
          <w:bCs/>
          <w:sz w:val="22"/>
          <w:szCs w:val="22"/>
          <w:lang w:val="hu-HU"/>
        </w:rPr>
        <w:t>fenntarthatóság</w:t>
      </w:r>
      <w:r w:rsidRPr="00A561C8">
        <w:rPr>
          <w:rFonts w:ascii="Segoe UI" w:hAnsi="Segoe UI" w:cs="Segoe UI"/>
          <w:sz w:val="22"/>
          <w:szCs w:val="22"/>
          <w:lang w:val="hu-HU"/>
        </w:rPr>
        <w:t xml:space="preserve"> mint megkülönböztető tényező megerősítésére, és a </w:t>
      </w:r>
      <w:r w:rsidRPr="002C28C1">
        <w:rPr>
          <w:rFonts w:ascii="Segoe UI" w:hAnsi="Segoe UI" w:cs="Segoe UI"/>
          <w:b/>
          <w:bCs/>
          <w:sz w:val="22"/>
          <w:szCs w:val="22"/>
          <w:lang w:val="hu-HU"/>
        </w:rPr>
        <w:t>digitális</w:t>
      </w:r>
      <w:r w:rsidRPr="00A561C8">
        <w:rPr>
          <w:rFonts w:ascii="Segoe UI" w:hAnsi="Segoe UI" w:cs="Segoe UI"/>
          <w:sz w:val="22"/>
          <w:szCs w:val="22"/>
          <w:lang w:val="hu-HU"/>
        </w:rPr>
        <w:t xml:space="preserve"> átalakulás előmozdítására összpontosít. </w:t>
      </w:r>
    </w:p>
    <w:p w14:paraId="4A647710" w14:textId="77777777" w:rsidR="00C31F37" w:rsidRPr="00A561C8" w:rsidRDefault="00C31F37" w:rsidP="00A561C8">
      <w:pPr>
        <w:spacing w:line="276" w:lineRule="auto"/>
        <w:jc w:val="both"/>
        <w:rPr>
          <w:rFonts w:ascii="Segoe UI" w:hAnsi="Segoe UI" w:cs="Segoe UI"/>
          <w:sz w:val="22"/>
          <w:szCs w:val="22"/>
          <w:lang w:val="hu-HU"/>
        </w:rPr>
      </w:pPr>
    </w:p>
    <w:p w14:paraId="1252D87F" w14:textId="334B0A32"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2020-ban a Henkel mintegy 200 millió euróval növelte </w:t>
      </w:r>
      <w:r w:rsidRPr="002C28C1">
        <w:rPr>
          <w:rFonts w:ascii="Segoe UI" w:hAnsi="Segoe UI" w:cs="Segoe UI"/>
          <w:b/>
          <w:bCs/>
          <w:sz w:val="22"/>
          <w:szCs w:val="22"/>
          <w:lang w:val="hu-HU"/>
        </w:rPr>
        <w:t>beruházásait</w:t>
      </w:r>
      <w:r w:rsidRPr="00A561C8">
        <w:rPr>
          <w:rFonts w:ascii="Segoe UI" w:hAnsi="Segoe UI" w:cs="Segoe UI"/>
          <w:sz w:val="22"/>
          <w:szCs w:val="22"/>
          <w:lang w:val="hu-HU"/>
        </w:rPr>
        <w:t xml:space="preserve"> 2019-hez képest (350 millió euró 2018-hoz képest) a márkák, technológiák és innovációk megerősítésére, valamint a vállalat digitális átalakításának felgyorsítására. A beruházások első kézzelfogható eredményei már láthatók: A Henkel képes volt növelni piaci részesedését számos kulcsfontosságú piacon és kategóriában. A vállalat tovább gyorsította innovációs folyamatait és új termékek piacra dobását. Ez segített például gyorsan reagálni a higiéniai, a fertőtlenítő- és tisztító termékek iránti kereslet erőteljes növekedésére. Az újítások olyan fontos trendekre irányultak, mint a higiénia, a természetesebb és fenntarthatóbb termékek, és a nagyobb kényelem.</w:t>
      </w:r>
    </w:p>
    <w:p w14:paraId="0F4839E9" w14:textId="77777777" w:rsidR="00C31F37" w:rsidRPr="00A561C8" w:rsidRDefault="00C31F37" w:rsidP="00A561C8">
      <w:pPr>
        <w:spacing w:line="276" w:lineRule="auto"/>
        <w:jc w:val="both"/>
        <w:rPr>
          <w:rFonts w:ascii="Segoe UI" w:hAnsi="Segoe UI" w:cs="Segoe UI"/>
          <w:sz w:val="22"/>
          <w:szCs w:val="22"/>
          <w:lang w:val="hu-HU"/>
        </w:rPr>
      </w:pPr>
    </w:p>
    <w:p w14:paraId="60E254D8" w14:textId="60D2EE2A"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Az </w:t>
      </w:r>
      <w:r w:rsidRPr="002C28C1">
        <w:rPr>
          <w:rFonts w:ascii="Segoe UI" w:hAnsi="Segoe UI" w:cs="Segoe UI"/>
          <w:b/>
          <w:bCs/>
          <w:sz w:val="22"/>
          <w:szCs w:val="22"/>
          <w:lang w:val="hu-HU"/>
        </w:rPr>
        <w:t>innováció</w:t>
      </w:r>
      <w:r w:rsidRPr="00A561C8">
        <w:rPr>
          <w:rFonts w:ascii="Segoe UI" w:hAnsi="Segoe UI" w:cs="Segoe UI"/>
          <w:sz w:val="22"/>
          <w:szCs w:val="22"/>
          <w:lang w:val="hu-HU"/>
        </w:rPr>
        <w:t xml:space="preserve"> felgyorsítása és az </w:t>
      </w:r>
      <w:r w:rsidRPr="002C28C1">
        <w:rPr>
          <w:rFonts w:ascii="Segoe UI" w:hAnsi="Segoe UI" w:cs="Segoe UI"/>
          <w:b/>
          <w:bCs/>
          <w:sz w:val="22"/>
          <w:szCs w:val="22"/>
          <w:lang w:val="hu-HU"/>
        </w:rPr>
        <w:t>új üzleti modellek</w:t>
      </w:r>
      <w:r w:rsidRPr="00A561C8">
        <w:rPr>
          <w:rFonts w:ascii="Segoe UI" w:hAnsi="Segoe UI" w:cs="Segoe UI"/>
          <w:sz w:val="22"/>
          <w:szCs w:val="22"/>
          <w:lang w:val="hu-HU"/>
        </w:rPr>
        <w:t xml:space="preserve"> kifejlesztése érdekében a Beauty Care and Laundry &amp; Home Care fogyasztói üzletágak belső inkubátor</w:t>
      </w:r>
      <w:r w:rsidR="002C28C1">
        <w:rPr>
          <w:rFonts w:ascii="Segoe UI" w:hAnsi="Segoe UI" w:cs="Segoe UI"/>
          <w:sz w:val="22"/>
          <w:szCs w:val="22"/>
          <w:lang w:val="hu-HU"/>
        </w:rPr>
        <w:t xml:space="preserve"> </w:t>
      </w:r>
      <w:r w:rsidRPr="00A561C8">
        <w:rPr>
          <w:rFonts w:ascii="Segoe UI" w:hAnsi="Segoe UI" w:cs="Segoe UI"/>
          <w:sz w:val="22"/>
          <w:szCs w:val="22"/>
          <w:lang w:val="hu-HU"/>
        </w:rPr>
        <w:t xml:space="preserve">csapatokat hoztak létre, ötvözve az agilis munkamódszereket egy globális vállalat méretével és szakértelmével: A „Fritz Beauty </w:t>
      </w:r>
      <w:proofErr w:type="spellStart"/>
      <w:r w:rsidRPr="00A561C8">
        <w:rPr>
          <w:rFonts w:ascii="Segoe UI" w:hAnsi="Segoe UI" w:cs="Segoe UI"/>
          <w:sz w:val="22"/>
          <w:szCs w:val="22"/>
          <w:lang w:val="hu-HU"/>
        </w:rPr>
        <w:t>Lab</w:t>
      </w:r>
      <w:proofErr w:type="spellEnd"/>
      <w:r w:rsidRPr="00A561C8">
        <w:rPr>
          <w:rFonts w:ascii="Segoe UI" w:hAnsi="Segoe UI" w:cs="Segoe UI"/>
          <w:sz w:val="22"/>
          <w:szCs w:val="22"/>
          <w:lang w:val="hu-HU"/>
        </w:rPr>
        <w:t xml:space="preserve">”, amelyet a vállalat alapítója, Fritz Henkel ihletett, célja a meglévő márkák növekedési potenciállal rendelkező területeinek vagy a fehér foltoknak a meghatározása teljesen új márkák létrehozása. A Laundry &amp; Home Care üzletág új fenntarthatósági ötletgyárat is indított a Love </w:t>
      </w:r>
      <w:proofErr w:type="spellStart"/>
      <w:r w:rsidRPr="00A561C8">
        <w:rPr>
          <w:rFonts w:ascii="Segoe UI" w:hAnsi="Segoe UI" w:cs="Segoe UI"/>
          <w:sz w:val="22"/>
          <w:szCs w:val="22"/>
          <w:lang w:val="hu-HU"/>
        </w:rPr>
        <w:t>Nature</w:t>
      </w:r>
      <w:proofErr w:type="spellEnd"/>
      <w:r w:rsidRPr="00A561C8">
        <w:rPr>
          <w:rFonts w:ascii="Segoe UI" w:hAnsi="Segoe UI" w:cs="Segoe UI"/>
          <w:sz w:val="22"/>
          <w:szCs w:val="22"/>
          <w:lang w:val="hu-HU"/>
        </w:rPr>
        <w:t xml:space="preserve"> ernyőmárka alatt, amely a fenntartható megoldásokra összpontosít a Laundry &amp; Home Care kategóriáiban. Az Adhesive Technologies területén a Henkel folytatta a legkorszerűbb innovációs beruházásait düsseldorfi központjában. A 130 millió eurós összberuházású központ hamarosan elkészül, és 2021 első felében megkezdi működését.</w:t>
      </w:r>
    </w:p>
    <w:p w14:paraId="65DDBAF5" w14:textId="77777777" w:rsidR="00C31F37" w:rsidRPr="00A561C8" w:rsidRDefault="00C31F37" w:rsidP="00A561C8">
      <w:pPr>
        <w:spacing w:line="276" w:lineRule="auto"/>
        <w:jc w:val="both"/>
        <w:rPr>
          <w:rFonts w:ascii="Segoe UI" w:hAnsi="Segoe UI" w:cs="Segoe UI"/>
          <w:sz w:val="22"/>
          <w:szCs w:val="22"/>
          <w:lang w:val="hu-HU"/>
        </w:rPr>
      </w:pPr>
    </w:p>
    <w:p w14:paraId="4DF147DE" w14:textId="1F566596" w:rsidR="00C31F37"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w:t>
      </w:r>
      <w:r w:rsidRPr="002C28C1">
        <w:rPr>
          <w:rFonts w:ascii="Segoe UI" w:hAnsi="Segoe UI" w:cs="Segoe UI"/>
          <w:b/>
          <w:bCs/>
          <w:sz w:val="22"/>
          <w:szCs w:val="22"/>
          <w:lang w:val="hu-HU"/>
        </w:rPr>
        <w:t>fenntarthatóság</w:t>
      </w:r>
      <w:r w:rsidRPr="00A561C8">
        <w:rPr>
          <w:rFonts w:ascii="Segoe UI" w:hAnsi="Segoe UI" w:cs="Segoe UI"/>
          <w:sz w:val="22"/>
          <w:szCs w:val="22"/>
          <w:lang w:val="hu-HU"/>
        </w:rPr>
        <w:t xml:space="preserve"> a Henkel egyik nagy erőssége. A vállalat vezető szerepet tölt be ezen a téren, amelyet rendszeresen megerősítenek a minősítések és rangsorolások. Erre az erős eredményre építve a Henkel célja a fenntarthatóság kihasználása megkülö</w:t>
      </w:r>
      <w:r w:rsidR="002C28C1">
        <w:rPr>
          <w:rFonts w:ascii="Segoe UI" w:hAnsi="Segoe UI" w:cs="Segoe UI"/>
          <w:sz w:val="22"/>
          <w:szCs w:val="22"/>
          <w:lang w:val="hu-HU"/>
        </w:rPr>
        <w:t>n</w:t>
      </w:r>
      <w:r w:rsidRPr="00A561C8">
        <w:rPr>
          <w:rFonts w:ascii="Segoe UI" w:hAnsi="Segoe UI" w:cs="Segoe UI"/>
          <w:sz w:val="22"/>
          <w:szCs w:val="22"/>
          <w:lang w:val="hu-HU"/>
        </w:rPr>
        <w:t xml:space="preserve">böztető versenyképességi tényezőként. 2020-ban a Henkel sikeresen folytatta a fenntarthatóság integrálását minden üzleti tevékenységébe, és a teljes értéklánc mentén előrelépést ért el. A Henkel olyan új termékeket dobott piacra, amelyek megfelelnek a természetes és fenntartható termékekkel szemben támasztott növekvő fogyasztói elvárásoknak. Ide tartoznak például a </w:t>
      </w:r>
      <w:proofErr w:type="spellStart"/>
      <w:r w:rsidRPr="00A561C8">
        <w:rPr>
          <w:rFonts w:ascii="Segoe UI" w:hAnsi="Segoe UI" w:cs="Segoe UI"/>
          <w:sz w:val="22"/>
          <w:szCs w:val="22"/>
          <w:lang w:val="hu-HU"/>
        </w:rPr>
        <w:t>Nature</w:t>
      </w:r>
      <w:proofErr w:type="spellEnd"/>
      <w:r w:rsidRPr="00A561C8">
        <w:rPr>
          <w:rFonts w:ascii="Segoe UI" w:hAnsi="Segoe UI" w:cs="Segoe UI"/>
          <w:sz w:val="22"/>
          <w:szCs w:val="22"/>
          <w:lang w:val="hu-HU"/>
        </w:rPr>
        <w:t xml:space="preserve"> </w:t>
      </w:r>
      <w:proofErr w:type="spellStart"/>
      <w:r w:rsidRPr="00A561C8">
        <w:rPr>
          <w:rFonts w:ascii="Segoe UI" w:hAnsi="Segoe UI" w:cs="Segoe UI"/>
          <w:sz w:val="22"/>
          <w:szCs w:val="22"/>
          <w:lang w:val="hu-HU"/>
        </w:rPr>
        <w:t>Box</w:t>
      </w:r>
      <w:proofErr w:type="spellEnd"/>
      <w:r w:rsidRPr="00A561C8">
        <w:rPr>
          <w:rFonts w:ascii="Segoe UI" w:hAnsi="Segoe UI" w:cs="Segoe UI"/>
          <w:sz w:val="22"/>
          <w:szCs w:val="22"/>
          <w:lang w:val="hu-HU"/>
        </w:rPr>
        <w:t xml:space="preserve"> és a N.A.E. Beauty Care márkák szilárd formájú haj-és testápolási termékei. A Laundry &amp; Home Care </w:t>
      </w:r>
      <w:r w:rsidRPr="00A561C8">
        <w:rPr>
          <w:rFonts w:ascii="Segoe UI" w:hAnsi="Segoe UI" w:cs="Segoe UI"/>
          <w:sz w:val="22"/>
          <w:szCs w:val="22"/>
          <w:lang w:val="hu-HU"/>
        </w:rPr>
        <w:lastRenderedPageBreak/>
        <w:t xml:space="preserve">üzletágban kibővült a Pro </w:t>
      </w:r>
      <w:proofErr w:type="spellStart"/>
      <w:r w:rsidRPr="00A561C8">
        <w:rPr>
          <w:rFonts w:ascii="Segoe UI" w:hAnsi="Segoe UI" w:cs="Segoe UI"/>
          <w:sz w:val="22"/>
          <w:szCs w:val="22"/>
          <w:lang w:val="hu-HU"/>
        </w:rPr>
        <w:t>Nature</w:t>
      </w:r>
      <w:proofErr w:type="spellEnd"/>
      <w:r w:rsidRPr="00A561C8">
        <w:rPr>
          <w:rFonts w:ascii="Segoe UI" w:hAnsi="Segoe UI" w:cs="Segoe UI"/>
          <w:sz w:val="22"/>
          <w:szCs w:val="22"/>
          <w:lang w:val="hu-HU"/>
        </w:rPr>
        <w:t xml:space="preserve"> termékkínálat és a Love </w:t>
      </w:r>
      <w:proofErr w:type="spellStart"/>
      <w:r w:rsidRPr="00A561C8">
        <w:rPr>
          <w:rFonts w:ascii="Segoe UI" w:hAnsi="Segoe UI" w:cs="Segoe UI"/>
          <w:sz w:val="22"/>
          <w:szCs w:val="22"/>
          <w:lang w:val="hu-HU"/>
        </w:rPr>
        <w:t>Nature</w:t>
      </w:r>
      <w:proofErr w:type="spellEnd"/>
      <w:r w:rsidRPr="00A561C8">
        <w:rPr>
          <w:rFonts w:ascii="Segoe UI" w:hAnsi="Segoe UI" w:cs="Segoe UI"/>
          <w:sz w:val="22"/>
          <w:szCs w:val="22"/>
          <w:lang w:val="hu-HU"/>
        </w:rPr>
        <w:t xml:space="preserve"> többkategóriás, fenntartható márka sikeres bevezetése. Az Adhesive Technologies egy új technológiát fejlesztett ki a Loctite márkanév alatt, amely lehetővé teszi a polietilén cseréjét az élelmiszer- és egyéb csomagolásokban lévő papírral. A fenntarthatóbb termékek újításain túl a Henkel virtuális áramvásárlási szerződést kötött megújuló forrásokból származó energiára, amely fedezi a Henkel összes észak-amerikai telephelyének energiaigényét. És a Henkel volt az első vállalat, amely mintegy 100 millió euró összegű műanyaghulladék-csökkentési kötvényt bocsátott ki a műanyag hulladék teljes értéklánc mentén történő csökkentését célzó intézkedések finanszírozására. A kötvény hangsúlyozza a Henkel elkötelezettségét a körkörös gazdaság előmozdítása, a műanyag hulladék csökkentése, valamint a Fenntartható Pénzügyek mellett.</w:t>
      </w:r>
    </w:p>
    <w:p w14:paraId="5083E436" w14:textId="77777777" w:rsidR="002C28C1" w:rsidRPr="00A561C8" w:rsidRDefault="002C28C1" w:rsidP="00A561C8">
      <w:pPr>
        <w:spacing w:line="276" w:lineRule="auto"/>
        <w:jc w:val="both"/>
        <w:rPr>
          <w:rFonts w:ascii="Segoe UI" w:hAnsi="Segoe UI" w:cs="Segoe UI"/>
          <w:sz w:val="22"/>
          <w:szCs w:val="22"/>
          <w:lang w:val="hu-HU"/>
        </w:rPr>
      </w:pPr>
    </w:p>
    <w:p w14:paraId="3C5EFD7E"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Henkel arra törekszik, hogy 2010 és 2030 között megháromszorozza </w:t>
      </w:r>
      <w:r w:rsidRPr="002C28C1">
        <w:rPr>
          <w:rFonts w:ascii="Segoe UI" w:hAnsi="Segoe UI" w:cs="Segoe UI"/>
          <w:b/>
          <w:bCs/>
          <w:sz w:val="22"/>
          <w:szCs w:val="22"/>
          <w:lang w:val="hu-HU"/>
        </w:rPr>
        <w:t>működése, termékei és szolgáltatásai értékét</w:t>
      </w:r>
      <w:r w:rsidRPr="00A561C8">
        <w:rPr>
          <w:rFonts w:ascii="Segoe UI" w:hAnsi="Segoe UI" w:cs="Segoe UI"/>
          <w:sz w:val="22"/>
          <w:szCs w:val="22"/>
          <w:lang w:val="hu-HU"/>
        </w:rPr>
        <w:t xml:space="preserve"> az ökológiai lábnyomához képest. E hosszú távú cél felé vezető úton a Henkel középtávú célokat határozott meg 2020-ra. A vállalat a legtöbb dimenzióban képes volt elérni a kitűzött célokat. Összességében a Henkel 2020-ban 64 százalékkal javította erőforrás-hatékonyságát 2010-hez képest.</w:t>
      </w:r>
    </w:p>
    <w:p w14:paraId="232FAF8E" w14:textId="77777777" w:rsidR="00C31F37" w:rsidRPr="00A561C8" w:rsidRDefault="00C31F37" w:rsidP="00A561C8">
      <w:pPr>
        <w:spacing w:line="276" w:lineRule="auto"/>
        <w:jc w:val="both"/>
        <w:rPr>
          <w:rFonts w:ascii="Segoe UI" w:hAnsi="Segoe UI" w:cs="Segoe UI"/>
          <w:sz w:val="22"/>
          <w:szCs w:val="22"/>
          <w:lang w:val="hu-HU"/>
        </w:rPr>
      </w:pPr>
    </w:p>
    <w:p w14:paraId="776E99D3"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Az innováció és a fenntarthatóság mellett a Henkel versenyelőnye megerősítésének másik kulcsfontosságú mozgatórugója, hogy a </w:t>
      </w:r>
      <w:r w:rsidRPr="002C28C1">
        <w:rPr>
          <w:rFonts w:ascii="Segoe UI" w:hAnsi="Segoe UI" w:cs="Segoe UI"/>
          <w:b/>
          <w:bCs/>
          <w:sz w:val="22"/>
          <w:szCs w:val="22"/>
          <w:lang w:val="hu-HU"/>
        </w:rPr>
        <w:t>digitalizálást</w:t>
      </w:r>
      <w:r w:rsidRPr="00A561C8">
        <w:rPr>
          <w:rFonts w:ascii="Segoe UI" w:hAnsi="Segoe UI" w:cs="Segoe UI"/>
          <w:sz w:val="22"/>
          <w:szCs w:val="22"/>
          <w:lang w:val="hu-HU"/>
        </w:rPr>
        <w:t xml:space="preserve"> minden üzletágban ügyfél- és fogyasztói értékteremtő tényezővé formálják. Ennek a folyamatnak az engedélyezésére és felgyorsítására a Henkel egy új egységet hozott létre 2020-ban, ez a Henkel Digital Business, vagy röviden Henkel dx. Itt a digitalizációt, az üzleti folyamatmenedzsmentet és az informatikai szakértelmet egy globális szervezetben egyesül. A Henkel dx tavaly megnyitotta első innovációs központját Berlinben, és a jövőben további központokkal kívánja bővíteni globális hálózatát. 2020 folyamán a digitális csatornákon belüli értékesítések aránya jelentősen megnőtt, és minden üzletág profitált ebből. Összességében a Henkel digitális értékesítése körülbelül 20 százalékkal nőtt, a fogyasztói üzleti tevékenységekkel együttesen több mint 60 százalékos növekedést értek el. Csoportszinten a digitális részarány az összértékesítésben tovább nőtt, és mintegy 15 százalékra emelkedett.</w:t>
      </w:r>
    </w:p>
    <w:p w14:paraId="6910192E" w14:textId="77777777" w:rsidR="00C31F37" w:rsidRPr="00A561C8" w:rsidRDefault="00C31F37" w:rsidP="00A561C8">
      <w:pPr>
        <w:spacing w:line="276" w:lineRule="auto"/>
        <w:jc w:val="both"/>
        <w:rPr>
          <w:rFonts w:ascii="Segoe UI" w:hAnsi="Segoe UI" w:cs="Segoe UI"/>
          <w:sz w:val="22"/>
          <w:szCs w:val="22"/>
          <w:lang w:val="hu-HU"/>
        </w:rPr>
      </w:pPr>
    </w:p>
    <w:p w14:paraId="29A2D859" w14:textId="77777777"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A karcsú (</w:t>
      </w:r>
      <w:proofErr w:type="spellStart"/>
      <w:r w:rsidRPr="00A561C8">
        <w:rPr>
          <w:rFonts w:ascii="Segoe UI" w:hAnsi="Segoe UI" w:cs="Segoe UI"/>
          <w:sz w:val="22"/>
          <w:szCs w:val="22"/>
          <w:lang w:val="hu-HU"/>
        </w:rPr>
        <w:t>lean</w:t>
      </w:r>
      <w:proofErr w:type="spellEnd"/>
      <w:r w:rsidRPr="00A561C8">
        <w:rPr>
          <w:rFonts w:ascii="Segoe UI" w:hAnsi="Segoe UI" w:cs="Segoe UI"/>
          <w:sz w:val="22"/>
          <w:szCs w:val="22"/>
          <w:lang w:val="hu-HU"/>
        </w:rPr>
        <w:t xml:space="preserve">), gyors és jövőre felkészített </w:t>
      </w:r>
      <w:r w:rsidRPr="002C28C1">
        <w:rPr>
          <w:rFonts w:ascii="Segoe UI" w:hAnsi="Segoe UI" w:cs="Segoe UI"/>
          <w:b/>
          <w:bCs/>
          <w:sz w:val="22"/>
          <w:szCs w:val="22"/>
          <w:lang w:val="hu-HU"/>
        </w:rPr>
        <w:t>működési modellek</w:t>
      </w:r>
      <w:r w:rsidRPr="00A561C8">
        <w:rPr>
          <w:rFonts w:ascii="Segoe UI" w:hAnsi="Segoe UI" w:cs="Segoe UI"/>
          <w:sz w:val="22"/>
          <w:szCs w:val="22"/>
          <w:lang w:val="hu-HU"/>
        </w:rPr>
        <w:t xml:space="preserve"> a Henkel stratégiai keretének fontos elemei. Ennek biztosítása, valamint a versenyképesség és a hatékonyság javítása érdekében a vállalat folyamatosan adaptálja a folyamatokat és struktúrákat a vállalat egész területén, és szükség esetén átalakítja azokat. Ily módon az új üzleti modellek lehetővé válnak, a gyorsabb döntéshozatal révén növekszik az ügyfelek és a fogyasztók közelsége és tovább nő a vállalat hatékonysága. Az Adhesive Technologies üzletágban 2020-ban bevezetett új szervezeti struktúrák révén a Henkel még jobban meg tudta szólítani és ki tudta szolgálni az egyes ügyfélszegmenseket és piacokat. A Beauty Care és Laundry &amp; Home Care üzletágakban a Henkel </w:t>
      </w:r>
      <w:r w:rsidRPr="00A561C8">
        <w:rPr>
          <w:rFonts w:ascii="Segoe UI" w:hAnsi="Segoe UI" w:cs="Segoe UI"/>
          <w:sz w:val="22"/>
          <w:szCs w:val="22"/>
          <w:lang w:val="hu-HU"/>
        </w:rPr>
        <w:lastRenderedPageBreak/>
        <w:t>további szervezeti változtatásokat hajtott végre, hogy lehetővé tegye az erősebb regionális összpontosítást, és hogy növelje az ügyfelek és a fogyasztók közelségét.</w:t>
      </w:r>
    </w:p>
    <w:p w14:paraId="6752919E" w14:textId="77777777" w:rsidR="00C31F37" w:rsidRPr="00A561C8" w:rsidRDefault="00C31F37" w:rsidP="00A561C8">
      <w:pPr>
        <w:spacing w:line="276" w:lineRule="auto"/>
        <w:jc w:val="both"/>
        <w:rPr>
          <w:rFonts w:ascii="Segoe UI" w:hAnsi="Segoe UI" w:cs="Segoe UI"/>
          <w:sz w:val="22"/>
          <w:szCs w:val="22"/>
          <w:lang w:val="hu-HU"/>
        </w:rPr>
      </w:pPr>
    </w:p>
    <w:p w14:paraId="65A93895" w14:textId="78A954EC" w:rsidR="00C31F37" w:rsidRPr="00A561C8"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A Henkel vállalati kultúrájának továbbfejlesztése és a </w:t>
      </w:r>
      <w:r w:rsidRPr="002C28C1">
        <w:rPr>
          <w:rFonts w:ascii="Segoe UI" w:hAnsi="Segoe UI" w:cs="Segoe UI"/>
          <w:b/>
          <w:bCs/>
          <w:sz w:val="22"/>
          <w:szCs w:val="22"/>
          <w:lang w:val="hu-HU"/>
        </w:rPr>
        <w:t>kulturális átalakulás</w:t>
      </w:r>
      <w:r w:rsidRPr="00A561C8">
        <w:rPr>
          <w:rFonts w:ascii="Segoe UI" w:hAnsi="Segoe UI" w:cs="Segoe UI"/>
          <w:sz w:val="22"/>
          <w:szCs w:val="22"/>
          <w:lang w:val="hu-HU"/>
        </w:rPr>
        <w:t xml:space="preserve"> felgyorsítása áll a Henkel „Célzott növekedés” akciótervének középpontjában. A cél az együttműködés kultúrájának elősegítése. A hangsúly a munkavállalók kreativitási lehetőségeire és a vezetői elkötelezettségre irányul. 2020-ban a Henkel számos intézkedést indított az együttműködés és az egyén szabadságának előmozdítása érdekében, az alkalmazottak továbbképzésének elősegítésében: a jövő szempontjából fontos készségek figyelembevételével lehetőséget biztosítva számukra, hogy személyesen és szakmailag fejlődjenek. A Henkel globális</w:t>
      </w:r>
      <w:r w:rsidR="001B6914" w:rsidRPr="001B6914">
        <w:t xml:space="preserve"> </w:t>
      </w:r>
      <w:r w:rsidR="001B6914">
        <w:t>„</w:t>
      </w:r>
      <w:proofErr w:type="spellStart"/>
      <w:r w:rsidR="001B6914" w:rsidRPr="001B6914">
        <w:rPr>
          <w:rFonts w:ascii="Segoe UI" w:hAnsi="Segoe UI" w:cs="Segoe UI"/>
          <w:sz w:val="22"/>
          <w:szCs w:val="22"/>
          <w:lang w:val="hu-HU"/>
        </w:rPr>
        <w:t>Organizational</w:t>
      </w:r>
      <w:proofErr w:type="spellEnd"/>
      <w:r w:rsidR="001B6914" w:rsidRPr="001B6914">
        <w:rPr>
          <w:rFonts w:ascii="Segoe UI" w:hAnsi="Segoe UI" w:cs="Segoe UI"/>
          <w:sz w:val="22"/>
          <w:szCs w:val="22"/>
          <w:lang w:val="hu-HU"/>
        </w:rPr>
        <w:t xml:space="preserve"> Health</w:t>
      </w:r>
      <w:r w:rsidR="001B6914">
        <w:rPr>
          <w:rFonts w:ascii="Segoe UI" w:hAnsi="Segoe UI" w:cs="Segoe UI"/>
          <w:sz w:val="22"/>
          <w:szCs w:val="22"/>
          <w:lang w:val="hu-HU"/>
        </w:rPr>
        <w:t>”</w:t>
      </w:r>
      <w:r w:rsidRPr="00A561C8">
        <w:rPr>
          <w:rFonts w:ascii="Segoe UI" w:hAnsi="Segoe UI" w:cs="Segoe UI"/>
          <w:sz w:val="22"/>
          <w:szCs w:val="22"/>
          <w:lang w:val="hu-HU"/>
        </w:rPr>
        <w:t xml:space="preserve"> </w:t>
      </w:r>
      <w:r w:rsidR="001B6914">
        <w:rPr>
          <w:rFonts w:ascii="Segoe UI" w:hAnsi="Segoe UI" w:cs="Segoe UI"/>
          <w:sz w:val="22"/>
          <w:szCs w:val="22"/>
          <w:lang w:val="hu-HU"/>
        </w:rPr>
        <w:t>fe</w:t>
      </w:r>
      <w:r w:rsidRPr="00A561C8">
        <w:rPr>
          <w:rFonts w:ascii="Segoe UI" w:hAnsi="Segoe UI" w:cs="Segoe UI"/>
          <w:sz w:val="22"/>
          <w:szCs w:val="22"/>
          <w:lang w:val="hu-HU"/>
        </w:rPr>
        <w:t xml:space="preserve">lmérést végzett, hogy azonosítsa az erősségeket és a fejlesztendő területeket, valamint alakítsa a jövőbeli kulturális változásokat. A kultúra folyamatos adaptálására és fejlesztésére, valamint a vonzó, választott munkaadói státusz megőrzésére irányuló erőfeszítések a kulcsfontosságú munkáltatói hírnév rangsorolásában és referenciaértékeinek jelentős javulásában is tükröződtek. </w:t>
      </w:r>
    </w:p>
    <w:p w14:paraId="27EC9255" w14:textId="77777777" w:rsidR="00C31F37" w:rsidRPr="00A561C8" w:rsidRDefault="00C31F37" w:rsidP="00A561C8">
      <w:pPr>
        <w:spacing w:line="276" w:lineRule="auto"/>
        <w:jc w:val="both"/>
        <w:rPr>
          <w:rFonts w:ascii="Segoe UI" w:hAnsi="Segoe UI" w:cs="Segoe UI"/>
          <w:sz w:val="22"/>
          <w:szCs w:val="22"/>
          <w:lang w:val="hu-HU"/>
        </w:rPr>
      </w:pPr>
    </w:p>
    <w:p w14:paraId="39B6976D" w14:textId="77777777" w:rsidR="00C31F37" w:rsidRPr="00C31F37" w:rsidRDefault="00C31F37" w:rsidP="00A561C8">
      <w:pPr>
        <w:spacing w:line="276" w:lineRule="auto"/>
        <w:jc w:val="both"/>
        <w:rPr>
          <w:rFonts w:ascii="Segoe UI" w:hAnsi="Segoe UI" w:cs="Segoe UI"/>
          <w:sz w:val="22"/>
          <w:szCs w:val="22"/>
          <w:lang w:val="hu-HU"/>
        </w:rPr>
      </w:pPr>
      <w:r w:rsidRPr="00A561C8">
        <w:rPr>
          <w:rFonts w:ascii="Segoe UI" w:hAnsi="Segoe UI" w:cs="Segoe UI"/>
          <w:sz w:val="22"/>
          <w:szCs w:val="22"/>
          <w:lang w:val="hu-HU"/>
        </w:rPr>
        <w:t xml:space="preserve">„Büszke vagyok a stratégiai akciótervünk végrehajtása terén elért előrelépésekre, miközben egy világjárvánnyal küzdünk. Lenyűgözött üzleti tevékenységeink rugalmassága, amely lehetővé tette számunkra, hogy robusztus üzleti teljesítményt érjünk el és tovább erősítsük pénzügyi alapjainkat. De a legfontosabb érzés a hála és a szívből jövő tisztelet a Henkel munkatársai iránt. A 2020-ban mutatott teljesítmény, együttműködés és pozitív hozzáállás meghatott és inspirált. Szeretnék köszönetet mondani mindannyiuknak felbecsülhetetlen hozzájárulásukért ebben a rendkívüli évben” – foglalta össze </w:t>
      </w:r>
      <w:proofErr w:type="spellStart"/>
      <w:r w:rsidRPr="00A561C8">
        <w:rPr>
          <w:rFonts w:ascii="Segoe UI" w:hAnsi="Segoe UI" w:cs="Segoe UI"/>
          <w:sz w:val="22"/>
          <w:szCs w:val="22"/>
          <w:lang w:val="hu-HU"/>
        </w:rPr>
        <w:t>Carsten</w:t>
      </w:r>
      <w:proofErr w:type="spellEnd"/>
      <w:r w:rsidRPr="00A561C8">
        <w:rPr>
          <w:rFonts w:ascii="Segoe UI" w:hAnsi="Segoe UI" w:cs="Segoe UI"/>
          <w:sz w:val="22"/>
          <w:szCs w:val="22"/>
          <w:lang w:val="hu-HU"/>
        </w:rPr>
        <w:t xml:space="preserve"> </w:t>
      </w:r>
      <w:proofErr w:type="spellStart"/>
      <w:r w:rsidRPr="00A561C8">
        <w:rPr>
          <w:rFonts w:ascii="Segoe UI" w:hAnsi="Segoe UI" w:cs="Segoe UI"/>
          <w:sz w:val="22"/>
          <w:szCs w:val="22"/>
          <w:lang w:val="hu-HU"/>
        </w:rPr>
        <w:t>Knobel</w:t>
      </w:r>
      <w:proofErr w:type="spellEnd"/>
      <w:r w:rsidRPr="00A561C8">
        <w:rPr>
          <w:rFonts w:ascii="Segoe UI" w:hAnsi="Segoe UI" w:cs="Segoe UI"/>
          <w:sz w:val="22"/>
          <w:szCs w:val="22"/>
          <w:lang w:val="hu-HU"/>
        </w:rPr>
        <w:t>.</w:t>
      </w:r>
    </w:p>
    <w:p w14:paraId="2CDC148E" w14:textId="77777777" w:rsidR="00C31F37" w:rsidRPr="00C31F37" w:rsidRDefault="00C31F37" w:rsidP="00C31F37">
      <w:pPr>
        <w:rPr>
          <w:rFonts w:ascii="Segoe UI" w:hAnsi="Segoe UI" w:cs="Segoe UI"/>
          <w:szCs w:val="22"/>
          <w:lang w:val="hu-HU"/>
        </w:rPr>
      </w:pPr>
    </w:p>
    <w:p w14:paraId="244939D1" w14:textId="77777777" w:rsidR="001B6914" w:rsidRPr="001B6914" w:rsidRDefault="001B6914" w:rsidP="001B6914">
      <w:pPr>
        <w:rPr>
          <w:rFonts w:ascii="Segoe UI" w:hAnsi="Segoe UI" w:cs="Segoe UI"/>
          <w:b/>
          <w:bCs/>
          <w:szCs w:val="22"/>
          <w:lang w:val="hu-HU"/>
        </w:rPr>
      </w:pPr>
      <w:r w:rsidRPr="001B6914">
        <w:rPr>
          <w:rFonts w:ascii="Segoe UI" w:hAnsi="Segoe UI" w:cs="Segoe UI"/>
          <w:b/>
          <w:bCs/>
          <w:szCs w:val="22"/>
          <w:lang w:val="hu-HU"/>
        </w:rPr>
        <w:t>A Henkelről</w:t>
      </w:r>
    </w:p>
    <w:p w14:paraId="283BCDA9" w14:textId="4F657790" w:rsidR="001B6914" w:rsidRPr="001B6914" w:rsidRDefault="001B6914" w:rsidP="001B6914">
      <w:pPr>
        <w:jc w:val="both"/>
        <w:rPr>
          <w:rFonts w:ascii="Segoe UI" w:hAnsi="Segoe UI" w:cs="Segoe UI"/>
          <w:szCs w:val="22"/>
          <w:lang w:val="hu-HU"/>
        </w:rPr>
      </w:pPr>
      <w:r w:rsidRPr="001B6914">
        <w:rPr>
          <w:rFonts w:ascii="Segoe UI" w:hAnsi="Segoe UI" w:cs="Segoe UI"/>
          <w:szCs w:val="22"/>
          <w:lang w:val="hu-HU"/>
        </w:rPr>
        <w:t>A Henkel világszerte kiegyensúlyozott és változatos portfólióval működik. Az erőteljes márkáknak, innovációknak és technológiáknak köszönhetően a társaság vezető pozíciókat foglal el három üzletágával mind az ipari, mind a fogyasztási cikkek terén. A Henkel Adhesive Technologies üzletága globális vezető szerepet tölt be a ragasztók piacán – valamennyi iparági szegmensben, világszerte</w:t>
      </w:r>
      <w:r>
        <w:rPr>
          <w:rFonts w:ascii="Segoe UI" w:hAnsi="Segoe UI" w:cs="Segoe UI"/>
          <w:szCs w:val="22"/>
          <w:lang w:val="hu-HU"/>
        </w:rPr>
        <w:t>.</w:t>
      </w:r>
      <w:r w:rsidRPr="001B6914">
        <w:rPr>
          <w:rFonts w:ascii="Segoe UI" w:hAnsi="Segoe UI" w:cs="Segoe UI"/>
          <w:szCs w:val="22"/>
          <w:lang w:val="hu-HU"/>
        </w:rPr>
        <w:t xml:space="preserve"> A Henkel Laundry &amp; Home Care és a Beauty Care üzletágaival számos piacon és kategóriában vezető szerepet tölt be, szerte a világon. Az 1876-ban alapított Henkel több mint 140 éves sikert tudhat maga mögött. A Henkel 20</w:t>
      </w:r>
      <w:r>
        <w:rPr>
          <w:rFonts w:ascii="Segoe UI" w:hAnsi="Segoe UI" w:cs="Segoe UI"/>
          <w:szCs w:val="22"/>
          <w:lang w:val="hu-HU"/>
        </w:rPr>
        <w:t>20</w:t>
      </w:r>
      <w:r w:rsidRPr="001B6914">
        <w:rPr>
          <w:rFonts w:ascii="Segoe UI" w:hAnsi="Segoe UI" w:cs="Segoe UI"/>
          <w:szCs w:val="22"/>
          <w:lang w:val="hu-HU"/>
        </w:rPr>
        <w:t>-b</w:t>
      </w:r>
      <w:r>
        <w:rPr>
          <w:rFonts w:ascii="Segoe UI" w:hAnsi="Segoe UI" w:cs="Segoe UI"/>
          <w:szCs w:val="22"/>
          <w:lang w:val="hu-HU"/>
        </w:rPr>
        <w:t>a</w:t>
      </w:r>
      <w:r w:rsidRPr="001B6914">
        <w:rPr>
          <w:rFonts w:ascii="Segoe UI" w:hAnsi="Segoe UI" w:cs="Segoe UI"/>
          <w:szCs w:val="22"/>
          <w:lang w:val="hu-HU"/>
        </w:rPr>
        <w:t xml:space="preserve">n több mint </w:t>
      </w:r>
      <w:r>
        <w:rPr>
          <w:rFonts w:ascii="Segoe UI" w:hAnsi="Segoe UI" w:cs="Segoe UI"/>
          <w:szCs w:val="22"/>
          <w:lang w:val="hu-HU"/>
        </w:rPr>
        <w:t>19</w:t>
      </w:r>
      <w:r w:rsidRPr="001B6914">
        <w:rPr>
          <w:rFonts w:ascii="Segoe UI" w:hAnsi="Segoe UI" w:cs="Segoe UI"/>
          <w:szCs w:val="22"/>
          <w:lang w:val="hu-HU"/>
        </w:rPr>
        <w:t xml:space="preserve"> milliárd euró árbevételt és </w:t>
      </w:r>
      <w:r>
        <w:rPr>
          <w:rFonts w:ascii="Segoe UI" w:hAnsi="Segoe UI" w:cs="Segoe UI"/>
          <w:szCs w:val="22"/>
          <w:lang w:val="hu-HU"/>
        </w:rPr>
        <w:t>mintegy</w:t>
      </w:r>
      <w:r w:rsidRPr="001B6914">
        <w:rPr>
          <w:rFonts w:ascii="Segoe UI" w:hAnsi="Segoe UI" w:cs="Segoe UI"/>
          <w:szCs w:val="22"/>
          <w:lang w:val="hu-HU"/>
        </w:rPr>
        <w:t xml:space="preserve"> </w:t>
      </w:r>
      <w:r>
        <w:rPr>
          <w:rFonts w:ascii="Segoe UI" w:hAnsi="Segoe UI" w:cs="Segoe UI"/>
          <w:szCs w:val="22"/>
          <w:lang w:val="hu-HU"/>
        </w:rPr>
        <w:t>2</w:t>
      </w:r>
      <w:r w:rsidRPr="001B6914">
        <w:rPr>
          <w:rFonts w:ascii="Segoe UI" w:hAnsi="Segoe UI" w:cs="Segoe UI"/>
          <w:szCs w:val="22"/>
          <w:lang w:val="hu-HU"/>
        </w:rPr>
        <w:t>,</w:t>
      </w:r>
      <w:r>
        <w:rPr>
          <w:rFonts w:ascii="Segoe UI" w:hAnsi="Segoe UI" w:cs="Segoe UI"/>
          <w:szCs w:val="22"/>
          <w:lang w:val="hu-HU"/>
        </w:rPr>
        <w:t>6</w:t>
      </w:r>
      <w:r w:rsidRPr="001B6914">
        <w:rPr>
          <w:rFonts w:ascii="Segoe UI" w:hAnsi="Segoe UI" w:cs="Segoe UI"/>
          <w:szCs w:val="22"/>
          <w:lang w:val="hu-HU"/>
        </w:rPr>
        <w:t xml:space="preserve"> milliárd euró korrigált üzemi eredményt ért el. A Henkel világszerte </w:t>
      </w:r>
      <w:r>
        <w:rPr>
          <w:rFonts w:ascii="Segoe UI" w:hAnsi="Segoe UI" w:cs="Segoe UI"/>
          <w:szCs w:val="22"/>
          <w:lang w:val="hu-HU"/>
        </w:rPr>
        <w:t>mintegy</w:t>
      </w:r>
      <w:r w:rsidRPr="001B6914">
        <w:rPr>
          <w:rFonts w:ascii="Segoe UI" w:hAnsi="Segoe UI" w:cs="Segoe UI"/>
          <w:szCs w:val="22"/>
          <w:lang w:val="hu-HU"/>
        </w:rPr>
        <w:t xml:space="preserve"> 5</w:t>
      </w:r>
      <w:r>
        <w:rPr>
          <w:rFonts w:ascii="Segoe UI" w:hAnsi="Segoe UI" w:cs="Segoe UI"/>
          <w:szCs w:val="22"/>
          <w:lang w:val="hu-HU"/>
        </w:rPr>
        <w:t>3</w:t>
      </w:r>
      <w:r w:rsidRPr="001B6914">
        <w:rPr>
          <w:rFonts w:ascii="Segoe UI" w:hAnsi="Segoe UI" w:cs="Segoe UI"/>
          <w:szCs w:val="22"/>
          <w:lang w:val="hu-HU"/>
        </w:rPr>
        <w:t xml:space="preserve"> 000 embert foglalkoztat – lelkes és sokszínű csapat, amelyet erős vállalati kultúra, a fenntartható érték létrehozásának közös célja és azonos értékek egyesítenek. Mint a fenntarthatóság terén elismert vezető vállalat a Henkel számos nemzetközi indexben és rangsorban az első helyet foglalja el. A Henkel elsőbbségi részvényeit a német DAX tőzsdeindexben jegyzik. További információért kérjük, látogasson el a Henkel angol nyelvű honlapjára: www.henkel.com.</w:t>
      </w:r>
    </w:p>
    <w:p w14:paraId="194D91DB" w14:textId="77777777" w:rsidR="001B6914" w:rsidRPr="001B6914" w:rsidRDefault="001B6914" w:rsidP="001B6914">
      <w:pPr>
        <w:rPr>
          <w:rFonts w:ascii="Segoe UI" w:hAnsi="Segoe UI" w:cs="Segoe UI"/>
          <w:szCs w:val="22"/>
          <w:lang w:val="hu-HU"/>
        </w:rPr>
      </w:pPr>
    </w:p>
    <w:p w14:paraId="4FE140A5" w14:textId="77777777" w:rsidR="001B6914" w:rsidRPr="001B6914" w:rsidRDefault="001B6914" w:rsidP="001B6914">
      <w:pPr>
        <w:rPr>
          <w:rFonts w:ascii="Segoe UI" w:hAnsi="Segoe UI" w:cs="Segoe UI"/>
          <w:szCs w:val="22"/>
          <w:lang w:val="hu-HU"/>
        </w:rPr>
      </w:pPr>
    </w:p>
    <w:p w14:paraId="0F79DBBA" w14:textId="77777777" w:rsidR="001B6914" w:rsidRPr="001B6914" w:rsidRDefault="001B6914" w:rsidP="001B6914">
      <w:pPr>
        <w:spacing w:line="276" w:lineRule="auto"/>
        <w:jc w:val="both"/>
        <w:rPr>
          <w:rFonts w:ascii="Segoe UI" w:hAnsi="Segoe UI" w:cs="Segoe UI"/>
          <w:sz w:val="14"/>
          <w:szCs w:val="14"/>
          <w:lang w:val="hu-HU"/>
        </w:rPr>
      </w:pPr>
      <w:r w:rsidRPr="001B6914">
        <w:rPr>
          <w:rFonts w:ascii="Segoe UI" w:hAnsi="Segoe UI" w:cs="Segoe UI"/>
          <w:sz w:val="14"/>
          <w:szCs w:val="14"/>
          <w:lang w:val="hu-HU"/>
        </w:rPr>
        <w:t xml:space="preserve">Ez a tájékoztatás a jövőre vonatkozó állításokat tartalmaz, amelyek a Henkel AG &amp; Co. </w:t>
      </w:r>
      <w:proofErr w:type="spellStart"/>
      <w:r w:rsidRPr="001B6914">
        <w:rPr>
          <w:rFonts w:ascii="Segoe UI" w:hAnsi="Segoe UI" w:cs="Segoe UI"/>
          <w:sz w:val="14"/>
          <w:szCs w:val="14"/>
          <w:lang w:val="hu-HU"/>
        </w:rPr>
        <w:t>KGaA</w:t>
      </w:r>
      <w:proofErr w:type="spellEnd"/>
      <w:r w:rsidRPr="001B6914">
        <w:rPr>
          <w:rFonts w:ascii="Segoe UI" w:hAnsi="Segoe UI" w:cs="Segoe UI"/>
          <w:sz w:val="14"/>
          <w:szCs w:val="14"/>
          <w:lang w:val="hu-HU"/>
        </w:rPr>
        <w:t xml:space="preserve"> vállalati vezetősége jelenlegi becslésein és feltételezésein alapulnak. A jövőre vonatkozó állításokat olyan és hasonló szavakkal fejezzük ki, mint a „vár”, „szándékozik”, „tervez”, „jósol”, „feltételez”, „vél”, „becsül” és hasonló kifejezések. Az ilyen állítások semmiképpen sem értelmezendők úgy, hogy azok garanciát jelentenének az általuk kifejezett várakozások pontos teljesülésére. A Henkel AG &amp; Co. </w:t>
      </w:r>
      <w:proofErr w:type="spellStart"/>
      <w:r w:rsidRPr="001B6914">
        <w:rPr>
          <w:rFonts w:ascii="Segoe UI" w:hAnsi="Segoe UI" w:cs="Segoe UI"/>
          <w:sz w:val="14"/>
          <w:szCs w:val="14"/>
          <w:lang w:val="hu-HU"/>
        </w:rPr>
        <w:t>KGaA</w:t>
      </w:r>
      <w:proofErr w:type="spellEnd"/>
      <w:r w:rsidRPr="001B6914">
        <w:rPr>
          <w:rFonts w:ascii="Segoe UI" w:hAnsi="Segoe UI" w:cs="Segoe UI"/>
          <w:sz w:val="14"/>
          <w:szCs w:val="14"/>
          <w:lang w:val="hu-HU"/>
        </w:rPr>
        <w:t xml:space="preserve"> és kapcsolt vállalkozásainak jövőbeli teljesítménye és tényleges eredményei számos kockázat és bizonytalanság függvényei, és így jelentősen eltérhetnek a jövőre vonatkozó állításoktól. Sok ilyen tényezőre nincs befolyása a Henkelnek, és ezek előre </w:t>
      </w:r>
      <w:r w:rsidRPr="001B6914">
        <w:rPr>
          <w:rFonts w:ascii="Segoe UI" w:hAnsi="Segoe UI" w:cs="Segoe UI"/>
          <w:sz w:val="14"/>
          <w:szCs w:val="14"/>
          <w:lang w:val="hu-HU"/>
        </w:rPr>
        <w:lastRenderedPageBreak/>
        <w:t xml:space="preserve">nem becsülhetők fel pontosan, mint például a későbbi gazdasági környezet, vagy a versenytársak és más piaci szereplők tevékenysége. A Henkel nem tervezi és nem vállalja, hogy a jövőre vonatkozó állításait frissítse. </w:t>
      </w:r>
    </w:p>
    <w:p w14:paraId="50EF239E" w14:textId="77777777" w:rsidR="001B6914" w:rsidRPr="001B6914" w:rsidRDefault="001B6914" w:rsidP="001B6914">
      <w:pPr>
        <w:spacing w:line="276" w:lineRule="auto"/>
        <w:jc w:val="both"/>
        <w:rPr>
          <w:rFonts w:ascii="Segoe UI" w:hAnsi="Segoe UI" w:cs="Segoe UI"/>
          <w:sz w:val="14"/>
          <w:szCs w:val="14"/>
          <w:lang w:val="hu-HU"/>
        </w:rPr>
      </w:pPr>
    </w:p>
    <w:p w14:paraId="01365552" w14:textId="77777777" w:rsidR="001B6914" w:rsidRPr="001B6914" w:rsidRDefault="001B6914" w:rsidP="001B6914">
      <w:pPr>
        <w:spacing w:line="276" w:lineRule="auto"/>
        <w:jc w:val="both"/>
        <w:rPr>
          <w:rFonts w:ascii="Segoe UI" w:hAnsi="Segoe UI" w:cs="Segoe UI"/>
          <w:sz w:val="14"/>
          <w:szCs w:val="14"/>
          <w:lang w:val="hu-HU"/>
        </w:rPr>
      </w:pPr>
      <w:r w:rsidRPr="001B6914">
        <w:rPr>
          <w:rFonts w:ascii="Segoe UI" w:hAnsi="Segoe UI" w:cs="Segoe UI"/>
          <w:sz w:val="14"/>
          <w:szCs w:val="14"/>
          <w:lang w:val="hu-HU"/>
        </w:rPr>
        <w:t>Ez a dokumentum - az alkalmazandó pénzügyi beszámolási keretrendszerben nem egyértelműen meghatározva - tartalmazza azokat a kiegészítő pénzügyi intézkedéseket, amelyek alternatív teljesítménymutatók, vagy azok lehetnek (nem GAAP-intézkedések). Ezeket a kiegészítő pénzügyi intézkedéseket nem szabad külön-külön vagy a Henkel nettó eszközeinek, illetve pénzügyi pozícióinak vagy eredményeinek vagy ezek alternatíváinak tekinteni, a konszolidált pénzügyi kimutatásaiban szereplő vonatkozó pénzügyi beszámolási keretrendszer szerint. Más, hasonlóan megnevezett alternatív teljesítménymutatókat jelentő vagy leíró vállalatok eltérő módon számíthatják ki őket.</w:t>
      </w:r>
    </w:p>
    <w:p w14:paraId="1C73D401" w14:textId="77777777" w:rsidR="001B6914" w:rsidRPr="001B6914" w:rsidRDefault="001B6914" w:rsidP="001B6914">
      <w:pPr>
        <w:spacing w:line="276" w:lineRule="auto"/>
        <w:jc w:val="both"/>
        <w:rPr>
          <w:rFonts w:ascii="Segoe UI" w:hAnsi="Segoe UI" w:cs="Segoe UI"/>
          <w:sz w:val="14"/>
          <w:szCs w:val="14"/>
          <w:lang w:val="hu-HU"/>
        </w:rPr>
      </w:pPr>
    </w:p>
    <w:p w14:paraId="2298DA19" w14:textId="77777777" w:rsidR="001B6914" w:rsidRPr="001B6914" w:rsidRDefault="001B6914" w:rsidP="001B6914">
      <w:pPr>
        <w:spacing w:line="276" w:lineRule="auto"/>
        <w:jc w:val="both"/>
        <w:rPr>
          <w:rFonts w:ascii="Segoe UI" w:hAnsi="Segoe UI" w:cs="Segoe UI"/>
          <w:sz w:val="14"/>
          <w:szCs w:val="14"/>
          <w:lang w:val="hu-HU"/>
        </w:rPr>
      </w:pPr>
      <w:r w:rsidRPr="001B6914">
        <w:rPr>
          <w:rFonts w:ascii="Segoe UI" w:hAnsi="Segoe UI" w:cs="Segoe UI"/>
          <w:sz w:val="14"/>
          <w:szCs w:val="14"/>
          <w:lang w:val="hu-HU"/>
        </w:rPr>
        <w:t>Ezt a dokumentumot csak tájékoztatási célból bocsátották ki, és nem célja befektetési tanácsadás, vagy értékpapírokra vonatkozó eladási ajánlat, vagy vételi ajánlat kérése.</w:t>
      </w:r>
    </w:p>
    <w:p w14:paraId="120D4AE7" w14:textId="77777777" w:rsidR="00C31F37" w:rsidRPr="001B6914" w:rsidRDefault="00C31F37" w:rsidP="001B6914">
      <w:pPr>
        <w:spacing w:line="276" w:lineRule="auto"/>
        <w:jc w:val="both"/>
        <w:rPr>
          <w:rFonts w:ascii="Segoe UI" w:hAnsi="Segoe UI" w:cs="Segoe UI"/>
          <w:sz w:val="14"/>
          <w:szCs w:val="14"/>
          <w:lang w:val="hu-HU"/>
        </w:rPr>
      </w:pPr>
      <w:proofErr w:type="spellStart"/>
      <w:r w:rsidRPr="001B6914">
        <w:rPr>
          <w:rFonts w:ascii="Segoe UI" w:hAnsi="Segoe UI" w:cs="Segoe UI"/>
          <w:sz w:val="14"/>
          <w:szCs w:val="14"/>
          <w:lang w:val="hu-HU"/>
        </w:rPr>
        <w:t>About</w:t>
      </w:r>
      <w:proofErr w:type="spellEnd"/>
      <w:r w:rsidRPr="001B6914">
        <w:rPr>
          <w:rFonts w:ascii="Segoe UI" w:hAnsi="Segoe UI" w:cs="Segoe UI"/>
          <w:sz w:val="14"/>
          <w:szCs w:val="14"/>
          <w:lang w:val="hu-HU"/>
        </w:rPr>
        <w:t xml:space="preserve"> Henkel</w:t>
      </w:r>
    </w:p>
    <w:p w14:paraId="4D01D0CB" w14:textId="77777777" w:rsidR="00C31F37" w:rsidRPr="00C31F37" w:rsidRDefault="00C31F37" w:rsidP="00C31F37">
      <w:pPr>
        <w:rPr>
          <w:rFonts w:ascii="Segoe UI" w:hAnsi="Segoe UI" w:cs="Segoe UI"/>
          <w:szCs w:val="22"/>
          <w:lang w:val="hu-HU"/>
        </w:rPr>
      </w:pPr>
    </w:p>
    <w:p w14:paraId="21AB8B70" w14:textId="77777777" w:rsidR="00833D51" w:rsidRPr="002F53F2" w:rsidRDefault="00833D51" w:rsidP="00833D51">
      <w:pPr>
        <w:spacing w:line="240" w:lineRule="auto"/>
        <w:rPr>
          <w:rFonts w:cs="Arial"/>
          <w:b/>
          <w:szCs w:val="20"/>
          <w:lang w:val="hu"/>
        </w:rPr>
      </w:pPr>
    </w:p>
    <w:p w14:paraId="029B8CE8" w14:textId="77777777" w:rsidR="00833D51" w:rsidRPr="00833D51" w:rsidRDefault="00833D51" w:rsidP="00833D51">
      <w:pPr>
        <w:spacing w:line="240" w:lineRule="auto"/>
        <w:rPr>
          <w:rFonts w:ascii="Segoe UI" w:hAnsi="Segoe UI" w:cs="Segoe UI"/>
          <w:b/>
          <w:bCs/>
          <w:sz w:val="18"/>
          <w:szCs w:val="18"/>
          <w:lang w:val="hu"/>
        </w:rPr>
      </w:pPr>
    </w:p>
    <w:p w14:paraId="247945F9" w14:textId="77777777" w:rsidR="00833D51" w:rsidRPr="001B6914" w:rsidRDefault="00833D51" w:rsidP="00833D51">
      <w:pPr>
        <w:spacing w:line="240" w:lineRule="auto"/>
        <w:rPr>
          <w:rFonts w:ascii="Segoe UI" w:hAnsi="Segoe UI" w:cs="Segoe UI"/>
          <w:b/>
          <w:bCs/>
          <w:sz w:val="18"/>
          <w:szCs w:val="18"/>
          <w:lang w:val="hu"/>
        </w:rPr>
      </w:pPr>
      <w:r w:rsidRPr="001B6914">
        <w:rPr>
          <w:rFonts w:ascii="Segoe UI" w:hAnsi="Segoe UI" w:cs="Segoe UI"/>
          <w:b/>
          <w:bCs/>
          <w:sz w:val="18"/>
          <w:szCs w:val="18"/>
          <w:lang w:val="hu"/>
        </w:rPr>
        <w:t>Kapcsolatok</w:t>
      </w:r>
    </w:p>
    <w:p w14:paraId="5B7E22F2" w14:textId="77777777" w:rsidR="00833D51" w:rsidRPr="001B6914" w:rsidRDefault="00833D51" w:rsidP="00833D51">
      <w:pPr>
        <w:spacing w:line="240" w:lineRule="auto"/>
        <w:rPr>
          <w:rFonts w:ascii="Segoe UI" w:hAnsi="Segoe UI" w:cs="Segoe UI"/>
          <w:b/>
          <w:bCs/>
          <w:sz w:val="18"/>
          <w:szCs w:val="18"/>
          <w:lang w:val="hu"/>
        </w:rPr>
      </w:pPr>
    </w:p>
    <w:p w14:paraId="110F8551" w14:textId="77777777" w:rsidR="00833D51" w:rsidRPr="001B6914" w:rsidRDefault="00833D51" w:rsidP="00833D51">
      <w:pPr>
        <w:spacing w:line="240" w:lineRule="auto"/>
        <w:rPr>
          <w:rFonts w:ascii="Segoe UI" w:hAnsi="Segoe UI" w:cs="Segoe UI"/>
          <w:b/>
          <w:bCs/>
          <w:sz w:val="18"/>
          <w:szCs w:val="18"/>
          <w:lang w:val="hu"/>
        </w:rPr>
      </w:pPr>
      <w:r w:rsidRPr="001B6914">
        <w:rPr>
          <w:rFonts w:ascii="Segoe UI" w:hAnsi="Segoe UI" w:cs="Segoe UI"/>
          <w:b/>
          <w:bCs/>
          <w:sz w:val="18"/>
          <w:szCs w:val="18"/>
          <w:lang w:val="hu"/>
        </w:rPr>
        <w:t xml:space="preserve">Befektetők és elemzők </w:t>
      </w:r>
      <w:r w:rsidRPr="001B6914">
        <w:rPr>
          <w:rFonts w:ascii="Segoe UI" w:hAnsi="Segoe UI" w:cs="Segoe UI"/>
          <w:b/>
          <w:bCs/>
          <w:sz w:val="18"/>
          <w:szCs w:val="18"/>
          <w:lang w:val="hu"/>
        </w:rPr>
        <w:tab/>
      </w:r>
      <w:r w:rsidRPr="001B6914">
        <w:rPr>
          <w:rFonts w:ascii="Segoe UI" w:hAnsi="Segoe UI" w:cs="Segoe UI"/>
          <w:b/>
          <w:bCs/>
          <w:sz w:val="18"/>
          <w:szCs w:val="18"/>
          <w:lang w:val="hu"/>
        </w:rPr>
        <w:tab/>
      </w:r>
      <w:r w:rsidRPr="001B6914">
        <w:rPr>
          <w:rFonts w:ascii="Segoe UI" w:hAnsi="Segoe UI" w:cs="Segoe UI"/>
          <w:b/>
          <w:bCs/>
          <w:sz w:val="18"/>
          <w:szCs w:val="18"/>
          <w:lang w:val="hu"/>
        </w:rPr>
        <w:tab/>
      </w:r>
      <w:r w:rsidRPr="001B6914">
        <w:rPr>
          <w:rFonts w:ascii="Segoe UI" w:hAnsi="Segoe UI" w:cs="Segoe UI"/>
          <w:b/>
          <w:bCs/>
          <w:sz w:val="18"/>
          <w:szCs w:val="18"/>
          <w:lang w:val="hu"/>
        </w:rPr>
        <w:tab/>
        <w:t xml:space="preserve">     Sajtó és Média</w:t>
      </w:r>
      <w:r w:rsidRPr="001B6914">
        <w:rPr>
          <w:rFonts w:ascii="Segoe UI" w:hAnsi="Segoe UI" w:cs="Segoe UI"/>
          <w:b/>
          <w:bCs/>
          <w:sz w:val="18"/>
          <w:szCs w:val="18"/>
          <w:lang w:val="hu"/>
        </w:rPr>
        <w:tab/>
      </w:r>
    </w:p>
    <w:p w14:paraId="1B7A4161" w14:textId="77777777" w:rsidR="00833D51" w:rsidRPr="001B6914" w:rsidRDefault="00833D51" w:rsidP="00833D51">
      <w:pPr>
        <w:tabs>
          <w:tab w:val="left" w:pos="851"/>
          <w:tab w:val="left" w:pos="4536"/>
        </w:tabs>
        <w:spacing w:line="260" w:lineRule="exact"/>
        <w:rPr>
          <w:rFonts w:ascii="Segoe UI" w:hAnsi="Segoe UI" w:cs="Segoe UI"/>
          <w:b/>
          <w:sz w:val="18"/>
          <w:szCs w:val="18"/>
          <w:lang w:val="hu"/>
        </w:rPr>
      </w:pPr>
    </w:p>
    <w:p w14:paraId="3C2AEE9F" w14:textId="77777777" w:rsidR="00833D51" w:rsidRPr="001B6914" w:rsidRDefault="00833D51" w:rsidP="00833D51">
      <w:pPr>
        <w:tabs>
          <w:tab w:val="left" w:pos="851"/>
          <w:tab w:val="left" w:pos="4536"/>
        </w:tabs>
        <w:spacing w:line="240" w:lineRule="auto"/>
        <w:rPr>
          <w:rFonts w:ascii="Segoe UI" w:hAnsi="Segoe UI" w:cs="Segoe UI"/>
          <w:sz w:val="18"/>
          <w:szCs w:val="18"/>
        </w:rPr>
      </w:pPr>
      <w:proofErr w:type="spellStart"/>
      <w:r w:rsidRPr="001B6914">
        <w:rPr>
          <w:rFonts w:ascii="Segoe UI" w:hAnsi="Segoe UI" w:cs="Segoe UI"/>
          <w:b/>
          <w:bCs/>
          <w:sz w:val="18"/>
          <w:szCs w:val="18"/>
          <w:lang w:val="hu"/>
        </w:rPr>
        <w:t>Lars</w:t>
      </w:r>
      <w:proofErr w:type="spellEnd"/>
      <w:r w:rsidRPr="001B6914">
        <w:rPr>
          <w:rFonts w:ascii="Segoe UI" w:hAnsi="Segoe UI" w:cs="Segoe UI"/>
          <w:b/>
          <w:bCs/>
          <w:sz w:val="18"/>
          <w:szCs w:val="18"/>
          <w:lang w:val="hu"/>
        </w:rPr>
        <w:t xml:space="preserve"> </w:t>
      </w:r>
      <w:proofErr w:type="spellStart"/>
      <w:r w:rsidRPr="001B6914">
        <w:rPr>
          <w:rFonts w:ascii="Segoe UI" w:hAnsi="Segoe UI" w:cs="Segoe UI"/>
          <w:b/>
          <w:bCs/>
          <w:sz w:val="18"/>
          <w:szCs w:val="18"/>
          <w:lang w:val="hu"/>
        </w:rPr>
        <w:t>Korinth</w:t>
      </w:r>
      <w:proofErr w:type="spellEnd"/>
      <w:r w:rsidRPr="001B6914">
        <w:rPr>
          <w:rFonts w:ascii="Segoe UI" w:hAnsi="Segoe UI" w:cs="Segoe UI"/>
          <w:b/>
          <w:bCs/>
          <w:sz w:val="18"/>
          <w:szCs w:val="18"/>
          <w:lang w:val="hu"/>
        </w:rPr>
        <w:tab/>
      </w:r>
      <w:proofErr w:type="spellStart"/>
      <w:r w:rsidRPr="001B6914">
        <w:rPr>
          <w:rFonts w:ascii="Segoe UI" w:hAnsi="Segoe UI" w:cs="Segoe UI"/>
          <w:b/>
          <w:bCs/>
          <w:sz w:val="18"/>
          <w:szCs w:val="18"/>
          <w:lang w:val="hu"/>
        </w:rPr>
        <w:t>Lars</w:t>
      </w:r>
      <w:proofErr w:type="spellEnd"/>
      <w:r w:rsidRPr="001B6914">
        <w:rPr>
          <w:rFonts w:ascii="Segoe UI" w:hAnsi="Segoe UI" w:cs="Segoe UI"/>
          <w:b/>
          <w:bCs/>
          <w:sz w:val="18"/>
          <w:szCs w:val="18"/>
          <w:lang w:val="hu"/>
        </w:rPr>
        <w:t xml:space="preserve"> </w:t>
      </w:r>
      <w:proofErr w:type="spellStart"/>
      <w:r w:rsidRPr="001B6914">
        <w:rPr>
          <w:rFonts w:ascii="Segoe UI" w:hAnsi="Segoe UI" w:cs="Segoe UI"/>
          <w:b/>
          <w:bCs/>
          <w:sz w:val="18"/>
          <w:szCs w:val="18"/>
          <w:lang w:val="hu"/>
        </w:rPr>
        <w:t>Witteck</w:t>
      </w:r>
      <w:proofErr w:type="spellEnd"/>
    </w:p>
    <w:p w14:paraId="56110F12" w14:textId="77777777" w:rsidR="00833D51" w:rsidRPr="001B6914" w:rsidRDefault="00833D51" w:rsidP="00833D51">
      <w:pPr>
        <w:tabs>
          <w:tab w:val="left" w:pos="709"/>
          <w:tab w:val="left" w:pos="4536"/>
          <w:tab w:val="left" w:pos="5245"/>
        </w:tabs>
        <w:spacing w:line="240" w:lineRule="auto"/>
        <w:rPr>
          <w:rFonts w:ascii="Segoe UI" w:hAnsi="Segoe UI" w:cs="Segoe UI"/>
          <w:sz w:val="18"/>
          <w:szCs w:val="18"/>
        </w:rPr>
      </w:pPr>
      <w:r w:rsidRPr="001B6914">
        <w:rPr>
          <w:rFonts w:ascii="Segoe UI" w:hAnsi="Segoe UI" w:cs="Segoe UI"/>
          <w:sz w:val="18"/>
          <w:szCs w:val="18"/>
          <w:lang w:val="hu"/>
        </w:rPr>
        <w:t>Tel.:</w:t>
      </w:r>
      <w:r w:rsidRPr="001B6914">
        <w:rPr>
          <w:rFonts w:ascii="Segoe UI" w:hAnsi="Segoe UI" w:cs="Segoe UI"/>
          <w:sz w:val="18"/>
          <w:szCs w:val="18"/>
          <w:lang w:val="hu"/>
        </w:rPr>
        <w:tab/>
        <w:t>+49 211 797 - 1631</w:t>
      </w:r>
      <w:r w:rsidRPr="001B6914">
        <w:rPr>
          <w:rFonts w:ascii="Segoe UI" w:hAnsi="Segoe UI" w:cs="Segoe UI"/>
          <w:sz w:val="18"/>
          <w:szCs w:val="18"/>
          <w:lang w:val="hu"/>
        </w:rPr>
        <w:tab/>
        <w:t>Tel.:</w:t>
      </w:r>
      <w:r w:rsidRPr="001B6914">
        <w:rPr>
          <w:rFonts w:ascii="Segoe UI" w:hAnsi="Segoe UI" w:cs="Segoe UI"/>
          <w:sz w:val="18"/>
          <w:szCs w:val="18"/>
          <w:lang w:val="hu"/>
        </w:rPr>
        <w:tab/>
        <w:t>+49 211 797 - 2606</w:t>
      </w:r>
    </w:p>
    <w:p w14:paraId="677C000D" w14:textId="77777777" w:rsidR="00833D51" w:rsidRPr="001B6914" w:rsidRDefault="00833D51" w:rsidP="00833D51">
      <w:pPr>
        <w:tabs>
          <w:tab w:val="left" w:pos="709"/>
          <w:tab w:val="left" w:pos="4536"/>
          <w:tab w:val="left" w:pos="5245"/>
        </w:tabs>
        <w:spacing w:line="240" w:lineRule="auto"/>
        <w:rPr>
          <w:rFonts w:ascii="Segoe UI" w:hAnsi="Segoe UI" w:cs="Segoe UI"/>
          <w:color w:val="000000"/>
          <w:sz w:val="18"/>
          <w:szCs w:val="18"/>
        </w:rPr>
      </w:pPr>
      <w:r w:rsidRPr="001B6914">
        <w:rPr>
          <w:rFonts w:ascii="Segoe UI" w:hAnsi="Segoe UI" w:cs="Segoe UI"/>
          <w:color w:val="000000"/>
          <w:sz w:val="18"/>
          <w:szCs w:val="18"/>
          <w:lang w:val="hu"/>
        </w:rPr>
        <w:t xml:space="preserve">Email: </w:t>
      </w:r>
      <w:r w:rsidRPr="001B6914">
        <w:rPr>
          <w:rFonts w:ascii="Segoe UI" w:hAnsi="Segoe UI" w:cs="Segoe UI"/>
          <w:color w:val="000000"/>
          <w:sz w:val="18"/>
          <w:szCs w:val="18"/>
          <w:lang w:val="hu"/>
        </w:rPr>
        <w:tab/>
      </w:r>
      <w:hyperlink r:id="rId9" w:history="1">
        <w:r w:rsidRPr="001B6914">
          <w:rPr>
            <w:rStyle w:val="Hiperhivatkozs"/>
            <w:rFonts w:ascii="Segoe UI" w:hAnsi="Segoe UI" w:cs="Segoe UI"/>
            <w:sz w:val="18"/>
            <w:szCs w:val="18"/>
            <w:lang w:val="hu"/>
          </w:rPr>
          <w:t>lars.korinth@henkel.com</w:t>
        </w:r>
      </w:hyperlink>
      <w:r w:rsidRPr="001B6914">
        <w:rPr>
          <w:rFonts w:ascii="Segoe UI" w:hAnsi="Segoe UI" w:cs="Segoe UI"/>
          <w:sz w:val="18"/>
          <w:szCs w:val="18"/>
          <w:lang w:val="hu"/>
        </w:rPr>
        <w:tab/>
      </w:r>
      <w:r w:rsidRPr="001B6914">
        <w:rPr>
          <w:rFonts w:ascii="Segoe UI" w:hAnsi="Segoe UI" w:cs="Segoe UI"/>
          <w:color w:val="000000"/>
          <w:sz w:val="18"/>
          <w:szCs w:val="18"/>
          <w:lang w:val="hu"/>
        </w:rPr>
        <w:t>Email:</w:t>
      </w:r>
      <w:r w:rsidRPr="001B6914">
        <w:rPr>
          <w:rFonts w:ascii="Segoe UI" w:hAnsi="Segoe UI" w:cs="Segoe UI"/>
          <w:color w:val="000000"/>
          <w:sz w:val="18"/>
          <w:szCs w:val="18"/>
          <w:lang w:val="hu"/>
        </w:rPr>
        <w:tab/>
      </w:r>
      <w:hyperlink r:id="rId10" w:history="1">
        <w:r w:rsidRPr="001B6914">
          <w:rPr>
            <w:rStyle w:val="Hiperhivatkozs"/>
            <w:rFonts w:ascii="Segoe UI" w:hAnsi="Segoe UI" w:cs="Segoe UI"/>
            <w:sz w:val="18"/>
            <w:szCs w:val="18"/>
            <w:lang w:val="hu"/>
          </w:rPr>
          <w:t>lars.witteck@henkel.com</w:t>
        </w:r>
      </w:hyperlink>
    </w:p>
    <w:p w14:paraId="1B1ADCC0" w14:textId="77777777" w:rsidR="00833D51" w:rsidRPr="001B6914" w:rsidRDefault="00833D51" w:rsidP="00833D51">
      <w:pPr>
        <w:tabs>
          <w:tab w:val="left" w:pos="709"/>
        </w:tabs>
        <w:autoSpaceDE w:val="0"/>
        <w:autoSpaceDN w:val="0"/>
        <w:adjustRightInd w:val="0"/>
        <w:spacing w:line="240" w:lineRule="auto"/>
        <w:rPr>
          <w:rFonts w:ascii="Segoe UI" w:hAnsi="Segoe UI" w:cs="Segoe UI"/>
          <w:b/>
          <w:sz w:val="18"/>
          <w:szCs w:val="18"/>
        </w:rPr>
      </w:pPr>
    </w:p>
    <w:p w14:paraId="7093660C" w14:textId="77777777" w:rsidR="00833D51" w:rsidRPr="001B6914" w:rsidRDefault="00833D51" w:rsidP="00833D51">
      <w:pPr>
        <w:tabs>
          <w:tab w:val="left" w:pos="709"/>
          <w:tab w:val="left" w:pos="4536"/>
          <w:tab w:val="left" w:pos="5245"/>
        </w:tabs>
        <w:autoSpaceDE w:val="0"/>
        <w:autoSpaceDN w:val="0"/>
        <w:adjustRightInd w:val="0"/>
        <w:spacing w:line="240" w:lineRule="auto"/>
        <w:rPr>
          <w:rFonts w:ascii="Segoe UI" w:hAnsi="Segoe UI" w:cs="Segoe UI"/>
          <w:sz w:val="18"/>
          <w:szCs w:val="18"/>
        </w:rPr>
      </w:pPr>
      <w:r w:rsidRPr="001B6914">
        <w:rPr>
          <w:rFonts w:ascii="Segoe UI" w:hAnsi="Segoe UI" w:cs="Segoe UI"/>
          <w:b/>
          <w:bCs/>
          <w:sz w:val="18"/>
          <w:szCs w:val="18"/>
          <w:lang w:val="hu"/>
        </w:rPr>
        <w:t xml:space="preserve">Mona </w:t>
      </w:r>
      <w:proofErr w:type="spellStart"/>
      <w:r w:rsidRPr="001B6914">
        <w:rPr>
          <w:rFonts w:ascii="Segoe UI" w:hAnsi="Segoe UI" w:cs="Segoe UI"/>
          <w:b/>
          <w:bCs/>
          <w:sz w:val="18"/>
          <w:szCs w:val="18"/>
          <w:lang w:val="hu"/>
        </w:rPr>
        <w:t>Niermann</w:t>
      </w:r>
      <w:proofErr w:type="spellEnd"/>
      <w:r w:rsidRPr="001B6914">
        <w:rPr>
          <w:rFonts w:ascii="Segoe UI" w:hAnsi="Segoe UI" w:cs="Segoe UI"/>
          <w:b/>
          <w:bCs/>
          <w:sz w:val="18"/>
          <w:szCs w:val="18"/>
          <w:lang w:val="hu"/>
        </w:rPr>
        <w:tab/>
      </w:r>
      <w:proofErr w:type="spellStart"/>
      <w:r w:rsidRPr="001B6914">
        <w:rPr>
          <w:rFonts w:ascii="Segoe UI" w:hAnsi="Segoe UI" w:cs="Segoe UI"/>
          <w:b/>
          <w:bCs/>
          <w:sz w:val="18"/>
          <w:szCs w:val="18"/>
          <w:lang w:val="hu"/>
        </w:rPr>
        <w:t>Wulf</w:t>
      </w:r>
      <w:proofErr w:type="spellEnd"/>
      <w:r w:rsidRPr="001B6914">
        <w:rPr>
          <w:rFonts w:ascii="Segoe UI" w:hAnsi="Segoe UI" w:cs="Segoe UI"/>
          <w:b/>
          <w:bCs/>
          <w:sz w:val="18"/>
          <w:szCs w:val="18"/>
          <w:lang w:val="hu"/>
        </w:rPr>
        <w:t xml:space="preserve"> </w:t>
      </w:r>
      <w:proofErr w:type="spellStart"/>
      <w:r w:rsidRPr="001B6914">
        <w:rPr>
          <w:rFonts w:ascii="Segoe UI" w:hAnsi="Segoe UI" w:cs="Segoe UI"/>
          <w:b/>
          <w:bCs/>
          <w:sz w:val="18"/>
          <w:szCs w:val="18"/>
          <w:lang w:val="hu"/>
        </w:rPr>
        <w:t>Klüppelholz</w:t>
      </w:r>
      <w:proofErr w:type="spellEnd"/>
    </w:p>
    <w:p w14:paraId="61BED251" w14:textId="77777777" w:rsidR="00833D51" w:rsidRPr="001B6914" w:rsidRDefault="00833D51" w:rsidP="00833D51">
      <w:pPr>
        <w:tabs>
          <w:tab w:val="left" w:pos="709"/>
          <w:tab w:val="left" w:pos="851"/>
          <w:tab w:val="left" w:pos="4536"/>
          <w:tab w:val="left" w:pos="5245"/>
        </w:tabs>
        <w:autoSpaceDE w:val="0"/>
        <w:autoSpaceDN w:val="0"/>
        <w:adjustRightInd w:val="0"/>
        <w:spacing w:line="240" w:lineRule="auto"/>
        <w:rPr>
          <w:rFonts w:ascii="Segoe UI" w:hAnsi="Segoe UI" w:cs="Segoe UI"/>
          <w:sz w:val="18"/>
          <w:szCs w:val="18"/>
        </w:rPr>
      </w:pPr>
      <w:r w:rsidRPr="001B6914">
        <w:rPr>
          <w:rFonts w:ascii="Segoe UI" w:hAnsi="Segoe UI" w:cs="Segoe UI"/>
          <w:sz w:val="18"/>
          <w:szCs w:val="18"/>
          <w:lang w:val="hu"/>
        </w:rPr>
        <w:t>Tel:</w:t>
      </w:r>
      <w:r w:rsidRPr="001B6914">
        <w:rPr>
          <w:rFonts w:ascii="Segoe UI" w:hAnsi="Segoe UI" w:cs="Segoe UI"/>
          <w:sz w:val="18"/>
          <w:szCs w:val="18"/>
          <w:lang w:val="hu"/>
        </w:rPr>
        <w:tab/>
        <w:t>+49 211 797 - 7151</w:t>
      </w:r>
      <w:r w:rsidRPr="001B6914">
        <w:rPr>
          <w:rFonts w:ascii="Segoe UI" w:hAnsi="Segoe UI" w:cs="Segoe UI"/>
          <w:sz w:val="18"/>
          <w:szCs w:val="18"/>
          <w:lang w:val="hu"/>
        </w:rPr>
        <w:tab/>
        <w:t xml:space="preserve">Tel: </w:t>
      </w:r>
      <w:r w:rsidRPr="001B6914">
        <w:rPr>
          <w:rFonts w:ascii="Segoe UI" w:hAnsi="Segoe UI" w:cs="Segoe UI"/>
          <w:sz w:val="18"/>
          <w:szCs w:val="18"/>
          <w:lang w:val="hu"/>
        </w:rPr>
        <w:tab/>
        <w:t>+49 211 797 - 1875</w:t>
      </w:r>
    </w:p>
    <w:p w14:paraId="70976648" w14:textId="77777777" w:rsidR="00833D51" w:rsidRPr="001B6914" w:rsidRDefault="00833D51" w:rsidP="00833D51">
      <w:pPr>
        <w:tabs>
          <w:tab w:val="left" w:pos="709"/>
          <w:tab w:val="left" w:pos="4536"/>
          <w:tab w:val="left" w:pos="5245"/>
        </w:tabs>
        <w:autoSpaceDE w:val="0"/>
        <w:autoSpaceDN w:val="0"/>
        <w:adjustRightInd w:val="0"/>
        <w:spacing w:line="240" w:lineRule="auto"/>
        <w:rPr>
          <w:rFonts w:ascii="Segoe UI" w:hAnsi="Segoe UI" w:cs="Segoe UI"/>
          <w:color w:val="0000FF"/>
          <w:sz w:val="18"/>
          <w:szCs w:val="18"/>
        </w:rPr>
      </w:pPr>
      <w:r w:rsidRPr="001B6914">
        <w:rPr>
          <w:rFonts w:ascii="Segoe UI" w:hAnsi="Segoe UI" w:cs="Segoe UI"/>
          <w:color w:val="000000"/>
          <w:sz w:val="18"/>
          <w:szCs w:val="18"/>
          <w:lang w:val="hu"/>
        </w:rPr>
        <w:t xml:space="preserve">Email: </w:t>
      </w:r>
      <w:r w:rsidRPr="001B6914">
        <w:rPr>
          <w:rFonts w:ascii="Segoe UI" w:hAnsi="Segoe UI" w:cs="Segoe UI"/>
          <w:color w:val="000000"/>
          <w:sz w:val="18"/>
          <w:szCs w:val="18"/>
          <w:lang w:val="hu"/>
        </w:rPr>
        <w:tab/>
      </w:r>
      <w:hyperlink r:id="rId11" w:history="1">
        <w:r w:rsidRPr="001B6914">
          <w:rPr>
            <w:rStyle w:val="Hiperhivatkozs"/>
            <w:rFonts w:ascii="Segoe UI" w:hAnsi="Segoe UI" w:cs="Segoe UI"/>
            <w:sz w:val="18"/>
            <w:szCs w:val="18"/>
            <w:lang w:val="hu"/>
          </w:rPr>
          <w:t>mona.niermann@henkel.com</w:t>
        </w:r>
      </w:hyperlink>
      <w:r w:rsidRPr="001B6914">
        <w:rPr>
          <w:rFonts w:ascii="Segoe UI" w:hAnsi="Segoe UI" w:cs="Segoe UI"/>
          <w:sz w:val="18"/>
          <w:szCs w:val="18"/>
          <w:lang w:val="hu"/>
        </w:rPr>
        <w:tab/>
        <w:t>Email:</w:t>
      </w:r>
      <w:r w:rsidRPr="001B6914">
        <w:rPr>
          <w:rFonts w:ascii="Segoe UI" w:hAnsi="Segoe UI" w:cs="Segoe UI"/>
          <w:color w:val="0000FF"/>
          <w:sz w:val="18"/>
          <w:szCs w:val="18"/>
          <w:lang w:val="hu"/>
        </w:rPr>
        <w:tab/>
      </w:r>
      <w:r w:rsidRPr="001B6914">
        <w:rPr>
          <w:rFonts w:ascii="Segoe UI" w:hAnsi="Segoe UI" w:cs="Segoe UI"/>
          <w:color w:val="0000FF"/>
          <w:sz w:val="18"/>
          <w:szCs w:val="18"/>
          <w:u w:val="single"/>
          <w:lang w:val="hu"/>
        </w:rPr>
        <w:t>wulf.klueppelholz@henkel.com</w:t>
      </w:r>
    </w:p>
    <w:p w14:paraId="7B3BD7D5" w14:textId="77777777" w:rsidR="00833D51" w:rsidRPr="001B6914" w:rsidRDefault="00833D51" w:rsidP="00833D51">
      <w:pPr>
        <w:tabs>
          <w:tab w:val="left" w:pos="709"/>
          <w:tab w:val="left" w:pos="4536"/>
          <w:tab w:val="left" w:pos="4962"/>
          <w:tab w:val="left" w:pos="5245"/>
        </w:tabs>
        <w:spacing w:line="240" w:lineRule="auto"/>
        <w:rPr>
          <w:rFonts w:ascii="Segoe UI" w:hAnsi="Segoe UI" w:cs="Segoe UI"/>
          <w:sz w:val="18"/>
          <w:szCs w:val="18"/>
        </w:rPr>
      </w:pPr>
    </w:p>
    <w:p w14:paraId="41D3F400" w14:textId="2492E5B3" w:rsidR="00833D51" w:rsidRPr="001B6914" w:rsidRDefault="00833D51" w:rsidP="00833D51">
      <w:pPr>
        <w:tabs>
          <w:tab w:val="left" w:pos="709"/>
          <w:tab w:val="left" w:pos="4536"/>
          <w:tab w:val="left" w:pos="5245"/>
        </w:tabs>
        <w:autoSpaceDE w:val="0"/>
        <w:autoSpaceDN w:val="0"/>
        <w:adjustRightInd w:val="0"/>
        <w:spacing w:line="240" w:lineRule="auto"/>
        <w:rPr>
          <w:rFonts w:ascii="Segoe UI" w:hAnsi="Segoe UI" w:cs="Segoe UI"/>
          <w:sz w:val="18"/>
          <w:szCs w:val="18"/>
        </w:rPr>
      </w:pPr>
      <w:r w:rsidRPr="001B6914">
        <w:rPr>
          <w:rFonts w:ascii="Segoe UI" w:hAnsi="Segoe UI" w:cs="Segoe UI"/>
          <w:b/>
          <w:bCs/>
          <w:color w:val="000000"/>
          <w:sz w:val="18"/>
          <w:szCs w:val="18"/>
          <w:lang w:val="hu"/>
        </w:rPr>
        <w:t>Jennifer Ott</w:t>
      </w:r>
    </w:p>
    <w:p w14:paraId="7B4473F2" w14:textId="3282D387" w:rsidR="00833D51" w:rsidRPr="001B6914" w:rsidRDefault="00833D51" w:rsidP="00833D51">
      <w:pPr>
        <w:tabs>
          <w:tab w:val="left" w:pos="709"/>
          <w:tab w:val="left" w:pos="4536"/>
          <w:tab w:val="left" w:pos="5245"/>
        </w:tabs>
        <w:spacing w:line="240" w:lineRule="auto"/>
        <w:rPr>
          <w:rFonts w:ascii="Segoe UI" w:hAnsi="Segoe UI" w:cs="Segoe UI"/>
          <w:sz w:val="18"/>
          <w:szCs w:val="18"/>
        </w:rPr>
      </w:pPr>
      <w:r w:rsidRPr="001B6914">
        <w:rPr>
          <w:rFonts w:ascii="Segoe UI" w:hAnsi="Segoe UI" w:cs="Segoe UI"/>
          <w:sz w:val="18"/>
          <w:szCs w:val="18"/>
          <w:lang w:val="hu"/>
        </w:rPr>
        <w:t>Tel:</w:t>
      </w:r>
      <w:r w:rsidRPr="001B6914">
        <w:rPr>
          <w:rFonts w:ascii="Segoe UI" w:hAnsi="Segoe UI" w:cs="Segoe UI"/>
          <w:sz w:val="18"/>
          <w:szCs w:val="18"/>
          <w:lang w:val="hu"/>
        </w:rPr>
        <w:tab/>
        <w:t>+49 211 797 - 2756</w:t>
      </w:r>
    </w:p>
    <w:p w14:paraId="0C2103DA" w14:textId="42057D9C" w:rsidR="00833D51" w:rsidRPr="001B6914" w:rsidRDefault="00833D51" w:rsidP="00833D51">
      <w:pPr>
        <w:tabs>
          <w:tab w:val="left" w:pos="709"/>
          <w:tab w:val="left" w:pos="4536"/>
          <w:tab w:val="left" w:pos="5245"/>
        </w:tabs>
        <w:spacing w:line="240" w:lineRule="auto"/>
        <w:rPr>
          <w:rFonts w:ascii="Segoe UI" w:hAnsi="Segoe UI" w:cs="Segoe UI"/>
          <w:sz w:val="18"/>
          <w:szCs w:val="18"/>
        </w:rPr>
      </w:pPr>
      <w:r w:rsidRPr="001B6914">
        <w:rPr>
          <w:rFonts w:ascii="Segoe UI" w:hAnsi="Segoe UI" w:cs="Segoe UI"/>
          <w:sz w:val="18"/>
          <w:szCs w:val="18"/>
          <w:lang w:val="hu"/>
        </w:rPr>
        <w:t>Email:</w:t>
      </w:r>
      <w:r w:rsidRPr="001B6914">
        <w:rPr>
          <w:rFonts w:ascii="Segoe UI" w:hAnsi="Segoe UI" w:cs="Segoe UI"/>
          <w:sz w:val="18"/>
          <w:szCs w:val="18"/>
          <w:lang w:val="hu"/>
        </w:rPr>
        <w:tab/>
      </w:r>
      <w:hyperlink r:id="rId12" w:history="1">
        <w:r w:rsidRPr="001B6914">
          <w:rPr>
            <w:rStyle w:val="Hiperhivatkozs"/>
            <w:rFonts w:ascii="Segoe UI" w:hAnsi="Segoe UI" w:cs="Segoe UI"/>
            <w:sz w:val="18"/>
            <w:szCs w:val="18"/>
            <w:lang w:val="hu"/>
          </w:rPr>
          <w:t>jennifer.ott@henkel.com</w:t>
        </w:r>
      </w:hyperlink>
    </w:p>
    <w:p w14:paraId="35BE9359" w14:textId="7AD59FAF" w:rsidR="00833D51" w:rsidRPr="001B6914" w:rsidRDefault="00833D51" w:rsidP="002D37A9">
      <w:pPr>
        <w:spacing w:line="280" w:lineRule="exact"/>
        <w:rPr>
          <w:rFonts w:ascii="Segoe UI" w:hAnsi="Segoe UI" w:cs="Segoe UI"/>
          <w:sz w:val="18"/>
          <w:szCs w:val="18"/>
          <w:lang w:val="hu-HU" w:eastAsia="de-DE"/>
        </w:rPr>
      </w:pPr>
    </w:p>
    <w:p w14:paraId="190C0A0C" w14:textId="77777777" w:rsidR="001B6914" w:rsidRPr="001B6914" w:rsidRDefault="001B6914" w:rsidP="001B6914">
      <w:pPr>
        <w:tabs>
          <w:tab w:val="left" w:pos="709"/>
          <w:tab w:val="left" w:pos="4536"/>
          <w:tab w:val="left" w:pos="5245"/>
        </w:tabs>
        <w:autoSpaceDE w:val="0"/>
        <w:autoSpaceDN w:val="0"/>
        <w:adjustRightInd w:val="0"/>
        <w:spacing w:line="240" w:lineRule="auto"/>
        <w:rPr>
          <w:rFonts w:ascii="Segoe UI" w:hAnsi="Segoe UI" w:cs="Segoe UI"/>
          <w:b/>
          <w:color w:val="000000"/>
          <w:lang w:val="hu"/>
        </w:rPr>
      </w:pPr>
      <w:r w:rsidRPr="001B6914">
        <w:rPr>
          <w:rFonts w:ascii="Segoe UI" w:hAnsi="Segoe UI" w:cs="Segoe UI"/>
          <w:b/>
          <w:color w:val="000000"/>
          <w:lang w:val="hu"/>
        </w:rPr>
        <w:t>Manuel Bösing</w:t>
      </w:r>
    </w:p>
    <w:p w14:paraId="7DEA28A6" w14:textId="3305E836" w:rsidR="001B6914" w:rsidRPr="001B6914" w:rsidRDefault="001B6914" w:rsidP="001B6914">
      <w:pPr>
        <w:tabs>
          <w:tab w:val="left" w:pos="709"/>
          <w:tab w:val="left" w:pos="4536"/>
          <w:tab w:val="left" w:pos="5245"/>
        </w:tabs>
        <w:autoSpaceDE w:val="0"/>
        <w:autoSpaceDN w:val="0"/>
        <w:adjustRightInd w:val="0"/>
        <w:spacing w:line="240" w:lineRule="auto"/>
        <w:rPr>
          <w:rFonts w:ascii="Segoe UI" w:hAnsi="Segoe UI" w:cs="Segoe UI"/>
          <w:color w:val="000000"/>
          <w:lang w:val="hu"/>
        </w:rPr>
      </w:pPr>
      <w:r>
        <w:rPr>
          <w:rFonts w:ascii="Segoe UI" w:hAnsi="Segoe UI" w:cs="Segoe UI"/>
          <w:color w:val="000000"/>
          <w:lang w:val="hu"/>
        </w:rPr>
        <w:t>Tel</w:t>
      </w:r>
      <w:r w:rsidRPr="001B6914">
        <w:rPr>
          <w:rFonts w:ascii="Segoe UI" w:hAnsi="Segoe UI" w:cs="Segoe UI"/>
          <w:color w:val="000000"/>
          <w:lang w:val="hu"/>
        </w:rPr>
        <w:t>:</w:t>
      </w:r>
      <w:r w:rsidRPr="001B6914">
        <w:rPr>
          <w:rFonts w:ascii="Segoe UI" w:hAnsi="Segoe UI" w:cs="Segoe UI"/>
          <w:color w:val="000000"/>
          <w:lang w:val="hu"/>
        </w:rPr>
        <w:tab/>
        <w:t>+49 211 797 - 6459</w:t>
      </w:r>
    </w:p>
    <w:p w14:paraId="1B2674A6" w14:textId="12548360" w:rsidR="001B6914" w:rsidRPr="001B6914" w:rsidRDefault="001B6914" w:rsidP="001B6914">
      <w:pPr>
        <w:tabs>
          <w:tab w:val="left" w:pos="709"/>
          <w:tab w:val="left" w:pos="4536"/>
          <w:tab w:val="left" w:pos="5245"/>
        </w:tabs>
        <w:autoSpaceDE w:val="0"/>
        <w:autoSpaceDN w:val="0"/>
        <w:adjustRightInd w:val="0"/>
        <w:spacing w:line="240" w:lineRule="auto"/>
        <w:rPr>
          <w:rFonts w:ascii="Segoe UI" w:hAnsi="Segoe UI" w:cs="Segoe UI"/>
          <w:b/>
          <w:bCs/>
          <w:color w:val="000000"/>
          <w:lang w:val="hu"/>
        </w:rPr>
      </w:pPr>
      <w:r w:rsidRPr="001B6914">
        <w:rPr>
          <w:rFonts w:ascii="Segoe UI" w:hAnsi="Segoe UI" w:cs="Segoe UI"/>
          <w:color w:val="000000"/>
          <w:lang w:val="hu"/>
        </w:rPr>
        <w:t xml:space="preserve">Email: </w:t>
      </w:r>
      <w:r w:rsidRPr="001B6914">
        <w:rPr>
          <w:rFonts w:ascii="Segoe UI" w:hAnsi="Segoe UI" w:cs="Segoe UI"/>
          <w:color w:val="000000"/>
          <w:lang w:val="hu"/>
        </w:rPr>
        <w:tab/>
      </w:r>
      <w:hyperlink r:id="rId13" w:history="1">
        <w:r w:rsidRPr="001B6914">
          <w:rPr>
            <w:rStyle w:val="Hiperhivatkozs"/>
            <w:rFonts w:ascii="Segoe UI" w:hAnsi="Segoe UI" w:cs="Segoe UI"/>
            <w:szCs w:val="18"/>
            <w:lang w:val="fr-FR"/>
          </w:rPr>
          <w:t>manuel.boesing@henkel.com</w:t>
        </w:r>
      </w:hyperlink>
    </w:p>
    <w:p w14:paraId="705BE984" w14:textId="58AB314A" w:rsidR="003227DF" w:rsidRDefault="003227DF" w:rsidP="002D37A9">
      <w:pPr>
        <w:spacing w:line="280" w:lineRule="exact"/>
        <w:rPr>
          <w:rFonts w:ascii="Segoe UI" w:hAnsi="Segoe UI" w:cs="Segoe UI"/>
          <w:sz w:val="18"/>
          <w:szCs w:val="18"/>
          <w:lang w:val="hu-HU" w:eastAsia="de-DE"/>
        </w:rPr>
      </w:pPr>
    </w:p>
    <w:p w14:paraId="113F31D0" w14:textId="77777777" w:rsidR="001B6914" w:rsidRPr="001B6914" w:rsidRDefault="001B6914" w:rsidP="001B6914">
      <w:pPr>
        <w:tabs>
          <w:tab w:val="left" w:pos="1080"/>
          <w:tab w:val="left" w:pos="4500"/>
        </w:tabs>
        <w:spacing w:line="264" w:lineRule="auto"/>
        <w:rPr>
          <w:rStyle w:val="Hiperhivatkozs"/>
          <w:rFonts w:ascii="Segoe UI" w:hAnsi="Segoe UI" w:cs="Segoe UI"/>
          <w:szCs w:val="18"/>
          <w:lang w:val="fr-FR"/>
        </w:rPr>
      </w:pPr>
      <w:hyperlink r:id="rId14" w:history="1">
        <w:r w:rsidRPr="001B6914">
          <w:rPr>
            <w:rStyle w:val="Hiperhivatkozs"/>
            <w:rFonts w:ascii="Segoe UI" w:hAnsi="Segoe UI" w:cs="Segoe UI"/>
            <w:szCs w:val="18"/>
            <w:lang w:val="fr-FR"/>
          </w:rPr>
          <w:t>www.henkel.com/press</w:t>
        </w:r>
      </w:hyperlink>
    </w:p>
    <w:p w14:paraId="4066B661" w14:textId="77777777" w:rsidR="001B6914" w:rsidRPr="001B6914" w:rsidRDefault="001B6914" w:rsidP="001B6914">
      <w:pPr>
        <w:tabs>
          <w:tab w:val="left" w:pos="1080"/>
          <w:tab w:val="left" w:pos="4500"/>
        </w:tabs>
        <w:spacing w:line="264" w:lineRule="auto"/>
        <w:rPr>
          <w:rStyle w:val="Hiperhivatkozs"/>
          <w:rFonts w:ascii="Segoe UI" w:hAnsi="Segoe UI" w:cs="Segoe UI"/>
          <w:szCs w:val="18"/>
          <w:lang w:val="fr-FR"/>
        </w:rPr>
      </w:pPr>
      <w:hyperlink r:id="rId15" w:history="1">
        <w:r w:rsidRPr="001B6914">
          <w:rPr>
            <w:rStyle w:val="Hiperhivatkozs"/>
            <w:rFonts w:ascii="Segoe UI" w:hAnsi="Segoe UI" w:cs="Segoe UI"/>
            <w:szCs w:val="18"/>
            <w:lang w:val="fr-FR"/>
          </w:rPr>
          <w:t>www.henkel.com/</w:t>
        </w:r>
      </w:hyperlink>
      <w:r w:rsidRPr="001B6914">
        <w:rPr>
          <w:rStyle w:val="Hiperhivatkozs"/>
          <w:rFonts w:ascii="Segoe UI" w:hAnsi="Segoe UI" w:cs="Segoe UI"/>
          <w:szCs w:val="18"/>
          <w:lang w:val="fr-FR"/>
        </w:rPr>
        <w:t>ir</w:t>
      </w:r>
    </w:p>
    <w:p w14:paraId="3A8EBEEC" w14:textId="77777777" w:rsidR="001B6914" w:rsidRPr="001B6914" w:rsidRDefault="001B6914" w:rsidP="002D37A9">
      <w:pPr>
        <w:spacing w:line="280" w:lineRule="exact"/>
        <w:rPr>
          <w:rFonts w:ascii="Segoe UI" w:hAnsi="Segoe UI" w:cs="Segoe UI"/>
          <w:sz w:val="18"/>
          <w:szCs w:val="18"/>
          <w:lang w:val="hu-HU" w:eastAsia="de-DE"/>
        </w:rPr>
      </w:pPr>
    </w:p>
    <w:p w14:paraId="00CF77AD" w14:textId="77777777" w:rsidR="001B6914" w:rsidRDefault="001B6914" w:rsidP="00B17243">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p>
    <w:p w14:paraId="13356D65" w14:textId="11F50BB9" w:rsidR="00B17243" w:rsidRPr="001B6914" w:rsidRDefault="00B17243" w:rsidP="00B17243">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r w:rsidRPr="001B6914">
        <w:rPr>
          <w:rFonts w:ascii="Segoe UI" w:hAnsi="Segoe UI" w:cs="Segoe UI"/>
          <w:sz w:val="18"/>
          <w:szCs w:val="18"/>
          <w:lang w:val="hu-HU"/>
        </w:rPr>
        <w:t>Henkel Magyarország Kft.</w:t>
      </w:r>
    </w:p>
    <w:p w14:paraId="03B27910" w14:textId="77777777" w:rsidR="00B17243" w:rsidRPr="001B6914" w:rsidRDefault="00B17243" w:rsidP="00B17243">
      <w:pPr>
        <w:pStyle w:val="lfej"/>
        <w:jc w:val="both"/>
        <w:rPr>
          <w:rFonts w:ascii="Segoe UI" w:hAnsi="Segoe UI" w:cs="Segoe UI"/>
          <w:sz w:val="18"/>
          <w:szCs w:val="18"/>
          <w:lang w:val="hu-HU"/>
        </w:rPr>
      </w:pPr>
      <w:r w:rsidRPr="001B6914">
        <w:rPr>
          <w:rFonts w:ascii="Segoe UI" w:hAnsi="Segoe UI" w:cs="Segoe UI"/>
          <w:sz w:val="18"/>
          <w:szCs w:val="18"/>
          <w:lang w:val="hu-HU"/>
        </w:rPr>
        <w:t>Vállalati kommunikáció</w:t>
      </w:r>
    </w:p>
    <w:p w14:paraId="4A30DDFC" w14:textId="13CCE01E" w:rsidR="002D37A9" w:rsidRPr="001B6914" w:rsidRDefault="002D37A9" w:rsidP="002D37A9">
      <w:pPr>
        <w:spacing w:line="280" w:lineRule="exact"/>
        <w:rPr>
          <w:rFonts w:ascii="Segoe UI" w:hAnsi="Segoe UI" w:cs="Segoe UI"/>
          <w:b/>
          <w:bCs/>
          <w:sz w:val="18"/>
          <w:szCs w:val="18"/>
          <w:lang w:val="hu-HU" w:eastAsia="de-DE"/>
        </w:rPr>
      </w:pPr>
      <w:r w:rsidRPr="001B6914">
        <w:rPr>
          <w:rFonts w:ascii="Segoe UI" w:hAnsi="Segoe UI" w:cs="Segoe UI"/>
          <w:b/>
          <w:bCs/>
          <w:sz w:val="18"/>
          <w:szCs w:val="18"/>
          <w:lang w:val="hu-HU" w:eastAsia="de-DE"/>
        </w:rPr>
        <w:t>Dispiter Dorottya</w:t>
      </w:r>
    </w:p>
    <w:p w14:paraId="4FC0EBDB" w14:textId="5D8D4A61" w:rsidR="002D37A9" w:rsidRPr="001B6914" w:rsidRDefault="002D37A9" w:rsidP="002D37A9">
      <w:pPr>
        <w:spacing w:line="280" w:lineRule="exact"/>
        <w:rPr>
          <w:rFonts w:ascii="Segoe UI" w:hAnsi="Segoe UI" w:cs="Segoe UI"/>
          <w:sz w:val="18"/>
          <w:szCs w:val="18"/>
          <w:lang w:val="hu-HU" w:eastAsia="de-DE"/>
        </w:rPr>
      </w:pPr>
      <w:r w:rsidRPr="001B6914">
        <w:rPr>
          <w:rFonts w:ascii="Segoe UI" w:hAnsi="Segoe UI" w:cs="Segoe UI"/>
          <w:sz w:val="18"/>
          <w:szCs w:val="18"/>
          <w:lang w:val="hu-HU" w:eastAsia="de-DE"/>
        </w:rPr>
        <w:t>Tel</w:t>
      </w:r>
      <w:r w:rsidR="00B17243" w:rsidRPr="001B6914">
        <w:rPr>
          <w:rFonts w:ascii="Segoe UI" w:hAnsi="Segoe UI" w:cs="Segoe UI"/>
          <w:sz w:val="18"/>
          <w:szCs w:val="18"/>
          <w:lang w:val="hu-HU" w:eastAsia="de-DE"/>
        </w:rPr>
        <w:t>:</w:t>
      </w:r>
      <w:r w:rsidRPr="001B6914">
        <w:rPr>
          <w:rFonts w:ascii="Segoe UI" w:hAnsi="Segoe UI" w:cs="Segoe UI"/>
          <w:sz w:val="18"/>
          <w:szCs w:val="18"/>
          <w:lang w:val="hu-HU" w:eastAsia="de-DE"/>
        </w:rPr>
        <w:tab/>
        <w:t>(1) 372-5555</w:t>
      </w:r>
    </w:p>
    <w:p w14:paraId="033FA476" w14:textId="111A715B" w:rsidR="002D37A9" w:rsidRPr="001B6914" w:rsidRDefault="002D37A9" w:rsidP="003227DF">
      <w:pPr>
        <w:spacing w:line="280" w:lineRule="exact"/>
        <w:rPr>
          <w:rFonts w:ascii="Segoe UI" w:hAnsi="Segoe UI" w:cs="Segoe UI"/>
          <w:sz w:val="18"/>
          <w:szCs w:val="18"/>
          <w:lang w:val="hu-HU"/>
        </w:rPr>
      </w:pPr>
      <w:r w:rsidRPr="001B6914">
        <w:rPr>
          <w:rFonts w:ascii="Segoe UI" w:hAnsi="Segoe UI" w:cs="Segoe UI"/>
          <w:color w:val="000000"/>
          <w:sz w:val="18"/>
          <w:szCs w:val="18"/>
          <w:lang w:val="hu-HU" w:eastAsia="de-DE"/>
        </w:rPr>
        <w:t xml:space="preserve">Email: </w:t>
      </w:r>
      <w:r w:rsidR="00B17243" w:rsidRPr="001B6914">
        <w:rPr>
          <w:rFonts w:ascii="Segoe UI" w:hAnsi="Segoe UI" w:cs="Segoe UI"/>
          <w:color w:val="000000"/>
          <w:sz w:val="18"/>
          <w:szCs w:val="18"/>
          <w:lang w:val="hu-HU" w:eastAsia="de-DE"/>
        </w:rPr>
        <w:t xml:space="preserve">     </w:t>
      </w:r>
      <w:hyperlink r:id="rId16" w:history="1">
        <w:r w:rsidR="00B17243" w:rsidRPr="001B6914">
          <w:rPr>
            <w:rStyle w:val="Hiperhivatkozs"/>
            <w:rFonts w:ascii="Segoe UI" w:hAnsi="Segoe UI" w:cs="Segoe UI"/>
            <w:sz w:val="18"/>
            <w:szCs w:val="18"/>
            <w:lang w:val="hu-HU" w:eastAsia="de-DE"/>
          </w:rPr>
          <w:t>vallalati.kommunikacio@henkel.com</w:t>
        </w:r>
      </w:hyperlink>
    </w:p>
    <w:sectPr w:rsidR="002D37A9" w:rsidRPr="001B6914" w:rsidSect="00782139">
      <w:headerReference w:type="default" r:id="rId17"/>
      <w:footerReference w:type="default" r:id="rId18"/>
      <w:headerReference w:type="first" r:id="rId19"/>
      <w:footerReference w:type="first" r:id="rId20"/>
      <w:pgSz w:w="11907" w:h="16840" w:code="9"/>
      <w:pgMar w:top="1276" w:right="1275" w:bottom="1985" w:left="1418" w:header="1247" w:footer="1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C383F" w14:textId="77777777" w:rsidR="008C0D32" w:rsidRDefault="008C0D32">
      <w:r>
        <w:separator/>
      </w:r>
    </w:p>
  </w:endnote>
  <w:endnote w:type="continuationSeparator" w:id="0">
    <w:p w14:paraId="76BE2DF7" w14:textId="77777777" w:rsidR="008C0D32" w:rsidRDefault="008C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8AF2" w14:textId="3F632F1D" w:rsidR="00CF6F33" w:rsidRPr="00B80304" w:rsidRDefault="0036554D" w:rsidP="00D260A2">
    <w:pPr>
      <w:pStyle w:val="llb"/>
      <w:tabs>
        <w:tab w:val="clear" w:pos="7083"/>
        <w:tab w:val="clear" w:pos="8640"/>
        <w:tab w:val="right" w:pos="9057"/>
      </w:tabs>
      <w:rPr>
        <w:b w:val="0"/>
        <w:color w:val="auto"/>
      </w:rPr>
    </w:pPr>
    <w:r w:rsidRPr="00EF2D0D">
      <w:rPr>
        <w:rFonts w:ascii="Segoe UI" w:hAnsi="Segoe UI" w:cs="Segoe UI"/>
        <w:b w:val="0"/>
        <w:bCs/>
        <w:color w:val="auto"/>
        <w:sz w:val="12"/>
        <w:szCs w:val="12"/>
        <w:lang w:val="en-US"/>
      </w:rPr>
      <w:t xml:space="preserve">Henkel AG &amp; Co. </w:t>
    </w:r>
    <w:proofErr w:type="spellStart"/>
    <w:r w:rsidRPr="00EF2D0D">
      <w:rPr>
        <w:rFonts w:ascii="Segoe UI" w:hAnsi="Segoe UI" w:cs="Segoe UI"/>
        <w:b w:val="0"/>
        <w:bCs/>
        <w:color w:val="auto"/>
        <w:sz w:val="12"/>
        <w:szCs w:val="12"/>
        <w:lang w:val="en-US"/>
      </w:rPr>
      <w:t>KGaA</w:t>
    </w:r>
    <w:proofErr w:type="spellEnd"/>
    <w:r w:rsidRPr="00EF2D0D">
      <w:rPr>
        <w:rFonts w:ascii="Segoe UI" w:hAnsi="Segoe UI" w:cs="Segoe UI"/>
        <w:b w:val="0"/>
        <w:bCs/>
        <w:color w:val="auto"/>
        <w:sz w:val="12"/>
        <w:szCs w:val="12"/>
        <w:lang w:val="en-US"/>
      </w:rPr>
      <w:t xml:space="preserve">  / </w:t>
    </w:r>
    <w:r w:rsidRPr="00EF2D0D">
      <w:rPr>
        <w:rFonts w:ascii="Segoe UI" w:hAnsi="Segoe UI" w:cs="Segoe UI"/>
        <w:b w:val="0"/>
        <w:bCs/>
        <w:color w:val="auto"/>
        <w:sz w:val="12"/>
        <w:szCs w:val="12"/>
        <w:lang w:val="hu-HU"/>
      </w:rPr>
      <w:t>Henkel Magyarország Kft. Vállalati kommunikáció</w:t>
    </w:r>
    <w:r w:rsidR="005370CF" w:rsidRPr="00EF2D0D">
      <w:rPr>
        <w:rFonts w:ascii="Segoe UI" w:hAnsi="Segoe UI" w:cs="Segoe UI"/>
        <w:b w:val="0"/>
        <w:bCs/>
        <w:color w:val="auto"/>
        <w:sz w:val="12"/>
        <w:szCs w:val="12"/>
        <w:lang w:val="hu-HU"/>
      </w:rPr>
      <w:br/>
    </w:r>
    <w:r w:rsidR="00CF6F33" w:rsidRPr="00B80304">
      <w:rPr>
        <w:color w:val="auto"/>
      </w:rPr>
      <w:tab/>
    </w:r>
    <w:r w:rsidR="00B80304" w:rsidRPr="0057267B">
      <w:rPr>
        <w:b w:val="0"/>
        <w:color w:val="auto"/>
        <w:lang w:val="hu-HU"/>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9D77" w14:textId="77777777" w:rsidR="00782139" w:rsidRPr="007C698C" w:rsidRDefault="00782139" w:rsidP="00782139">
    <w:pPr>
      <w:spacing w:line="276" w:lineRule="auto"/>
      <w:jc w:val="both"/>
      <w:rPr>
        <w:sz w:val="14"/>
        <w:szCs w:val="14"/>
      </w:rPr>
    </w:pPr>
    <w:r>
      <w:rPr>
        <w:sz w:val="14"/>
        <w:szCs w:val="14"/>
        <w:lang w:val="hu"/>
      </w:rPr>
      <w:br/>
    </w:r>
  </w:p>
  <w:p w14:paraId="5260C914" w14:textId="77777777"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710C526C" wp14:editId="00C2FF49">
          <wp:simplePos x="0" y="0"/>
          <wp:positionH relativeFrom="column">
            <wp:posOffset>433070</wp:posOffset>
          </wp:positionH>
          <wp:positionV relativeFrom="paragraph">
            <wp:posOffset>-160655</wp:posOffset>
          </wp:positionV>
          <wp:extent cx="2076450" cy="438150"/>
          <wp:effectExtent l="0" t="0" r="0" b="0"/>
          <wp:wrapNone/>
          <wp:docPr id="1158" name="Kép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53C84559" wp14:editId="45193928">
          <wp:simplePos x="0" y="0"/>
          <wp:positionH relativeFrom="column">
            <wp:posOffset>3034030</wp:posOffset>
          </wp:positionH>
          <wp:positionV relativeFrom="paragraph">
            <wp:posOffset>9915525</wp:posOffset>
          </wp:positionV>
          <wp:extent cx="255905" cy="243205"/>
          <wp:effectExtent l="0" t="0" r="0" b="4445"/>
          <wp:wrapNone/>
          <wp:docPr id="1159" name="Kép 1159"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73B27FF5" wp14:editId="21E3BE56">
          <wp:extent cx="419100" cy="152400"/>
          <wp:effectExtent l="0" t="0" r="0" b="0"/>
          <wp:docPr id="1169"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909A51C" wp14:editId="42100208">
          <wp:extent cx="495300" cy="123825"/>
          <wp:effectExtent l="0" t="0" r="0" b="9525"/>
          <wp:docPr id="1170"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B2AC518" wp14:editId="32D821E8">
          <wp:extent cx="581025" cy="104775"/>
          <wp:effectExtent l="0" t="0" r="9525" b="9525"/>
          <wp:docPr id="1171"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899823F" wp14:editId="242670DF">
          <wp:extent cx="990600" cy="104775"/>
          <wp:effectExtent l="0" t="0" r="0" b="9525"/>
          <wp:docPr id="1172"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1C4E783" wp14:editId="29F277E4">
          <wp:extent cx="885825" cy="104775"/>
          <wp:effectExtent l="0" t="0" r="9525" b="9525"/>
          <wp:docPr id="1173"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660EDEDA" w14:textId="356714C6" w:rsidR="00CF6F33" w:rsidRPr="00B17243" w:rsidRDefault="003C38EC" w:rsidP="00D260A2">
    <w:pPr>
      <w:pStyle w:val="llb"/>
      <w:jc w:val="right"/>
      <w:rPr>
        <w:rFonts w:ascii="Segoe UI" w:hAnsi="Segoe UI" w:cs="Segoe UI"/>
        <w:color w:val="auto"/>
      </w:rPr>
    </w:pPr>
    <w:r w:rsidRPr="00B17243">
      <w:rPr>
        <w:rFonts w:ascii="Segoe UI" w:hAnsi="Segoe UI" w:cs="Segoe UI"/>
        <w:b w:val="0"/>
        <w:noProof/>
        <w:lang w:val="hu-HU" w:eastAsia="hu-HU"/>
      </w:rPr>
      <w:drawing>
        <wp:anchor distT="0" distB="0" distL="114300" distR="114300" simplePos="0" relativeHeight="251660800" behindDoc="0" locked="0" layoutInCell="1" allowOverlap="1" wp14:anchorId="55EE1D80" wp14:editId="2AEE8FC4">
          <wp:simplePos x="0" y="0"/>
          <wp:positionH relativeFrom="column">
            <wp:posOffset>824230</wp:posOffset>
          </wp:positionH>
          <wp:positionV relativeFrom="paragraph">
            <wp:posOffset>10306050</wp:posOffset>
          </wp:positionV>
          <wp:extent cx="255905" cy="243205"/>
          <wp:effectExtent l="0" t="0" r="0" b="4445"/>
          <wp:wrapNone/>
          <wp:docPr id="1174" name="Kép 1174"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sidRPr="00B17243">
      <w:rPr>
        <w:rFonts w:ascii="Segoe UI" w:hAnsi="Segoe UI" w:cs="Segoe UI"/>
        <w:b w:val="0"/>
        <w:noProof/>
        <w:color w:val="auto"/>
        <w:lang w:val="hu-HU" w:eastAsia="hu-HU"/>
      </w:rPr>
      <w:t>Oldal</w:t>
    </w:r>
    <w:r w:rsidR="00CF6F33" w:rsidRPr="00B17243">
      <w:rPr>
        <w:rFonts w:ascii="Segoe UI" w:hAnsi="Segoe UI" w:cs="Segoe UI"/>
        <w:b w:val="0"/>
        <w:color w:val="auto"/>
      </w:rPr>
      <w:t xml:space="preserve"> </w:t>
    </w:r>
    <w:r w:rsidR="00CF6F33" w:rsidRPr="00B17243">
      <w:rPr>
        <w:rFonts w:ascii="Segoe UI" w:hAnsi="Segoe UI" w:cs="Segoe UI"/>
        <w:b w:val="0"/>
        <w:color w:val="auto"/>
      </w:rPr>
      <w:fldChar w:fldCharType="begin"/>
    </w:r>
    <w:r w:rsidR="00CF6F33" w:rsidRPr="00B17243">
      <w:rPr>
        <w:rFonts w:ascii="Segoe UI" w:hAnsi="Segoe UI" w:cs="Segoe UI"/>
        <w:b w:val="0"/>
        <w:color w:val="auto"/>
      </w:rPr>
      <w:instrText xml:space="preserve"> </w:instrText>
    </w:r>
    <w:r w:rsidR="00262C05" w:rsidRPr="00B17243">
      <w:rPr>
        <w:rFonts w:ascii="Segoe UI" w:hAnsi="Segoe UI" w:cs="Segoe UI"/>
        <w:b w:val="0"/>
        <w:color w:val="auto"/>
      </w:rPr>
      <w:instrText>PAGE</w:instrText>
    </w:r>
    <w:r w:rsidR="00CF6F33" w:rsidRPr="00B17243">
      <w:rPr>
        <w:rFonts w:ascii="Segoe UI" w:hAnsi="Segoe UI" w:cs="Segoe UI"/>
        <w:b w:val="0"/>
        <w:color w:val="auto"/>
      </w:rPr>
      <w:instrText xml:space="preserve">  \* Arabic  \* MERGEFORMAT </w:instrText>
    </w:r>
    <w:r w:rsidR="00CF6F33" w:rsidRPr="00B17243">
      <w:rPr>
        <w:rFonts w:ascii="Segoe UI" w:hAnsi="Segoe UI" w:cs="Segoe UI"/>
        <w:b w:val="0"/>
        <w:color w:val="auto"/>
      </w:rPr>
      <w:fldChar w:fldCharType="separate"/>
    </w:r>
    <w:r w:rsidR="00BA51DB" w:rsidRPr="00B17243">
      <w:rPr>
        <w:rFonts w:ascii="Segoe UI" w:hAnsi="Segoe UI" w:cs="Segoe UI"/>
        <w:b w:val="0"/>
        <w:noProof/>
        <w:color w:val="auto"/>
      </w:rPr>
      <w:t>1</w:t>
    </w:r>
    <w:r w:rsidR="00CF6F33" w:rsidRPr="00B17243">
      <w:rPr>
        <w:rFonts w:ascii="Segoe UI" w:hAnsi="Segoe UI" w:cs="Segoe UI"/>
        <w:b w:val="0"/>
        <w:color w:val="auto"/>
      </w:rPr>
      <w:fldChar w:fldCharType="end"/>
    </w:r>
    <w:r w:rsidR="00CF6F33" w:rsidRPr="00B17243">
      <w:rPr>
        <w:rFonts w:ascii="Segoe UI" w:hAnsi="Segoe UI" w:cs="Segoe UI"/>
        <w:b w:val="0"/>
        <w:color w:val="auto"/>
      </w:rPr>
      <w:t>/</w:t>
    </w:r>
    <w:r w:rsidR="00CF6F33" w:rsidRPr="00B17243">
      <w:rPr>
        <w:rFonts w:ascii="Segoe UI" w:hAnsi="Segoe UI" w:cs="Segoe UI"/>
        <w:b w:val="0"/>
        <w:color w:val="auto"/>
      </w:rPr>
      <w:fldChar w:fldCharType="begin"/>
    </w:r>
    <w:r w:rsidR="00CF6F33" w:rsidRPr="00B17243">
      <w:rPr>
        <w:rFonts w:ascii="Segoe UI" w:hAnsi="Segoe UI" w:cs="Segoe UI"/>
        <w:b w:val="0"/>
        <w:color w:val="auto"/>
      </w:rPr>
      <w:instrText xml:space="preserve"> </w:instrText>
    </w:r>
    <w:r w:rsidR="00262C05" w:rsidRPr="00B17243">
      <w:rPr>
        <w:rFonts w:ascii="Segoe UI" w:hAnsi="Segoe UI" w:cs="Segoe UI"/>
        <w:b w:val="0"/>
        <w:color w:val="auto"/>
      </w:rPr>
      <w:instrText>NUMPAGES</w:instrText>
    </w:r>
    <w:r w:rsidR="00CF6F33" w:rsidRPr="00B17243">
      <w:rPr>
        <w:rFonts w:ascii="Segoe UI" w:hAnsi="Segoe UI" w:cs="Segoe UI"/>
        <w:b w:val="0"/>
        <w:color w:val="auto"/>
      </w:rPr>
      <w:instrText xml:space="preserve">  \* Arabic  \* MERGEFORMAT </w:instrText>
    </w:r>
    <w:r w:rsidR="00CF6F33" w:rsidRPr="00B17243">
      <w:rPr>
        <w:rFonts w:ascii="Segoe UI" w:hAnsi="Segoe UI" w:cs="Segoe UI"/>
        <w:b w:val="0"/>
        <w:color w:val="auto"/>
      </w:rPr>
      <w:fldChar w:fldCharType="separate"/>
    </w:r>
    <w:r w:rsidR="00BA51DB" w:rsidRPr="00B17243">
      <w:rPr>
        <w:rFonts w:ascii="Segoe UI" w:hAnsi="Segoe UI" w:cs="Segoe UI"/>
        <w:b w:val="0"/>
        <w:noProof/>
        <w:color w:val="auto"/>
      </w:rPr>
      <w:t>3</w:t>
    </w:r>
    <w:r w:rsidR="00CF6F33" w:rsidRPr="00B17243">
      <w:rPr>
        <w:rFonts w:ascii="Segoe UI" w:hAnsi="Segoe UI" w:cs="Segoe UI"/>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36E9" w14:textId="77777777" w:rsidR="008C0D32" w:rsidRDefault="008C0D32">
      <w:r>
        <w:separator/>
      </w:r>
    </w:p>
  </w:footnote>
  <w:footnote w:type="continuationSeparator" w:id="0">
    <w:p w14:paraId="00858EDC" w14:textId="77777777" w:rsidR="008C0D32" w:rsidRDefault="008C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ACB6"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14:anchorId="6738CC27" wp14:editId="08FCE99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E10C"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14:anchorId="6999C4CE" wp14:editId="51A94A22">
          <wp:simplePos x="0" y="0"/>
          <wp:positionH relativeFrom="margin">
            <wp:posOffset>4915157</wp:posOffset>
          </wp:positionH>
          <wp:positionV relativeFrom="margin">
            <wp:posOffset>-1615931</wp:posOffset>
          </wp:positionV>
          <wp:extent cx="1166495" cy="789305"/>
          <wp:effectExtent l="0" t="0" r="0" b="0"/>
          <wp:wrapSquare wrapText="bothSides"/>
          <wp:docPr id="1157" name="Kép 115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50B344A1" w14:textId="77777777" w:rsidR="009A16EC" w:rsidRPr="001C4BE1" w:rsidRDefault="009A16EC" w:rsidP="009A16EC">
    <w:pPr>
      <w:pStyle w:val="lfej"/>
      <w:tabs>
        <w:tab w:val="clear" w:pos="8640"/>
        <w:tab w:val="left" w:pos="2607"/>
        <w:tab w:val="right" w:pos="9071"/>
      </w:tabs>
      <w:spacing w:line="420" w:lineRule="atLeast"/>
      <w:rPr>
        <w:rFonts w:ascii="Calibri" w:hAnsi="Calibri"/>
        <w:b/>
        <w:bCs/>
        <w:sz w:val="40"/>
        <w:szCs w:val="40"/>
      </w:rPr>
    </w:pPr>
  </w:p>
  <w:p w14:paraId="085CA1F8" w14:textId="77777777" w:rsidR="009767C7" w:rsidRPr="00336469" w:rsidRDefault="009767C7" w:rsidP="009A16EC">
    <w:pPr>
      <w:pStyle w:val="lfej"/>
      <w:tabs>
        <w:tab w:val="clear" w:pos="8640"/>
        <w:tab w:val="left" w:pos="2607"/>
        <w:tab w:val="right" w:pos="9071"/>
      </w:tabs>
      <w:spacing w:line="420" w:lineRule="atLeast"/>
      <w:jc w:val="right"/>
      <w:rPr>
        <w:rFonts w:ascii="Segoe UI" w:hAnsi="Segoe UI" w:cs="Segoe UI"/>
        <w:b/>
        <w:bCs/>
        <w:sz w:val="40"/>
        <w:szCs w:val="40"/>
      </w:rPr>
    </w:pPr>
  </w:p>
  <w:p w14:paraId="64BE5386" w14:textId="77777777" w:rsidR="00CF6F33" w:rsidRPr="00336469"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336469">
      <w:rPr>
        <w:rFonts w:ascii="Segoe UI" w:hAnsi="Segoe UI" w:cs="Segoe UI"/>
        <w:b/>
        <w:bCs/>
        <w:noProof/>
        <w:color w:val="3E3C3C"/>
        <w:sz w:val="40"/>
        <w:szCs w:val="40"/>
        <w:lang w:val="hu-HU" w:eastAsia="hu-HU"/>
      </w:rPr>
      <mc:AlternateContent>
        <mc:Choice Requires="wpg">
          <w:drawing>
            <wp:anchor distT="0" distB="0" distL="114300" distR="114300" simplePos="0" relativeHeight="251656704" behindDoc="0" locked="0" layoutInCell="1" allowOverlap="1" wp14:anchorId="25681C42" wp14:editId="2610E41F">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sidRPr="00336469">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700E"/>
    <w:multiLevelType w:val="hybridMultilevel"/>
    <w:tmpl w:val="26DC0C76"/>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tentative="1">
      <w:start w:val="1"/>
      <w:numFmt w:val="bullet"/>
      <w:lvlText w:val="o"/>
      <w:lvlJc w:val="left"/>
      <w:pPr>
        <w:tabs>
          <w:tab w:val="num" w:pos="2292"/>
        </w:tabs>
        <w:ind w:left="2292" w:hanging="360"/>
      </w:pPr>
      <w:rPr>
        <w:rFonts w:ascii="Courier New" w:hAnsi="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34538A2"/>
    <w:multiLevelType w:val="hybridMultilevel"/>
    <w:tmpl w:val="C4D24CCA"/>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C671608"/>
    <w:multiLevelType w:val="hybridMultilevel"/>
    <w:tmpl w:val="D8B084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55B51A0"/>
    <w:multiLevelType w:val="hybridMultilevel"/>
    <w:tmpl w:val="093ED43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AA37267"/>
    <w:multiLevelType w:val="hybridMultilevel"/>
    <w:tmpl w:val="594E961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D35AD4"/>
    <w:multiLevelType w:val="hybridMultilevel"/>
    <w:tmpl w:val="783C01F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82F3068"/>
    <w:multiLevelType w:val="hybridMultilevel"/>
    <w:tmpl w:val="FD926580"/>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AF0F34"/>
    <w:multiLevelType w:val="hybridMultilevel"/>
    <w:tmpl w:val="F68E2982"/>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B74652E"/>
    <w:multiLevelType w:val="hybridMultilevel"/>
    <w:tmpl w:val="A3628CC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8"/>
  </w:num>
  <w:num w:numId="5">
    <w:abstractNumId w:val="4"/>
  </w:num>
  <w:num w:numId="6">
    <w:abstractNumId w:val="12"/>
  </w:num>
  <w:num w:numId="7">
    <w:abstractNumId w:val="3"/>
  </w:num>
  <w:num w:numId="8">
    <w:abstractNumId w:val="3"/>
  </w:num>
  <w:num w:numId="9">
    <w:abstractNumId w:val="1"/>
  </w:num>
  <w:num w:numId="10">
    <w:abstractNumId w:val="15"/>
  </w:num>
  <w:num w:numId="11">
    <w:abstractNumId w:val="9"/>
  </w:num>
  <w:num w:numId="12">
    <w:abstractNumId w:val="10"/>
  </w:num>
  <w:num w:numId="13">
    <w:abstractNumId w:val="11"/>
  </w:num>
  <w:num w:numId="14">
    <w:abstractNumId w:val="6"/>
  </w:num>
  <w:num w:numId="15">
    <w:abstractNumId w:val="7"/>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1A91"/>
    <w:rsid w:val="00002AA4"/>
    <w:rsid w:val="00005267"/>
    <w:rsid w:val="00006346"/>
    <w:rsid w:val="00015BC1"/>
    <w:rsid w:val="00021C67"/>
    <w:rsid w:val="000244BF"/>
    <w:rsid w:val="00030557"/>
    <w:rsid w:val="00030F51"/>
    <w:rsid w:val="000360E3"/>
    <w:rsid w:val="00054EA1"/>
    <w:rsid w:val="000575F9"/>
    <w:rsid w:val="000618FC"/>
    <w:rsid w:val="000732FB"/>
    <w:rsid w:val="00077DAF"/>
    <w:rsid w:val="00080A02"/>
    <w:rsid w:val="00080D10"/>
    <w:rsid w:val="00081BA0"/>
    <w:rsid w:val="0008241F"/>
    <w:rsid w:val="00094C2C"/>
    <w:rsid w:val="000A7050"/>
    <w:rsid w:val="000C301B"/>
    <w:rsid w:val="000C56DD"/>
    <w:rsid w:val="000C7402"/>
    <w:rsid w:val="000D1672"/>
    <w:rsid w:val="000E3034"/>
    <w:rsid w:val="000E6536"/>
    <w:rsid w:val="000E7F24"/>
    <w:rsid w:val="000F03BE"/>
    <w:rsid w:val="000F07E6"/>
    <w:rsid w:val="000F225B"/>
    <w:rsid w:val="000F7FAF"/>
    <w:rsid w:val="00111CAF"/>
    <w:rsid w:val="00111F4D"/>
    <w:rsid w:val="00115230"/>
    <w:rsid w:val="001162B4"/>
    <w:rsid w:val="00122CBC"/>
    <w:rsid w:val="00126D4A"/>
    <w:rsid w:val="00132DA9"/>
    <w:rsid w:val="0013305B"/>
    <w:rsid w:val="00133B99"/>
    <w:rsid w:val="00135DDA"/>
    <w:rsid w:val="00141D9E"/>
    <w:rsid w:val="001443BD"/>
    <w:rsid w:val="00146346"/>
    <w:rsid w:val="00151B0C"/>
    <w:rsid w:val="00151ED7"/>
    <w:rsid w:val="0018495C"/>
    <w:rsid w:val="00191F39"/>
    <w:rsid w:val="001A5DFF"/>
    <w:rsid w:val="001B0474"/>
    <w:rsid w:val="001B6914"/>
    <w:rsid w:val="001C0B32"/>
    <w:rsid w:val="001C4BE1"/>
    <w:rsid w:val="001D398E"/>
    <w:rsid w:val="001E0F71"/>
    <w:rsid w:val="001E6D05"/>
    <w:rsid w:val="001E7C28"/>
    <w:rsid w:val="001F1BDF"/>
    <w:rsid w:val="001F7110"/>
    <w:rsid w:val="001F7E96"/>
    <w:rsid w:val="00212488"/>
    <w:rsid w:val="00220628"/>
    <w:rsid w:val="00225227"/>
    <w:rsid w:val="00226695"/>
    <w:rsid w:val="00237F62"/>
    <w:rsid w:val="00244CDB"/>
    <w:rsid w:val="0024586A"/>
    <w:rsid w:val="00253042"/>
    <w:rsid w:val="00262C05"/>
    <w:rsid w:val="00270F6D"/>
    <w:rsid w:val="00281723"/>
    <w:rsid w:val="00285B75"/>
    <w:rsid w:val="00287396"/>
    <w:rsid w:val="0029735B"/>
    <w:rsid w:val="002A0DF7"/>
    <w:rsid w:val="002A39A8"/>
    <w:rsid w:val="002A45C8"/>
    <w:rsid w:val="002A59B4"/>
    <w:rsid w:val="002A60E0"/>
    <w:rsid w:val="002A6AB9"/>
    <w:rsid w:val="002B6C10"/>
    <w:rsid w:val="002C2275"/>
    <w:rsid w:val="002C252E"/>
    <w:rsid w:val="002C28C1"/>
    <w:rsid w:val="002C6773"/>
    <w:rsid w:val="002D37A9"/>
    <w:rsid w:val="002D7782"/>
    <w:rsid w:val="002E0B17"/>
    <w:rsid w:val="002E272F"/>
    <w:rsid w:val="002E7DED"/>
    <w:rsid w:val="002F019F"/>
    <w:rsid w:val="002F7E11"/>
    <w:rsid w:val="00304087"/>
    <w:rsid w:val="00310ACD"/>
    <w:rsid w:val="0031379F"/>
    <w:rsid w:val="00316C44"/>
    <w:rsid w:val="00320A26"/>
    <w:rsid w:val="00321344"/>
    <w:rsid w:val="003227DF"/>
    <w:rsid w:val="00326717"/>
    <w:rsid w:val="00336469"/>
    <w:rsid w:val="0034015C"/>
    <w:rsid w:val="00340508"/>
    <w:rsid w:val="00341FA4"/>
    <w:rsid w:val="00353705"/>
    <w:rsid w:val="00353C13"/>
    <w:rsid w:val="003562E8"/>
    <w:rsid w:val="00357719"/>
    <w:rsid w:val="0036051F"/>
    <w:rsid w:val="0036357D"/>
    <w:rsid w:val="00364E9E"/>
    <w:rsid w:val="0036554D"/>
    <w:rsid w:val="00367AA1"/>
    <w:rsid w:val="00367F22"/>
    <w:rsid w:val="00372E36"/>
    <w:rsid w:val="00377CBB"/>
    <w:rsid w:val="003877B6"/>
    <w:rsid w:val="00393887"/>
    <w:rsid w:val="00394C6B"/>
    <w:rsid w:val="00397057"/>
    <w:rsid w:val="003A3559"/>
    <w:rsid w:val="003B1069"/>
    <w:rsid w:val="003B390A"/>
    <w:rsid w:val="003C15DE"/>
    <w:rsid w:val="003C38EC"/>
    <w:rsid w:val="003C4EB2"/>
    <w:rsid w:val="003C6A25"/>
    <w:rsid w:val="003E4234"/>
    <w:rsid w:val="003F1AF3"/>
    <w:rsid w:val="003F4D8D"/>
    <w:rsid w:val="0040489E"/>
    <w:rsid w:val="00406921"/>
    <w:rsid w:val="0040727E"/>
    <w:rsid w:val="00417A82"/>
    <w:rsid w:val="004313E7"/>
    <w:rsid w:val="0044763B"/>
    <w:rsid w:val="00462102"/>
    <w:rsid w:val="004629B3"/>
    <w:rsid w:val="0046376E"/>
    <w:rsid w:val="0046690F"/>
    <w:rsid w:val="00477B58"/>
    <w:rsid w:val="00483BD6"/>
    <w:rsid w:val="00490A03"/>
    <w:rsid w:val="00494DBE"/>
    <w:rsid w:val="00495CE6"/>
    <w:rsid w:val="004A1F07"/>
    <w:rsid w:val="004A323C"/>
    <w:rsid w:val="004A3D35"/>
    <w:rsid w:val="004A7915"/>
    <w:rsid w:val="004B54E8"/>
    <w:rsid w:val="004C1803"/>
    <w:rsid w:val="004C4FEB"/>
    <w:rsid w:val="004D059B"/>
    <w:rsid w:val="004D4CB6"/>
    <w:rsid w:val="004E27B2"/>
    <w:rsid w:val="004F10C1"/>
    <w:rsid w:val="00501953"/>
    <w:rsid w:val="00502E62"/>
    <w:rsid w:val="0051106A"/>
    <w:rsid w:val="005150EB"/>
    <w:rsid w:val="0052212B"/>
    <w:rsid w:val="005234A3"/>
    <w:rsid w:val="0052553E"/>
    <w:rsid w:val="00534B46"/>
    <w:rsid w:val="005370CF"/>
    <w:rsid w:val="00540358"/>
    <w:rsid w:val="005446C0"/>
    <w:rsid w:val="00547E79"/>
    <w:rsid w:val="00553455"/>
    <w:rsid w:val="00555A2F"/>
    <w:rsid w:val="00556F67"/>
    <w:rsid w:val="0057267B"/>
    <w:rsid w:val="005751AA"/>
    <w:rsid w:val="005765B2"/>
    <w:rsid w:val="00585CDE"/>
    <w:rsid w:val="00586CAF"/>
    <w:rsid w:val="00591180"/>
    <w:rsid w:val="00597D07"/>
    <w:rsid w:val="005C2F36"/>
    <w:rsid w:val="005C7112"/>
    <w:rsid w:val="005D0561"/>
    <w:rsid w:val="005D0AD9"/>
    <w:rsid w:val="005D0BBC"/>
    <w:rsid w:val="005D1562"/>
    <w:rsid w:val="005D22F6"/>
    <w:rsid w:val="005E0C30"/>
    <w:rsid w:val="005E69D9"/>
    <w:rsid w:val="005F25AF"/>
    <w:rsid w:val="005F27F4"/>
    <w:rsid w:val="005F3239"/>
    <w:rsid w:val="005F58CE"/>
    <w:rsid w:val="00602C7F"/>
    <w:rsid w:val="00607256"/>
    <w:rsid w:val="006144B1"/>
    <w:rsid w:val="00617ECF"/>
    <w:rsid w:val="006335F1"/>
    <w:rsid w:val="006345B6"/>
    <w:rsid w:val="00635712"/>
    <w:rsid w:val="00636D3E"/>
    <w:rsid w:val="00652229"/>
    <w:rsid w:val="00652793"/>
    <w:rsid w:val="006610A4"/>
    <w:rsid w:val="006626CA"/>
    <w:rsid w:val="00663487"/>
    <w:rsid w:val="00670A2E"/>
    <w:rsid w:val="00672382"/>
    <w:rsid w:val="006861DB"/>
    <w:rsid w:val="00690B19"/>
    <w:rsid w:val="00697656"/>
    <w:rsid w:val="006A3639"/>
    <w:rsid w:val="006A4D1B"/>
    <w:rsid w:val="006B499F"/>
    <w:rsid w:val="006C52CD"/>
    <w:rsid w:val="006D343E"/>
    <w:rsid w:val="006D4996"/>
    <w:rsid w:val="006D54AB"/>
    <w:rsid w:val="006E02A0"/>
    <w:rsid w:val="006E21FF"/>
    <w:rsid w:val="006E3ED2"/>
    <w:rsid w:val="006E5032"/>
    <w:rsid w:val="006F381F"/>
    <w:rsid w:val="006F5AA4"/>
    <w:rsid w:val="006F670F"/>
    <w:rsid w:val="00703272"/>
    <w:rsid w:val="007058BD"/>
    <w:rsid w:val="007065F8"/>
    <w:rsid w:val="0070733C"/>
    <w:rsid w:val="00710C5D"/>
    <w:rsid w:val="0071348C"/>
    <w:rsid w:val="00713807"/>
    <w:rsid w:val="00717273"/>
    <w:rsid w:val="00720FD4"/>
    <w:rsid w:val="0073096C"/>
    <w:rsid w:val="00742398"/>
    <w:rsid w:val="007507B5"/>
    <w:rsid w:val="00751576"/>
    <w:rsid w:val="00753A24"/>
    <w:rsid w:val="00763189"/>
    <w:rsid w:val="00772188"/>
    <w:rsid w:val="00774B6F"/>
    <w:rsid w:val="00780C94"/>
    <w:rsid w:val="00781D40"/>
    <w:rsid w:val="00782139"/>
    <w:rsid w:val="00786BA3"/>
    <w:rsid w:val="007965DD"/>
    <w:rsid w:val="007A1667"/>
    <w:rsid w:val="007A1BBD"/>
    <w:rsid w:val="007A4432"/>
    <w:rsid w:val="007A78C1"/>
    <w:rsid w:val="007B499C"/>
    <w:rsid w:val="007B4D4B"/>
    <w:rsid w:val="007C3976"/>
    <w:rsid w:val="007C6C17"/>
    <w:rsid w:val="007D2A02"/>
    <w:rsid w:val="007E6EA1"/>
    <w:rsid w:val="007F15FB"/>
    <w:rsid w:val="007F1928"/>
    <w:rsid w:val="007F26BD"/>
    <w:rsid w:val="007F2B1E"/>
    <w:rsid w:val="007F62B4"/>
    <w:rsid w:val="007F7399"/>
    <w:rsid w:val="008010A9"/>
    <w:rsid w:val="00801517"/>
    <w:rsid w:val="008167D3"/>
    <w:rsid w:val="00817DE8"/>
    <w:rsid w:val="008229F5"/>
    <w:rsid w:val="00833090"/>
    <w:rsid w:val="00833CEB"/>
    <w:rsid w:val="00833D51"/>
    <w:rsid w:val="008356A6"/>
    <w:rsid w:val="008372D2"/>
    <w:rsid w:val="0084153E"/>
    <w:rsid w:val="008430B6"/>
    <w:rsid w:val="00844C17"/>
    <w:rsid w:val="00847726"/>
    <w:rsid w:val="00852511"/>
    <w:rsid w:val="008541D2"/>
    <w:rsid w:val="00855F28"/>
    <w:rsid w:val="008614F1"/>
    <w:rsid w:val="008639B3"/>
    <w:rsid w:val="00863C1A"/>
    <w:rsid w:val="0087142D"/>
    <w:rsid w:val="00873956"/>
    <w:rsid w:val="00874104"/>
    <w:rsid w:val="008825EE"/>
    <w:rsid w:val="00884E24"/>
    <w:rsid w:val="0088596E"/>
    <w:rsid w:val="00886A45"/>
    <w:rsid w:val="008959BE"/>
    <w:rsid w:val="008A2375"/>
    <w:rsid w:val="008B15C8"/>
    <w:rsid w:val="008B20C7"/>
    <w:rsid w:val="008B6262"/>
    <w:rsid w:val="008C0D32"/>
    <w:rsid w:val="008C445C"/>
    <w:rsid w:val="008C5796"/>
    <w:rsid w:val="008D294B"/>
    <w:rsid w:val="008D76C5"/>
    <w:rsid w:val="008E0AFA"/>
    <w:rsid w:val="008E75D3"/>
    <w:rsid w:val="008F125E"/>
    <w:rsid w:val="008F4D2F"/>
    <w:rsid w:val="009026EC"/>
    <w:rsid w:val="009042F7"/>
    <w:rsid w:val="00911B05"/>
    <w:rsid w:val="00917162"/>
    <w:rsid w:val="0092465B"/>
    <w:rsid w:val="009251CC"/>
    <w:rsid w:val="0092714E"/>
    <w:rsid w:val="009318D6"/>
    <w:rsid w:val="00933950"/>
    <w:rsid w:val="00935F6F"/>
    <w:rsid w:val="00942002"/>
    <w:rsid w:val="00947885"/>
    <w:rsid w:val="00950C9C"/>
    <w:rsid w:val="00952168"/>
    <w:rsid w:val="009527FE"/>
    <w:rsid w:val="009739A0"/>
    <w:rsid w:val="009767C7"/>
    <w:rsid w:val="0098579A"/>
    <w:rsid w:val="0099195A"/>
    <w:rsid w:val="00994681"/>
    <w:rsid w:val="0099486A"/>
    <w:rsid w:val="009A0E26"/>
    <w:rsid w:val="009A16EC"/>
    <w:rsid w:val="009A2F59"/>
    <w:rsid w:val="009A3057"/>
    <w:rsid w:val="009B3B37"/>
    <w:rsid w:val="009C088E"/>
    <w:rsid w:val="009C4D35"/>
    <w:rsid w:val="009E0864"/>
    <w:rsid w:val="009E211D"/>
    <w:rsid w:val="009E5EB4"/>
    <w:rsid w:val="009F2064"/>
    <w:rsid w:val="009F36B2"/>
    <w:rsid w:val="009F6026"/>
    <w:rsid w:val="00A044D6"/>
    <w:rsid w:val="00A04ADB"/>
    <w:rsid w:val="00A11E0F"/>
    <w:rsid w:val="00A17EB3"/>
    <w:rsid w:val="00A244C2"/>
    <w:rsid w:val="00A26CB6"/>
    <w:rsid w:val="00A305DE"/>
    <w:rsid w:val="00A309CD"/>
    <w:rsid w:val="00A32F82"/>
    <w:rsid w:val="00A32F8B"/>
    <w:rsid w:val="00A45A62"/>
    <w:rsid w:val="00A54AC5"/>
    <w:rsid w:val="00A561C8"/>
    <w:rsid w:val="00A56D41"/>
    <w:rsid w:val="00A57396"/>
    <w:rsid w:val="00A61353"/>
    <w:rsid w:val="00A66DB1"/>
    <w:rsid w:val="00A67A92"/>
    <w:rsid w:val="00A71656"/>
    <w:rsid w:val="00A721AE"/>
    <w:rsid w:val="00A86132"/>
    <w:rsid w:val="00A91A70"/>
    <w:rsid w:val="00A973C3"/>
    <w:rsid w:val="00AA1B85"/>
    <w:rsid w:val="00AA3BDF"/>
    <w:rsid w:val="00AB1CB6"/>
    <w:rsid w:val="00AB1D9A"/>
    <w:rsid w:val="00AB733B"/>
    <w:rsid w:val="00AC1852"/>
    <w:rsid w:val="00AC7550"/>
    <w:rsid w:val="00AD44FE"/>
    <w:rsid w:val="00AE49F1"/>
    <w:rsid w:val="00AE76BB"/>
    <w:rsid w:val="00B0432A"/>
    <w:rsid w:val="00B04496"/>
    <w:rsid w:val="00B05CCA"/>
    <w:rsid w:val="00B14271"/>
    <w:rsid w:val="00B17243"/>
    <w:rsid w:val="00B2685D"/>
    <w:rsid w:val="00B30351"/>
    <w:rsid w:val="00B33C2A"/>
    <w:rsid w:val="00B422EC"/>
    <w:rsid w:val="00B47369"/>
    <w:rsid w:val="00B60007"/>
    <w:rsid w:val="00B80248"/>
    <w:rsid w:val="00B80304"/>
    <w:rsid w:val="00B85D91"/>
    <w:rsid w:val="00B86A03"/>
    <w:rsid w:val="00B86A4F"/>
    <w:rsid w:val="00B958E8"/>
    <w:rsid w:val="00BA09B2"/>
    <w:rsid w:val="00BA51DB"/>
    <w:rsid w:val="00BC0995"/>
    <w:rsid w:val="00BE2F3F"/>
    <w:rsid w:val="00BE793A"/>
    <w:rsid w:val="00BF432A"/>
    <w:rsid w:val="00BF6E82"/>
    <w:rsid w:val="00C0159B"/>
    <w:rsid w:val="00C04A99"/>
    <w:rsid w:val="00C24C17"/>
    <w:rsid w:val="00C24C2F"/>
    <w:rsid w:val="00C31F37"/>
    <w:rsid w:val="00C40B88"/>
    <w:rsid w:val="00C47D87"/>
    <w:rsid w:val="00C5376E"/>
    <w:rsid w:val="00C60BCE"/>
    <w:rsid w:val="00C76F73"/>
    <w:rsid w:val="00C83A21"/>
    <w:rsid w:val="00C84EC6"/>
    <w:rsid w:val="00C97091"/>
    <w:rsid w:val="00CA2001"/>
    <w:rsid w:val="00CB13F9"/>
    <w:rsid w:val="00CB5B6C"/>
    <w:rsid w:val="00CC4922"/>
    <w:rsid w:val="00CC7B25"/>
    <w:rsid w:val="00CD21EB"/>
    <w:rsid w:val="00CD4616"/>
    <w:rsid w:val="00CD6FA4"/>
    <w:rsid w:val="00CE272F"/>
    <w:rsid w:val="00CE33D5"/>
    <w:rsid w:val="00CF5D37"/>
    <w:rsid w:val="00CF6F33"/>
    <w:rsid w:val="00D02248"/>
    <w:rsid w:val="00D063B8"/>
    <w:rsid w:val="00D06C1D"/>
    <w:rsid w:val="00D101B5"/>
    <w:rsid w:val="00D17099"/>
    <w:rsid w:val="00D17E3B"/>
    <w:rsid w:val="00D23C09"/>
    <w:rsid w:val="00D23CED"/>
    <w:rsid w:val="00D24BD2"/>
    <w:rsid w:val="00D260A2"/>
    <w:rsid w:val="00D30CC6"/>
    <w:rsid w:val="00D3260C"/>
    <w:rsid w:val="00D35790"/>
    <w:rsid w:val="00D371A0"/>
    <w:rsid w:val="00D55442"/>
    <w:rsid w:val="00D62EF1"/>
    <w:rsid w:val="00D6309D"/>
    <w:rsid w:val="00D644CA"/>
    <w:rsid w:val="00D66FC2"/>
    <w:rsid w:val="00D76C7E"/>
    <w:rsid w:val="00D9293F"/>
    <w:rsid w:val="00D93598"/>
    <w:rsid w:val="00DA0A33"/>
    <w:rsid w:val="00DA1E18"/>
    <w:rsid w:val="00DA2ACE"/>
    <w:rsid w:val="00DB05B1"/>
    <w:rsid w:val="00DC014E"/>
    <w:rsid w:val="00DC1ED9"/>
    <w:rsid w:val="00DC366F"/>
    <w:rsid w:val="00DD512E"/>
    <w:rsid w:val="00DE1177"/>
    <w:rsid w:val="00DE2CEA"/>
    <w:rsid w:val="00DE6535"/>
    <w:rsid w:val="00DE6A3C"/>
    <w:rsid w:val="00DE7F97"/>
    <w:rsid w:val="00DF1010"/>
    <w:rsid w:val="00DF29E1"/>
    <w:rsid w:val="00DF49A7"/>
    <w:rsid w:val="00DF4FCB"/>
    <w:rsid w:val="00DF5AEA"/>
    <w:rsid w:val="00DF63F6"/>
    <w:rsid w:val="00E0140F"/>
    <w:rsid w:val="00E06658"/>
    <w:rsid w:val="00E13747"/>
    <w:rsid w:val="00E25AEA"/>
    <w:rsid w:val="00E30DEF"/>
    <w:rsid w:val="00E30ED2"/>
    <w:rsid w:val="00E329B5"/>
    <w:rsid w:val="00E3735E"/>
    <w:rsid w:val="00E37F70"/>
    <w:rsid w:val="00E446C1"/>
    <w:rsid w:val="00E56038"/>
    <w:rsid w:val="00E61CB9"/>
    <w:rsid w:val="00E758B9"/>
    <w:rsid w:val="00E85569"/>
    <w:rsid w:val="00E856AF"/>
    <w:rsid w:val="00E90E08"/>
    <w:rsid w:val="00E93A01"/>
    <w:rsid w:val="00E93FF8"/>
    <w:rsid w:val="00E94A4D"/>
    <w:rsid w:val="00E96EAF"/>
    <w:rsid w:val="00EA1752"/>
    <w:rsid w:val="00EA5BDB"/>
    <w:rsid w:val="00EB7D05"/>
    <w:rsid w:val="00EC142D"/>
    <w:rsid w:val="00ED2B5C"/>
    <w:rsid w:val="00EE2F8E"/>
    <w:rsid w:val="00EE3871"/>
    <w:rsid w:val="00EF15FF"/>
    <w:rsid w:val="00EF2D0D"/>
    <w:rsid w:val="00EF3CC1"/>
    <w:rsid w:val="00EF7111"/>
    <w:rsid w:val="00EF7AD1"/>
    <w:rsid w:val="00EF7D1A"/>
    <w:rsid w:val="00F0448F"/>
    <w:rsid w:val="00F142F3"/>
    <w:rsid w:val="00F223A3"/>
    <w:rsid w:val="00F238D4"/>
    <w:rsid w:val="00F275C0"/>
    <w:rsid w:val="00F36145"/>
    <w:rsid w:val="00F37BDD"/>
    <w:rsid w:val="00F41503"/>
    <w:rsid w:val="00F466C8"/>
    <w:rsid w:val="00F50B46"/>
    <w:rsid w:val="00F52372"/>
    <w:rsid w:val="00F6288A"/>
    <w:rsid w:val="00F629FF"/>
    <w:rsid w:val="00F63D03"/>
    <w:rsid w:val="00F65E2F"/>
    <w:rsid w:val="00F67DF1"/>
    <w:rsid w:val="00F76D8D"/>
    <w:rsid w:val="00F8309B"/>
    <w:rsid w:val="00F833C9"/>
    <w:rsid w:val="00F90064"/>
    <w:rsid w:val="00F96AFD"/>
    <w:rsid w:val="00FA2E19"/>
    <w:rsid w:val="00FB2D3D"/>
    <w:rsid w:val="00FB610D"/>
    <w:rsid w:val="00FD4CCA"/>
    <w:rsid w:val="00FE2A9E"/>
    <w:rsid w:val="00FE2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4394357B"/>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paragraph" w:styleId="Cmsor4">
    <w:name w:val="heading 4"/>
    <w:basedOn w:val="Norml"/>
    <w:next w:val="Norml"/>
    <w:link w:val="Cmsor4Char"/>
    <w:semiHidden/>
    <w:unhideWhenUsed/>
    <w:qFormat/>
    <w:rsid w:val="00602C7F"/>
    <w:pPr>
      <w:keepNext/>
      <w:spacing w:before="240" w:after="60"/>
      <w:outlineLvl w:val="3"/>
    </w:pPr>
    <w:rPr>
      <w:rFonts w:ascii="Calibri" w:hAnsi="Calibri"/>
      <w:b/>
      <w:bCs/>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paragraph" w:customStyle="1" w:styleId="PRCopy">
    <w:name w:val="_PR_Copy"/>
    <w:basedOn w:val="Norml"/>
    <w:rsid w:val="00A5739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character" w:styleId="Kiemels2">
    <w:name w:val="Strong"/>
    <w:basedOn w:val="Bekezdsalapbettpusa"/>
    <w:uiPriority w:val="22"/>
    <w:qFormat/>
    <w:rsid w:val="001B0474"/>
    <w:rPr>
      <w:b/>
      <w:bCs/>
    </w:rPr>
  </w:style>
  <w:style w:type="character" w:customStyle="1" w:styleId="lfejChar">
    <w:name w:val="Élőfej Char"/>
    <w:link w:val="lfej"/>
    <w:rsid w:val="003C6A25"/>
    <w:rPr>
      <w:rFonts w:ascii="Arial" w:hAnsi="Arial"/>
      <w:szCs w:val="24"/>
      <w:lang w:eastAsia="en-US"/>
    </w:rPr>
  </w:style>
  <w:style w:type="paragraph" w:styleId="Nincstrkz">
    <w:name w:val="No Spacing"/>
    <w:uiPriority w:val="1"/>
    <w:qFormat/>
    <w:rsid w:val="003C6A25"/>
    <w:rPr>
      <w:rFonts w:asciiTheme="minorHAnsi" w:eastAsiaTheme="minorHAnsi" w:hAnsiTheme="minorHAnsi" w:cstheme="minorBidi"/>
      <w:sz w:val="22"/>
      <w:szCs w:val="22"/>
      <w:lang w:val="hu-HU" w:eastAsia="en-US"/>
    </w:rPr>
  </w:style>
  <w:style w:type="character" w:customStyle="1" w:styleId="Cmsor4Char">
    <w:name w:val="Címsor 4 Char"/>
    <w:basedOn w:val="Bekezdsalapbettpusa"/>
    <w:link w:val="Cmsor4"/>
    <w:semiHidden/>
    <w:rsid w:val="00602C7F"/>
    <w:rPr>
      <w:rFonts w:ascii="Calibri" w:hAnsi="Calibri"/>
      <w:b/>
      <w:bCs/>
      <w:sz w:val="28"/>
      <w:szCs w:val="28"/>
      <w:lang w:val="en-GB" w:eastAsia="en-US"/>
    </w:rPr>
  </w:style>
  <w:style w:type="paragraph" w:styleId="HTML-kntformzott">
    <w:name w:val="HTML Preformatted"/>
    <w:basedOn w:val="Norml"/>
    <w:link w:val="HTML-kntformzottChar"/>
    <w:uiPriority w:val="99"/>
    <w:unhideWhenUsed/>
    <w:rsid w:val="006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kntformzottChar">
    <w:name w:val="HTML-ként formázott Char"/>
    <w:basedOn w:val="Bekezdsalapbettpusa"/>
    <w:link w:val="HTML-kntformzott"/>
    <w:uiPriority w:val="99"/>
    <w:rsid w:val="00617ECF"/>
    <w:rPr>
      <w:rFonts w:ascii="Courier New" w:hAnsi="Courier New" w:cs="Courier New"/>
    </w:rPr>
  </w:style>
  <w:style w:type="paragraph" w:customStyle="1" w:styleId="PRContact">
    <w:name w:val="_PR_Contact"/>
    <w:basedOn w:val="Norml"/>
    <w:rsid w:val="002D7782"/>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paragraph" w:customStyle="1" w:styleId="PRHeadline">
    <w:name w:val="_PR_Headline"/>
    <w:basedOn w:val="Norml"/>
    <w:next w:val="Norml"/>
    <w:rsid w:val="002D7782"/>
    <w:pPr>
      <w:spacing w:after="280" w:line="280" w:lineRule="exact"/>
    </w:pPr>
    <w:rPr>
      <w:b/>
      <w:sz w:val="28"/>
      <w:szCs w:val="20"/>
      <w:lang w:val="en-US" w:eastAsia="de-DE"/>
    </w:rPr>
  </w:style>
  <w:style w:type="paragraph" w:styleId="Listaszerbekezds">
    <w:name w:val="List Paragraph"/>
    <w:basedOn w:val="Norml"/>
    <w:uiPriority w:val="34"/>
    <w:qFormat/>
    <w:rsid w:val="00697656"/>
    <w:pPr>
      <w:spacing w:line="240" w:lineRule="auto"/>
      <w:ind w:left="720"/>
      <w:contextualSpacing/>
    </w:pPr>
    <w:rPr>
      <w:rFonts w:ascii="Calibri" w:hAnsi="Calibri"/>
      <w:sz w:val="24"/>
    </w:rPr>
  </w:style>
  <w:style w:type="character" w:styleId="Feloldatlanmegemlts">
    <w:name w:val="Unresolved Mention"/>
    <w:basedOn w:val="Bekezdsalapbettpusa"/>
    <w:uiPriority w:val="99"/>
    <w:semiHidden/>
    <w:unhideWhenUsed/>
    <w:rsid w:val="005D1562"/>
    <w:rPr>
      <w:color w:val="605E5C"/>
      <w:shd w:val="clear" w:color="auto" w:fill="E1DFDD"/>
    </w:rPr>
  </w:style>
  <w:style w:type="character" w:styleId="Mrltotthiperhivatkozs">
    <w:name w:val="FollowedHyperlink"/>
    <w:basedOn w:val="Bekezdsalapbettpusa"/>
    <w:rsid w:val="006F381F"/>
    <w:rPr>
      <w:color w:val="954F72" w:themeColor="followedHyperlink"/>
      <w:u w:val="single"/>
    </w:rPr>
  </w:style>
  <w:style w:type="paragraph" w:customStyle="1" w:styleId="Style12ptJustifiedLinespacing15lines1">
    <w:name w:val="Style 12 pt Justified Line spacing:  1.5 lines1"/>
    <w:basedOn w:val="Norml"/>
    <w:rsid w:val="00336469"/>
    <w:pPr>
      <w:spacing w:before="120" w:line="276" w:lineRule="auto"/>
      <w:jc w:val="both"/>
    </w:pPr>
    <w:rPr>
      <w:rFonts w:ascii="Segoe UI" w:hAnsi="Segoe UI"/>
      <w:sz w:val="22"/>
      <w:szCs w:val="20"/>
      <w:lang w:val="en-US"/>
    </w:rPr>
  </w:style>
  <w:style w:type="character" w:customStyle="1" w:styleId="Headline">
    <w:name w:val="Headline"/>
    <w:basedOn w:val="Bekezdsalapbettpusa"/>
    <w:rsid w:val="00336469"/>
    <w:rPr>
      <w:rFonts w:cs="Times New Roman"/>
      <w:b/>
      <w:bCs/>
      <w:sz w:val="32"/>
    </w:rPr>
  </w:style>
  <w:style w:type="paragraph" w:customStyle="1" w:styleId="Topline">
    <w:name w:val="Topline"/>
    <w:basedOn w:val="Norml"/>
    <w:qFormat/>
    <w:rsid w:val="00336469"/>
    <w:pPr>
      <w:spacing w:before="560" w:after="560" w:line="276" w:lineRule="auto"/>
      <w:jc w:val="both"/>
    </w:pPr>
    <w:rPr>
      <w:rFonts w:ascii="Segoe UI" w:hAnsi="Segoe UI" w:cs="Segoe UI"/>
      <w:sz w:val="22"/>
      <w:szCs w:val="22"/>
      <w:lang w:val="en-US"/>
    </w:rPr>
  </w:style>
  <w:style w:type="character" w:customStyle="1" w:styleId="AboutandContactHeadline">
    <w:name w:val="About and Contact Headline"/>
    <w:basedOn w:val="Bekezdsalapbettpusa"/>
    <w:rsid w:val="00336469"/>
    <w:rPr>
      <w:rFonts w:ascii="Segoe UI" w:hAnsi="Segoe UI" w:cs="Times New Roman"/>
      <w:b/>
      <w:bCs/>
      <w:sz w:val="18"/>
    </w:rPr>
  </w:style>
  <w:style w:type="character" w:customStyle="1" w:styleId="AboutandContactBody">
    <w:name w:val="About and Contact Body"/>
    <w:basedOn w:val="Bekezdsalapbettpusa"/>
    <w:rsid w:val="00B17243"/>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5088">
      <w:bodyDiv w:val="1"/>
      <w:marLeft w:val="0"/>
      <w:marRight w:val="0"/>
      <w:marTop w:val="0"/>
      <w:marBottom w:val="0"/>
      <w:divBdr>
        <w:top w:val="none" w:sz="0" w:space="0" w:color="auto"/>
        <w:left w:val="none" w:sz="0" w:space="0" w:color="auto"/>
        <w:bottom w:val="none" w:sz="0" w:space="0" w:color="auto"/>
        <w:right w:val="none" w:sz="0" w:space="0" w:color="auto"/>
      </w:divBdr>
    </w:div>
    <w:div w:id="632056783">
      <w:bodyDiv w:val="1"/>
      <w:marLeft w:val="0"/>
      <w:marRight w:val="0"/>
      <w:marTop w:val="0"/>
      <w:marBottom w:val="0"/>
      <w:divBdr>
        <w:top w:val="none" w:sz="0" w:space="0" w:color="auto"/>
        <w:left w:val="none" w:sz="0" w:space="0" w:color="auto"/>
        <w:bottom w:val="none" w:sz="0" w:space="0" w:color="auto"/>
        <w:right w:val="none" w:sz="0" w:space="0" w:color="auto"/>
      </w:divBdr>
    </w:div>
    <w:div w:id="1033380464">
      <w:bodyDiv w:val="1"/>
      <w:marLeft w:val="0"/>
      <w:marRight w:val="0"/>
      <w:marTop w:val="0"/>
      <w:marBottom w:val="0"/>
      <w:divBdr>
        <w:top w:val="none" w:sz="0" w:space="0" w:color="auto"/>
        <w:left w:val="none" w:sz="0" w:space="0" w:color="auto"/>
        <w:bottom w:val="none" w:sz="0" w:space="0" w:color="auto"/>
        <w:right w:val="none" w:sz="0" w:space="0" w:color="auto"/>
      </w:divBdr>
    </w:div>
    <w:div w:id="15502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uel.boesing@henke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ennifer.ott@henke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lalati.kommunikacio@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niermann@henkel.com" TargetMode="External"/><Relationship Id="rId5" Type="http://schemas.openxmlformats.org/officeDocument/2006/relationships/webSettings" Target="webSettings.xml"/><Relationship Id="rId15" Type="http://schemas.openxmlformats.org/officeDocument/2006/relationships/hyperlink" Target="http://www.henkel.com/" TargetMode="External"/><Relationship Id="rId10" Type="http://schemas.openxmlformats.org/officeDocument/2006/relationships/hyperlink" Target="mailto:lars.witteck@henke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ars.korinth@henkel.com" TargetMode="Externa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9E30-622E-40DE-B00F-8A2C0107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10</Pages>
  <Words>3311</Words>
  <Characters>22853</Characters>
  <Application>Microsoft Office Word</Application>
  <DocSecurity>0</DocSecurity>
  <Lines>190</Lines>
  <Paragraphs>52</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26112</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6</cp:revision>
  <cp:lastPrinted>2016-11-16T08:11:00Z</cp:lastPrinted>
  <dcterms:created xsi:type="dcterms:W3CDTF">2021-03-05T09:50:00Z</dcterms:created>
  <dcterms:modified xsi:type="dcterms:W3CDTF">2021-03-05T10:28:00Z</dcterms:modified>
</cp:coreProperties>
</file>