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1D87D" w14:textId="4A0CDD2C" w:rsidR="00B422EC" w:rsidRPr="001658F0" w:rsidRDefault="0019638B" w:rsidP="00643D8A">
      <w:pPr>
        <w:pStyle w:val="MonthDayYear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4</w:t>
      </w:r>
      <w:r w:rsidR="0018282C" w:rsidRPr="001658F0">
        <w:rPr>
          <w:rFonts w:ascii="Calibri" w:hAnsi="Calibri" w:cs="Calibri"/>
          <w:lang w:val="sk-SK"/>
        </w:rPr>
        <w:t>.</w:t>
      </w:r>
      <w:r w:rsidR="00B86F4F" w:rsidRPr="001658F0">
        <w:rPr>
          <w:rFonts w:ascii="Calibri" w:hAnsi="Calibri" w:cs="Calibri"/>
          <w:lang w:val="sk-SK"/>
        </w:rPr>
        <w:t xml:space="preserve"> </w:t>
      </w:r>
      <w:r>
        <w:rPr>
          <w:rFonts w:ascii="Calibri" w:hAnsi="Calibri" w:cs="Calibri"/>
          <w:lang w:val="sk-SK"/>
        </w:rPr>
        <w:t>marec</w:t>
      </w:r>
      <w:r w:rsidR="00263D3E" w:rsidRPr="001658F0">
        <w:rPr>
          <w:rFonts w:ascii="Calibri" w:hAnsi="Calibri" w:cs="Calibri"/>
          <w:lang w:val="sk-SK"/>
        </w:rPr>
        <w:t xml:space="preserve"> </w:t>
      </w:r>
      <w:r w:rsidR="00BF6E82" w:rsidRPr="001658F0">
        <w:rPr>
          <w:rFonts w:ascii="Calibri" w:hAnsi="Calibri" w:cs="Calibri"/>
          <w:lang w:val="sk-SK"/>
        </w:rPr>
        <w:t>20</w:t>
      </w:r>
      <w:r w:rsidR="00F635FC" w:rsidRPr="001658F0">
        <w:rPr>
          <w:rFonts w:ascii="Calibri" w:hAnsi="Calibri" w:cs="Calibri"/>
          <w:lang w:val="sk-SK"/>
        </w:rPr>
        <w:t>2</w:t>
      </w:r>
      <w:r w:rsidR="00B37811" w:rsidRPr="001658F0">
        <w:rPr>
          <w:rFonts w:ascii="Calibri" w:hAnsi="Calibri" w:cs="Calibri"/>
          <w:lang w:val="sk-SK"/>
        </w:rPr>
        <w:t>1</w:t>
      </w:r>
    </w:p>
    <w:p w14:paraId="625F05AB" w14:textId="77777777" w:rsidR="0019638B" w:rsidRPr="00EB79E9" w:rsidRDefault="0019638B" w:rsidP="0019638B">
      <w:pPr>
        <w:pStyle w:val="Topline"/>
        <w:spacing w:after="360"/>
        <w:rPr>
          <w:rFonts w:asciiTheme="majorHAnsi" w:hAnsiTheme="majorHAnsi" w:cs="Cambria"/>
          <w:lang w:val="sk-SK"/>
        </w:rPr>
      </w:pPr>
      <w:r w:rsidRPr="00EB79E9">
        <w:rPr>
          <w:rFonts w:asciiTheme="majorHAnsi" w:hAnsiTheme="majorHAnsi" w:cs="Cambria"/>
          <w:lang w:val="sk-SK"/>
        </w:rPr>
        <w:t>Spoločnosť Henkel navrhne výplatu dividend na minuloročnej úrovni</w:t>
      </w:r>
    </w:p>
    <w:p w14:paraId="72695DEA" w14:textId="77777777" w:rsidR="0019638B" w:rsidRPr="00EB79E9" w:rsidRDefault="0019638B" w:rsidP="0019638B">
      <w:pPr>
        <w:jc w:val="left"/>
        <w:rPr>
          <w:rStyle w:val="Headline"/>
          <w:rFonts w:asciiTheme="majorHAnsi" w:hAnsiTheme="majorHAnsi" w:cs="Cambria"/>
          <w:lang w:val="sk-SK"/>
        </w:rPr>
      </w:pPr>
      <w:r w:rsidRPr="00EB79E9">
        <w:rPr>
          <w:rStyle w:val="Headline"/>
          <w:rFonts w:asciiTheme="majorHAnsi" w:hAnsiTheme="majorHAnsi" w:cs="Cambria"/>
          <w:lang w:val="sk-SK"/>
        </w:rPr>
        <w:t>Napriek výraznému vplyvu pandémie ochorenia COVID-19 dosiahla spoločnosť Henkel presvedčivé obchodné výsledky za rok 2020</w:t>
      </w:r>
    </w:p>
    <w:p w14:paraId="4F44D052" w14:textId="77777777" w:rsidR="0019638B" w:rsidRPr="00EB79E9" w:rsidRDefault="0019638B" w:rsidP="0019638B">
      <w:pPr>
        <w:rPr>
          <w:lang w:val="sk-SK"/>
        </w:rPr>
      </w:pPr>
    </w:p>
    <w:p w14:paraId="1DF8AC70" w14:textId="77777777" w:rsidR="0019638B" w:rsidRPr="00EB79E9" w:rsidRDefault="0019638B" w:rsidP="0019638B">
      <w:pPr>
        <w:pStyle w:val="ListParagraph"/>
        <w:numPr>
          <w:ilvl w:val="0"/>
          <w:numId w:val="9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="Cambria"/>
          <w:b/>
          <w:szCs w:val="22"/>
          <w:lang w:val="sk-SK"/>
        </w:rPr>
      </w:pPr>
      <w:bookmarkStart w:id="1" w:name="_Hlk43712519"/>
      <w:r w:rsidRPr="00EB79E9">
        <w:rPr>
          <w:rFonts w:asciiTheme="majorHAnsi" w:hAnsiTheme="majorHAnsi" w:cs="Cambria"/>
          <w:b/>
          <w:szCs w:val="22"/>
          <w:lang w:val="sk-SK"/>
        </w:rPr>
        <w:t xml:space="preserve">Vyrovnané portfólio, výrazné inovácie, finančná sila </w:t>
      </w:r>
      <w:r w:rsidRPr="00223B91">
        <w:rPr>
          <w:rFonts w:asciiTheme="majorHAnsi" w:hAnsiTheme="majorHAnsi" w:cs="Cambria"/>
          <w:b/>
          <w:szCs w:val="22"/>
          <w:lang w:val="sk-SK"/>
        </w:rPr>
        <w:t>a odhodlaní zamestnanci</w:t>
      </w:r>
      <w:r w:rsidRPr="00EB79E9">
        <w:rPr>
          <w:rFonts w:asciiTheme="majorHAnsi" w:hAnsiTheme="majorHAnsi" w:cs="Cambria"/>
          <w:b/>
          <w:szCs w:val="22"/>
          <w:lang w:val="sk-SK"/>
        </w:rPr>
        <w:t xml:space="preserve"> boli kľúčom k silným obchodným vý</w:t>
      </w:r>
      <w:r>
        <w:rPr>
          <w:rFonts w:asciiTheme="majorHAnsi" w:hAnsiTheme="majorHAnsi" w:cs="Cambria"/>
          <w:b/>
          <w:szCs w:val="22"/>
          <w:lang w:val="sk-SK"/>
        </w:rPr>
        <w:t>sledkom</w:t>
      </w:r>
      <w:r w:rsidRPr="00EB79E9">
        <w:rPr>
          <w:rFonts w:asciiTheme="majorHAnsi" w:hAnsiTheme="majorHAnsi" w:cs="Cambria"/>
          <w:b/>
          <w:szCs w:val="22"/>
          <w:lang w:val="sk-SK"/>
        </w:rPr>
        <w:t xml:space="preserve"> v čase globálnej krízy  </w:t>
      </w:r>
    </w:p>
    <w:p w14:paraId="67FC0593" w14:textId="77777777" w:rsidR="0019638B" w:rsidRPr="00EB79E9" w:rsidRDefault="0019638B" w:rsidP="0019638B">
      <w:pPr>
        <w:pStyle w:val="ListParagraph"/>
        <w:numPr>
          <w:ilvl w:val="0"/>
          <w:numId w:val="9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="Cambria"/>
          <w:b/>
          <w:szCs w:val="22"/>
          <w:lang w:val="sk-SK"/>
        </w:rPr>
      </w:pPr>
      <w:r w:rsidRPr="00EB79E9">
        <w:rPr>
          <w:rFonts w:asciiTheme="majorHAnsi" w:hAnsiTheme="majorHAnsi" w:cs="Cambria"/>
          <w:b/>
          <w:szCs w:val="22"/>
          <w:lang w:val="sk-SK" w:bidi="bo-CN"/>
        </w:rPr>
        <w:t>Výsledky za rok 2020 v hornej časti celoročného výhľadu:</w:t>
      </w:r>
    </w:p>
    <w:bookmarkEnd w:id="1"/>
    <w:p w14:paraId="4A6EBDC8" w14:textId="77777777" w:rsidR="0019638B" w:rsidRPr="00EB79E9" w:rsidRDefault="0019638B" w:rsidP="0019638B">
      <w:pPr>
        <w:pStyle w:val="ListParagraph"/>
        <w:numPr>
          <w:ilvl w:val="1"/>
          <w:numId w:val="9"/>
        </w:numPr>
        <w:spacing w:after="80" w:line="266" w:lineRule="auto"/>
        <w:ind w:left="1077" w:right="-108" w:hanging="357"/>
        <w:contextualSpacing w:val="0"/>
        <w:jc w:val="left"/>
        <w:rPr>
          <w:rFonts w:asciiTheme="majorHAnsi" w:hAnsiTheme="majorHAnsi" w:cs="Cambria"/>
          <w:b/>
          <w:szCs w:val="22"/>
          <w:lang w:val="sk-SK"/>
        </w:rPr>
      </w:pPr>
      <w:r w:rsidRPr="00EB79E9">
        <w:rPr>
          <w:rFonts w:asciiTheme="majorHAnsi" w:hAnsiTheme="majorHAnsi" w:cs="Cambria"/>
          <w:b/>
          <w:szCs w:val="22"/>
          <w:lang w:val="sk-SK" w:bidi="bo-CN"/>
        </w:rPr>
        <w:t>Odbyt na úrovni skupiny dosiahol 19,3 mld. eur, organicky -0,7 percent</w:t>
      </w:r>
      <w:r>
        <w:rPr>
          <w:rFonts w:asciiTheme="majorHAnsi" w:hAnsiTheme="majorHAnsi" w:cs="Cambria"/>
          <w:b/>
          <w:szCs w:val="22"/>
          <w:lang w:val="sk-SK" w:bidi="bo-CN"/>
        </w:rPr>
        <w:t>a</w:t>
      </w:r>
    </w:p>
    <w:p w14:paraId="15737248" w14:textId="77777777" w:rsidR="0019638B" w:rsidRPr="00EB79E9" w:rsidRDefault="0019638B" w:rsidP="0019638B">
      <w:pPr>
        <w:pStyle w:val="ListParagraph"/>
        <w:numPr>
          <w:ilvl w:val="1"/>
          <w:numId w:val="9"/>
        </w:numPr>
        <w:spacing w:after="80" w:line="266" w:lineRule="auto"/>
        <w:ind w:left="1077" w:right="-108" w:hanging="357"/>
        <w:contextualSpacing w:val="0"/>
        <w:jc w:val="left"/>
        <w:rPr>
          <w:rFonts w:asciiTheme="majorHAnsi" w:hAnsiTheme="majorHAnsi" w:cs="Cambria"/>
          <w:b/>
          <w:szCs w:val="22"/>
          <w:lang w:val="sk-SK"/>
        </w:rPr>
      </w:pPr>
      <w:r>
        <w:rPr>
          <w:rFonts w:asciiTheme="majorHAnsi" w:hAnsiTheme="majorHAnsi" w:cs="Cambria"/>
          <w:b/>
          <w:szCs w:val="22"/>
          <w:lang w:val="sk-SK" w:bidi="bo-CN"/>
        </w:rPr>
        <w:t>Marža EBIT</w:t>
      </w:r>
      <w:r w:rsidRPr="00BD077C">
        <w:rPr>
          <w:rStyle w:val="FootnoteReference"/>
          <w:rFonts w:asciiTheme="majorHAnsi" w:hAnsiTheme="majorHAnsi" w:cs="Cambria"/>
          <w:b/>
          <w:sz w:val="24"/>
          <w:lang w:val="sk-SK" w:bidi="bo-CN"/>
        </w:rPr>
        <w:footnoteReference w:customMarkFollows="1" w:id="2"/>
        <w:t>*</w:t>
      </w:r>
      <w:r>
        <w:rPr>
          <w:rFonts w:asciiTheme="majorHAnsi" w:hAnsiTheme="majorHAnsi" w:cs="Cambria"/>
          <w:b/>
          <w:szCs w:val="22"/>
          <w:lang w:val="sk-SK" w:bidi="bo-CN"/>
        </w:rPr>
        <w:t xml:space="preserve"> na hodnote 13,4 %, -260 bázických bodov, čo zodpovedá prevádzkovému zisku</w:t>
      </w:r>
      <w:r w:rsidRPr="006709D6">
        <w:rPr>
          <w:rFonts w:asciiTheme="majorHAnsi" w:hAnsiTheme="majorHAnsi" w:cs="Cambria"/>
          <w:b/>
          <w:sz w:val="20"/>
          <w:szCs w:val="20"/>
          <w:lang w:val="sk-SK" w:bidi="bo-CN"/>
        </w:rPr>
        <w:t>*</w:t>
      </w:r>
      <w:r>
        <w:rPr>
          <w:rFonts w:asciiTheme="majorHAnsi" w:hAnsiTheme="majorHAnsi" w:cs="Cambria"/>
          <w:b/>
          <w:szCs w:val="22"/>
          <w:lang w:val="sk-SK" w:bidi="bo-CN"/>
        </w:rPr>
        <w:t xml:space="preserve"> vo výške 2,6 mld. eur</w:t>
      </w:r>
    </w:p>
    <w:p w14:paraId="08F3F8B8" w14:textId="77777777" w:rsidR="0019638B" w:rsidRPr="00EB79E9" w:rsidRDefault="0019638B" w:rsidP="0019638B">
      <w:pPr>
        <w:pStyle w:val="ListParagraph"/>
        <w:numPr>
          <w:ilvl w:val="1"/>
          <w:numId w:val="9"/>
        </w:numPr>
        <w:spacing w:after="80" w:line="266" w:lineRule="auto"/>
        <w:ind w:left="1077" w:right="-108" w:hanging="357"/>
        <w:contextualSpacing w:val="0"/>
        <w:jc w:val="left"/>
        <w:rPr>
          <w:rFonts w:asciiTheme="majorHAnsi" w:hAnsiTheme="majorHAnsi" w:cs="Cambria"/>
          <w:b/>
          <w:szCs w:val="22"/>
          <w:lang w:val="sk-SK"/>
        </w:rPr>
      </w:pPr>
      <w:r>
        <w:rPr>
          <w:rFonts w:asciiTheme="majorHAnsi" w:hAnsiTheme="majorHAnsi" w:cs="Cambria"/>
          <w:b/>
          <w:szCs w:val="22"/>
          <w:lang w:val="sk-SK" w:bidi="bo-CN"/>
        </w:rPr>
        <w:t>Výnos na prioritnú akciu (EPS)</w:t>
      </w:r>
      <w:r w:rsidRPr="006709D6">
        <w:rPr>
          <w:rFonts w:asciiTheme="majorHAnsi" w:hAnsiTheme="majorHAnsi" w:cs="Cambria"/>
          <w:b/>
          <w:sz w:val="20"/>
          <w:szCs w:val="20"/>
          <w:lang w:val="sk-SK" w:bidi="bo-CN"/>
        </w:rPr>
        <w:t>*</w:t>
      </w:r>
      <w:r w:rsidRPr="00EB79E9">
        <w:rPr>
          <w:rFonts w:asciiTheme="majorHAnsi" w:hAnsiTheme="majorHAnsi" w:cs="Cambria"/>
          <w:b/>
          <w:szCs w:val="22"/>
          <w:lang w:val="sk-SK"/>
        </w:rPr>
        <w:t xml:space="preserve"> 4</w:t>
      </w:r>
      <w:r>
        <w:rPr>
          <w:rFonts w:asciiTheme="majorHAnsi" w:hAnsiTheme="majorHAnsi" w:cs="Cambria"/>
          <w:b/>
          <w:szCs w:val="22"/>
          <w:lang w:val="sk-SK"/>
        </w:rPr>
        <w:t>,</w:t>
      </w:r>
      <w:r w:rsidRPr="00EB79E9">
        <w:rPr>
          <w:rFonts w:asciiTheme="majorHAnsi" w:hAnsiTheme="majorHAnsi" w:cs="Cambria"/>
          <w:b/>
          <w:szCs w:val="22"/>
          <w:lang w:val="sk-SK"/>
        </w:rPr>
        <w:t xml:space="preserve">26 </w:t>
      </w:r>
      <w:r>
        <w:rPr>
          <w:rFonts w:asciiTheme="majorHAnsi" w:hAnsiTheme="majorHAnsi" w:cs="Cambria"/>
          <w:b/>
          <w:szCs w:val="22"/>
          <w:lang w:val="sk-SK"/>
        </w:rPr>
        <w:t>eur</w:t>
      </w:r>
      <w:r w:rsidRPr="00EB79E9">
        <w:rPr>
          <w:rFonts w:asciiTheme="majorHAnsi" w:hAnsiTheme="majorHAnsi" w:cs="Cambria"/>
          <w:b/>
          <w:szCs w:val="22"/>
          <w:lang w:val="sk-SK"/>
        </w:rPr>
        <w:t>,</w:t>
      </w:r>
      <w:r>
        <w:rPr>
          <w:rFonts w:asciiTheme="majorHAnsi" w:hAnsiTheme="majorHAnsi" w:cs="Cambria"/>
          <w:b/>
          <w:szCs w:val="22"/>
          <w:lang w:val="sk-SK" w:bidi="bo-CN"/>
        </w:rPr>
        <w:t xml:space="preserve"> -17,9 % </w:t>
      </w:r>
      <w:r w:rsidRPr="00EB79E9">
        <w:rPr>
          <w:rFonts w:asciiTheme="majorHAnsi" w:hAnsiTheme="majorHAnsi" w:cs="Cambria"/>
          <w:b/>
          <w:szCs w:val="22"/>
          <w:lang w:val="sk-SK" w:bidi="bo-CN"/>
        </w:rPr>
        <w:t>pri konštantných kurzových sadzbách</w:t>
      </w:r>
      <w:r w:rsidRPr="00EB79E9">
        <w:rPr>
          <w:rFonts w:asciiTheme="majorHAnsi" w:hAnsiTheme="majorHAnsi" w:cs="Cambria"/>
          <w:b/>
          <w:szCs w:val="22"/>
          <w:lang w:val="sk-SK"/>
        </w:rPr>
        <w:t xml:space="preserve"> </w:t>
      </w:r>
    </w:p>
    <w:p w14:paraId="1299660A" w14:textId="77777777" w:rsidR="0019638B" w:rsidRPr="00BD077C" w:rsidRDefault="0019638B" w:rsidP="0019638B">
      <w:pPr>
        <w:pStyle w:val="ListParagraph"/>
        <w:numPr>
          <w:ilvl w:val="0"/>
          <w:numId w:val="9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="Cambria"/>
          <w:b/>
          <w:szCs w:val="22"/>
          <w:lang w:val="sk-SK"/>
        </w:rPr>
      </w:pPr>
      <w:r>
        <w:rPr>
          <w:rFonts w:asciiTheme="majorHAnsi" w:hAnsiTheme="majorHAnsi" w:cs="Cambria"/>
          <w:b/>
          <w:szCs w:val="22"/>
          <w:lang w:val="sk-SK" w:bidi="bo-CN"/>
        </w:rPr>
        <w:t xml:space="preserve">Veľmi silný nárast voľného cash </w:t>
      </w:r>
      <w:proofErr w:type="spellStart"/>
      <w:r>
        <w:rPr>
          <w:rFonts w:asciiTheme="majorHAnsi" w:hAnsiTheme="majorHAnsi" w:cs="Cambria"/>
          <w:b/>
          <w:szCs w:val="22"/>
          <w:lang w:val="sk-SK" w:bidi="bo-CN"/>
        </w:rPr>
        <w:t>flow</w:t>
      </w:r>
      <w:proofErr w:type="spellEnd"/>
      <w:r>
        <w:rPr>
          <w:rFonts w:asciiTheme="majorHAnsi" w:hAnsiTheme="majorHAnsi" w:cs="Cambria"/>
          <w:b/>
          <w:szCs w:val="22"/>
          <w:lang w:val="sk-SK" w:bidi="bo-CN"/>
        </w:rPr>
        <w:t xml:space="preserve"> vo výške 2,3 mld. eur, čistá finančná pozícia sa významne zlepšila</w:t>
      </w:r>
    </w:p>
    <w:p w14:paraId="21EC5424" w14:textId="77777777" w:rsidR="0019638B" w:rsidRPr="00BD077C" w:rsidRDefault="0019638B" w:rsidP="0019638B">
      <w:pPr>
        <w:pStyle w:val="ListParagraph"/>
        <w:numPr>
          <w:ilvl w:val="0"/>
          <w:numId w:val="9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="Cambria"/>
          <w:b/>
          <w:szCs w:val="22"/>
          <w:lang w:val="sk-SK"/>
        </w:rPr>
      </w:pPr>
      <w:r>
        <w:rPr>
          <w:rFonts w:asciiTheme="majorHAnsi" w:hAnsiTheme="majorHAnsi" w:cs="Cambria"/>
          <w:b/>
          <w:szCs w:val="22"/>
          <w:lang w:val="sk-SK" w:bidi="bo-CN"/>
        </w:rPr>
        <w:t>Navrhovaná výška dividendy na úrovni predchádzajúceho roka:</w:t>
      </w:r>
      <w:r w:rsidRPr="00BD077C">
        <w:rPr>
          <w:rFonts w:asciiTheme="majorHAnsi" w:hAnsiTheme="majorHAnsi" w:cs="Cambria"/>
          <w:b/>
          <w:szCs w:val="22"/>
          <w:lang w:val="sk-SK"/>
        </w:rPr>
        <w:t xml:space="preserve"> </w:t>
      </w:r>
      <w:r>
        <w:rPr>
          <w:rFonts w:asciiTheme="majorHAnsi" w:hAnsiTheme="majorHAnsi" w:cs="Cambria"/>
          <w:b/>
          <w:szCs w:val="22"/>
          <w:lang w:val="sk-SK" w:bidi="bo-CN"/>
        </w:rPr>
        <w:t xml:space="preserve">1,85 eur na prioritnú akciu </w:t>
      </w:r>
    </w:p>
    <w:p w14:paraId="0264C000" w14:textId="77777777" w:rsidR="0019638B" w:rsidRDefault="0019638B" w:rsidP="0019638B">
      <w:pPr>
        <w:pStyle w:val="ListParagraph"/>
        <w:numPr>
          <w:ilvl w:val="0"/>
          <w:numId w:val="9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="Cambria"/>
          <w:b/>
          <w:szCs w:val="22"/>
          <w:lang w:val="sk-SK"/>
        </w:rPr>
      </w:pPr>
      <w:r>
        <w:rPr>
          <w:rFonts w:asciiTheme="majorHAnsi" w:hAnsiTheme="majorHAnsi" w:cs="Cambria"/>
          <w:b/>
          <w:szCs w:val="22"/>
          <w:lang w:val="sk-SK" w:bidi="bo-CN"/>
        </w:rPr>
        <w:t>Pokračuje implementácia agendy zameranej na zmysluplný rast, bola vypracovaná jasná cestovná mapa na jej realizáciu v roku 2021 a neskôr</w:t>
      </w:r>
      <w:r w:rsidRPr="00BD077C">
        <w:rPr>
          <w:rFonts w:asciiTheme="majorHAnsi" w:hAnsiTheme="majorHAnsi" w:cs="Cambria"/>
          <w:b/>
          <w:szCs w:val="22"/>
          <w:lang w:val="sk-SK"/>
        </w:rPr>
        <w:t xml:space="preserve"> </w:t>
      </w:r>
    </w:p>
    <w:p w14:paraId="6E266816" w14:textId="77777777" w:rsidR="0019638B" w:rsidRDefault="0019638B" w:rsidP="0019638B">
      <w:pPr>
        <w:pStyle w:val="ListParagraph"/>
        <w:numPr>
          <w:ilvl w:val="0"/>
          <w:numId w:val="9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="Cambria"/>
          <w:b/>
          <w:szCs w:val="22"/>
          <w:lang w:val="sk-SK"/>
        </w:rPr>
      </w:pPr>
      <w:r>
        <w:rPr>
          <w:rFonts w:asciiTheme="majorHAnsi" w:hAnsiTheme="majorHAnsi" w:cs="Cambria"/>
          <w:b/>
          <w:szCs w:val="22"/>
          <w:lang w:val="sk-SK" w:bidi="bo-CN"/>
        </w:rPr>
        <w:t>Výhľad na rok 2021:</w:t>
      </w:r>
      <w:r w:rsidRPr="00BD077C">
        <w:rPr>
          <w:rFonts w:asciiTheme="majorHAnsi" w:hAnsiTheme="majorHAnsi" w:cs="Cambria"/>
          <w:b/>
          <w:szCs w:val="22"/>
          <w:lang w:val="sk-SK"/>
        </w:rPr>
        <w:t xml:space="preserve"> </w:t>
      </w:r>
    </w:p>
    <w:p w14:paraId="5273F4A7" w14:textId="77777777" w:rsidR="0019638B" w:rsidRPr="00BD077C" w:rsidRDefault="0019638B" w:rsidP="0019638B">
      <w:pPr>
        <w:pStyle w:val="ListParagraph"/>
        <w:numPr>
          <w:ilvl w:val="1"/>
          <w:numId w:val="9"/>
        </w:numPr>
        <w:spacing w:after="80" w:line="266" w:lineRule="auto"/>
        <w:ind w:left="1077" w:right="-108" w:hanging="357"/>
        <w:contextualSpacing w:val="0"/>
        <w:jc w:val="left"/>
        <w:rPr>
          <w:rFonts w:asciiTheme="majorHAnsi" w:hAnsiTheme="majorHAnsi" w:cs="Cambria"/>
          <w:b/>
          <w:szCs w:val="22"/>
          <w:lang w:val="sk-SK"/>
        </w:rPr>
      </w:pPr>
      <w:r>
        <w:rPr>
          <w:rFonts w:asciiTheme="majorHAnsi" w:hAnsiTheme="majorHAnsi" w:cs="Cambria"/>
          <w:b/>
          <w:szCs w:val="22"/>
          <w:lang w:val="sk-SK" w:bidi="bo-CN"/>
        </w:rPr>
        <w:t>Organický rast obratu:</w:t>
      </w:r>
      <w:r w:rsidRPr="00BD077C">
        <w:rPr>
          <w:rFonts w:asciiTheme="majorHAnsi" w:hAnsiTheme="majorHAnsi" w:cs="Cambria"/>
          <w:b/>
          <w:szCs w:val="22"/>
          <w:lang w:val="sk-SK"/>
        </w:rPr>
        <w:t xml:space="preserve"> </w:t>
      </w:r>
      <w:r>
        <w:rPr>
          <w:rFonts w:asciiTheme="majorHAnsi" w:hAnsiTheme="majorHAnsi" w:cs="Cambria"/>
          <w:b/>
          <w:szCs w:val="22"/>
          <w:lang w:val="sk-SK" w:bidi="bo-CN"/>
        </w:rPr>
        <w:t>2,0 až 5,0 percent</w:t>
      </w:r>
    </w:p>
    <w:p w14:paraId="457D815C" w14:textId="77777777" w:rsidR="0019638B" w:rsidRPr="00BD077C" w:rsidRDefault="0019638B" w:rsidP="0019638B">
      <w:pPr>
        <w:pStyle w:val="ListParagraph"/>
        <w:numPr>
          <w:ilvl w:val="1"/>
          <w:numId w:val="9"/>
        </w:numPr>
        <w:spacing w:after="80" w:line="266" w:lineRule="auto"/>
        <w:ind w:left="1077" w:right="-108" w:hanging="357"/>
        <w:contextualSpacing w:val="0"/>
        <w:jc w:val="left"/>
        <w:rPr>
          <w:rFonts w:asciiTheme="majorHAnsi" w:hAnsiTheme="majorHAnsi" w:cs="Cambria"/>
          <w:b/>
          <w:szCs w:val="22"/>
          <w:lang w:val="sk-SK"/>
        </w:rPr>
      </w:pPr>
      <w:r>
        <w:rPr>
          <w:rFonts w:asciiTheme="majorHAnsi" w:hAnsiTheme="majorHAnsi" w:cs="Cambria"/>
          <w:b/>
          <w:szCs w:val="22"/>
          <w:lang w:val="sk-SK" w:bidi="bo-CN"/>
        </w:rPr>
        <w:t>Marža EBIT*:</w:t>
      </w:r>
      <w:r w:rsidRPr="00BD077C">
        <w:rPr>
          <w:rFonts w:asciiTheme="majorHAnsi" w:hAnsiTheme="majorHAnsi" w:cs="Cambria"/>
          <w:b/>
          <w:szCs w:val="22"/>
          <w:lang w:val="sk-SK"/>
        </w:rPr>
        <w:t xml:space="preserve"> </w:t>
      </w:r>
      <w:r w:rsidRPr="00BD077C">
        <w:rPr>
          <w:rFonts w:asciiTheme="majorHAnsi" w:hAnsiTheme="majorHAnsi" w:cs="Cambria"/>
          <w:b/>
          <w:szCs w:val="22"/>
          <w:lang w:val="sk-SK" w:bidi="bo-CN"/>
        </w:rPr>
        <w:t>13</w:t>
      </w:r>
      <w:r>
        <w:rPr>
          <w:rFonts w:asciiTheme="majorHAnsi" w:hAnsiTheme="majorHAnsi" w:cs="Cambria"/>
          <w:b/>
          <w:szCs w:val="22"/>
          <w:lang w:val="sk-SK" w:bidi="bo-CN"/>
        </w:rPr>
        <w:t>,</w:t>
      </w:r>
      <w:r w:rsidRPr="00BD077C">
        <w:rPr>
          <w:rFonts w:asciiTheme="majorHAnsi" w:hAnsiTheme="majorHAnsi" w:cs="Cambria"/>
          <w:b/>
          <w:szCs w:val="22"/>
          <w:lang w:val="sk-SK" w:bidi="bo-CN"/>
        </w:rPr>
        <w:t>5 až 14</w:t>
      </w:r>
      <w:r>
        <w:rPr>
          <w:rFonts w:asciiTheme="majorHAnsi" w:hAnsiTheme="majorHAnsi" w:cs="Cambria"/>
          <w:b/>
          <w:szCs w:val="22"/>
          <w:lang w:val="sk-SK" w:bidi="bo-CN"/>
        </w:rPr>
        <w:t>,</w:t>
      </w:r>
      <w:r w:rsidRPr="00BD077C">
        <w:rPr>
          <w:rFonts w:asciiTheme="majorHAnsi" w:hAnsiTheme="majorHAnsi" w:cs="Cambria"/>
          <w:b/>
          <w:szCs w:val="22"/>
          <w:lang w:val="sk-SK" w:bidi="bo-CN"/>
        </w:rPr>
        <w:t>5 percent</w:t>
      </w:r>
    </w:p>
    <w:p w14:paraId="7AD88654" w14:textId="77777777" w:rsidR="0019638B" w:rsidRPr="00BD077C" w:rsidRDefault="0019638B" w:rsidP="0019638B">
      <w:pPr>
        <w:pStyle w:val="ListParagraph"/>
        <w:numPr>
          <w:ilvl w:val="1"/>
          <w:numId w:val="9"/>
        </w:numPr>
        <w:spacing w:after="80" w:line="266" w:lineRule="auto"/>
        <w:ind w:left="1077" w:right="-108" w:hanging="357"/>
        <w:contextualSpacing w:val="0"/>
        <w:jc w:val="left"/>
        <w:rPr>
          <w:rFonts w:asciiTheme="majorHAnsi" w:hAnsiTheme="majorHAnsi" w:cs="Cambria"/>
          <w:b/>
          <w:szCs w:val="22"/>
          <w:lang w:val="sk-SK"/>
        </w:rPr>
      </w:pPr>
      <w:r>
        <w:rPr>
          <w:rFonts w:asciiTheme="majorHAnsi" w:hAnsiTheme="majorHAnsi" w:cs="Cambria"/>
          <w:b/>
          <w:szCs w:val="22"/>
          <w:lang w:val="sk-SK" w:bidi="bo-CN"/>
        </w:rPr>
        <w:t>Výnos na prioritnú akciu (EPS)*: nárast v rozpätí od 5,0 do 15,0 percent pri konštantných výmenných kurzoch</w:t>
      </w:r>
    </w:p>
    <w:p w14:paraId="5FA63189" w14:textId="77777777" w:rsidR="0019638B" w:rsidRPr="00EB79E9" w:rsidRDefault="0019638B" w:rsidP="0019638B">
      <w:pPr>
        <w:spacing w:line="240" w:lineRule="auto"/>
        <w:jc w:val="left"/>
        <w:rPr>
          <w:rFonts w:cs="Segoe UI"/>
          <w:szCs w:val="22"/>
          <w:lang w:val="sk-SK"/>
        </w:rPr>
      </w:pPr>
    </w:p>
    <w:p w14:paraId="05C739B4" w14:textId="77777777" w:rsidR="0019638B" w:rsidRPr="00EB79E9" w:rsidRDefault="0019638B" w:rsidP="0019638B">
      <w:pPr>
        <w:rPr>
          <w:rFonts w:cs="Segoe UI"/>
          <w:b/>
          <w:bCs/>
          <w:szCs w:val="22"/>
          <w:lang w:val="sk-SK"/>
        </w:rPr>
      </w:pPr>
      <w:proofErr w:type="spellStart"/>
      <w:r w:rsidRPr="00EB79E9">
        <w:rPr>
          <w:rFonts w:cs="Segoe UI"/>
          <w:b/>
          <w:bCs/>
          <w:szCs w:val="22"/>
          <w:lang w:val="sk-SK"/>
        </w:rPr>
        <w:t>Düsseldorf</w:t>
      </w:r>
      <w:proofErr w:type="spellEnd"/>
      <w:r w:rsidRPr="00EB79E9">
        <w:rPr>
          <w:rFonts w:cs="Segoe UI"/>
          <w:b/>
          <w:bCs/>
          <w:szCs w:val="22"/>
          <w:lang w:val="sk-SK"/>
        </w:rPr>
        <w:t xml:space="preserve"> </w:t>
      </w:r>
      <w:r>
        <w:rPr>
          <w:rFonts w:cs="Segoe UI"/>
          <w:b/>
          <w:bCs/>
          <w:szCs w:val="22"/>
          <w:lang w:val="sk-SK"/>
        </w:rPr>
        <w:t>–</w:t>
      </w:r>
      <w:r w:rsidRPr="00EB79E9">
        <w:rPr>
          <w:rFonts w:cs="Segoe UI"/>
          <w:szCs w:val="22"/>
          <w:lang w:val="sk-SK"/>
        </w:rPr>
        <w:t xml:space="preserve"> </w:t>
      </w:r>
      <w:r w:rsidRPr="00201D97">
        <w:rPr>
          <w:rFonts w:cs="Segoe UI"/>
          <w:b/>
          <w:bCs/>
          <w:i/>
          <w:iCs/>
          <w:szCs w:val="22"/>
          <w:lang w:val="sk-SK" w:bidi="bo-CN"/>
        </w:rPr>
        <w:t>„Napriek prudkému prepadu globálnej ekonomiky spôsobenému pandémiou ochorenia COVID-19 sa na nám podarilo dosiahnuť celkovo silné obchodné výsledky v rámci všetkých obchodných divízií.</w:t>
      </w:r>
      <w:r w:rsidRPr="00201D97">
        <w:rPr>
          <w:rFonts w:cs="Segoe UI"/>
          <w:b/>
          <w:bCs/>
          <w:i/>
          <w:iCs/>
          <w:szCs w:val="22"/>
          <w:lang w:val="sk-SK"/>
        </w:rPr>
        <w:t xml:space="preserve"> </w:t>
      </w:r>
      <w:r w:rsidRPr="00201D97">
        <w:rPr>
          <w:rFonts w:cs="Segoe UI"/>
          <w:b/>
          <w:bCs/>
          <w:i/>
          <w:iCs/>
          <w:szCs w:val="22"/>
          <w:lang w:val="sk-SK" w:bidi="bo-CN"/>
        </w:rPr>
        <w:t>Naše výsledky za celý rok boli v hornej polovici nášho celoročného výhľadu.</w:t>
      </w:r>
      <w:r w:rsidRPr="00201D97">
        <w:rPr>
          <w:rFonts w:cs="Segoe UI"/>
          <w:b/>
          <w:bCs/>
          <w:i/>
          <w:iCs/>
          <w:szCs w:val="22"/>
          <w:lang w:val="sk-SK"/>
        </w:rPr>
        <w:t xml:space="preserve"> </w:t>
      </w:r>
      <w:r w:rsidRPr="00201D97">
        <w:rPr>
          <w:rFonts w:cs="Segoe UI"/>
          <w:b/>
          <w:bCs/>
          <w:i/>
          <w:iCs/>
          <w:szCs w:val="22"/>
          <w:lang w:val="sk-SK" w:bidi="bo-CN"/>
        </w:rPr>
        <w:t>Podarilo sa nám to vďaka vyrovnanému portfóliu, úspešným inováciám a silnému finančnému postaveniu, ako aj vďaka výnimočnej obetavosti a odhodlaniu našich zamestnancov na celom svete.</w:t>
      </w:r>
      <w:r w:rsidRPr="00201D97">
        <w:rPr>
          <w:rFonts w:cs="Segoe UI"/>
          <w:b/>
          <w:bCs/>
          <w:i/>
          <w:iCs/>
          <w:szCs w:val="22"/>
          <w:lang w:val="sk-SK"/>
        </w:rPr>
        <w:t xml:space="preserve"> </w:t>
      </w:r>
      <w:r w:rsidRPr="00201D97">
        <w:rPr>
          <w:rFonts w:cs="Segoe UI"/>
          <w:b/>
          <w:bCs/>
          <w:i/>
          <w:iCs/>
          <w:szCs w:val="22"/>
          <w:lang w:val="sk-SK" w:bidi="bo-CN"/>
        </w:rPr>
        <w:t>Každému jednému z nich by som chcel poďakovať za ich výnimočné výkony počas tohto skutočne náročného roka,“</w:t>
      </w:r>
      <w:r>
        <w:rPr>
          <w:rFonts w:cs="Segoe UI"/>
          <w:b/>
          <w:bCs/>
          <w:szCs w:val="22"/>
          <w:lang w:val="sk-SK" w:bidi="bo-CN"/>
        </w:rPr>
        <w:t xml:space="preserve"> povedal predseda predstavenstva spoločnosti Henkel Carsten </w:t>
      </w:r>
      <w:proofErr w:type="spellStart"/>
      <w:r>
        <w:rPr>
          <w:rFonts w:cs="Segoe UI"/>
          <w:b/>
          <w:bCs/>
          <w:szCs w:val="22"/>
          <w:lang w:val="sk-SK" w:bidi="bo-CN"/>
        </w:rPr>
        <w:t>Knobel</w:t>
      </w:r>
      <w:proofErr w:type="spellEnd"/>
      <w:r>
        <w:rPr>
          <w:rFonts w:cs="Segoe UI"/>
          <w:b/>
          <w:bCs/>
          <w:szCs w:val="22"/>
          <w:lang w:val="sk-SK" w:bidi="bo-CN"/>
        </w:rPr>
        <w:t>.</w:t>
      </w:r>
      <w:r w:rsidRPr="005E716D">
        <w:rPr>
          <w:rFonts w:cs="Segoe UI"/>
          <w:b/>
          <w:bCs/>
          <w:szCs w:val="22"/>
          <w:lang w:val="sk-SK"/>
        </w:rPr>
        <w:t xml:space="preserve"> </w:t>
      </w:r>
    </w:p>
    <w:p w14:paraId="46FD5534" w14:textId="77777777" w:rsidR="0019638B" w:rsidRPr="00EB79E9" w:rsidRDefault="0019638B" w:rsidP="0019638B">
      <w:pPr>
        <w:rPr>
          <w:rFonts w:cs="Segoe UI"/>
          <w:b/>
          <w:bCs/>
          <w:szCs w:val="22"/>
          <w:lang w:val="sk-SK"/>
        </w:rPr>
      </w:pPr>
    </w:p>
    <w:p w14:paraId="7FBA892C" w14:textId="77777777" w:rsidR="0019638B" w:rsidRPr="00EB79E9" w:rsidRDefault="0019638B" w:rsidP="0019638B">
      <w:pPr>
        <w:rPr>
          <w:rFonts w:cs="Segoe UI"/>
          <w:b/>
          <w:bCs/>
          <w:szCs w:val="22"/>
          <w:lang w:val="sk-SK"/>
        </w:rPr>
      </w:pPr>
      <w:r w:rsidRPr="00201D97">
        <w:rPr>
          <w:rFonts w:cs="Segoe UI"/>
          <w:b/>
          <w:bCs/>
          <w:i/>
          <w:iCs/>
          <w:szCs w:val="22"/>
          <w:lang w:val="sk-SK" w:bidi="bo-CN"/>
        </w:rPr>
        <w:t xml:space="preserve"> „Dosiahli sme obrat vo výške 19,3 mld. eur, organicky sme mierne zaostali za úrovňou z minulého roka, a udržali sme si prevádzkovú ziskovosť s upravenou maržou EBIT na úrovni 13,4 %.</w:t>
      </w:r>
      <w:r w:rsidRPr="00201D97">
        <w:rPr>
          <w:rFonts w:cs="Segoe UI"/>
          <w:b/>
          <w:bCs/>
          <w:i/>
          <w:iCs/>
          <w:szCs w:val="22"/>
          <w:lang w:val="sk-SK"/>
        </w:rPr>
        <w:t xml:space="preserve"> </w:t>
      </w:r>
      <w:r w:rsidRPr="00201D97">
        <w:rPr>
          <w:rFonts w:cs="Segoe UI"/>
          <w:b/>
          <w:bCs/>
          <w:i/>
          <w:iCs/>
          <w:szCs w:val="22"/>
          <w:lang w:val="sk-SK" w:bidi="bo-CN"/>
        </w:rPr>
        <w:t xml:space="preserve">Takisto sa nám podarilo generovať veľmi silný voľný cash </w:t>
      </w:r>
      <w:proofErr w:type="spellStart"/>
      <w:r w:rsidRPr="00201D97">
        <w:rPr>
          <w:rFonts w:cs="Segoe UI"/>
          <w:b/>
          <w:bCs/>
          <w:i/>
          <w:iCs/>
          <w:szCs w:val="22"/>
          <w:lang w:val="sk-SK" w:bidi="bo-CN"/>
        </w:rPr>
        <w:t>flow</w:t>
      </w:r>
      <w:proofErr w:type="spellEnd"/>
      <w:r w:rsidRPr="00201D97">
        <w:rPr>
          <w:rFonts w:cs="Segoe UI"/>
          <w:b/>
          <w:bCs/>
          <w:i/>
          <w:iCs/>
          <w:szCs w:val="22"/>
          <w:lang w:val="sk-SK" w:bidi="bo-CN"/>
        </w:rPr>
        <w:t xml:space="preserve"> v hodnote viac než 2,3 mld. eur, ktorý sa približuje rekordnej úrovni z predchádzajúceho roka.</w:t>
      </w:r>
      <w:r w:rsidRPr="00201D97">
        <w:rPr>
          <w:rFonts w:cs="Segoe UI"/>
          <w:b/>
          <w:bCs/>
          <w:i/>
          <w:iCs/>
          <w:szCs w:val="22"/>
          <w:lang w:val="sk-SK"/>
        </w:rPr>
        <w:t xml:space="preserve"> </w:t>
      </w:r>
      <w:r w:rsidRPr="00201D97">
        <w:rPr>
          <w:rFonts w:cs="Segoe UI"/>
          <w:b/>
          <w:bCs/>
          <w:i/>
          <w:iCs/>
          <w:szCs w:val="22"/>
          <w:lang w:val="sk-SK" w:bidi="bo-CN"/>
        </w:rPr>
        <w:t>Na základe týchto robustných výsledkov a vzhľadom na našu silnú finančnú základňu navrhneme na nadchádzajúcom výročnom valnom zhromaždení stabilnú výplatu dividend našim akcionárom.</w:t>
      </w:r>
      <w:r w:rsidRPr="00201D97">
        <w:rPr>
          <w:rFonts w:cs="Segoe UI"/>
          <w:b/>
          <w:bCs/>
          <w:i/>
          <w:iCs/>
          <w:szCs w:val="22"/>
          <w:lang w:val="sk-SK"/>
        </w:rPr>
        <w:t xml:space="preserve"> </w:t>
      </w:r>
      <w:r w:rsidRPr="00201D97">
        <w:rPr>
          <w:rFonts w:cs="Segoe UI"/>
          <w:b/>
          <w:bCs/>
          <w:i/>
          <w:iCs/>
          <w:szCs w:val="22"/>
          <w:lang w:val="sk-SK" w:bidi="bo-CN"/>
        </w:rPr>
        <w:t>Za ostatných 35 rokov, odkedy sa spoločnosť Henkel začala verejne obchodovať, sme našim akcionárom vždy vyplácali dividendy minimálne na úrovni predchádzajúceho roka,“</w:t>
      </w:r>
      <w:r>
        <w:rPr>
          <w:rFonts w:cs="Segoe UI"/>
          <w:b/>
          <w:bCs/>
          <w:szCs w:val="22"/>
          <w:lang w:val="sk-SK" w:bidi="bo-CN"/>
        </w:rPr>
        <w:t xml:space="preserve"> dodal </w:t>
      </w:r>
      <w:proofErr w:type="spellStart"/>
      <w:r>
        <w:rPr>
          <w:rFonts w:cs="Segoe UI"/>
          <w:b/>
          <w:bCs/>
          <w:szCs w:val="22"/>
          <w:lang w:val="sk-SK" w:bidi="bo-CN"/>
        </w:rPr>
        <w:t>Knobel</w:t>
      </w:r>
      <w:proofErr w:type="spellEnd"/>
      <w:r>
        <w:rPr>
          <w:rFonts w:cs="Segoe UI"/>
          <w:b/>
          <w:bCs/>
          <w:szCs w:val="22"/>
          <w:lang w:val="sk-SK" w:bidi="bo-CN"/>
        </w:rPr>
        <w:t>.</w:t>
      </w:r>
      <w:r w:rsidRPr="00994FDB">
        <w:rPr>
          <w:rFonts w:cs="Segoe UI"/>
          <w:b/>
          <w:bCs/>
          <w:szCs w:val="22"/>
          <w:lang w:val="sk-SK"/>
        </w:rPr>
        <w:t xml:space="preserve"> </w:t>
      </w:r>
    </w:p>
    <w:p w14:paraId="322D62A8" w14:textId="77777777" w:rsidR="0019638B" w:rsidRPr="00EB79E9" w:rsidRDefault="0019638B" w:rsidP="0019638B">
      <w:pPr>
        <w:rPr>
          <w:rFonts w:cs="Segoe UI"/>
          <w:b/>
          <w:bCs/>
          <w:szCs w:val="22"/>
          <w:lang w:val="sk-SK"/>
        </w:rPr>
      </w:pPr>
    </w:p>
    <w:p w14:paraId="122EA2AC" w14:textId="77777777" w:rsidR="0019638B" w:rsidRPr="00201D97" w:rsidRDefault="0019638B" w:rsidP="0019638B">
      <w:pPr>
        <w:rPr>
          <w:rFonts w:cs="Segoe UI"/>
          <w:i/>
          <w:iCs/>
          <w:szCs w:val="22"/>
          <w:lang w:val="sk-SK"/>
        </w:rPr>
      </w:pPr>
      <w:r w:rsidRPr="00201D97">
        <w:rPr>
          <w:rFonts w:cs="Segoe UI"/>
          <w:b/>
          <w:bCs/>
          <w:i/>
          <w:iCs/>
          <w:szCs w:val="22"/>
          <w:lang w:val="sk-SK" w:bidi="bo-CN"/>
        </w:rPr>
        <w:t xml:space="preserve"> „Počas </w:t>
      </w:r>
      <w:proofErr w:type="spellStart"/>
      <w:r w:rsidRPr="00201D97">
        <w:rPr>
          <w:rFonts w:cs="Segoe UI"/>
          <w:b/>
          <w:bCs/>
          <w:i/>
          <w:iCs/>
          <w:szCs w:val="22"/>
          <w:lang w:val="sk-SK" w:bidi="bo-CN"/>
        </w:rPr>
        <w:t>koronakrízy</w:t>
      </w:r>
      <w:proofErr w:type="spellEnd"/>
      <w:r w:rsidRPr="00201D97">
        <w:rPr>
          <w:rFonts w:cs="Segoe UI"/>
          <w:b/>
          <w:bCs/>
          <w:i/>
          <w:iCs/>
          <w:szCs w:val="22"/>
          <w:lang w:val="sk-SK" w:bidi="bo-CN"/>
        </w:rPr>
        <w:t xml:space="preserve"> sme sa flexibilne a rýchlo prispôsobili zmenám na našich trhoch, pričom prioritou sa stala bezpečnosť našich zamestnancov.</w:t>
      </w:r>
      <w:r w:rsidRPr="00201D97">
        <w:rPr>
          <w:rFonts w:cs="Segoe UI"/>
          <w:b/>
          <w:bCs/>
          <w:i/>
          <w:iCs/>
          <w:szCs w:val="22"/>
          <w:lang w:val="sk-SK"/>
        </w:rPr>
        <w:t xml:space="preserve"> </w:t>
      </w:r>
      <w:r w:rsidRPr="00201D97">
        <w:rPr>
          <w:rFonts w:cs="Segoe UI"/>
          <w:b/>
          <w:bCs/>
          <w:i/>
          <w:iCs/>
          <w:szCs w:val="22"/>
          <w:lang w:val="sk-SK" w:bidi="bo-CN"/>
        </w:rPr>
        <w:t>Zároveň sme boli schopní úspešne spustiť a riadiť implementáciu našej strategickej agendy v rámci všetkých jej pilierov: budovanie úspešného portfólia, vytváranie konkurenčnej výhody zrýchľovaním prínosných a užitočných inovácií, prehlbovanie integrácie princípov udržateľného rozvoja do všetkého, čo robíme, a presadzovanie digitálnej transformácie a vytváranie prevádzkových modelov pripravených na budúcnosť. Ale čo považujem za najdôležitejšie, posilnili sme našu kultúru spolupráce a vytvorili silný impulz na zmenu, ktorá nám umožní dosahovať výnimočné výkony a zmysluplný rast – pre našich zákazníkov a spotrebiteľov, našu firmu, zamestnancov a akcionárov aj pre celú spoločnosť a planétu.“</w:t>
      </w:r>
    </w:p>
    <w:p w14:paraId="22235995" w14:textId="77777777" w:rsidR="0019638B" w:rsidRPr="00EB79E9" w:rsidRDefault="0019638B" w:rsidP="0019638B">
      <w:pPr>
        <w:rPr>
          <w:rFonts w:cs="Segoe UI"/>
          <w:b/>
          <w:bCs/>
          <w:szCs w:val="22"/>
          <w:lang w:val="sk-SK"/>
        </w:rPr>
      </w:pPr>
    </w:p>
    <w:p w14:paraId="41306C57" w14:textId="77777777" w:rsidR="0019638B" w:rsidRPr="00DE73FE" w:rsidRDefault="0019638B" w:rsidP="0019638B">
      <w:pPr>
        <w:rPr>
          <w:rFonts w:cs="Segoe UI"/>
          <w:b/>
          <w:bCs/>
          <w:szCs w:val="22"/>
          <w:lang w:val="sk-SK"/>
        </w:rPr>
      </w:pPr>
      <w:r>
        <w:rPr>
          <w:rFonts w:cs="Segoe UI"/>
          <w:b/>
          <w:bCs/>
          <w:szCs w:val="22"/>
          <w:lang w:val="sk-SK" w:bidi="bo-CN"/>
        </w:rPr>
        <w:t>Z dôvodu výrazného prepadu dopytu v kľúčových priemyselných odvetviach zaostal celoročný obrat divízie Adhesive Technologies za úrovňou predchádzajúceho roka.</w:t>
      </w:r>
      <w:r w:rsidRPr="00DE73FE">
        <w:rPr>
          <w:rFonts w:cs="Segoe UI"/>
          <w:b/>
          <w:bCs/>
          <w:szCs w:val="22"/>
          <w:lang w:val="sk-SK"/>
        </w:rPr>
        <w:t xml:space="preserve"> </w:t>
      </w:r>
      <w:bookmarkStart w:id="2" w:name="_Hlk63415665"/>
      <w:r>
        <w:rPr>
          <w:rFonts w:cs="Segoe UI"/>
          <w:b/>
          <w:bCs/>
          <w:szCs w:val="22"/>
          <w:lang w:val="sk-SK" w:bidi="bo-CN"/>
        </w:rPr>
        <w:t>Ale vďaka šírke svojho portfólia a úspešným inovatívnym riešeniam preukázala svoju odolnosť aj počas poklesu svetového hospodárstva.</w:t>
      </w:r>
    </w:p>
    <w:p w14:paraId="79B91CD2" w14:textId="77777777" w:rsidR="0019638B" w:rsidRPr="00EB79E9" w:rsidRDefault="0019638B" w:rsidP="0019638B">
      <w:pPr>
        <w:rPr>
          <w:rFonts w:cs="Segoe UI"/>
          <w:b/>
          <w:bCs/>
          <w:szCs w:val="22"/>
          <w:lang w:val="sk-SK"/>
        </w:rPr>
      </w:pPr>
    </w:p>
    <w:p w14:paraId="4D938E9D" w14:textId="77777777" w:rsidR="0019638B" w:rsidRPr="00EB79E9" w:rsidRDefault="0019638B" w:rsidP="0019638B">
      <w:pPr>
        <w:rPr>
          <w:rFonts w:cs="Segoe UI"/>
          <w:b/>
          <w:bCs/>
          <w:szCs w:val="22"/>
          <w:lang w:val="sk-SK"/>
        </w:rPr>
      </w:pPr>
      <w:r>
        <w:rPr>
          <w:rFonts w:cs="Segoe UI"/>
          <w:b/>
          <w:bCs/>
          <w:szCs w:val="22"/>
          <w:lang w:val="sk-SK" w:bidi="bo-CN"/>
        </w:rPr>
        <w:lastRenderedPageBreak/>
        <w:t xml:space="preserve">Organický obrat obchodnej divízie </w:t>
      </w:r>
      <w:proofErr w:type="spellStart"/>
      <w:r>
        <w:rPr>
          <w:rFonts w:cs="Segoe UI"/>
          <w:b/>
          <w:bCs/>
          <w:szCs w:val="22"/>
          <w:lang w:val="sk-SK" w:bidi="bo-CN"/>
        </w:rPr>
        <w:t>Beauty</w:t>
      </w:r>
      <w:proofErr w:type="spellEnd"/>
      <w:r>
        <w:rPr>
          <w:rFonts w:cs="Segoe UI"/>
          <w:b/>
          <w:bCs/>
          <w:szCs w:val="22"/>
          <w:lang w:val="sk-SK" w:bidi="bo-CN"/>
        </w:rPr>
        <w:t xml:space="preserve"> </w:t>
      </w:r>
      <w:proofErr w:type="spellStart"/>
      <w:r>
        <w:rPr>
          <w:rFonts w:cs="Segoe UI"/>
          <w:b/>
          <w:bCs/>
          <w:szCs w:val="22"/>
          <w:lang w:val="sk-SK" w:bidi="bo-CN"/>
        </w:rPr>
        <w:t>Care</w:t>
      </w:r>
      <w:proofErr w:type="spellEnd"/>
      <w:r>
        <w:rPr>
          <w:rFonts w:cs="Segoe UI"/>
          <w:b/>
          <w:bCs/>
          <w:szCs w:val="22"/>
          <w:lang w:val="sk-SK" w:bidi="bo-CN"/>
        </w:rPr>
        <w:t xml:space="preserve"> zaostal za úrovňou predchádzajúceho roka predovšetkým z dôvodu prepadu v segmente profesionálnej vlasovej kozmetiky spôsobeného núteným zatvorením prevádzok, zatiaľ čo v maloobchodnom segmente zaznamenala pozitívny rast.</w:t>
      </w:r>
      <w:r w:rsidRPr="00DE73FE">
        <w:rPr>
          <w:rFonts w:cs="Segoe UI"/>
          <w:b/>
          <w:bCs/>
          <w:szCs w:val="22"/>
          <w:lang w:val="sk-SK"/>
        </w:rPr>
        <w:t xml:space="preserve"> </w:t>
      </w:r>
      <w:bookmarkEnd w:id="2"/>
      <w:r>
        <w:rPr>
          <w:rFonts w:cs="Segoe UI"/>
          <w:b/>
          <w:bCs/>
          <w:szCs w:val="22"/>
          <w:lang w:val="sk-SK" w:bidi="bo-CN"/>
        </w:rPr>
        <w:t>Za týmto rastom stál úspešný vývoj hlavných značiek a uvedenie nových produktov, ktoré reagovali na kľúčové spotrebiteľské trendy.</w:t>
      </w:r>
      <w:r w:rsidRPr="00DE73FE">
        <w:rPr>
          <w:rFonts w:cs="Segoe UI"/>
          <w:b/>
          <w:bCs/>
          <w:szCs w:val="22"/>
          <w:lang w:val="sk-SK"/>
        </w:rPr>
        <w:t xml:space="preserve"> </w:t>
      </w:r>
    </w:p>
    <w:p w14:paraId="30D2ED49" w14:textId="77777777" w:rsidR="0019638B" w:rsidRPr="00EB79E9" w:rsidRDefault="0019638B" w:rsidP="0019638B">
      <w:pPr>
        <w:rPr>
          <w:rFonts w:cs="Segoe UI"/>
          <w:b/>
          <w:bCs/>
          <w:szCs w:val="22"/>
          <w:lang w:val="sk-SK"/>
        </w:rPr>
      </w:pPr>
    </w:p>
    <w:p w14:paraId="26E5D19A" w14:textId="77777777" w:rsidR="0019638B" w:rsidRPr="00EB79E9" w:rsidRDefault="0019638B" w:rsidP="0019638B">
      <w:pPr>
        <w:rPr>
          <w:rFonts w:cs="Segoe UI"/>
          <w:b/>
          <w:bCs/>
          <w:szCs w:val="22"/>
          <w:lang w:val="sk-SK"/>
        </w:rPr>
      </w:pPr>
      <w:r>
        <w:rPr>
          <w:rFonts w:cs="Segoe UI"/>
          <w:b/>
          <w:bCs/>
          <w:szCs w:val="22"/>
          <w:lang w:val="sk-SK" w:bidi="bo-CN"/>
        </w:rPr>
        <w:t xml:space="preserve">Obchodná divízia Laundry </w:t>
      </w:r>
      <w:r w:rsidRPr="00F411B0">
        <w:rPr>
          <w:rFonts w:cs="Segoe UI"/>
          <w:b/>
          <w:bCs/>
          <w:szCs w:val="22"/>
          <w:lang w:val="sk-SK" w:bidi="bo-CN"/>
        </w:rPr>
        <w:t>&amp;</w:t>
      </w:r>
      <w:r>
        <w:rPr>
          <w:rFonts w:cs="Segoe UI"/>
          <w:b/>
          <w:bCs/>
          <w:szCs w:val="22"/>
          <w:lang w:val="sk-SK" w:bidi="bo-CN"/>
        </w:rPr>
        <w:t xml:space="preserve"> Home </w:t>
      </w:r>
      <w:proofErr w:type="spellStart"/>
      <w:r>
        <w:rPr>
          <w:rFonts w:cs="Segoe UI"/>
          <w:b/>
          <w:bCs/>
          <w:szCs w:val="22"/>
          <w:lang w:val="sk-SK" w:bidi="bo-CN"/>
        </w:rPr>
        <w:t>Care</w:t>
      </w:r>
      <w:proofErr w:type="spellEnd"/>
      <w:r>
        <w:rPr>
          <w:rFonts w:cs="Segoe UI"/>
          <w:b/>
          <w:bCs/>
          <w:szCs w:val="22"/>
          <w:lang w:val="sk-SK" w:bidi="bo-CN"/>
        </w:rPr>
        <w:t xml:space="preserve"> dosiahla veľmi silný organický rast obratu, za ktorým stál zvýšený dopyt po hygienických produktoch aj úspešné inovácie, ktoré tiež reagovali na zvýšený dopyt po udržateľnejších výrobkoch. </w:t>
      </w:r>
    </w:p>
    <w:p w14:paraId="59A6D0BE" w14:textId="77777777" w:rsidR="0019638B" w:rsidRPr="00EB79E9" w:rsidRDefault="0019638B" w:rsidP="0019638B">
      <w:pPr>
        <w:rPr>
          <w:rFonts w:cs="Segoe UI"/>
          <w:b/>
          <w:bCs/>
          <w:szCs w:val="22"/>
          <w:lang w:val="sk-SK"/>
        </w:rPr>
      </w:pPr>
    </w:p>
    <w:p w14:paraId="6FA2F405" w14:textId="77777777" w:rsidR="0019638B" w:rsidRPr="00EB79E9" w:rsidRDefault="0019638B" w:rsidP="0019638B">
      <w:pPr>
        <w:rPr>
          <w:rFonts w:cs="Segoe UI"/>
          <w:b/>
          <w:bCs/>
          <w:szCs w:val="22"/>
          <w:lang w:val="sk-SK"/>
        </w:rPr>
      </w:pPr>
      <w:r>
        <w:rPr>
          <w:rFonts w:cs="Segoe UI"/>
          <w:b/>
          <w:bCs/>
          <w:szCs w:val="22"/>
          <w:lang w:val="sk-SK" w:bidi="bo-CN"/>
        </w:rPr>
        <w:t xml:space="preserve">Po výraznom negatívnom dopade na obrat spôsobenom pandémiou a s ňou súvisiacimi </w:t>
      </w:r>
      <w:r w:rsidRPr="00223B91">
        <w:rPr>
          <w:rFonts w:cs="Segoe UI"/>
          <w:b/>
          <w:bCs/>
          <w:szCs w:val="22"/>
          <w:lang w:val="sk-SK" w:bidi="bo-CN"/>
        </w:rPr>
        <w:t>odstávkami</w:t>
      </w:r>
      <w:r>
        <w:rPr>
          <w:rFonts w:cs="Segoe UI"/>
          <w:b/>
          <w:bCs/>
          <w:szCs w:val="22"/>
          <w:lang w:val="sk-SK" w:bidi="bo-CN"/>
        </w:rPr>
        <w:t>, ktorému divízie Adhesive Technologies a </w:t>
      </w:r>
      <w:proofErr w:type="spellStart"/>
      <w:r>
        <w:rPr>
          <w:rFonts w:cs="Segoe UI"/>
          <w:b/>
          <w:bCs/>
          <w:szCs w:val="22"/>
          <w:lang w:val="sk-SK" w:bidi="bo-CN"/>
        </w:rPr>
        <w:t>Beauty</w:t>
      </w:r>
      <w:proofErr w:type="spellEnd"/>
      <w:r>
        <w:rPr>
          <w:rFonts w:cs="Segoe UI"/>
          <w:b/>
          <w:bCs/>
          <w:szCs w:val="22"/>
          <w:lang w:val="sk-SK" w:bidi="bo-CN"/>
        </w:rPr>
        <w:t xml:space="preserve"> </w:t>
      </w:r>
      <w:proofErr w:type="spellStart"/>
      <w:r>
        <w:rPr>
          <w:rFonts w:cs="Segoe UI"/>
          <w:b/>
          <w:bCs/>
          <w:szCs w:val="22"/>
          <w:lang w:val="sk-SK" w:bidi="bo-CN"/>
        </w:rPr>
        <w:t>Care</w:t>
      </w:r>
      <w:proofErr w:type="spellEnd"/>
      <w:r>
        <w:rPr>
          <w:rFonts w:cs="Segoe UI"/>
          <w:b/>
          <w:bCs/>
          <w:szCs w:val="22"/>
          <w:lang w:val="sk-SK" w:bidi="bo-CN"/>
        </w:rPr>
        <w:t xml:space="preserve"> čelili v druhom štvrťroku, všetky tri obchodné divízie vykázali v druhom polroku 2020 v porovnaní s predchádzajúcim rokom kladný organický rast.</w:t>
      </w:r>
      <w:r w:rsidRPr="00AA7788">
        <w:rPr>
          <w:rFonts w:cs="Segoe UI"/>
          <w:b/>
          <w:bCs/>
          <w:szCs w:val="22"/>
          <w:lang w:val="sk-SK"/>
        </w:rPr>
        <w:t xml:space="preserve"> </w:t>
      </w:r>
      <w:r>
        <w:rPr>
          <w:rFonts w:cs="Segoe UI"/>
          <w:b/>
          <w:bCs/>
          <w:szCs w:val="22"/>
          <w:lang w:val="sk-SK" w:bidi="bo-CN"/>
        </w:rPr>
        <w:t xml:space="preserve">Pozitívny prínos k vývoju v segmente spotrebného tovaru divízií </w:t>
      </w:r>
      <w:proofErr w:type="spellStart"/>
      <w:r>
        <w:rPr>
          <w:rFonts w:cs="Segoe UI"/>
          <w:b/>
          <w:bCs/>
          <w:szCs w:val="22"/>
          <w:lang w:val="sk-SK" w:bidi="bo-CN"/>
        </w:rPr>
        <w:t>Beauty</w:t>
      </w:r>
      <w:proofErr w:type="spellEnd"/>
      <w:r>
        <w:rPr>
          <w:rFonts w:cs="Segoe UI"/>
          <w:b/>
          <w:bCs/>
          <w:szCs w:val="22"/>
          <w:lang w:val="sk-SK" w:bidi="bo-CN"/>
        </w:rPr>
        <w:t xml:space="preserve"> </w:t>
      </w:r>
      <w:proofErr w:type="spellStart"/>
      <w:r>
        <w:rPr>
          <w:rFonts w:cs="Segoe UI"/>
          <w:b/>
          <w:bCs/>
          <w:szCs w:val="22"/>
          <w:lang w:val="sk-SK" w:bidi="bo-CN"/>
        </w:rPr>
        <w:t>Care</w:t>
      </w:r>
      <w:proofErr w:type="spellEnd"/>
      <w:r>
        <w:rPr>
          <w:rFonts w:cs="Segoe UI"/>
          <w:b/>
          <w:bCs/>
          <w:szCs w:val="22"/>
          <w:lang w:val="sk-SK" w:bidi="bo-CN"/>
        </w:rPr>
        <w:t xml:space="preserve"> a Laundry </w:t>
      </w:r>
      <w:r w:rsidRPr="00F411B0">
        <w:rPr>
          <w:rFonts w:cs="Segoe UI"/>
          <w:b/>
          <w:bCs/>
          <w:szCs w:val="22"/>
          <w:lang w:val="sk-SK" w:bidi="bo-CN"/>
        </w:rPr>
        <w:t xml:space="preserve">&amp; Home </w:t>
      </w:r>
      <w:proofErr w:type="spellStart"/>
      <w:r w:rsidRPr="00F411B0">
        <w:rPr>
          <w:rFonts w:cs="Segoe UI"/>
          <w:b/>
          <w:bCs/>
          <w:szCs w:val="22"/>
          <w:lang w:val="sk-SK" w:bidi="bo-CN"/>
        </w:rPr>
        <w:t>Care</w:t>
      </w:r>
      <w:proofErr w:type="spellEnd"/>
      <w:r>
        <w:rPr>
          <w:rFonts w:cs="Segoe UI"/>
          <w:b/>
          <w:bCs/>
          <w:szCs w:val="22"/>
          <w:lang w:val="sk-SK" w:bidi="bo-CN"/>
        </w:rPr>
        <w:t xml:space="preserve"> predstavovali aj zvýšené investície do značiek, inovácií a digitalizácie.</w:t>
      </w:r>
      <w:r w:rsidRPr="00624D5E">
        <w:rPr>
          <w:rFonts w:cs="Segoe UI"/>
          <w:b/>
          <w:bCs/>
          <w:szCs w:val="22"/>
          <w:lang w:val="sk-SK"/>
        </w:rPr>
        <w:t xml:space="preserve"> </w:t>
      </w:r>
    </w:p>
    <w:p w14:paraId="59784C57" w14:textId="77777777" w:rsidR="0019638B" w:rsidRPr="00EB79E9" w:rsidRDefault="0019638B" w:rsidP="0019638B">
      <w:pPr>
        <w:rPr>
          <w:rFonts w:cs="Segoe UI"/>
          <w:b/>
          <w:bCs/>
          <w:szCs w:val="22"/>
          <w:lang w:val="sk-SK"/>
        </w:rPr>
      </w:pPr>
    </w:p>
    <w:p w14:paraId="77158E6D" w14:textId="77777777" w:rsidR="0019638B" w:rsidRPr="00EB79E9" w:rsidRDefault="0019638B" w:rsidP="0019638B">
      <w:pPr>
        <w:rPr>
          <w:rFonts w:cs="Segoe UI"/>
          <w:b/>
          <w:bCs/>
          <w:szCs w:val="22"/>
          <w:lang w:val="sk-SK"/>
        </w:rPr>
      </w:pPr>
      <w:r>
        <w:rPr>
          <w:rFonts w:cs="Segoe UI"/>
          <w:b/>
          <w:bCs/>
          <w:szCs w:val="22"/>
          <w:lang w:val="sk-SK" w:bidi="bo-CN"/>
        </w:rPr>
        <w:t>Na úrovni skupiny sa upravený zisk EBIT znížil o 19,9 % na 2,6 mld. eur.</w:t>
      </w:r>
      <w:r w:rsidRPr="00624D5E">
        <w:rPr>
          <w:rFonts w:cs="Segoe UI"/>
          <w:b/>
          <w:bCs/>
          <w:szCs w:val="22"/>
          <w:lang w:val="sk-SK"/>
        </w:rPr>
        <w:t xml:space="preserve"> </w:t>
      </w:r>
      <w:r>
        <w:rPr>
          <w:rFonts w:cs="Segoe UI"/>
          <w:b/>
          <w:bCs/>
          <w:szCs w:val="22"/>
          <w:lang w:val="sk-SK" w:bidi="bo-CN"/>
        </w:rPr>
        <w:t>Upravená výnosnosť predaja (marža EBIT) predstavovala 13,4 %, čo je pokles o 2,6 percentuálneho bodu v porovnaní s rokom 2019.</w:t>
      </w:r>
      <w:r w:rsidRPr="00624D5E">
        <w:rPr>
          <w:rFonts w:cs="Segoe UI"/>
          <w:b/>
          <w:bCs/>
          <w:szCs w:val="22"/>
          <w:lang w:val="sk-SK"/>
        </w:rPr>
        <w:t xml:space="preserve"> </w:t>
      </w:r>
      <w:r>
        <w:rPr>
          <w:rFonts w:cs="Segoe UI"/>
          <w:b/>
          <w:bCs/>
          <w:szCs w:val="22"/>
          <w:lang w:val="sk-SK" w:bidi="bo-CN"/>
        </w:rPr>
        <w:t>Upravený výnos na prioritnú akciu dosiahol 4,26 eura, pokles o 17,9 % pri konštantných kurzových sadzbách.</w:t>
      </w:r>
      <w:r w:rsidRPr="009412EA">
        <w:rPr>
          <w:rFonts w:cs="Segoe UI"/>
          <w:b/>
          <w:bCs/>
          <w:szCs w:val="22"/>
          <w:lang w:val="sk-SK"/>
        </w:rPr>
        <w:t xml:space="preserve"> </w:t>
      </w:r>
    </w:p>
    <w:p w14:paraId="1105F039" w14:textId="77777777" w:rsidR="0019638B" w:rsidRPr="00EB79E9" w:rsidRDefault="0019638B" w:rsidP="0019638B">
      <w:pPr>
        <w:rPr>
          <w:rFonts w:cs="Segoe UI"/>
          <w:b/>
          <w:bCs/>
          <w:szCs w:val="22"/>
          <w:lang w:val="sk-SK"/>
        </w:rPr>
      </w:pPr>
    </w:p>
    <w:p w14:paraId="2BDD81AA" w14:textId="77777777" w:rsidR="0019638B" w:rsidRPr="00B0390E" w:rsidRDefault="0019638B" w:rsidP="0019638B">
      <w:pPr>
        <w:rPr>
          <w:rFonts w:cs="Segoe UI"/>
          <w:b/>
          <w:bCs/>
          <w:szCs w:val="22"/>
          <w:lang w:val="sk-SK"/>
        </w:rPr>
      </w:pPr>
      <w:r w:rsidRPr="00201D97">
        <w:rPr>
          <w:rFonts w:cs="Segoe UI"/>
          <w:b/>
          <w:bCs/>
          <w:i/>
          <w:iCs/>
          <w:szCs w:val="22"/>
          <w:lang w:val="sk-SK" w:bidi="bo-CN"/>
        </w:rPr>
        <w:t xml:space="preserve"> „Vývoj našich výnosov je odrazom zvýšených investícií, ktoré sme aj napriek kríze zintenzívnili v súlade s našim oznámením zo začiatku roka 2020. Klesajúci dopyt v kľúčových obchodných segmentoch počas </w:t>
      </w:r>
      <w:proofErr w:type="spellStart"/>
      <w:r w:rsidRPr="00201D97">
        <w:rPr>
          <w:rFonts w:cs="Segoe UI"/>
          <w:b/>
          <w:bCs/>
          <w:i/>
          <w:iCs/>
          <w:szCs w:val="22"/>
          <w:lang w:val="sk-SK" w:bidi="bo-CN"/>
        </w:rPr>
        <w:t>koronakrízy</w:t>
      </w:r>
      <w:proofErr w:type="spellEnd"/>
      <w:r w:rsidRPr="00201D97">
        <w:rPr>
          <w:rFonts w:cs="Segoe UI"/>
          <w:b/>
          <w:bCs/>
          <w:i/>
          <w:iCs/>
          <w:szCs w:val="22"/>
          <w:lang w:val="sk-SK" w:bidi="bo-CN"/>
        </w:rPr>
        <w:t xml:space="preserve"> sa negatívne prejavil aj na našej ziskovosti.</w:t>
      </w:r>
      <w:r w:rsidRPr="00201D97">
        <w:rPr>
          <w:rFonts w:cs="Segoe UI"/>
          <w:b/>
          <w:bCs/>
          <w:i/>
          <w:iCs/>
          <w:szCs w:val="22"/>
          <w:lang w:val="sk-SK"/>
        </w:rPr>
        <w:t xml:space="preserve"> </w:t>
      </w:r>
      <w:r w:rsidRPr="00201D97">
        <w:rPr>
          <w:rFonts w:cs="Segoe UI"/>
          <w:b/>
          <w:bCs/>
          <w:i/>
          <w:iCs/>
          <w:szCs w:val="22"/>
          <w:lang w:val="sk-SK" w:bidi="bo-CN"/>
        </w:rPr>
        <w:t>Avšak vďaka úspešnému riadeniu nákladov a zlepšovaniu prevádzkových modelov sa nám podarilo čiastočne znížiť negatívny vplyv krízy na naše obchodné výsledky,“</w:t>
      </w:r>
      <w:r>
        <w:rPr>
          <w:rFonts w:cs="Segoe UI"/>
          <w:b/>
          <w:bCs/>
          <w:szCs w:val="22"/>
          <w:lang w:val="sk-SK" w:bidi="bo-CN"/>
        </w:rPr>
        <w:t xml:space="preserve"> vysvetlil Carsten </w:t>
      </w:r>
      <w:proofErr w:type="spellStart"/>
      <w:r>
        <w:rPr>
          <w:rFonts w:cs="Segoe UI"/>
          <w:b/>
          <w:bCs/>
          <w:szCs w:val="22"/>
          <w:lang w:val="sk-SK" w:bidi="bo-CN"/>
        </w:rPr>
        <w:t>Knobel</w:t>
      </w:r>
      <w:proofErr w:type="spellEnd"/>
      <w:r>
        <w:rPr>
          <w:rFonts w:cs="Segoe UI"/>
          <w:b/>
          <w:bCs/>
          <w:szCs w:val="22"/>
          <w:lang w:val="sk-SK" w:bidi="bo-CN"/>
        </w:rPr>
        <w:t>.</w:t>
      </w:r>
    </w:p>
    <w:p w14:paraId="6BC4311E" w14:textId="77777777" w:rsidR="0019638B" w:rsidRPr="00EB79E9" w:rsidRDefault="0019638B" w:rsidP="0019638B">
      <w:pPr>
        <w:rPr>
          <w:rFonts w:cs="Segoe UI"/>
          <w:b/>
          <w:bCs/>
          <w:szCs w:val="22"/>
          <w:lang w:val="sk-SK"/>
        </w:rPr>
      </w:pPr>
    </w:p>
    <w:p w14:paraId="609D4E59" w14:textId="77777777" w:rsidR="0019638B" w:rsidRPr="00201D97" w:rsidRDefault="0019638B" w:rsidP="0019638B">
      <w:pPr>
        <w:rPr>
          <w:rFonts w:cs="Segoe UI"/>
          <w:b/>
          <w:bCs/>
          <w:i/>
          <w:iCs/>
          <w:szCs w:val="22"/>
          <w:lang w:val="sk-SK"/>
        </w:rPr>
      </w:pPr>
      <w:r w:rsidRPr="00201D97">
        <w:rPr>
          <w:rFonts w:cs="Segoe UI"/>
          <w:b/>
          <w:bCs/>
          <w:i/>
          <w:iCs/>
          <w:szCs w:val="22"/>
          <w:lang w:val="sk-SK" w:bidi="bo-CN"/>
        </w:rPr>
        <w:t xml:space="preserve"> „Pri zvládaní súčasnej krízy sme i naďalej v plnej miere odhodlaní napĺňať ambiciózne ciele udržateľného rastu aj v nasledujúcich rokoch.</w:t>
      </w:r>
      <w:r w:rsidRPr="00201D97">
        <w:rPr>
          <w:rFonts w:cs="Segoe UI"/>
          <w:b/>
          <w:bCs/>
          <w:i/>
          <w:iCs/>
          <w:szCs w:val="22"/>
          <w:lang w:val="sk-SK"/>
        </w:rPr>
        <w:t xml:space="preserve"> </w:t>
      </w:r>
      <w:r w:rsidRPr="00201D97">
        <w:rPr>
          <w:rFonts w:cs="Segoe UI"/>
          <w:b/>
          <w:bCs/>
          <w:i/>
          <w:iCs/>
          <w:szCs w:val="22"/>
          <w:lang w:val="sk-SK" w:bidi="bo-CN"/>
        </w:rPr>
        <w:t>Pri pohľade vpred sme viac než kedykoľvek predtým presvedčení, že s naš</w:t>
      </w:r>
      <w:r>
        <w:rPr>
          <w:rFonts w:cs="Segoe UI"/>
          <w:b/>
          <w:bCs/>
          <w:i/>
          <w:iCs/>
          <w:szCs w:val="22"/>
          <w:lang w:val="sk-SK" w:bidi="bo-CN"/>
        </w:rPr>
        <w:t>í</w:t>
      </w:r>
      <w:r w:rsidRPr="00201D97">
        <w:rPr>
          <w:rFonts w:cs="Segoe UI"/>
          <w:b/>
          <w:bCs/>
          <w:i/>
          <w:iCs/>
          <w:szCs w:val="22"/>
          <w:lang w:val="sk-SK" w:bidi="bo-CN"/>
        </w:rPr>
        <w:t xml:space="preserve">m globálnym tímom dokážeme plniť ciele našej agendy pre zmysluplný rast a úspešne formovať našu budúcnosť.“ </w:t>
      </w:r>
    </w:p>
    <w:p w14:paraId="0DD38F51" w14:textId="77777777" w:rsidR="0019638B" w:rsidRPr="00EB79E9" w:rsidRDefault="0019638B" w:rsidP="0019638B">
      <w:pPr>
        <w:rPr>
          <w:rFonts w:cs="Segoe UI"/>
          <w:b/>
          <w:bCs/>
          <w:szCs w:val="22"/>
          <w:lang w:val="sk-SK"/>
        </w:rPr>
      </w:pPr>
    </w:p>
    <w:p w14:paraId="082DC7E2" w14:textId="77777777" w:rsidR="0019638B" w:rsidRPr="00B0390E" w:rsidRDefault="0019638B" w:rsidP="0019638B">
      <w:pPr>
        <w:spacing w:after="120"/>
        <w:rPr>
          <w:rFonts w:cs="Segoe UI"/>
          <w:b/>
          <w:bCs/>
          <w:szCs w:val="22"/>
          <w:lang w:val="sk-SK"/>
        </w:rPr>
      </w:pPr>
      <w:r>
        <w:rPr>
          <w:rFonts w:cs="Segoe UI"/>
          <w:b/>
          <w:bCs/>
          <w:szCs w:val="22"/>
          <w:lang w:val="sk-SK" w:bidi="bo-CN"/>
        </w:rPr>
        <w:t>Výhľad na rok 2021</w:t>
      </w:r>
    </w:p>
    <w:p w14:paraId="5F59D814" w14:textId="77777777" w:rsidR="0019638B" w:rsidRPr="00EB79E9" w:rsidRDefault="0019638B" w:rsidP="0019638B">
      <w:pPr>
        <w:rPr>
          <w:rFonts w:cs="Segoe UI"/>
          <w:b/>
          <w:bCs/>
          <w:szCs w:val="22"/>
          <w:lang w:val="sk-SK"/>
        </w:rPr>
      </w:pPr>
      <w:r>
        <w:rPr>
          <w:rFonts w:cs="Segoe UI"/>
          <w:b/>
          <w:bCs/>
          <w:szCs w:val="22"/>
          <w:lang w:val="sk-SK" w:bidi="bo-CN"/>
        </w:rPr>
        <w:t xml:space="preserve"> </w:t>
      </w:r>
      <w:r w:rsidRPr="00201D97">
        <w:rPr>
          <w:rFonts w:cs="Segoe UI"/>
          <w:b/>
          <w:bCs/>
          <w:i/>
          <w:iCs/>
          <w:szCs w:val="22"/>
          <w:lang w:val="sk-SK" w:bidi="bo-CN"/>
        </w:rPr>
        <w:t>„Aj na začiatku roka 2021 čelíme obrovskej neistote, ako sa bude pandémia ďalej vyvíjať, ako rýchlo bude postupovať očkovanie a ako to ovplyvní rozsiahle obmedzenia zavedené v mnohých krajinách.</w:t>
      </w:r>
      <w:r w:rsidRPr="00201D97">
        <w:rPr>
          <w:rFonts w:cs="Segoe UI"/>
          <w:b/>
          <w:bCs/>
          <w:i/>
          <w:iCs/>
          <w:szCs w:val="22"/>
          <w:lang w:val="sk-SK"/>
        </w:rPr>
        <w:t xml:space="preserve"> </w:t>
      </w:r>
      <w:r w:rsidRPr="00201D97">
        <w:rPr>
          <w:rFonts w:cs="Segoe UI"/>
          <w:b/>
          <w:bCs/>
          <w:i/>
          <w:iCs/>
          <w:szCs w:val="22"/>
          <w:lang w:val="sk-SK" w:bidi="bo-CN"/>
        </w:rPr>
        <w:t xml:space="preserve">Očakávame obnovenie dopytu v priemysle aj </w:t>
      </w:r>
      <w:r w:rsidRPr="00201D97">
        <w:rPr>
          <w:rFonts w:cs="Segoe UI"/>
          <w:b/>
          <w:bCs/>
          <w:i/>
          <w:iCs/>
          <w:szCs w:val="22"/>
          <w:lang w:val="sk-SK" w:bidi="bo-CN"/>
        </w:rPr>
        <w:lastRenderedPageBreak/>
        <w:t>v segmentoch spotrebného tovaru, ktoré sú pre našu spoločnosť rozhodujúce, predovšetkým v segmente profesionálnej vlasovej kozmetiky.</w:t>
      </w:r>
      <w:r w:rsidRPr="00201D97">
        <w:rPr>
          <w:rFonts w:cs="Segoe UI"/>
          <w:b/>
          <w:bCs/>
          <w:i/>
          <w:iCs/>
          <w:szCs w:val="22"/>
          <w:lang w:val="sk-SK"/>
        </w:rPr>
        <w:t xml:space="preserve"> </w:t>
      </w:r>
      <w:r w:rsidRPr="00201D97">
        <w:rPr>
          <w:rFonts w:cs="Segoe UI"/>
          <w:b/>
          <w:bCs/>
          <w:i/>
          <w:iCs/>
          <w:szCs w:val="22"/>
          <w:lang w:val="sk-SK" w:bidi="bo-CN"/>
        </w:rPr>
        <w:t>Zároveň veríme, že spotrebiteľský dopyt sa vráti na normálne úrovne v tých kategóriách, v ktorých v dôsledku pandémie došlo k zvýšeniu dopytu.</w:t>
      </w:r>
      <w:r w:rsidRPr="00201D97">
        <w:rPr>
          <w:rFonts w:cs="Segoe UI"/>
          <w:b/>
          <w:bCs/>
          <w:i/>
          <w:iCs/>
          <w:szCs w:val="22"/>
          <w:lang w:val="sk-SK"/>
        </w:rPr>
        <w:t xml:space="preserve"> </w:t>
      </w:r>
      <w:r w:rsidRPr="00201D97">
        <w:rPr>
          <w:rFonts w:cs="Segoe UI"/>
          <w:b/>
          <w:bCs/>
          <w:i/>
          <w:iCs/>
          <w:szCs w:val="22"/>
          <w:lang w:val="sk-SK" w:bidi="bo-CN"/>
        </w:rPr>
        <w:t>Okrem toho predpokladáme, že súčasné obmedzenia budú v priebehu prvého štvrťroka na mnohých kľúčových trhoch zrušené a že v zvyšnej časti roka už nebude dochádzať k rozsiahlym odstávkam maloobchodných a priemyselných prevádzok a výrobných podnikov,“</w:t>
      </w:r>
      <w:r>
        <w:rPr>
          <w:rFonts w:cs="Segoe UI"/>
          <w:b/>
          <w:bCs/>
          <w:szCs w:val="22"/>
          <w:lang w:val="sk-SK" w:bidi="bo-CN"/>
        </w:rPr>
        <w:t xml:space="preserve"> povedal Carsten </w:t>
      </w:r>
      <w:proofErr w:type="spellStart"/>
      <w:r>
        <w:rPr>
          <w:rFonts w:cs="Segoe UI"/>
          <w:b/>
          <w:bCs/>
          <w:szCs w:val="22"/>
          <w:lang w:val="sk-SK" w:bidi="bo-CN"/>
        </w:rPr>
        <w:t>Knobel</w:t>
      </w:r>
      <w:proofErr w:type="spellEnd"/>
      <w:r>
        <w:rPr>
          <w:rFonts w:cs="Segoe UI"/>
          <w:b/>
          <w:bCs/>
          <w:szCs w:val="22"/>
          <w:lang w:val="sk-SK" w:bidi="bo-CN"/>
        </w:rPr>
        <w:t>.</w:t>
      </w:r>
      <w:r w:rsidRPr="00B83556">
        <w:rPr>
          <w:rFonts w:cs="Segoe UI"/>
          <w:b/>
          <w:bCs/>
          <w:szCs w:val="22"/>
          <w:lang w:val="sk-SK"/>
        </w:rPr>
        <w:t xml:space="preserve"> </w:t>
      </w:r>
    </w:p>
    <w:p w14:paraId="14C37333" w14:textId="77777777" w:rsidR="0019638B" w:rsidRPr="00EB79E9" w:rsidRDefault="0019638B" w:rsidP="0019638B">
      <w:pPr>
        <w:rPr>
          <w:rFonts w:cs="Segoe UI"/>
          <w:b/>
          <w:bCs/>
          <w:szCs w:val="22"/>
          <w:lang w:val="sk-SK"/>
        </w:rPr>
      </w:pPr>
    </w:p>
    <w:p w14:paraId="29272FA4" w14:textId="77777777" w:rsidR="0019638B" w:rsidRPr="00A85A32" w:rsidRDefault="0019638B" w:rsidP="0019638B">
      <w:pPr>
        <w:rPr>
          <w:rFonts w:cs="Segoe UI"/>
          <w:b/>
          <w:bCs/>
          <w:szCs w:val="22"/>
          <w:lang w:val="sk-SK"/>
        </w:rPr>
      </w:pPr>
      <w:r>
        <w:rPr>
          <w:rFonts w:cs="Segoe UI"/>
          <w:b/>
          <w:bCs/>
          <w:szCs w:val="22"/>
          <w:lang w:val="sk-SK" w:bidi="bo-CN"/>
        </w:rPr>
        <w:t>Na základe týchto predpokladov spoločnosť Henkel očakáva vo finančnom roku 2021 rast obratu a výnosov.</w:t>
      </w:r>
      <w:r w:rsidRPr="00B83556">
        <w:rPr>
          <w:rFonts w:cs="Segoe UI"/>
          <w:b/>
          <w:bCs/>
          <w:szCs w:val="22"/>
          <w:lang w:val="sk-SK"/>
        </w:rPr>
        <w:t xml:space="preserve"> </w:t>
      </w:r>
      <w:bookmarkStart w:id="3" w:name="_Hlk62818311"/>
      <w:r>
        <w:rPr>
          <w:rFonts w:cs="Segoe UI"/>
          <w:b/>
          <w:bCs/>
          <w:szCs w:val="22"/>
          <w:lang w:val="sk-SK" w:bidi="bo-CN"/>
        </w:rPr>
        <w:t>Spoločnosť predpokladá organický rast obratu v rozsahu 2,0 až 5,0 percent a zvýšenie upravenej výnosnosti predaja (EBIT) medzi 13,5 a 14,5 percentami.</w:t>
      </w:r>
      <w:r w:rsidRPr="00B83556">
        <w:rPr>
          <w:rFonts w:cs="Segoe UI"/>
          <w:b/>
          <w:bCs/>
          <w:szCs w:val="22"/>
          <w:lang w:val="sk-SK"/>
        </w:rPr>
        <w:t xml:space="preserve"> </w:t>
      </w:r>
      <w:r>
        <w:rPr>
          <w:rFonts w:cs="Segoe UI"/>
          <w:b/>
          <w:bCs/>
          <w:szCs w:val="22"/>
          <w:lang w:val="sk-SK" w:bidi="bo-CN"/>
        </w:rPr>
        <w:t xml:space="preserve">V prípade upravených výnosov na prioritnú akciu (EPS) pri konštantných kurzových spoločnosť Henkel očakáva zvýšenie v rozpätí od 5,0 do 15,0 percent. </w:t>
      </w:r>
    </w:p>
    <w:bookmarkEnd w:id="3"/>
    <w:p w14:paraId="5F5B5E53" w14:textId="77777777" w:rsidR="0019638B" w:rsidRPr="00EB79E9" w:rsidRDefault="0019638B" w:rsidP="0019638B">
      <w:pPr>
        <w:rPr>
          <w:rFonts w:cs="Segoe UI"/>
          <w:b/>
          <w:bCs/>
          <w:szCs w:val="22"/>
          <w:lang w:val="sk-SK"/>
        </w:rPr>
      </w:pPr>
    </w:p>
    <w:p w14:paraId="4F3E7563" w14:textId="77777777" w:rsidR="0019638B" w:rsidRPr="00A85A32" w:rsidRDefault="0019638B" w:rsidP="0019638B">
      <w:pPr>
        <w:spacing w:after="120"/>
        <w:rPr>
          <w:rFonts w:cs="Segoe UI"/>
          <w:b/>
          <w:bCs/>
          <w:szCs w:val="22"/>
          <w:lang w:val="sk-SK" w:eastAsia="de-DE"/>
        </w:rPr>
      </w:pPr>
      <w:r>
        <w:rPr>
          <w:rFonts w:cs="Segoe UI"/>
          <w:b/>
          <w:bCs/>
          <w:szCs w:val="22"/>
          <w:lang w:val="sk-SK" w:bidi="bo-CN"/>
        </w:rPr>
        <w:t>Obrat a výnosy za finančný rok 2020 na úrovni skupiny</w:t>
      </w:r>
    </w:p>
    <w:p w14:paraId="2A2A2BA3" w14:textId="77777777" w:rsidR="0019638B" w:rsidRPr="00CE0ED5" w:rsidRDefault="0019638B" w:rsidP="0019638B">
      <w:pPr>
        <w:rPr>
          <w:rFonts w:cs="Segoe UI"/>
          <w:szCs w:val="22"/>
          <w:lang w:val="sk-SK"/>
        </w:rPr>
      </w:pPr>
      <w:r w:rsidRPr="00A85A32">
        <w:rPr>
          <w:rFonts w:cs="Segoe UI"/>
          <w:b/>
          <w:bCs/>
          <w:szCs w:val="22"/>
          <w:lang w:val="sk-SK" w:bidi="bo-CN"/>
        </w:rPr>
        <w:t>Obrat</w:t>
      </w:r>
      <w:r>
        <w:rPr>
          <w:rFonts w:cs="Segoe UI"/>
          <w:b/>
          <w:bCs/>
          <w:szCs w:val="22"/>
          <w:lang w:val="sk-SK" w:bidi="bo-CN"/>
        </w:rPr>
        <w:t xml:space="preserve"> </w:t>
      </w:r>
      <w:r>
        <w:rPr>
          <w:rFonts w:cs="Segoe UI"/>
          <w:szCs w:val="22"/>
          <w:lang w:val="sk-SK" w:bidi="bo-CN"/>
        </w:rPr>
        <w:t>skupiny Henkel dosiahol vo finančnom roku 2020 hodnotu 19 250 mil. eur, čo predstavuje medziročný pokles o 4,3 %.</w:t>
      </w:r>
      <w:r w:rsidRPr="00A85A32">
        <w:rPr>
          <w:rFonts w:cs="Segoe UI"/>
          <w:szCs w:val="22"/>
          <w:lang w:val="sk-SK"/>
        </w:rPr>
        <w:t xml:space="preserve"> </w:t>
      </w:r>
      <w:r>
        <w:rPr>
          <w:rFonts w:cs="Segoe UI"/>
          <w:b/>
          <w:bCs/>
          <w:szCs w:val="22"/>
          <w:lang w:val="sk-SK" w:bidi="bo-CN"/>
        </w:rPr>
        <w:t xml:space="preserve">Organický </w:t>
      </w:r>
      <w:r w:rsidRPr="00CE0ED5">
        <w:rPr>
          <w:rFonts w:cs="Segoe UI"/>
          <w:szCs w:val="22"/>
          <w:lang w:val="sk-SK" w:bidi="bo-CN"/>
        </w:rPr>
        <w:t>rast obratu, do ktorého sa nezapočítavajú kurzové vplyvy a vplyvy akvizícií a odpredaja, bol mierne záporný na úrovn</w:t>
      </w:r>
      <w:r>
        <w:rPr>
          <w:rFonts w:cs="Segoe UI"/>
          <w:szCs w:val="22"/>
          <w:lang w:val="sk-SK" w:bidi="bo-CN"/>
        </w:rPr>
        <w:t>i</w:t>
      </w:r>
      <w:r w:rsidRPr="00CE0ED5">
        <w:rPr>
          <w:rFonts w:cs="Segoe UI"/>
          <w:szCs w:val="22"/>
          <w:lang w:val="sk-SK" w:bidi="bo-CN"/>
        </w:rPr>
        <w:t xml:space="preserve"> -0,7 %.</w:t>
      </w:r>
      <w:r w:rsidRPr="00CE0ED5"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>Príspevok akvizícií a odpredajov predstavoval 0,3 %.</w:t>
      </w:r>
      <w:r w:rsidRPr="00CE0ED5"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>Kurzový vývoj mal na obrat negatívny vplyv vo výške -3,9%.</w:t>
      </w:r>
    </w:p>
    <w:p w14:paraId="2ED8C96F" w14:textId="77777777" w:rsidR="0019638B" w:rsidRPr="00EB79E9" w:rsidRDefault="0019638B" w:rsidP="0019638B">
      <w:pPr>
        <w:rPr>
          <w:rFonts w:cs="Segoe UI"/>
          <w:szCs w:val="22"/>
          <w:lang w:val="sk-SK"/>
        </w:rPr>
      </w:pPr>
    </w:p>
    <w:p w14:paraId="4DB46A29" w14:textId="77777777" w:rsidR="0019638B" w:rsidRPr="00CE0ED5" w:rsidRDefault="0019638B" w:rsidP="0019638B">
      <w:pPr>
        <w:rPr>
          <w:rFonts w:cs="Segoe UI"/>
          <w:szCs w:val="22"/>
          <w:lang w:val="sk-SK"/>
        </w:rPr>
      </w:pPr>
      <w:r>
        <w:rPr>
          <w:rFonts w:cs="Segoe UI"/>
          <w:szCs w:val="22"/>
          <w:lang w:val="sk-SK" w:bidi="bo-CN"/>
        </w:rPr>
        <w:t xml:space="preserve">Vo svetle výrazného prepadu dopytu medzi kľúčovými priemyselnými zákazníkmi, ktorý bol dôsledkom pandémie ochorenia COVID-19, obchodná divízia </w:t>
      </w:r>
      <w:r>
        <w:rPr>
          <w:rFonts w:cs="Segoe UI"/>
          <w:b/>
          <w:bCs/>
          <w:szCs w:val="22"/>
          <w:lang w:val="sk-SK" w:bidi="bo-CN"/>
        </w:rPr>
        <w:t xml:space="preserve">Adhesive Technologies </w:t>
      </w:r>
      <w:r>
        <w:rPr>
          <w:rFonts w:cs="Segoe UI"/>
          <w:szCs w:val="22"/>
          <w:lang w:val="sk-SK" w:bidi="bo-CN"/>
        </w:rPr>
        <w:t>vykázala záporný rast organického obratu na úrovni -4,2 %.</w:t>
      </w:r>
      <w:r w:rsidRPr="00CE0ED5"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 xml:space="preserve">V prípade divízie </w:t>
      </w:r>
      <w:proofErr w:type="spellStart"/>
      <w:r>
        <w:rPr>
          <w:rFonts w:cs="Segoe UI"/>
          <w:b/>
          <w:bCs/>
          <w:szCs w:val="22"/>
          <w:lang w:val="sk-SK" w:bidi="bo-CN"/>
        </w:rPr>
        <w:t>Beauty</w:t>
      </w:r>
      <w:proofErr w:type="spellEnd"/>
      <w:r>
        <w:rPr>
          <w:rFonts w:cs="Segoe UI"/>
          <w:b/>
          <w:bCs/>
          <w:szCs w:val="22"/>
          <w:lang w:val="sk-SK" w:bidi="bo-CN"/>
        </w:rPr>
        <w:t xml:space="preserve"> </w:t>
      </w:r>
      <w:proofErr w:type="spellStart"/>
      <w:r>
        <w:rPr>
          <w:rFonts w:cs="Segoe UI"/>
          <w:b/>
          <w:bCs/>
          <w:szCs w:val="22"/>
          <w:lang w:val="sk-SK" w:bidi="bo-CN"/>
        </w:rPr>
        <w:t>Care</w:t>
      </w:r>
      <w:proofErr w:type="spellEnd"/>
      <w:r>
        <w:rPr>
          <w:rFonts w:cs="Segoe UI"/>
          <w:b/>
          <w:bCs/>
          <w:szCs w:val="22"/>
          <w:lang w:val="sk-SK" w:bidi="bo-CN"/>
        </w:rPr>
        <w:t xml:space="preserve"> </w:t>
      </w:r>
      <w:r>
        <w:rPr>
          <w:rFonts w:cs="Segoe UI"/>
          <w:szCs w:val="22"/>
          <w:lang w:val="sk-SK" w:bidi="bo-CN"/>
        </w:rPr>
        <w:t>sa organický obrat medziročne znížil o 2,8 % predovšetkým v dôsledku nepriaznivého vývoja v segmente profesionálnej vlasovej kozmetiky v mnohých kľúčových regiónoch a trhoch, ktorý bol spôsobený pandémiou, zatiaľ čo maloobchod zaznamena</w:t>
      </w:r>
      <w:r w:rsidRPr="000969A5">
        <w:rPr>
          <w:rFonts w:cs="Segoe UI"/>
          <w:szCs w:val="22"/>
          <w:lang w:val="sk-SK" w:bidi="bo-CN"/>
        </w:rPr>
        <w:t>l kladný rast.</w:t>
      </w:r>
      <w:r w:rsidRPr="00CE0ED5"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 xml:space="preserve">Divízia </w:t>
      </w:r>
      <w:r w:rsidRPr="00EB79E9">
        <w:rPr>
          <w:rFonts w:cs="Segoe UI"/>
          <w:b/>
          <w:bCs/>
          <w:szCs w:val="22"/>
          <w:lang w:val="sk-SK" w:bidi="bo-CN"/>
        </w:rPr>
        <w:t xml:space="preserve">Laundry &amp; Home </w:t>
      </w:r>
      <w:proofErr w:type="spellStart"/>
      <w:r w:rsidRPr="00EB79E9">
        <w:rPr>
          <w:rFonts w:cs="Segoe UI"/>
          <w:b/>
          <w:bCs/>
          <w:szCs w:val="22"/>
          <w:lang w:val="sk-SK" w:bidi="bo-CN"/>
        </w:rPr>
        <w:t>Care</w:t>
      </w:r>
      <w:proofErr w:type="spellEnd"/>
      <w:r>
        <w:rPr>
          <w:rFonts w:cs="Segoe UI"/>
          <w:szCs w:val="22"/>
          <w:lang w:val="sk-SK" w:bidi="bo-CN"/>
        </w:rPr>
        <w:t xml:space="preserve"> dosiahla veľmi silný organický rast obratu na úrovni 5,6 %.</w:t>
      </w:r>
      <w:r w:rsidRPr="00CE0ED5"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>Tento vývoj bol podporený najmä výraznými inováciami a zvýšeným dopytom po hygienických produktoch, ktorý súvisel s pandémiou.</w:t>
      </w:r>
    </w:p>
    <w:p w14:paraId="1D5981A3" w14:textId="77777777" w:rsidR="0019638B" w:rsidRPr="00EB79E9" w:rsidRDefault="0019638B" w:rsidP="0019638B">
      <w:pPr>
        <w:rPr>
          <w:rFonts w:cs="Segoe UI"/>
          <w:b/>
          <w:bCs/>
          <w:szCs w:val="22"/>
          <w:lang w:val="sk-SK"/>
        </w:rPr>
      </w:pPr>
    </w:p>
    <w:p w14:paraId="0DCEFC6C" w14:textId="77777777" w:rsidR="0019638B" w:rsidRPr="006A2F75" w:rsidRDefault="0019638B" w:rsidP="0019638B">
      <w:pPr>
        <w:rPr>
          <w:rFonts w:cs="Segoe UI"/>
          <w:szCs w:val="22"/>
          <w:lang w:val="sk-SK"/>
        </w:rPr>
      </w:pPr>
      <w:r>
        <w:rPr>
          <w:rFonts w:cs="Segoe UI"/>
          <w:b/>
          <w:bCs/>
          <w:szCs w:val="22"/>
          <w:lang w:val="sk-SK" w:bidi="bo-CN"/>
        </w:rPr>
        <w:t xml:space="preserve">Rozvíjajúce sa trhy </w:t>
      </w:r>
      <w:r w:rsidRPr="00CE0ED5">
        <w:rPr>
          <w:rFonts w:cs="Segoe UI"/>
          <w:szCs w:val="22"/>
          <w:lang w:val="sk-SK" w:bidi="bo-CN"/>
        </w:rPr>
        <w:t>zaznamenali organický rast obratu vo výške 3,0 %,</w:t>
      </w:r>
      <w:r w:rsidRPr="00CE0ED5">
        <w:rPr>
          <w:rFonts w:cs="Segoe UI"/>
          <w:szCs w:val="22"/>
          <w:lang w:val="sk-SK"/>
        </w:rPr>
        <w:t xml:space="preserve"> </w:t>
      </w:r>
      <w:r w:rsidRPr="00CE0ED5">
        <w:rPr>
          <w:rFonts w:cs="Segoe UI"/>
          <w:szCs w:val="22"/>
          <w:lang w:val="sk-SK" w:bidi="bo-CN"/>
        </w:rPr>
        <w:t xml:space="preserve">kým </w:t>
      </w:r>
      <w:r w:rsidRPr="00CE0ED5">
        <w:rPr>
          <w:rFonts w:cs="Segoe UI"/>
          <w:b/>
          <w:bCs/>
          <w:szCs w:val="22"/>
          <w:lang w:val="sk-SK" w:bidi="bo-CN"/>
        </w:rPr>
        <w:t>vyspelé trhy</w:t>
      </w:r>
      <w:r w:rsidRPr="00CE0ED5">
        <w:rPr>
          <w:rFonts w:cs="Segoe UI"/>
          <w:szCs w:val="22"/>
          <w:lang w:val="sk-SK" w:bidi="bo-CN"/>
        </w:rPr>
        <w:t xml:space="preserve"> vykázali negatívny vývoj organického obratu na úrovni -3,2 %.</w:t>
      </w:r>
    </w:p>
    <w:p w14:paraId="58B6632C" w14:textId="77777777" w:rsidR="0019638B" w:rsidRPr="00EB79E9" w:rsidRDefault="0019638B" w:rsidP="0019638B">
      <w:pPr>
        <w:rPr>
          <w:rFonts w:cs="Segoe UI"/>
          <w:szCs w:val="22"/>
          <w:lang w:val="sk-SK"/>
        </w:rPr>
      </w:pPr>
    </w:p>
    <w:p w14:paraId="680761B4" w14:textId="77777777" w:rsidR="0019638B" w:rsidRPr="006A2F75" w:rsidRDefault="0019638B" w:rsidP="0019638B">
      <w:pPr>
        <w:rPr>
          <w:rFonts w:cs="Segoe UI"/>
          <w:szCs w:val="22"/>
          <w:lang w:val="sk-SK"/>
        </w:rPr>
      </w:pPr>
      <w:r>
        <w:rPr>
          <w:rFonts w:cs="Segoe UI"/>
          <w:szCs w:val="22"/>
          <w:lang w:val="sk-SK" w:bidi="bo-CN"/>
        </w:rPr>
        <w:t xml:space="preserve">Na </w:t>
      </w:r>
      <w:r w:rsidRPr="006A2F75">
        <w:rPr>
          <w:rFonts w:cs="Segoe UI"/>
          <w:b/>
          <w:bCs/>
          <w:szCs w:val="22"/>
          <w:lang w:val="sk-SK" w:bidi="bo-CN"/>
        </w:rPr>
        <w:t>západoeurópskych trho</w:t>
      </w:r>
      <w:r>
        <w:rPr>
          <w:rFonts w:cs="Segoe UI"/>
          <w:b/>
          <w:bCs/>
          <w:szCs w:val="22"/>
          <w:lang w:val="sk-SK" w:bidi="bo-CN"/>
        </w:rPr>
        <w:t xml:space="preserve">ch, </w:t>
      </w:r>
      <w:r>
        <w:rPr>
          <w:rFonts w:cs="Segoe UI"/>
          <w:szCs w:val="22"/>
          <w:lang w:val="sk-SK" w:bidi="bo-CN"/>
        </w:rPr>
        <w:t>kde aj naďalej pretrváva vysoko konkurenčné prostredie, klesol organický obrat o 4,4 %.</w:t>
      </w:r>
      <w:r w:rsidRPr="006A2F75">
        <w:rPr>
          <w:rFonts w:cs="Segoe UI"/>
          <w:szCs w:val="22"/>
          <w:lang w:val="sk-SK"/>
        </w:rPr>
        <w:t xml:space="preserve"> </w:t>
      </w:r>
      <w:r>
        <w:rPr>
          <w:rFonts w:cs="Segoe UI"/>
          <w:b/>
          <w:bCs/>
          <w:szCs w:val="22"/>
          <w:lang w:val="sk-SK" w:bidi="bo-CN"/>
        </w:rPr>
        <w:t xml:space="preserve">Východná Európa </w:t>
      </w:r>
      <w:r>
        <w:rPr>
          <w:rFonts w:cs="Segoe UI"/>
          <w:szCs w:val="22"/>
          <w:lang w:val="sk-SK" w:bidi="bo-CN"/>
        </w:rPr>
        <w:t xml:space="preserve">zaznamenala nárast </w:t>
      </w:r>
      <w:r w:rsidRPr="006A2F75">
        <w:rPr>
          <w:rFonts w:cs="Segoe UI"/>
          <w:szCs w:val="22"/>
          <w:lang w:val="sk-SK" w:bidi="bo-CN"/>
        </w:rPr>
        <w:t xml:space="preserve">organického obratu </w:t>
      </w:r>
      <w:r>
        <w:rPr>
          <w:rFonts w:cs="Segoe UI"/>
          <w:szCs w:val="22"/>
          <w:lang w:val="sk-SK" w:bidi="bo-CN"/>
        </w:rPr>
        <w:t xml:space="preserve">o </w:t>
      </w:r>
      <w:r w:rsidRPr="006A2F75">
        <w:rPr>
          <w:rFonts w:cs="Segoe UI"/>
          <w:szCs w:val="22"/>
          <w:lang w:val="sk-SK" w:bidi="bo-CN"/>
        </w:rPr>
        <w:t>7,1 %</w:t>
      </w:r>
      <w:r>
        <w:rPr>
          <w:rFonts w:cs="Segoe UI"/>
          <w:szCs w:val="22"/>
          <w:lang w:val="sk-SK" w:bidi="bo-CN"/>
        </w:rPr>
        <w:t>,</w:t>
      </w:r>
      <w:r w:rsidRPr="006A2F75"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 xml:space="preserve">v </w:t>
      </w:r>
      <w:r w:rsidRPr="006A2F75">
        <w:rPr>
          <w:rFonts w:cs="Segoe UI"/>
          <w:b/>
          <w:bCs/>
          <w:szCs w:val="22"/>
          <w:lang w:val="sk-SK" w:bidi="bo-CN"/>
        </w:rPr>
        <w:t>Afrike a na Strednom východe</w:t>
      </w:r>
      <w:r>
        <w:rPr>
          <w:rFonts w:cs="Segoe UI"/>
          <w:szCs w:val="22"/>
          <w:lang w:val="sk-SK" w:bidi="bo-CN"/>
        </w:rPr>
        <w:t xml:space="preserve"> sa obrat organicky zvýšil o 7.0 %.</w:t>
      </w:r>
      <w:r w:rsidRPr="006A2F75">
        <w:rPr>
          <w:rFonts w:cs="Segoe UI"/>
          <w:szCs w:val="22"/>
          <w:lang w:val="sk-SK"/>
        </w:rPr>
        <w:t xml:space="preserve"> </w:t>
      </w:r>
      <w:r w:rsidRPr="006A2F75">
        <w:rPr>
          <w:rFonts w:cs="Segoe UI"/>
          <w:szCs w:val="22"/>
          <w:lang w:val="sk-SK" w:bidi="bo-CN"/>
        </w:rPr>
        <w:t>Na</w:t>
      </w:r>
      <w:r>
        <w:rPr>
          <w:rFonts w:cs="Segoe UI"/>
          <w:b/>
          <w:bCs/>
          <w:szCs w:val="22"/>
          <w:lang w:val="sk-SK" w:bidi="bo-CN"/>
        </w:rPr>
        <w:t xml:space="preserve"> severoamerických trhoch </w:t>
      </w:r>
      <w:r w:rsidRPr="006A2F75">
        <w:rPr>
          <w:rFonts w:cs="Segoe UI"/>
          <w:szCs w:val="22"/>
          <w:lang w:val="sk-SK" w:bidi="bo-CN"/>
        </w:rPr>
        <w:t>bol vývoj organického obratu záporný na úrovni -2,2 %.</w:t>
      </w:r>
      <w:r w:rsidRPr="006A2F75"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>V </w:t>
      </w:r>
      <w:r w:rsidRPr="006A2F75">
        <w:rPr>
          <w:rFonts w:cs="Segoe UI"/>
          <w:b/>
          <w:bCs/>
          <w:szCs w:val="22"/>
          <w:lang w:val="sk-SK" w:bidi="bo-CN"/>
        </w:rPr>
        <w:t>Latinskej Amerike</w:t>
      </w:r>
      <w:r>
        <w:rPr>
          <w:rFonts w:cs="Segoe UI"/>
          <w:szCs w:val="22"/>
          <w:lang w:val="sk-SK" w:bidi="bo-CN"/>
        </w:rPr>
        <w:t xml:space="preserve"> sa </w:t>
      </w:r>
      <w:r>
        <w:rPr>
          <w:rFonts w:cs="Segoe UI"/>
          <w:szCs w:val="22"/>
          <w:lang w:val="sk-SK" w:bidi="bo-CN"/>
        </w:rPr>
        <w:lastRenderedPageBreak/>
        <w:t>organický obrat mierne znížil o 0,5 %.</w:t>
      </w:r>
      <w:r w:rsidRPr="006A2F75"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>V</w:t>
      </w:r>
      <w:r w:rsidRPr="006A2F75">
        <w:rPr>
          <w:rFonts w:cs="Segoe UI"/>
          <w:szCs w:val="22"/>
          <w:lang w:val="sk-SK" w:bidi="bo-CN"/>
        </w:rPr>
        <w:t xml:space="preserve"> </w:t>
      </w:r>
      <w:r w:rsidRPr="006A2F75">
        <w:rPr>
          <w:rFonts w:cs="Segoe UI"/>
          <w:b/>
          <w:bCs/>
          <w:szCs w:val="22"/>
          <w:lang w:val="sk-SK" w:bidi="bo-CN"/>
        </w:rPr>
        <w:t xml:space="preserve">ázijsko-pacifickom </w:t>
      </w:r>
      <w:r w:rsidRPr="006A2F75">
        <w:rPr>
          <w:rFonts w:cs="Segoe UI"/>
          <w:szCs w:val="22"/>
          <w:lang w:val="sk-SK" w:bidi="bo-CN"/>
        </w:rPr>
        <w:t>regióne obrat organicky klesol o 1,6 %.</w:t>
      </w:r>
    </w:p>
    <w:p w14:paraId="7E3C249B" w14:textId="77777777" w:rsidR="0019638B" w:rsidRPr="00EB79E9" w:rsidRDefault="0019638B" w:rsidP="0019638B">
      <w:pPr>
        <w:rPr>
          <w:rFonts w:cs="Segoe UI"/>
          <w:b/>
          <w:bCs/>
          <w:szCs w:val="22"/>
          <w:lang w:val="sk-SK"/>
        </w:rPr>
      </w:pPr>
    </w:p>
    <w:p w14:paraId="645555ED" w14:textId="77777777" w:rsidR="0019638B" w:rsidRPr="005C119A" w:rsidRDefault="0019638B" w:rsidP="0019638B">
      <w:pPr>
        <w:rPr>
          <w:rFonts w:cs="Segoe UI"/>
          <w:szCs w:val="22"/>
          <w:lang w:val="sk-SK"/>
        </w:rPr>
      </w:pPr>
      <w:r>
        <w:rPr>
          <w:rFonts w:cs="Segoe UI"/>
          <w:b/>
          <w:bCs/>
          <w:szCs w:val="22"/>
          <w:lang w:val="sk-SK" w:bidi="bo-CN"/>
        </w:rPr>
        <w:t xml:space="preserve">Upravený prevádzkový zisk (upravený zisk EBIT) </w:t>
      </w:r>
      <w:r>
        <w:rPr>
          <w:rFonts w:cs="Segoe UI"/>
          <w:szCs w:val="22"/>
          <w:lang w:val="sk-SK" w:bidi="bo-CN"/>
        </w:rPr>
        <w:t>dosiahol v roku 2020 hodnotu 2 579 mil. eur v porovnaní s 3 220 mil. eur vo finančnom roku 2019 (-19,9 %).</w:t>
      </w:r>
      <w:r>
        <w:rPr>
          <w:rFonts w:cs="Segoe UI"/>
          <w:b/>
          <w:bCs/>
          <w:szCs w:val="22"/>
          <w:lang w:val="sk-SK" w:bidi="bo-CN"/>
        </w:rPr>
        <w:t xml:space="preserve"> </w:t>
      </w:r>
    </w:p>
    <w:p w14:paraId="38CE5C9C" w14:textId="77777777" w:rsidR="0019638B" w:rsidRPr="00EB79E9" w:rsidRDefault="0019638B" w:rsidP="0019638B">
      <w:pPr>
        <w:rPr>
          <w:rFonts w:cs="Segoe UI"/>
          <w:szCs w:val="22"/>
          <w:lang w:val="sk-SK"/>
        </w:rPr>
      </w:pPr>
    </w:p>
    <w:p w14:paraId="5FC39BA5" w14:textId="77777777" w:rsidR="0019638B" w:rsidRPr="003342F3" w:rsidRDefault="0019638B" w:rsidP="0019638B">
      <w:pPr>
        <w:rPr>
          <w:rFonts w:cs="Segoe UI"/>
          <w:szCs w:val="22"/>
          <w:lang w:val="sk-SK"/>
        </w:rPr>
      </w:pPr>
      <w:r>
        <w:rPr>
          <w:rFonts w:cs="Segoe UI"/>
          <w:b/>
          <w:bCs/>
          <w:szCs w:val="22"/>
          <w:lang w:val="sk-SK" w:bidi="bo-CN"/>
        </w:rPr>
        <w:t>Upravená výnosnosť predaja (upravená marža EBIT)</w:t>
      </w:r>
      <w:r w:rsidRPr="005C119A">
        <w:rPr>
          <w:rFonts w:cs="Segoe UI"/>
          <w:szCs w:val="22"/>
          <w:lang w:val="sk-SK" w:bidi="bo-CN"/>
        </w:rPr>
        <w:t xml:space="preserve"> </w:t>
      </w:r>
      <w:r>
        <w:rPr>
          <w:rFonts w:cs="Segoe UI"/>
          <w:szCs w:val="22"/>
          <w:lang w:val="sk-SK" w:bidi="bo-CN"/>
        </w:rPr>
        <w:t>dosiahla 13,4 %, teda medziročne zaostala o 2,6 percentuálneho bodu</w:t>
      </w:r>
      <w:r w:rsidRPr="005C119A">
        <w:rPr>
          <w:rFonts w:cs="Segoe UI"/>
          <w:szCs w:val="22"/>
          <w:lang w:val="sk-SK" w:bidi="bo-CN"/>
        </w:rPr>
        <w:t>.</w:t>
      </w:r>
      <w:r w:rsidRPr="000546C8"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 xml:space="preserve">Uvedené zníženie bolo spôsobené aj vyššími investíciami do marketingu a reklamy a do digitalizácie a IT. </w:t>
      </w:r>
    </w:p>
    <w:p w14:paraId="6E36F403" w14:textId="77777777" w:rsidR="0019638B" w:rsidRPr="00EB79E9" w:rsidRDefault="0019638B" w:rsidP="0019638B">
      <w:pPr>
        <w:rPr>
          <w:rFonts w:cs="Segoe UI"/>
          <w:szCs w:val="22"/>
          <w:lang w:val="sk-SK"/>
        </w:rPr>
      </w:pPr>
    </w:p>
    <w:p w14:paraId="4D3C0695" w14:textId="77777777" w:rsidR="0019638B" w:rsidRPr="00793F08" w:rsidRDefault="0019638B" w:rsidP="0019638B">
      <w:pPr>
        <w:rPr>
          <w:rFonts w:cs="Segoe UI"/>
          <w:szCs w:val="22"/>
          <w:lang w:val="sk-SK"/>
        </w:rPr>
      </w:pPr>
      <w:r>
        <w:rPr>
          <w:rFonts w:cs="Segoe UI"/>
          <w:b/>
          <w:bCs/>
          <w:szCs w:val="22"/>
          <w:lang w:val="sk-SK" w:bidi="bo-CN"/>
        </w:rPr>
        <w:t xml:space="preserve">Upravený výnos na prioritnú akciu </w:t>
      </w:r>
      <w:r w:rsidRPr="003342F3">
        <w:rPr>
          <w:rFonts w:cs="Segoe UI"/>
          <w:szCs w:val="22"/>
          <w:lang w:val="sk-SK" w:bidi="bo-CN"/>
        </w:rPr>
        <w:t>sa znížil o</w:t>
      </w:r>
      <w:r>
        <w:rPr>
          <w:rFonts w:cs="Segoe UI"/>
          <w:szCs w:val="22"/>
          <w:lang w:val="sk-SK" w:bidi="bo-CN"/>
        </w:rPr>
        <w:t> </w:t>
      </w:r>
      <w:r w:rsidRPr="003342F3">
        <w:rPr>
          <w:rFonts w:cs="Segoe UI"/>
          <w:szCs w:val="22"/>
          <w:lang w:val="sk-SK" w:bidi="bo-CN"/>
        </w:rPr>
        <w:t>21</w:t>
      </w:r>
      <w:r>
        <w:rPr>
          <w:rFonts w:cs="Segoe UI"/>
          <w:szCs w:val="22"/>
          <w:lang w:val="sk-SK" w:bidi="bo-CN"/>
        </w:rPr>
        <w:t>,</w:t>
      </w:r>
      <w:r w:rsidRPr="003342F3">
        <w:rPr>
          <w:rFonts w:cs="Segoe UI"/>
          <w:szCs w:val="22"/>
          <w:lang w:val="sk-SK" w:bidi="bo-CN"/>
        </w:rPr>
        <w:t>5</w:t>
      </w:r>
      <w:r>
        <w:rPr>
          <w:rFonts w:cs="Segoe UI"/>
          <w:szCs w:val="22"/>
          <w:lang w:val="sk-SK" w:bidi="bo-CN"/>
        </w:rPr>
        <w:t> </w:t>
      </w:r>
      <w:r w:rsidRPr="003342F3">
        <w:rPr>
          <w:rFonts w:cs="Segoe UI"/>
          <w:szCs w:val="22"/>
          <w:lang w:val="sk-SK" w:bidi="bo-CN"/>
        </w:rPr>
        <w:t>% z 5,43 eura vo finančnom roku 2019 na</w:t>
      </w:r>
      <w:r>
        <w:rPr>
          <w:rFonts w:cs="Segoe UI"/>
          <w:szCs w:val="22"/>
          <w:lang w:val="sk-SK" w:bidi="bo-CN"/>
        </w:rPr>
        <w:t> </w:t>
      </w:r>
      <w:r w:rsidRPr="003342F3">
        <w:rPr>
          <w:rFonts w:cs="Segoe UI"/>
          <w:szCs w:val="22"/>
          <w:lang w:val="sk-SK" w:bidi="bo-CN"/>
        </w:rPr>
        <w:t>4,26</w:t>
      </w:r>
      <w:r>
        <w:rPr>
          <w:rFonts w:cs="Segoe UI"/>
          <w:szCs w:val="22"/>
          <w:lang w:val="sk-SK" w:bidi="bo-CN"/>
        </w:rPr>
        <w:t> </w:t>
      </w:r>
      <w:r w:rsidRPr="003342F3">
        <w:rPr>
          <w:rFonts w:cs="Segoe UI"/>
          <w:szCs w:val="22"/>
          <w:lang w:val="sk-SK" w:bidi="bo-CN"/>
        </w:rPr>
        <w:t>eura</w:t>
      </w:r>
      <w:r>
        <w:rPr>
          <w:rFonts w:cs="Segoe UI"/>
          <w:szCs w:val="22"/>
          <w:lang w:val="sk-SK" w:bidi="bo-CN"/>
        </w:rPr>
        <w:t xml:space="preserve"> v roku 2020</w:t>
      </w:r>
      <w:r w:rsidRPr="003342F3">
        <w:rPr>
          <w:rFonts w:cs="Segoe UI"/>
          <w:szCs w:val="22"/>
          <w:lang w:val="sk-SK" w:bidi="bo-CN"/>
        </w:rPr>
        <w:t>.</w:t>
      </w:r>
      <w:r w:rsidRPr="00174848"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>Pri konštantných kurzových sadzbách klesol upravený výnos na prioritnú akciu o 17,9 %.</w:t>
      </w:r>
    </w:p>
    <w:p w14:paraId="12D566C3" w14:textId="77777777" w:rsidR="0019638B" w:rsidRPr="00EB79E9" w:rsidRDefault="0019638B" w:rsidP="0019638B">
      <w:pPr>
        <w:rPr>
          <w:rFonts w:cs="Segoe UI"/>
          <w:szCs w:val="22"/>
          <w:lang w:val="sk-SK"/>
        </w:rPr>
      </w:pPr>
    </w:p>
    <w:p w14:paraId="1FD3F825" w14:textId="77777777" w:rsidR="0019638B" w:rsidRPr="00793F08" w:rsidRDefault="0019638B" w:rsidP="0019638B">
      <w:pPr>
        <w:rPr>
          <w:rFonts w:cs="Segoe UI"/>
          <w:szCs w:val="22"/>
          <w:lang w:val="sk-SK"/>
        </w:rPr>
      </w:pPr>
      <w:r w:rsidRPr="00B87127">
        <w:rPr>
          <w:rFonts w:cs="Segoe UI"/>
          <w:b/>
          <w:bCs/>
          <w:szCs w:val="22"/>
          <w:lang w:val="sk-SK" w:bidi="bo-CN"/>
        </w:rPr>
        <w:t xml:space="preserve">Pomer čistého prevádzkového kapitálu </w:t>
      </w:r>
      <w:r w:rsidRPr="00B87127">
        <w:rPr>
          <w:rFonts w:cs="Segoe UI"/>
          <w:szCs w:val="22"/>
          <w:lang w:val="sk-SK" w:bidi="bo-CN"/>
        </w:rPr>
        <w:t xml:space="preserve">k obratu sa </w:t>
      </w:r>
      <w:r>
        <w:rPr>
          <w:rFonts w:cs="Segoe UI"/>
          <w:szCs w:val="22"/>
          <w:lang w:val="sk-SK" w:bidi="bo-CN"/>
        </w:rPr>
        <w:t xml:space="preserve">výrazne </w:t>
      </w:r>
      <w:r w:rsidRPr="00B87127">
        <w:rPr>
          <w:rFonts w:cs="Segoe UI"/>
          <w:szCs w:val="22"/>
          <w:lang w:val="sk-SK" w:bidi="bo-CN"/>
        </w:rPr>
        <w:t xml:space="preserve">zlepšil na </w:t>
      </w:r>
      <w:r>
        <w:rPr>
          <w:rFonts w:cs="Segoe UI"/>
          <w:szCs w:val="22"/>
          <w:lang w:val="sk-SK" w:bidi="bo-CN"/>
        </w:rPr>
        <w:t xml:space="preserve">úroveň </w:t>
      </w:r>
      <w:r w:rsidRPr="00B87127">
        <w:rPr>
          <w:rFonts w:cs="Segoe UI"/>
          <w:szCs w:val="22"/>
          <w:lang w:val="sk-SK" w:bidi="bo-CN"/>
        </w:rPr>
        <w:t>0,7 % v porovnaní s 3,9 % v predchádzajúcom roku.</w:t>
      </w:r>
    </w:p>
    <w:p w14:paraId="21E36ADA" w14:textId="77777777" w:rsidR="0019638B" w:rsidRPr="00EB79E9" w:rsidRDefault="0019638B" w:rsidP="0019638B">
      <w:pPr>
        <w:rPr>
          <w:rFonts w:cs="Segoe UI"/>
          <w:szCs w:val="22"/>
          <w:lang w:val="sk-SK"/>
        </w:rPr>
      </w:pPr>
    </w:p>
    <w:p w14:paraId="2C86E4A5" w14:textId="77777777" w:rsidR="0019638B" w:rsidRPr="0039468B" w:rsidRDefault="0019638B" w:rsidP="0019638B">
      <w:pPr>
        <w:autoSpaceDE w:val="0"/>
        <w:autoSpaceDN w:val="0"/>
        <w:adjustRightInd w:val="0"/>
        <w:rPr>
          <w:rFonts w:cs="Segoe UI"/>
          <w:szCs w:val="22"/>
          <w:lang w:val="sk-SK"/>
        </w:rPr>
      </w:pPr>
      <w:r>
        <w:rPr>
          <w:rFonts w:cs="Segoe UI"/>
          <w:b/>
          <w:szCs w:val="22"/>
          <w:lang w:val="sk-SK" w:bidi="bo-CN"/>
        </w:rPr>
        <w:t xml:space="preserve">Voľný cash </w:t>
      </w:r>
      <w:proofErr w:type="spellStart"/>
      <w:r>
        <w:rPr>
          <w:rFonts w:cs="Segoe UI"/>
          <w:b/>
          <w:szCs w:val="22"/>
          <w:lang w:val="sk-SK" w:bidi="bo-CN"/>
        </w:rPr>
        <w:t>flow</w:t>
      </w:r>
      <w:proofErr w:type="spellEnd"/>
      <w:r>
        <w:rPr>
          <w:rFonts w:cs="Segoe UI"/>
          <w:b/>
          <w:szCs w:val="22"/>
          <w:lang w:val="sk-SK" w:bidi="bo-CN"/>
        </w:rPr>
        <w:t xml:space="preserve"> </w:t>
      </w:r>
      <w:r>
        <w:rPr>
          <w:rFonts w:cs="Segoe UI"/>
          <w:bCs/>
          <w:szCs w:val="22"/>
          <w:lang w:val="sk-SK" w:bidi="bo-CN"/>
        </w:rPr>
        <w:t>zostal veľmi silný,</w:t>
      </w:r>
      <w:r w:rsidRPr="00793F08"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>keď dosiahol 2 338 mil. eur a takmer sa vyrovnal svojej hodnote z predchádzajúceho roka (2019: 2 471 mil. eur).</w:t>
      </w:r>
    </w:p>
    <w:p w14:paraId="4DFE514D" w14:textId="77777777" w:rsidR="0019638B" w:rsidRPr="00EB79E9" w:rsidRDefault="0019638B" w:rsidP="0019638B">
      <w:pPr>
        <w:rPr>
          <w:rFonts w:cs="Segoe UI"/>
          <w:szCs w:val="22"/>
          <w:lang w:val="sk-SK"/>
        </w:rPr>
      </w:pPr>
    </w:p>
    <w:p w14:paraId="3081DC21" w14:textId="77777777" w:rsidR="0019638B" w:rsidRPr="004255CD" w:rsidRDefault="0019638B" w:rsidP="0019638B">
      <w:pPr>
        <w:rPr>
          <w:rFonts w:cs="Segoe UI"/>
          <w:szCs w:val="22"/>
          <w:lang w:val="sk-SK"/>
        </w:rPr>
      </w:pPr>
      <w:r w:rsidRPr="00B805B0">
        <w:rPr>
          <w:rFonts w:cs="Segoe UI"/>
          <w:b/>
          <w:bCs/>
          <w:szCs w:val="22"/>
          <w:lang w:val="sk-SK" w:bidi="bo-CN"/>
        </w:rPr>
        <w:t>Čistá finančná pozícia</w:t>
      </w:r>
      <w:r>
        <w:rPr>
          <w:rFonts w:cs="Segoe UI"/>
          <w:szCs w:val="22"/>
          <w:lang w:val="sk-SK" w:bidi="bo-CN"/>
        </w:rPr>
        <w:t xml:space="preserve"> spoločnosti Henkel sa výrazne zlepšila a k 31. decembru 2020 predstavovala -888 mil. eur (k 31. decembru 2019: -2 047 mil. eur).</w:t>
      </w:r>
    </w:p>
    <w:p w14:paraId="00E699B6" w14:textId="77777777" w:rsidR="0019638B" w:rsidRPr="00EB79E9" w:rsidRDefault="0019638B" w:rsidP="0019638B">
      <w:pPr>
        <w:rPr>
          <w:rFonts w:cs="Segoe UI"/>
          <w:szCs w:val="22"/>
          <w:lang w:val="sk-SK"/>
        </w:rPr>
      </w:pPr>
    </w:p>
    <w:p w14:paraId="29A385AE" w14:textId="77777777" w:rsidR="0019638B" w:rsidRPr="00D76444" w:rsidRDefault="0019638B" w:rsidP="0019638B">
      <w:pPr>
        <w:rPr>
          <w:rFonts w:cs="Segoe UI"/>
          <w:szCs w:val="22"/>
          <w:lang w:val="sk-SK"/>
        </w:rPr>
      </w:pPr>
      <w:r>
        <w:rPr>
          <w:rFonts w:cs="Segoe UI"/>
          <w:szCs w:val="22"/>
          <w:lang w:val="sk-SK" w:bidi="bo-CN"/>
        </w:rPr>
        <w:t xml:space="preserve">Predstavenstvo, dozorná rada a výbor akcionárov predložia výročnému valnému zhromaždeniu, ktoré sa bude konať 16. apríla 2021, návrh na vyplatenie </w:t>
      </w:r>
      <w:r w:rsidRPr="00EB79E9">
        <w:rPr>
          <w:rFonts w:cs="Segoe UI"/>
          <w:b/>
          <w:bCs/>
          <w:szCs w:val="22"/>
          <w:lang w:val="sk-SK" w:bidi="bo-CN"/>
        </w:rPr>
        <w:t>dividend</w:t>
      </w:r>
      <w:r>
        <w:rPr>
          <w:rFonts w:cs="Segoe UI"/>
          <w:szCs w:val="22"/>
          <w:lang w:val="sk-SK" w:bidi="bo-CN"/>
        </w:rPr>
        <w:t xml:space="preserve"> v rovnakej výške ako v predchádzajúcom roku, konkrétne vo výške 1,85 eura na prioritnú akciu a 1,83 eura na kmeňovú akciu.</w:t>
      </w:r>
      <w:r w:rsidRPr="0028778E"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>Podiel vyplácaných dividend predstavuje 43,7 % a prevyšuje cieľový rozsah 30 až 40 %, pričom odráža osobitnú povahu zaťaženia výnosov v dôsledku pandémie ochorenia COVID-19.</w:t>
      </w:r>
      <w:r w:rsidRPr="00B626C5"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>Výplata dividend v uvedenej výške je možná v neposlednom rade aj vďaka robustnej finančnej základni a nízkej čistej finančnej zadlženosti skupiny Henkel.</w:t>
      </w:r>
      <w:r w:rsidRPr="00981CCD"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>Dividendová politika spoločnosti Henkel ostáva do budúcnosti nezmenená.</w:t>
      </w:r>
    </w:p>
    <w:p w14:paraId="014C1E49" w14:textId="77777777" w:rsidR="0019638B" w:rsidRPr="00EB79E9" w:rsidRDefault="0019638B" w:rsidP="0019638B">
      <w:pPr>
        <w:spacing w:after="120"/>
        <w:rPr>
          <w:rFonts w:cs="Segoe UI"/>
          <w:b/>
          <w:bCs/>
          <w:szCs w:val="22"/>
          <w:lang w:val="sk-SK" w:eastAsia="de-DE"/>
        </w:rPr>
      </w:pPr>
    </w:p>
    <w:p w14:paraId="60328CBA" w14:textId="77777777" w:rsidR="0019638B" w:rsidRPr="002666FE" w:rsidRDefault="0019638B" w:rsidP="0019638B">
      <w:pPr>
        <w:pageBreakBefore/>
        <w:spacing w:after="120"/>
        <w:rPr>
          <w:rFonts w:cs="Segoe UI"/>
          <w:b/>
          <w:bCs/>
          <w:szCs w:val="22"/>
          <w:lang w:val="sk-SK" w:eastAsia="de-DE"/>
        </w:rPr>
      </w:pPr>
      <w:r>
        <w:rPr>
          <w:rFonts w:cs="Segoe UI"/>
          <w:b/>
          <w:bCs/>
          <w:szCs w:val="22"/>
          <w:lang w:val="sk-SK" w:eastAsia="de-DE" w:bidi="bo-CN"/>
        </w:rPr>
        <w:lastRenderedPageBreak/>
        <w:t>Výsledky obchodných divízií za finančný rok 2020</w:t>
      </w:r>
    </w:p>
    <w:p w14:paraId="0E4DB898" w14:textId="77777777" w:rsidR="0019638B" w:rsidRPr="00C5193A" w:rsidRDefault="0019638B" w:rsidP="0019638B">
      <w:pPr>
        <w:rPr>
          <w:rFonts w:cs="Segoe UI"/>
          <w:szCs w:val="22"/>
          <w:lang w:val="sk-SK"/>
        </w:rPr>
      </w:pPr>
      <w:r w:rsidRPr="002666FE">
        <w:rPr>
          <w:rFonts w:cs="Segoe UI"/>
          <w:b/>
          <w:bCs/>
          <w:szCs w:val="22"/>
          <w:lang w:val="sk-SK" w:bidi="bo-CN"/>
        </w:rPr>
        <w:t>Obrat</w:t>
      </w:r>
      <w:r>
        <w:rPr>
          <w:rFonts w:cs="Segoe UI"/>
          <w:b/>
          <w:bCs/>
          <w:szCs w:val="22"/>
          <w:lang w:val="sk-SK" w:bidi="bo-CN"/>
        </w:rPr>
        <w:t xml:space="preserve"> </w:t>
      </w:r>
      <w:r w:rsidRPr="002666FE">
        <w:rPr>
          <w:rFonts w:cs="Segoe UI"/>
          <w:szCs w:val="22"/>
          <w:lang w:val="sk-SK" w:bidi="bo-CN"/>
        </w:rPr>
        <w:t>divízie</w:t>
      </w:r>
      <w:r>
        <w:rPr>
          <w:rFonts w:cs="Segoe UI"/>
          <w:szCs w:val="22"/>
          <w:lang w:val="sk-SK" w:bidi="bo-CN"/>
        </w:rPr>
        <w:t xml:space="preserve"> </w:t>
      </w:r>
      <w:r w:rsidRPr="002666FE">
        <w:rPr>
          <w:rFonts w:cs="Segoe UI"/>
          <w:b/>
          <w:bCs/>
          <w:szCs w:val="22"/>
          <w:lang w:val="sk-SK" w:bidi="bo-CN"/>
        </w:rPr>
        <w:t>Adhesive Technologies</w:t>
      </w:r>
      <w:r>
        <w:rPr>
          <w:rFonts w:cs="Segoe UI"/>
          <w:b/>
          <w:bCs/>
          <w:szCs w:val="22"/>
          <w:lang w:val="sk-SK" w:bidi="bo-CN"/>
        </w:rPr>
        <w:t xml:space="preserve"> </w:t>
      </w:r>
      <w:r w:rsidRPr="00F411B0">
        <w:rPr>
          <w:rFonts w:cs="Segoe UI"/>
          <w:szCs w:val="22"/>
          <w:lang w:val="sk-SK" w:bidi="bo-CN"/>
        </w:rPr>
        <w:t xml:space="preserve">za </w:t>
      </w:r>
      <w:r w:rsidRPr="002666FE">
        <w:rPr>
          <w:rFonts w:cs="Segoe UI"/>
          <w:szCs w:val="22"/>
          <w:lang w:val="sk-SK" w:bidi="bo-CN"/>
        </w:rPr>
        <w:t>finančný</w:t>
      </w:r>
      <w:r>
        <w:rPr>
          <w:rFonts w:cs="Segoe UI"/>
          <w:szCs w:val="22"/>
          <w:lang w:val="sk-SK" w:bidi="bo-CN"/>
        </w:rPr>
        <w:t xml:space="preserve"> rok 2020 bol nominálne o 8,2 % nižší v porovnaní s predchádzajúcim rokom a dosiahol 8 684 mil. eur.</w:t>
      </w:r>
      <w:r w:rsidRPr="00722453">
        <w:rPr>
          <w:rFonts w:cs="Segoe UI"/>
          <w:szCs w:val="22"/>
          <w:lang w:val="sk-SK"/>
        </w:rPr>
        <w:t xml:space="preserve"> </w:t>
      </w:r>
      <w:r w:rsidRPr="004E6404">
        <w:rPr>
          <w:rFonts w:cs="Segoe UI"/>
          <w:szCs w:val="22"/>
          <w:lang w:val="sk-SK" w:bidi="bo-CN"/>
        </w:rPr>
        <w:t>V</w:t>
      </w:r>
      <w:r>
        <w:rPr>
          <w:rFonts w:cs="Segoe UI"/>
          <w:b/>
          <w:bCs/>
          <w:szCs w:val="22"/>
          <w:lang w:val="sk-SK" w:bidi="bo-CN"/>
        </w:rPr>
        <w:t xml:space="preserve"> organickom </w:t>
      </w:r>
      <w:r w:rsidRPr="004E6404">
        <w:rPr>
          <w:rFonts w:cs="Segoe UI"/>
          <w:szCs w:val="22"/>
          <w:lang w:val="sk-SK" w:bidi="bo-CN"/>
        </w:rPr>
        <w:t>vyjadrení obrat klesol o</w:t>
      </w:r>
      <w:r>
        <w:rPr>
          <w:rFonts w:cs="Segoe UI"/>
          <w:b/>
          <w:bCs/>
          <w:szCs w:val="22"/>
          <w:lang w:val="sk-SK" w:bidi="bo-CN"/>
        </w:rPr>
        <w:t xml:space="preserve"> </w:t>
      </w:r>
      <w:r w:rsidRPr="004E6404">
        <w:rPr>
          <w:rFonts w:cs="Segoe UI"/>
          <w:szCs w:val="22"/>
          <w:lang w:val="sk-SK" w:bidi="bo-CN"/>
        </w:rPr>
        <w:t>4,2</w:t>
      </w:r>
      <w:r w:rsidRPr="004E6404">
        <w:rPr>
          <w:rFonts w:cs="Segoe UI"/>
          <w:b/>
          <w:szCs w:val="22"/>
          <w:lang w:val="sk-SK" w:bidi="bo-CN"/>
        </w:rPr>
        <w:t xml:space="preserve"> </w:t>
      </w:r>
      <w:r w:rsidRPr="004E6404">
        <w:rPr>
          <w:rFonts w:cs="Segoe UI"/>
          <w:szCs w:val="22"/>
          <w:lang w:val="sk-SK" w:bidi="bo-CN"/>
        </w:rPr>
        <w:t>%.</w:t>
      </w:r>
      <w:r w:rsidRPr="001D7C67"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>Negatívny vplyv pandémie ochorenia COVID-19 bol obzvlášť citeľný v prvom polroku.</w:t>
      </w:r>
      <w:r w:rsidRPr="00C60BB1"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>V druhom polroku však došlo k oživeniu dopytu vo všetkých obchodných segmentoch a regiónoch.</w:t>
      </w:r>
      <w:r w:rsidRPr="00C60BB1">
        <w:rPr>
          <w:rFonts w:cs="Segoe UI"/>
          <w:szCs w:val="22"/>
          <w:lang w:val="sk-SK"/>
        </w:rPr>
        <w:t xml:space="preserve"> </w:t>
      </w:r>
      <w:r>
        <w:rPr>
          <w:rFonts w:cs="Segoe UI"/>
          <w:b/>
          <w:bCs/>
          <w:szCs w:val="22"/>
          <w:lang w:val="sk-SK" w:bidi="bo-CN"/>
        </w:rPr>
        <w:t xml:space="preserve">Upravený prevádzkový zisk </w:t>
      </w:r>
      <w:r w:rsidRPr="00C60BB1">
        <w:rPr>
          <w:rFonts w:cs="Segoe UI"/>
          <w:szCs w:val="22"/>
          <w:lang w:val="sk-SK" w:bidi="bo-CN"/>
        </w:rPr>
        <w:t xml:space="preserve">dosiahol 1 320 mil. eur </w:t>
      </w:r>
      <w:r>
        <w:rPr>
          <w:rFonts w:cs="Segoe UI"/>
          <w:szCs w:val="22"/>
          <w:lang w:val="sk-SK" w:bidi="bo-CN"/>
        </w:rPr>
        <w:t>(predchádzajúci rok: </w:t>
      </w:r>
      <w:r w:rsidRPr="00C60BB1">
        <w:rPr>
          <w:rFonts w:cs="Segoe UI"/>
          <w:szCs w:val="22"/>
          <w:lang w:val="sk-SK" w:bidi="bo-CN"/>
        </w:rPr>
        <w:t>1</w:t>
      </w:r>
      <w:r>
        <w:rPr>
          <w:rFonts w:cs="Segoe UI"/>
          <w:szCs w:val="22"/>
          <w:lang w:val="sk-SK" w:bidi="bo-CN"/>
        </w:rPr>
        <w:t> </w:t>
      </w:r>
      <w:r w:rsidRPr="00C60BB1">
        <w:rPr>
          <w:rFonts w:cs="Segoe UI"/>
          <w:szCs w:val="22"/>
          <w:lang w:val="sk-SK" w:bidi="bo-CN"/>
        </w:rPr>
        <w:t>712</w:t>
      </w:r>
      <w:r>
        <w:rPr>
          <w:rFonts w:cs="Segoe UI"/>
          <w:szCs w:val="22"/>
          <w:lang w:val="sk-SK" w:bidi="bo-CN"/>
        </w:rPr>
        <w:t> </w:t>
      </w:r>
      <w:r w:rsidRPr="00C60BB1">
        <w:rPr>
          <w:rFonts w:cs="Segoe UI"/>
          <w:szCs w:val="22"/>
          <w:lang w:val="sk-SK" w:bidi="bo-CN"/>
        </w:rPr>
        <w:t>mil. eur</w:t>
      </w:r>
      <w:r>
        <w:rPr>
          <w:rFonts w:cs="Segoe UI"/>
          <w:szCs w:val="22"/>
          <w:lang w:val="sk-SK" w:bidi="bo-CN"/>
        </w:rPr>
        <w:t>)</w:t>
      </w:r>
      <w:r w:rsidRPr="00C60BB1">
        <w:rPr>
          <w:rFonts w:cs="Segoe UI"/>
          <w:szCs w:val="22"/>
          <w:lang w:val="sk-SK" w:bidi="bo-CN"/>
        </w:rPr>
        <w:t>.</w:t>
      </w:r>
      <w:r w:rsidRPr="00C5193A">
        <w:rPr>
          <w:rFonts w:cs="Segoe UI"/>
          <w:szCs w:val="22"/>
          <w:lang w:val="sk-SK"/>
        </w:rPr>
        <w:t xml:space="preserve"> </w:t>
      </w:r>
      <w:r w:rsidRPr="00C5193A">
        <w:rPr>
          <w:rFonts w:cs="Segoe UI"/>
          <w:b/>
          <w:bCs/>
          <w:szCs w:val="22"/>
          <w:lang w:val="sk-SK" w:bidi="bo-CN"/>
        </w:rPr>
        <w:t>Upravená výnosnosť predaja</w:t>
      </w:r>
      <w:r>
        <w:rPr>
          <w:rFonts w:cs="Segoe UI"/>
          <w:szCs w:val="22"/>
          <w:lang w:val="sk-SK" w:bidi="bo-CN"/>
        </w:rPr>
        <w:t xml:space="preserve"> na úrovni 15,2 % zaostala za úrovňou roku 2019.</w:t>
      </w:r>
      <w:r w:rsidRPr="00C5193A"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>Pokles marže bol spôsobený predovšetkým výrazne nižším objemom predaja v dôsledku pretrvávajúcej pandemickej situácie.</w:t>
      </w:r>
    </w:p>
    <w:p w14:paraId="56AF4D99" w14:textId="77777777" w:rsidR="0019638B" w:rsidRPr="00EB79E9" w:rsidRDefault="0019638B" w:rsidP="0019638B">
      <w:pPr>
        <w:rPr>
          <w:rFonts w:cs="Segoe UI"/>
          <w:szCs w:val="22"/>
          <w:lang w:val="sk-SK"/>
        </w:rPr>
      </w:pPr>
    </w:p>
    <w:p w14:paraId="1E40D122" w14:textId="77777777" w:rsidR="0019638B" w:rsidRPr="009F389A" w:rsidRDefault="0019638B" w:rsidP="0019638B">
      <w:pPr>
        <w:rPr>
          <w:rFonts w:cs="Segoe UI"/>
          <w:szCs w:val="22"/>
          <w:lang w:val="sk-SK"/>
        </w:rPr>
      </w:pPr>
      <w:r w:rsidRPr="00C5193A">
        <w:rPr>
          <w:rFonts w:cs="Segoe UI"/>
          <w:b/>
          <w:bCs/>
          <w:szCs w:val="22"/>
          <w:lang w:val="sk-SK" w:bidi="bo-CN"/>
        </w:rPr>
        <w:t>Organický</w:t>
      </w:r>
      <w:r>
        <w:rPr>
          <w:rFonts w:cs="Segoe UI"/>
          <w:szCs w:val="22"/>
          <w:lang w:val="sk-SK" w:bidi="bo-CN"/>
        </w:rPr>
        <w:t xml:space="preserve"> vývoj </w:t>
      </w:r>
      <w:r w:rsidRPr="00C5193A">
        <w:rPr>
          <w:rFonts w:cs="Segoe UI"/>
          <w:b/>
          <w:bCs/>
          <w:szCs w:val="22"/>
          <w:lang w:val="sk-SK" w:bidi="bo-CN"/>
        </w:rPr>
        <w:t>obratu</w:t>
      </w:r>
      <w:r>
        <w:rPr>
          <w:rFonts w:cs="Segoe UI"/>
          <w:szCs w:val="22"/>
          <w:lang w:val="sk-SK" w:bidi="bo-CN"/>
        </w:rPr>
        <w:t xml:space="preserve"> divízie </w:t>
      </w:r>
      <w:proofErr w:type="spellStart"/>
      <w:r w:rsidRPr="00EB79E9">
        <w:rPr>
          <w:rFonts w:cs="Segoe UI"/>
          <w:b/>
          <w:bCs/>
          <w:szCs w:val="22"/>
          <w:lang w:val="sk-SK" w:bidi="bo-CN"/>
        </w:rPr>
        <w:t>Beauty</w:t>
      </w:r>
      <w:proofErr w:type="spellEnd"/>
      <w:r w:rsidRPr="00EB79E9">
        <w:rPr>
          <w:rFonts w:cs="Segoe UI"/>
          <w:b/>
          <w:bCs/>
          <w:szCs w:val="22"/>
          <w:lang w:val="sk-SK" w:bidi="bo-CN"/>
        </w:rPr>
        <w:t xml:space="preserve"> </w:t>
      </w:r>
      <w:proofErr w:type="spellStart"/>
      <w:r w:rsidRPr="00EB79E9">
        <w:rPr>
          <w:rFonts w:cs="Segoe UI"/>
          <w:b/>
          <w:bCs/>
          <w:szCs w:val="22"/>
          <w:lang w:val="sk-SK" w:bidi="bo-CN"/>
        </w:rPr>
        <w:t>Care</w:t>
      </w:r>
      <w:proofErr w:type="spellEnd"/>
      <w:r>
        <w:rPr>
          <w:rFonts w:cs="Segoe UI"/>
          <w:szCs w:val="22"/>
          <w:lang w:val="sk-SK" w:bidi="bo-CN"/>
        </w:rPr>
        <w:t xml:space="preserve"> vo finančnom roku 2020 predstavoval -2,8 %.</w:t>
      </w:r>
      <w:r w:rsidRPr="009A24EA"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>Nominálne sa obrat medziročne znížil o 3,2 % na úroveň 3 752 mil. eur.</w:t>
      </w:r>
      <w:r w:rsidRPr="00002B78"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 xml:space="preserve">Hlavným dôvodom sú najmä negatívne dopady pandémie ochorenia COVID-19 na trhový segment profesionálnej vlasovej kozmetiky, zatiaľ čo maloobchodný segment zaznamenal celkovo dobrý organický vývoj obratu.  </w:t>
      </w:r>
      <w:r>
        <w:rPr>
          <w:rFonts w:cs="Segoe UI"/>
          <w:b/>
          <w:bCs/>
          <w:szCs w:val="22"/>
          <w:lang w:val="sk-SK" w:bidi="bo-CN"/>
        </w:rPr>
        <w:t>Upravený prevádzkový zisk</w:t>
      </w:r>
      <w:r w:rsidRPr="0053440E">
        <w:rPr>
          <w:rFonts w:cs="Segoe UI"/>
          <w:szCs w:val="22"/>
          <w:lang w:val="sk-SK" w:bidi="bo-CN"/>
        </w:rPr>
        <w:t xml:space="preserve"> dosiahol 377 mil. eur (predchádzajúci rok: 519 mil. eur).</w:t>
      </w:r>
      <w:r w:rsidRPr="0053440E">
        <w:rPr>
          <w:rFonts w:cs="Segoe UI"/>
          <w:szCs w:val="22"/>
          <w:lang w:val="sk-SK"/>
        </w:rPr>
        <w:t xml:space="preserve"> </w:t>
      </w:r>
      <w:r>
        <w:rPr>
          <w:rFonts w:cs="Segoe UI"/>
          <w:b/>
          <w:bCs/>
          <w:szCs w:val="22"/>
          <w:lang w:val="sk-SK" w:bidi="bo-CN"/>
        </w:rPr>
        <w:t xml:space="preserve">Upravená výnosnosť predaja </w:t>
      </w:r>
      <w:r>
        <w:rPr>
          <w:rFonts w:cs="Segoe UI"/>
          <w:szCs w:val="22"/>
          <w:lang w:val="sk-SK" w:bidi="bo-CN"/>
        </w:rPr>
        <w:t>dosiahla</w:t>
      </w:r>
      <w:r w:rsidRPr="0053440E">
        <w:rPr>
          <w:rFonts w:cs="Segoe UI"/>
          <w:szCs w:val="22"/>
          <w:lang w:val="sk-SK" w:bidi="bo-CN"/>
        </w:rPr>
        <w:t xml:space="preserve"> 10,0 %</w:t>
      </w:r>
      <w:r>
        <w:rPr>
          <w:rFonts w:cs="Segoe UI"/>
          <w:szCs w:val="22"/>
          <w:lang w:val="sk-SK" w:bidi="bo-CN"/>
        </w:rPr>
        <w:t xml:space="preserve"> a bola ovplyvnená klesajúcim objemom predaja v segmente profesionálnej vlasovej kozmetiky a zároveň vyššími investíciami do marketingu a reklamy, ako aj do digitalizácie a IT.</w:t>
      </w:r>
    </w:p>
    <w:p w14:paraId="37A3C411" w14:textId="77777777" w:rsidR="0019638B" w:rsidRPr="00EB79E9" w:rsidRDefault="0019638B" w:rsidP="0019638B">
      <w:pPr>
        <w:rPr>
          <w:rFonts w:cs="Segoe UI"/>
          <w:szCs w:val="22"/>
          <w:lang w:val="sk-SK"/>
        </w:rPr>
      </w:pPr>
    </w:p>
    <w:p w14:paraId="20A59B4A" w14:textId="77777777" w:rsidR="0019638B" w:rsidRPr="00122045" w:rsidRDefault="0019638B" w:rsidP="0019638B">
      <w:pPr>
        <w:rPr>
          <w:rFonts w:cs="Segoe UI"/>
          <w:szCs w:val="22"/>
          <w:lang w:val="sk-SK"/>
        </w:rPr>
      </w:pPr>
      <w:r w:rsidRPr="009F389A">
        <w:rPr>
          <w:rFonts w:cs="Segoe UI"/>
          <w:b/>
          <w:bCs/>
          <w:szCs w:val="22"/>
          <w:lang w:val="sk-SK" w:bidi="bo-CN"/>
        </w:rPr>
        <w:t>Organický obrat</w:t>
      </w:r>
      <w:r>
        <w:rPr>
          <w:rFonts w:cs="Segoe UI"/>
          <w:szCs w:val="22"/>
          <w:lang w:val="sk-SK" w:bidi="bo-CN"/>
        </w:rPr>
        <w:t xml:space="preserve"> obchodnej divízie </w:t>
      </w:r>
      <w:r w:rsidRPr="009F389A">
        <w:rPr>
          <w:rFonts w:cs="Segoe UI"/>
          <w:b/>
          <w:bCs/>
          <w:szCs w:val="22"/>
          <w:lang w:val="sk-SK" w:bidi="bo-CN"/>
        </w:rPr>
        <w:t xml:space="preserve">Laundry </w:t>
      </w:r>
      <w:r w:rsidRPr="00F411B0">
        <w:rPr>
          <w:rFonts w:cs="Segoe UI"/>
          <w:b/>
          <w:bCs/>
          <w:szCs w:val="22"/>
          <w:lang w:val="sk-SK" w:bidi="bo-CN"/>
        </w:rPr>
        <w:t>&amp;</w:t>
      </w:r>
      <w:r w:rsidRPr="009F389A">
        <w:rPr>
          <w:rFonts w:cs="Segoe UI"/>
          <w:b/>
          <w:bCs/>
          <w:szCs w:val="22"/>
          <w:lang w:val="sk-SK" w:bidi="bo-CN"/>
        </w:rPr>
        <w:t xml:space="preserve"> Home </w:t>
      </w:r>
      <w:proofErr w:type="spellStart"/>
      <w:r w:rsidRPr="009F389A">
        <w:rPr>
          <w:rFonts w:cs="Segoe UI"/>
          <w:b/>
          <w:bCs/>
          <w:szCs w:val="22"/>
          <w:lang w:val="sk-SK" w:bidi="bo-CN"/>
        </w:rPr>
        <w:t>Care</w:t>
      </w:r>
      <w:proofErr w:type="spellEnd"/>
      <w:r w:rsidRPr="00F411B0">
        <w:rPr>
          <w:rFonts w:cs="Segoe UI"/>
          <w:b/>
          <w:bCs/>
          <w:szCs w:val="22"/>
          <w:lang w:val="sk-SK" w:bidi="bo-CN"/>
        </w:rPr>
        <w:t xml:space="preserve"> </w:t>
      </w:r>
      <w:r w:rsidRPr="00F13472">
        <w:rPr>
          <w:rFonts w:cs="Segoe UI"/>
          <w:szCs w:val="22"/>
          <w:lang w:val="sk-SK" w:bidi="bo-CN"/>
        </w:rPr>
        <w:t>vzr</w:t>
      </w:r>
      <w:r>
        <w:rPr>
          <w:rFonts w:cs="Segoe UI"/>
          <w:szCs w:val="22"/>
          <w:lang w:val="sk-SK" w:bidi="bo-CN"/>
        </w:rPr>
        <w:t>ástol vo finančnom roku 2020 o 5,6 %.</w:t>
      </w:r>
      <w:r w:rsidRPr="00F13472"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>Nominálne sa obrat zvýšil o 0,7 % na 6 704 mil. eur.</w:t>
      </w:r>
      <w:r w:rsidRPr="009A57D0">
        <w:rPr>
          <w:rFonts w:cs="Segoe UI"/>
          <w:szCs w:val="22"/>
          <w:lang w:val="sk-SK"/>
        </w:rPr>
        <w:t xml:space="preserve"> </w:t>
      </w:r>
      <w:r>
        <w:rPr>
          <w:rFonts w:cs="Segoe UI"/>
          <w:b/>
          <w:bCs/>
          <w:szCs w:val="22"/>
          <w:lang w:val="sk-SK" w:bidi="bo-CN"/>
        </w:rPr>
        <w:t xml:space="preserve">Upravený prevádzkový zisk </w:t>
      </w:r>
      <w:r w:rsidRPr="009A57D0">
        <w:rPr>
          <w:rFonts w:cs="Segoe UI"/>
          <w:szCs w:val="22"/>
          <w:lang w:val="sk-SK" w:bidi="bo-CN"/>
        </w:rPr>
        <w:t>dosiahol celkovú výšku 1 004 mil. eur.</w:t>
      </w:r>
      <w:r w:rsidRPr="009A57D0">
        <w:rPr>
          <w:rFonts w:cs="Segoe UI"/>
          <w:szCs w:val="22"/>
          <w:lang w:val="sk-SK"/>
        </w:rPr>
        <w:t xml:space="preserve"> </w:t>
      </w:r>
      <w:r w:rsidRPr="00EB79E9">
        <w:rPr>
          <w:rFonts w:cs="Segoe UI"/>
          <w:szCs w:val="22"/>
          <w:lang w:val="sk-SK"/>
        </w:rPr>
        <w:t>(</w:t>
      </w:r>
      <w:r>
        <w:rPr>
          <w:rFonts w:cs="Segoe UI"/>
          <w:szCs w:val="22"/>
          <w:lang w:val="sk-SK" w:bidi="bo-CN"/>
        </w:rPr>
        <w:t>predchádzajúci rok: 1 096 mil. eur</w:t>
      </w:r>
      <w:r w:rsidRPr="00850081">
        <w:rPr>
          <w:rFonts w:cs="Segoe UI"/>
          <w:szCs w:val="22"/>
          <w:lang w:val="sk-SK"/>
        </w:rPr>
        <w:t>)</w:t>
      </w:r>
      <w:r w:rsidRPr="00EB79E9">
        <w:rPr>
          <w:rFonts w:cs="Segoe UI"/>
          <w:szCs w:val="22"/>
          <w:lang w:val="sk-SK"/>
        </w:rPr>
        <w:t xml:space="preserve">. </w:t>
      </w:r>
      <w:bookmarkStart w:id="4" w:name="_Hlk46226936"/>
      <w:r>
        <w:rPr>
          <w:rFonts w:cs="Segoe UI"/>
          <w:b/>
          <w:bCs/>
          <w:szCs w:val="22"/>
          <w:lang w:val="sk-SK" w:bidi="bo-CN"/>
        </w:rPr>
        <w:t>Upravená výnosnosť predaja</w:t>
      </w:r>
      <w:r>
        <w:rPr>
          <w:rFonts w:cs="Segoe UI"/>
          <w:bCs/>
          <w:szCs w:val="22"/>
          <w:lang w:val="sk-SK" w:bidi="bo-CN"/>
        </w:rPr>
        <w:t xml:space="preserve"> vo výške 15,0 % zaostala za úrovňou z roku 2019 najmä z dôvodu zvýšených investícií do marketingu, reklamy, digitalizácie a IT.</w:t>
      </w:r>
    </w:p>
    <w:bookmarkEnd w:id="4"/>
    <w:p w14:paraId="0C433AEE" w14:textId="77777777" w:rsidR="0019638B" w:rsidRPr="00EB79E9" w:rsidRDefault="0019638B" w:rsidP="0019638B">
      <w:pPr>
        <w:rPr>
          <w:rFonts w:cs="Segoe UI"/>
          <w:b/>
          <w:szCs w:val="22"/>
          <w:lang w:val="sk-SK"/>
        </w:rPr>
      </w:pPr>
    </w:p>
    <w:p w14:paraId="0A387629" w14:textId="77777777" w:rsidR="0019638B" w:rsidRPr="00EB79E9" w:rsidRDefault="0019638B" w:rsidP="0019638B">
      <w:pPr>
        <w:spacing w:after="120"/>
        <w:rPr>
          <w:rFonts w:cs="Segoe UI"/>
          <w:szCs w:val="22"/>
          <w:lang w:val="sk-SK"/>
        </w:rPr>
      </w:pPr>
      <w:r>
        <w:rPr>
          <w:rFonts w:cs="Segoe UI"/>
          <w:b/>
          <w:szCs w:val="22"/>
          <w:lang w:val="sk-SK" w:bidi="bo-CN"/>
        </w:rPr>
        <w:t>Agenda „Zmysluplný rast“:</w:t>
      </w:r>
      <w:r w:rsidRPr="00CC4262">
        <w:rPr>
          <w:rFonts w:cs="Segoe UI"/>
          <w:b/>
          <w:szCs w:val="22"/>
          <w:lang w:val="sk-SK"/>
        </w:rPr>
        <w:t xml:space="preserve"> </w:t>
      </w:r>
      <w:r>
        <w:rPr>
          <w:rFonts w:cs="Segoe UI"/>
          <w:b/>
          <w:szCs w:val="22"/>
          <w:lang w:val="sk-SK" w:bidi="bo-CN"/>
        </w:rPr>
        <w:t>silný impulz</w:t>
      </w:r>
      <w:r w:rsidRPr="001F67D7">
        <w:rPr>
          <w:rFonts w:cs="Segoe UI"/>
          <w:b/>
          <w:szCs w:val="22"/>
          <w:lang w:val="sk-SK"/>
        </w:rPr>
        <w:t xml:space="preserve"> </w:t>
      </w:r>
    </w:p>
    <w:p w14:paraId="3319B120" w14:textId="77777777" w:rsidR="0019638B" w:rsidRPr="00F026E7" w:rsidRDefault="0019638B" w:rsidP="0019638B">
      <w:pPr>
        <w:autoSpaceDE w:val="0"/>
        <w:autoSpaceDN w:val="0"/>
        <w:adjustRightInd w:val="0"/>
        <w:rPr>
          <w:rFonts w:cs="Segoe UI"/>
          <w:bCs/>
          <w:szCs w:val="22"/>
          <w:lang w:val="sk-SK"/>
        </w:rPr>
      </w:pPr>
      <w:r>
        <w:rPr>
          <w:rFonts w:cs="Segoe UI"/>
          <w:szCs w:val="22"/>
          <w:lang w:val="sk-SK" w:bidi="bo-CN"/>
        </w:rPr>
        <w:t>Začiatkom marca 2020 spoločnosť Henkel predstavila svoju agendu pre rast spoločnosti na najbližšie roky, ktorá sa zameriava na:</w:t>
      </w:r>
      <w:r w:rsidRPr="00A31490"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>budovanie úspešného portfólia, posilnenie konkurenčnej výhody v oblasti inovácií, udržateľnosti a digitalizácie, zavádzanie prevádzkových modelov pripravených na budúcnosť a budovanie silnej firemnej kultúry spolupráce.</w:t>
      </w:r>
      <w:r w:rsidRPr="006B5570">
        <w:rPr>
          <w:rFonts w:cs="Segoe UI"/>
          <w:szCs w:val="22"/>
          <w:lang w:val="sk-SK" w:eastAsia="de-DE"/>
        </w:rPr>
        <w:t xml:space="preserve"> </w:t>
      </w:r>
      <w:r w:rsidRPr="000D729C">
        <w:rPr>
          <w:rFonts w:cs="Segoe UI"/>
          <w:bCs/>
          <w:i/>
          <w:iCs/>
          <w:szCs w:val="22"/>
          <w:lang w:val="sk-SK" w:bidi="bo-CN"/>
        </w:rPr>
        <w:t>„Tento strategický rámec nám pomôže k úspešnému rozvoju spoločnosti Henkel s jasným dôrazom na zmysluplný rast.</w:t>
      </w:r>
      <w:r w:rsidRPr="000D729C">
        <w:rPr>
          <w:rFonts w:cs="Segoe UI"/>
          <w:bCs/>
          <w:i/>
          <w:iCs/>
          <w:szCs w:val="22"/>
          <w:lang w:val="sk-SK"/>
        </w:rPr>
        <w:t xml:space="preserve"> </w:t>
      </w:r>
      <w:r w:rsidRPr="000D729C">
        <w:rPr>
          <w:rFonts w:cs="Segoe UI"/>
          <w:bCs/>
          <w:i/>
          <w:iCs/>
          <w:szCs w:val="22"/>
          <w:lang w:val="sk-SK" w:bidi="bo-CN"/>
        </w:rPr>
        <w:t>Napriek našej orientácii na krízový manažment v roku 2020 sme dokázali predstaviť a začať s implementáciou našej agendy pre rast spoločnosti.</w:t>
      </w:r>
      <w:r w:rsidRPr="000D729C">
        <w:rPr>
          <w:rFonts w:cs="Segoe UI"/>
          <w:bCs/>
          <w:i/>
          <w:iCs/>
          <w:szCs w:val="22"/>
          <w:lang w:val="sk-SK"/>
        </w:rPr>
        <w:t xml:space="preserve"> </w:t>
      </w:r>
      <w:r w:rsidRPr="000D729C">
        <w:rPr>
          <w:rFonts w:cs="Segoe UI"/>
          <w:bCs/>
          <w:i/>
          <w:iCs/>
          <w:szCs w:val="22"/>
          <w:lang w:val="sk-SK" w:bidi="bo-CN"/>
        </w:rPr>
        <w:t>Sme plne odhodlaní pokračovať v presadzovaní tejto stratégie v roku 2021 aj v nasledujúcich rokoch,“</w:t>
      </w:r>
      <w:r>
        <w:rPr>
          <w:rFonts w:cs="Segoe UI"/>
          <w:bCs/>
          <w:szCs w:val="22"/>
          <w:lang w:val="sk-SK" w:bidi="bo-CN"/>
        </w:rPr>
        <w:t xml:space="preserve"> povedal Carsten </w:t>
      </w:r>
      <w:proofErr w:type="spellStart"/>
      <w:r>
        <w:rPr>
          <w:rFonts w:cs="Segoe UI"/>
          <w:bCs/>
          <w:szCs w:val="22"/>
          <w:lang w:val="sk-SK" w:bidi="bo-CN"/>
        </w:rPr>
        <w:t>Knobel</w:t>
      </w:r>
      <w:proofErr w:type="spellEnd"/>
      <w:r>
        <w:rPr>
          <w:rFonts w:cs="Segoe UI"/>
          <w:bCs/>
          <w:szCs w:val="22"/>
          <w:lang w:val="sk-SK" w:bidi="bo-CN"/>
        </w:rPr>
        <w:t>.</w:t>
      </w:r>
    </w:p>
    <w:p w14:paraId="7BACF53C" w14:textId="77777777" w:rsidR="0019638B" w:rsidRPr="00EB79E9" w:rsidRDefault="0019638B" w:rsidP="0019638B">
      <w:pPr>
        <w:autoSpaceDE w:val="0"/>
        <w:autoSpaceDN w:val="0"/>
        <w:adjustRightInd w:val="0"/>
        <w:rPr>
          <w:rFonts w:cs="Segoe UI"/>
          <w:bCs/>
          <w:szCs w:val="22"/>
          <w:lang w:val="sk-SK"/>
        </w:rPr>
      </w:pPr>
    </w:p>
    <w:p w14:paraId="3548EC1E" w14:textId="77777777" w:rsidR="0019638B" w:rsidRPr="00EB79E9" w:rsidRDefault="0019638B" w:rsidP="0019638B">
      <w:pPr>
        <w:autoSpaceDE w:val="0"/>
        <w:autoSpaceDN w:val="0"/>
        <w:adjustRightInd w:val="0"/>
        <w:rPr>
          <w:rFonts w:cs="Segoe UI"/>
          <w:bCs/>
          <w:szCs w:val="22"/>
          <w:lang w:val="sk-SK"/>
        </w:rPr>
      </w:pPr>
      <w:r>
        <w:rPr>
          <w:rFonts w:cs="Segoe UI"/>
          <w:bCs/>
          <w:szCs w:val="22"/>
          <w:lang w:val="sk-SK" w:bidi="bo-CN"/>
        </w:rPr>
        <w:lastRenderedPageBreak/>
        <w:t xml:space="preserve">Kľúčovým prvkom budúceho smerovania spoločnosti Henkel je </w:t>
      </w:r>
      <w:r w:rsidRPr="00F026E7">
        <w:rPr>
          <w:rFonts w:cs="Segoe UI"/>
          <w:b/>
          <w:szCs w:val="22"/>
          <w:lang w:val="sk-SK" w:bidi="bo-CN"/>
        </w:rPr>
        <w:t>aktívne riadenie</w:t>
      </w:r>
      <w:r>
        <w:rPr>
          <w:rFonts w:cs="Segoe UI"/>
          <w:b/>
          <w:szCs w:val="22"/>
          <w:lang w:val="sk-SK" w:bidi="bo-CN"/>
        </w:rPr>
        <w:t xml:space="preserve"> jej</w:t>
      </w:r>
      <w:r w:rsidRPr="00F026E7">
        <w:rPr>
          <w:rFonts w:cs="Segoe UI"/>
          <w:b/>
          <w:szCs w:val="22"/>
          <w:lang w:val="sk-SK" w:bidi="bo-CN"/>
        </w:rPr>
        <w:t xml:space="preserve"> portfólia</w:t>
      </w:r>
      <w:r>
        <w:rPr>
          <w:rFonts w:cs="Segoe UI"/>
          <w:bCs/>
          <w:szCs w:val="22"/>
          <w:lang w:val="sk-SK" w:bidi="bo-CN"/>
        </w:rPr>
        <w:t>.</w:t>
      </w:r>
      <w:r w:rsidRPr="00FD1B52">
        <w:rPr>
          <w:rFonts w:cs="Segoe UI"/>
          <w:bCs/>
          <w:szCs w:val="22"/>
          <w:lang w:val="sk-SK"/>
        </w:rPr>
        <w:t xml:space="preserve"> </w:t>
      </w:r>
      <w:r>
        <w:rPr>
          <w:rFonts w:cs="Segoe UI"/>
          <w:bCs/>
          <w:szCs w:val="22"/>
          <w:lang w:val="sk-SK" w:bidi="bo-CN"/>
        </w:rPr>
        <w:t>Spoločnosť identifikovala značky a kategórie produktov s celkovým objemom obratu viac než jedna miliarda eur, predovšetkým vo svojich segmentoch spotrebného tovaru, z ktorých približne 50 % plánuje do roku 2021 odpredať alebo zrušiť ich výrobu. Očakáva sa, že zostávajúce značky a obchodné segmenty preukážu udržateľné zlepšenie svojich obchodných výsledkov.</w:t>
      </w:r>
      <w:r w:rsidRPr="00FD1B52">
        <w:rPr>
          <w:rFonts w:cs="Segoe UI"/>
          <w:bCs/>
          <w:szCs w:val="22"/>
          <w:lang w:val="sk-SK"/>
        </w:rPr>
        <w:t xml:space="preserve"> </w:t>
      </w:r>
      <w:r>
        <w:rPr>
          <w:rFonts w:cs="Segoe UI"/>
          <w:bCs/>
          <w:szCs w:val="22"/>
          <w:lang w:val="sk-SK" w:bidi="bo-CN"/>
        </w:rPr>
        <w:t>V roku 2020 už 60 % príjmovej základne týchto značiek a obchodných segmentov prispievalo k zlepšenej dynamike.</w:t>
      </w:r>
      <w:r w:rsidRPr="006D645E">
        <w:rPr>
          <w:rFonts w:cs="Segoe UI"/>
          <w:bCs/>
          <w:szCs w:val="22"/>
          <w:lang w:val="sk-SK"/>
        </w:rPr>
        <w:t xml:space="preserve"> </w:t>
      </w:r>
    </w:p>
    <w:p w14:paraId="49971556" w14:textId="77777777" w:rsidR="0019638B" w:rsidRPr="00EB79E9" w:rsidRDefault="0019638B" w:rsidP="0019638B">
      <w:pPr>
        <w:autoSpaceDE w:val="0"/>
        <w:autoSpaceDN w:val="0"/>
        <w:adjustRightInd w:val="0"/>
        <w:rPr>
          <w:rFonts w:cs="Segoe UI"/>
          <w:bCs/>
          <w:szCs w:val="22"/>
          <w:lang w:val="sk-SK"/>
        </w:rPr>
      </w:pPr>
    </w:p>
    <w:p w14:paraId="441A674C" w14:textId="77777777" w:rsidR="0019638B" w:rsidRPr="005059EC" w:rsidRDefault="0019638B" w:rsidP="0019638B">
      <w:pPr>
        <w:autoSpaceDE w:val="0"/>
        <w:autoSpaceDN w:val="0"/>
        <w:adjustRightInd w:val="0"/>
        <w:rPr>
          <w:rFonts w:cs="Segoe UI"/>
          <w:bCs/>
          <w:szCs w:val="22"/>
          <w:lang w:val="sk-SK"/>
        </w:rPr>
      </w:pPr>
      <w:r>
        <w:rPr>
          <w:rFonts w:cs="Segoe UI"/>
          <w:bCs/>
          <w:szCs w:val="22"/>
          <w:lang w:val="sk-SK" w:bidi="bo-CN"/>
        </w:rPr>
        <w:t>Napriek trhovým neistotám prevládajúcim v roku 2020 spoločnosť Henkel už podpísala zmluvy o predaji, dokončila predaj alebo ukončila svoje podnikateľské aktivity s ročným objemom predaja viac než 100 mil. eur.</w:t>
      </w:r>
      <w:r w:rsidRPr="00AA4361">
        <w:rPr>
          <w:rFonts w:cs="Segoe UI"/>
          <w:bCs/>
          <w:szCs w:val="22"/>
          <w:lang w:val="sk-SK"/>
        </w:rPr>
        <w:t xml:space="preserve"> </w:t>
      </w:r>
      <w:r>
        <w:rPr>
          <w:rFonts w:cs="Segoe UI"/>
          <w:bCs/>
          <w:szCs w:val="22"/>
          <w:lang w:val="sk-SK" w:bidi="bo-CN"/>
        </w:rPr>
        <w:t>V súvislosti s aktívnym riadením portfólia spoločnosti boli v roku 2020 zaúčtované poplatky v hodnote približne 300 mil. eur v dôsledku nehotovostnej straty zo zníženia hodnoty podnikateľských aktivít určených na predaj alebo ukončenie.</w:t>
      </w:r>
    </w:p>
    <w:p w14:paraId="43F9AD65" w14:textId="77777777" w:rsidR="0019638B" w:rsidRPr="00EB79E9" w:rsidRDefault="0019638B" w:rsidP="0019638B">
      <w:pPr>
        <w:autoSpaceDE w:val="0"/>
        <w:autoSpaceDN w:val="0"/>
        <w:adjustRightInd w:val="0"/>
        <w:rPr>
          <w:rFonts w:cs="Segoe UI"/>
          <w:bCs/>
          <w:szCs w:val="22"/>
          <w:lang w:val="sk-SK"/>
        </w:rPr>
      </w:pPr>
    </w:p>
    <w:p w14:paraId="5C7DCCEA" w14:textId="77777777" w:rsidR="0019638B" w:rsidRPr="00AA4361" w:rsidRDefault="0019638B" w:rsidP="0019638B">
      <w:pPr>
        <w:autoSpaceDE w:val="0"/>
        <w:autoSpaceDN w:val="0"/>
        <w:adjustRightInd w:val="0"/>
        <w:rPr>
          <w:rFonts w:cs="Segoe UI"/>
          <w:bCs/>
          <w:szCs w:val="22"/>
          <w:lang w:val="sk-SK"/>
        </w:rPr>
      </w:pPr>
      <w:r>
        <w:rPr>
          <w:rFonts w:cs="Segoe UI"/>
          <w:bCs/>
          <w:szCs w:val="22"/>
          <w:lang w:val="sk-SK" w:bidi="bo-CN"/>
        </w:rPr>
        <w:t xml:space="preserve">Spoločnosť Henkel zároveň posilnila svoje portfólio prostredníctvom </w:t>
      </w:r>
      <w:r w:rsidRPr="00AA4361">
        <w:rPr>
          <w:rFonts w:cs="Segoe UI"/>
          <w:b/>
          <w:szCs w:val="22"/>
          <w:lang w:val="sk-SK" w:bidi="bo-CN"/>
        </w:rPr>
        <w:t>zlúčení a</w:t>
      </w:r>
      <w:r>
        <w:rPr>
          <w:rFonts w:cs="Segoe UI"/>
          <w:b/>
          <w:szCs w:val="22"/>
          <w:lang w:val="sk-SK" w:bidi="bo-CN"/>
        </w:rPr>
        <w:t> </w:t>
      </w:r>
      <w:r w:rsidRPr="00AA4361">
        <w:rPr>
          <w:rFonts w:cs="Segoe UI"/>
          <w:b/>
          <w:szCs w:val="22"/>
          <w:lang w:val="sk-SK" w:bidi="bo-CN"/>
        </w:rPr>
        <w:t>akvizícií</w:t>
      </w:r>
      <w:r>
        <w:rPr>
          <w:rFonts w:cs="Segoe UI"/>
          <w:b/>
          <w:szCs w:val="22"/>
          <w:lang w:val="sk-SK" w:bidi="bo-CN"/>
        </w:rPr>
        <w:t xml:space="preserve">, </w:t>
      </w:r>
      <w:r w:rsidRPr="00AA4361">
        <w:rPr>
          <w:rFonts w:cs="Segoe UI"/>
          <w:bCs/>
          <w:szCs w:val="22"/>
          <w:lang w:val="sk-SK" w:bidi="bo-CN"/>
        </w:rPr>
        <w:t>pričom využila výhody svojej silnej súvahovej pozície.</w:t>
      </w:r>
      <w:r w:rsidRPr="00AA4361">
        <w:rPr>
          <w:rFonts w:cs="Segoe UI"/>
          <w:bCs/>
          <w:szCs w:val="22"/>
          <w:lang w:val="sk-SK"/>
        </w:rPr>
        <w:t xml:space="preserve"> </w:t>
      </w:r>
      <w:r>
        <w:rPr>
          <w:rFonts w:cs="Segoe UI"/>
          <w:bCs/>
          <w:szCs w:val="22"/>
          <w:lang w:val="sk-SK" w:bidi="bo-CN"/>
        </w:rPr>
        <w:t xml:space="preserve">V roku 2020 dohodla a uzavrela dve akvizície v rámci svojich obchodných divízií </w:t>
      </w:r>
      <w:proofErr w:type="spellStart"/>
      <w:r>
        <w:rPr>
          <w:rFonts w:cs="Segoe UI"/>
          <w:bCs/>
          <w:szCs w:val="22"/>
          <w:lang w:val="sk-SK" w:bidi="bo-CN"/>
        </w:rPr>
        <w:t>Beauty</w:t>
      </w:r>
      <w:proofErr w:type="spellEnd"/>
      <w:r>
        <w:rPr>
          <w:rFonts w:cs="Segoe UI"/>
          <w:bCs/>
          <w:szCs w:val="22"/>
          <w:lang w:val="sk-SK" w:bidi="bo-CN"/>
        </w:rPr>
        <w:t xml:space="preserve"> </w:t>
      </w:r>
      <w:proofErr w:type="spellStart"/>
      <w:r>
        <w:rPr>
          <w:rFonts w:cs="Segoe UI"/>
          <w:bCs/>
          <w:szCs w:val="22"/>
          <w:lang w:val="sk-SK" w:bidi="bo-CN"/>
        </w:rPr>
        <w:t>Care</w:t>
      </w:r>
      <w:proofErr w:type="spellEnd"/>
      <w:r>
        <w:rPr>
          <w:rFonts w:cs="Segoe UI"/>
          <w:bCs/>
          <w:szCs w:val="22"/>
          <w:lang w:val="sk-SK" w:bidi="bo-CN"/>
        </w:rPr>
        <w:t xml:space="preserve"> a Adhesive Technologies, ktorých súhrnná kúpna cena predstavovala približne 500 mil. eur.</w:t>
      </w:r>
    </w:p>
    <w:p w14:paraId="612B02F3" w14:textId="77777777" w:rsidR="0019638B" w:rsidRPr="00EB79E9" w:rsidRDefault="0019638B" w:rsidP="0019638B">
      <w:pPr>
        <w:autoSpaceDE w:val="0"/>
        <w:autoSpaceDN w:val="0"/>
        <w:adjustRightInd w:val="0"/>
        <w:rPr>
          <w:rFonts w:cs="Segoe UI"/>
          <w:bCs/>
          <w:szCs w:val="22"/>
          <w:lang w:val="sk-SK"/>
        </w:rPr>
      </w:pPr>
    </w:p>
    <w:p w14:paraId="4A1D0B3B" w14:textId="77777777" w:rsidR="0019638B" w:rsidRPr="00B83A0F" w:rsidRDefault="0019638B" w:rsidP="0019638B">
      <w:pPr>
        <w:autoSpaceDE w:val="0"/>
        <w:autoSpaceDN w:val="0"/>
        <w:adjustRightInd w:val="0"/>
        <w:rPr>
          <w:rFonts w:cs="Segoe UI"/>
          <w:bCs/>
          <w:szCs w:val="22"/>
          <w:lang w:val="sk-SK"/>
        </w:rPr>
      </w:pPr>
      <w:r>
        <w:rPr>
          <w:rFonts w:cs="Segoe UI"/>
          <w:bCs/>
          <w:szCs w:val="22"/>
          <w:lang w:val="sk-SK" w:bidi="bo-CN"/>
        </w:rPr>
        <w:t xml:space="preserve">S cieľom ďalej zlepšovať svoju konkurencieschopnosť spoločnosť Henkel zintenzívňuje vývoj prínosných </w:t>
      </w:r>
      <w:r w:rsidRPr="00AA4361">
        <w:rPr>
          <w:rFonts w:cs="Segoe UI"/>
          <w:b/>
          <w:szCs w:val="22"/>
          <w:lang w:val="sk-SK" w:bidi="bo-CN"/>
        </w:rPr>
        <w:t>inovácií</w:t>
      </w:r>
      <w:r>
        <w:rPr>
          <w:rFonts w:cs="Segoe UI"/>
          <w:bCs/>
          <w:szCs w:val="22"/>
          <w:lang w:val="sk-SK" w:bidi="bo-CN"/>
        </w:rPr>
        <w:t xml:space="preserve">, posilňuje trvalú </w:t>
      </w:r>
      <w:r w:rsidRPr="00AA4361">
        <w:rPr>
          <w:rFonts w:cs="Segoe UI"/>
          <w:b/>
          <w:szCs w:val="22"/>
          <w:lang w:val="sk-SK" w:bidi="bo-CN"/>
        </w:rPr>
        <w:t>udržateľnosť</w:t>
      </w:r>
      <w:r>
        <w:rPr>
          <w:rFonts w:cs="Segoe UI"/>
          <w:bCs/>
          <w:szCs w:val="22"/>
          <w:lang w:val="sk-SK" w:bidi="bo-CN"/>
        </w:rPr>
        <w:t xml:space="preserve"> ako faktor, ktorý ju odlišuje od konkurencie, a presadzuje </w:t>
      </w:r>
      <w:r w:rsidRPr="00AA4361">
        <w:rPr>
          <w:rFonts w:cs="Segoe UI"/>
          <w:b/>
          <w:szCs w:val="22"/>
          <w:lang w:val="sk-SK" w:bidi="bo-CN"/>
        </w:rPr>
        <w:t>digitálnu</w:t>
      </w:r>
      <w:r>
        <w:rPr>
          <w:rFonts w:cs="Segoe UI"/>
          <w:bCs/>
          <w:szCs w:val="22"/>
          <w:lang w:val="sk-SK" w:bidi="bo-CN"/>
        </w:rPr>
        <w:t xml:space="preserve"> transformáciu spoločnosti.</w:t>
      </w:r>
    </w:p>
    <w:p w14:paraId="57449FF0" w14:textId="77777777" w:rsidR="0019638B" w:rsidRPr="00EB79E9" w:rsidRDefault="0019638B" w:rsidP="0019638B">
      <w:pPr>
        <w:autoSpaceDE w:val="0"/>
        <w:autoSpaceDN w:val="0"/>
        <w:adjustRightInd w:val="0"/>
        <w:rPr>
          <w:rFonts w:cs="Segoe UI"/>
          <w:bCs/>
          <w:szCs w:val="22"/>
          <w:lang w:val="sk-SK"/>
        </w:rPr>
      </w:pPr>
    </w:p>
    <w:p w14:paraId="7EB89B4B" w14:textId="77777777" w:rsidR="0019638B" w:rsidRPr="00B83A0F" w:rsidRDefault="0019638B" w:rsidP="0019638B">
      <w:pPr>
        <w:autoSpaceDE w:val="0"/>
        <w:autoSpaceDN w:val="0"/>
        <w:adjustRightInd w:val="0"/>
        <w:rPr>
          <w:rFonts w:cs="Segoe UI"/>
          <w:bCs/>
          <w:szCs w:val="22"/>
          <w:lang w:val="sk-SK"/>
        </w:rPr>
      </w:pPr>
      <w:r>
        <w:rPr>
          <w:rFonts w:cs="Segoe UI"/>
          <w:bCs/>
          <w:szCs w:val="22"/>
          <w:lang w:val="sk-SK" w:bidi="bo-CN"/>
        </w:rPr>
        <w:t xml:space="preserve">V roku 2020 zvýšila svoje </w:t>
      </w:r>
      <w:r w:rsidRPr="00B83A0F">
        <w:rPr>
          <w:rFonts w:cs="Segoe UI"/>
          <w:b/>
          <w:szCs w:val="22"/>
          <w:lang w:val="sk-SK" w:bidi="bo-CN"/>
        </w:rPr>
        <w:t>investície</w:t>
      </w:r>
      <w:r>
        <w:rPr>
          <w:rFonts w:cs="Segoe UI"/>
          <w:bCs/>
          <w:szCs w:val="22"/>
          <w:lang w:val="sk-SK" w:bidi="bo-CN"/>
        </w:rPr>
        <w:t xml:space="preserve"> o približne 200 mil. eur v porovnaní s rokom 2019 (350 mil. eur oproti roku 2018) na posilnenie svojich značiek, technológií a inovácií, ako aj na zrýchlenie digitálnej transformácie.</w:t>
      </w:r>
      <w:r w:rsidRPr="00B83A0F">
        <w:rPr>
          <w:rFonts w:cs="Segoe UI"/>
          <w:bCs/>
          <w:szCs w:val="22"/>
          <w:lang w:val="sk-SK"/>
        </w:rPr>
        <w:t xml:space="preserve"> </w:t>
      </w:r>
      <w:r>
        <w:rPr>
          <w:rFonts w:cs="Segoe UI"/>
          <w:bCs/>
          <w:szCs w:val="22"/>
          <w:lang w:val="sk-SK" w:bidi="bo-CN"/>
        </w:rPr>
        <w:t>Zvýšené investície už prinášajú prvé hmatateľné výsledky: Spoločnosť Henkel dokázala zvýšiť svoje trhové podiely v rámci množstva trhov a kategórií. Zároveň zrýchlila svoj inovačný proces a uvádzanie nových produktov na trh.</w:t>
      </w:r>
      <w:r w:rsidRPr="00B83A0F">
        <w:rPr>
          <w:rFonts w:cs="Segoe UI"/>
          <w:bCs/>
          <w:szCs w:val="22"/>
          <w:lang w:val="sk-SK"/>
        </w:rPr>
        <w:t xml:space="preserve"> </w:t>
      </w:r>
      <w:r>
        <w:rPr>
          <w:rFonts w:cs="Segoe UI"/>
          <w:bCs/>
          <w:szCs w:val="22"/>
          <w:lang w:val="sk-SK" w:bidi="bo-CN"/>
        </w:rPr>
        <w:t>To jej pomohlo napríklad rýchlo reagovať na náhly nárast dopytu po hygienických, dezinfekčných a čistiacich výrobkoch použitím „zrýchlených inovácií“.</w:t>
      </w:r>
      <w:r w:rsidRPr="00B83A0F">
        <w:rPr>
          <w:rFonts w:cs="Segoe UI"/>
          <w:bCs/>
          <w:szCs w:val="22"/>
          <w:lang w:val="sk-SK"/>
        </w:rPr>
        <w:t xml:space="preserve"> </w:t>
      </w:r>
      <w:r>
        <w:rPr>
          <w:rFonts w:cs="Segoe UI"/>
          <w:bCs/>
          <w:szCs w:val="22"/>
          <w:lang w:val="sk-SK" w:bidi="bo-CN"/>
        </w:rPr>
        <w:t>Hlavný dôraz sa kládol na kľúčové spotrebiteľské trendy a požiadavky ako hygiena, prírodnejšie a udržateľnejšie výrobky a pohodlnejšie používanie.</w:t>
      </w:r>
    </w:p>
    <w:p w14:paraId="0B2A75AC" w14:textId="77777777" w:rsidR="0019638B" w:rsidRPr="00EB79E9" w:rsidRDefault="0019638B" w:rsidP="0019638B">
      <w:pPr>
        <w:autoSpaceDE w:val="0"/>
        <w:autoSpaceDN w:val="0"/>
        <w:adjustRightInd w:val="0"/>
        <w:rPr>
          <w:rFonts w:cs="Segoe UI"/>
          <w:bCs/>
          <w:szCs w:val="22"/>
          <w:lang w:val="sk-SK"/>
        </w:rPr>
      </w:pPr>
    </w:p>
    <w:p w14:paraId="76F110D6" w14:textId="77777777" w:rsidR="0019638B" w:rsidRPr="00E64F8E" w:rsidRDefault="0019638B" w:rsidP="0019638B">
      <w:pPr>
        <w:autoSpaceDE w:val="0"/>
        <w:autoSpaceDN w:val="0"/>
        <w:adjustRightInd w:val="0"/>
        <w:rPr>
          <w:rFonts w:cs="Segoe UI"/>
          <w:bCs/>
          <w:szCs w:val="22"/>
          <w:lang w:val="sk-SK"/>
        </w:rPr>
      </w:pPr>
      <w:r>
        <w:rPr>
          <w:rFonts w:cs="Segoe UI"/>
          <w:bCs/>
          <w:szCs w:val="22"/>
          <w:lang w:val="sk-SK" w:bidi="bo-CN"/>
        </w:rPr>
        <w:t xml:space="preserve">Na zrýchlenie </w:t>
      </w:r>
      <w:r w:rsidRPr="00B83A0F">
        <w:rPr>
          <w:rFonts w:cs="Segoe UI"/>
          <w:b/>
          <w:szCs w:val="22"/>
          <w:lang w:val="sk-SK" w:bidi="bo-CN"/>
        </w:rPr>
        <w:t>inovácií</w:t>
      </w:r>
      <w:r>
        <w:rPr>
          <w:rFonts w:cs="Segoe UI"/>
          <w:bCs/>
          <w:szCs w:val="22"/>
          <w:lang w:val="sk-SK" w:bidi="bo-CN"/>
        </w:rPr>
        <w:t xml:space="preserve"> a vývoj </w:t>
      </w:r>
      <w:r w:rsidRPr="00B83A0F">
        <w:rPr>
          <w:rFonts w:cs="Segoe UI"/>
          <w:b/>
          <w:szCs w:val="22"/>
          <w:lang w:val="sk-SK" w:bidi="bo-CN"/>
        </w:rPr>
        <w:t>nových biznis modelov</w:t>
      </w:r>
      <w:r>
        <w:rPr>
          <w:rFonts w:cs="Segoe UI"/>
          <w:b/>
          <w:szCs w:val="22"/>
          <w:lang w:val="sk-SK" w:bidi="bo-CN"/>
        </w:rPr>
        <w:t xml:space="preserve"> </w:t>
      </w:r>
      <w:r>
        <w:rPr>
          <w:rFonts w:cs="Segoe UI"/>
          <w:bCs/>
          <w:szCs w:val="22"/>
          <w:lang w:val="sk-SK" w:bidi="bo-CN"/>
        </w:rPr>
        <w:t xml:space="preserve">spotrebiteľské obchodné divízie </w:t>
      </w:r>
      <w:proofErr w:type="spellStart"/>
      <w:r>
        <w:rPr>
          <w:rFonts w:cs="Segoe UI"/>
          <w:bCs/>
          <w:szCs w:val="22"/>
          <w:lang w:val="sk-SK" w:bidi="bo-CN"/>
        </w:rPr>
        <w:t>Beauty</w:t>
      </w:r>
      <w:proofErr w:type="spellEnd"/>
      <w:r>
        <w:rPr>
          <w:rFonts w:cs="Segoe UI"/>
          <w:bCs/>
          <w:szCs w:val="22"/>
          <w:lang w:val="sk-SK" w:bidi="bo-CN"/>
        </w:rPr>
        <w:t xml:space="preserve"> </w:t>
      </w:r>
      <w:proofErr w:type="spellStart"/>
      <w:r>
        <w:rPr>
          <w:rFonts w:cs="Segoe UI"/>
          <w:bCs/>
          <w:szCs w:val="22"/>
          <w:lang w:val="sk-SK" w:bidi="bo-CN"/>
        </w:rPr>
        <w:t>Care</w:t>
      </w:r>
      <w:proofErr w:type="spellEnd"/>
      <w:r>
        <w:rPr>
          <w:rFonts w:cs="Segoe UI"/>
          <w:bCs/>
          <w:szCs w:val="22"/>
          <w:lang w:val="sk-SK" w:bidi="bo-CN"/>
        </w:rPr>
        <w:t xml:space="preserve"> a Laundry </w:t>
      </w:r>
      <w:r w:rsidRPr="00F411B0">
        <w:rPr>
          <w:rFonts w:cs="Segoe UI"/>
          <w:bCs/>
          <w:szCs w:val="22"/>
          <w:lang w:val="sk-SK" w:bidi="bo-CN"/>
        </w:rPr>
        <w:t>&amp;</w:t>
      </w:r>
      <w:r>
        <w:rPr>
          <w:rFonts w:cs="Segoe UI"/>
          <w:bCs/>
          <w:szCs w:val="22"/>
          <w:lang w:val="sk-SK" w:bidi="bo-CN"/>
        </w:rPr>
        <w:t xml:space="preserve"> Home </w:t>
      </w:r>
      <w:proofErr w:type="spellStart"/>
      <w:r>
        <w:rPr>
          <w:rFonts w:cs="Segoe UI"/>
          <w:bCs/>
          <w:szCs w:val="22"/>
          <w:lang w:val="sk-SK" w:bidi="bo-CN"/>
        </w:rPr>
        <w:t>Care</w:t>
      </w:r>
      <w:proofErr w:type="spellEnd"/>
      <w:r>
        <w:rPr>
          <w:rFonts w:cs="Segoe UI"/>
          <w:bCs/>
          <w:szCs w:val="22"/>
          <w:lang w:val="sk-SK" w:bidi="bo-CN"/>
        </w:rPr>
        <w:t xml:space="preserve"> vytvorili svoje interné podnikateľské inkubátory, v ktorých sa spájajú agilné pracovné postupy s veľkosťou a poznatkami globálnej spoločnosti. Cieľom inkubátora s názvom „</w:t>
      </w:r>
      <w:proofErr w:type="spellStart"/>
      <w:r>
        <w:rPr>
          <w:rFonts w:cs="Segoe UI"/>
          <w:bCs/>
          <w:szCs w:val="22"/>
          <w:lang w:val="sk-SK" w:bidi="bo-CN"/>
        </w:rPr>
        <w:t>Fritz</w:t>
      </w:r>
      <w:proofErr w:type="spellEnd"/>
      <w:r>
        <w:rPr>
          <w:rFonts w:cs="Segoe UI"/>
          <w:bCs/>
          <w:szCs w:val="22"/>
          <w:lang w:val="sk-SK" w:bidi="bo-CN"/>
        </w:rPr>
        <w:t xml:space="preserve"> </w:t>
      </w:r>
      <w:proofErr w:type="spellStart"/>
      <w:r>
        <w:rPr>
          <w:rFonts w:cs="Segoe UI"/>
          <w:bCs/>
          <w:szCs w:val="22"/>
          <w:lang w:val="sk-SK" w:bidi="bo-CN"/>
        </w:rPr>
        <w:t>Beauty</w:t>
      </w:r>
      <w:proofErr w:type="spellEnd"/>
      <w:r>
        <w:rPr>
          <w:rFonts w:cs="Segoe UI"/>
          <w:bCs/>
          <w:szCs w:val="22"/>
          <w:lang w:val="sk-SK" w:bidi="bo-CN"/>
        </w:rPr>
        <w:t xml:space="preserve"> </w:t>
      </w:r>
      <w:proofErr w:type="spellStart"/>
      <w:r>
        <w:rPr>
          <w:rFonts w:cs="Segoe UI"/>
          <w:bCs/>
          <w:szCs w:val="22"/>
          <w:lang w:val="sk-SK" w:bidi="bo-CN"/>
        </w:rPr>
        <w:t>Lab</w:t>
      </w:r>
      <w:proofErr w:type="spellEnd"/>
      <w:r>
        <w:rPr>
          <w:rFonts w:cs="Segoe UI"/>
          <w:bCs/>
          <w:szCs w:val="22"/>
          <w:lang w:val="sk-SK" w:bidi="bo-CN"/>
        </w:rPr>
        <w:t xml:space="preserve">“, ktorý je inšpirovaný zakladateľom spoločnosti </w:t>
      </w:r>
      <w:proofErr w:type="spellStart"/>
      <w:r>
        <w:rPr>
          <w:rFonts w:cs="Segoe UI"/>
          <w:bCs/>
          <w:szCs w:val="22"/>
          <w:lang w:val="sk-SK" w:bidi="bo-CN"/>
        </w:rPr>
        <w:t>Fritzom</w:t>
      </w:r>
      <w:proofErr w:type="spellEnd"/>
      <w:r>
        <w:rPr>
          <w:rFonts w:cs="Segoe UI"/>
          <w:bCs/>
          <w:szCs w:val="22"/>
          <w:lang w:val="sk-SK" w:bidi="bo-CN"/>
        </w:rPr>
        <w:t xml:space="preserve"> Henkelom, je identifikovať oblasti s potenciálom rastu pre už existujúce značky či vyhľadávať biele miesta na vybudovanie úplne nových značiek.</w:t>
      </w:r>
      <w:r w:rsidRPr="00BD7EBF">
        <w:rPr>
          <w:rFonts w:cs="Segoe UI"/>
          <w:bCs/>
          <w:szCs w:val="22"/>
          <w:lang w:val="sk-SK"/>
        </w:rPr>
        <w:t xml:space="preserve"> </w:t>
      </w:r>
      <w:r>
        <w:rPr>
          <w:rFonts w:cs="Segoe UI"/>
          <w:bCs/>
          <w:szCs w:val="22"/>
          <w:lang w:val="sk-SK" w:bidi="bo-CN"/>
        </w:rPr>
        <w:t>Divízia</w:t>
      </w:r>
      <w:r w:rsidRPr="00BD7EBF">
        <w:rPr>
          <w:rFonts w:cs="Segoe UI"/>
          <w:bCs/>
          <w:szCs w:val="22"/>
          <w:lang w:val="sk-SK" w:bidi="bo-CN"/>
        </w:rPr>
        <w:t xml:space="preserve"> Laundry &amp; Home </w:t>
      </w:r>
      <w:proofErr w:type="spellStart"/>
      <w:r w:rsidRPr="00BD7EBF">
        <w:rPr>
          <w:rFonts w:cs="Segoe UI"/>
          <w:bCs/>
          <w:szCs w:val="22"/>
          <w:lang w:val="sk-SK" w:bidi="bo-CN"/>
        </w:rPr>
        <w:t>Care</w:t>
      </w:r>
      <w:proofErr w:type="spellEnd"/>
      <w:r w:rsidRPr="00BD7EBF">
        <w:rPr>
          <w:rFonts w:cs="Segoe UI"/>
          <w:bCs/>
          <w:szCs w:val="22"/>
          <w:lang w:val="sk-SK" w:bidi="bo-CN"/>
        </w:rPr>
        <w:t xml:space="preserve"> </w:t>
      </w:r>
      <w:r>
        <w:rPr>
          <w:rFonts w:cs="Segoe UI"/>
          <w:bCs/>
          <w:szCs w:val="22"/>
          <w:lang w:val="sk-SK" w:bidi="bo-CN"/>
        </w:rPr>
        <w:t xml:space="preserve">spustila aj </w:t>
      </w:r>
      <w:r>
        <w:rPr>
          <w:rFonts w:cs="Segoe UI"/>
          <w:bCs/>
          <w:szCs w:val="22"/>
          <w:lang w:val="sk-SK" w:bidi="bo-CN"/>
        </w:rPr>
        <w:lastRenderedPageBreak/>
        <w:t xml:space="preserve">nové ideové laboratórium, ktoré zastrešuje značka Love Nature, ktoré sa zameriava na hľadanie trvalo udržateľných riešení v kategóriách pracích produktov a čistiacich produktov pre domácnosť. V rámci divízie Adhesive Technologies pokračovala spoločnosť v investíciách do svojho moderného inovačného centra v </w:t>
      </w:r>
      <w:proofErr w:type="spellStart"/>
      <w:r>
        <w:rPr>
          <w:rFonts w:cs="Segoe UI"/>
          <w:bCs/>
          <w:szCs w:val="22"/>
          <w:lang w:val="sk-SK" w:bidi="bo-CN"/>
        </w:rPr>
        <w:t>Düsseldorfe</w:t>
      </w:r>
      <w:proofErr w:type="spellEnd"/>
      <w:r>
        <w:rPr>
          <w:rFonts w:cs="Segoe UI"/>
          <w:bCs/>
          <w:szCs w:val="22"/>
          <w:lang w:val="sk-SK" w:bidi="bo-CN"/>
        </w:rPr>
        <w:t>.</w:t>
      </w:r>
      <w:r w:rsidRPr="00E64F8E">
        <w:rPr>
          <w:rFonts w:cs="Segoe UI"/>
          <w:bCs/>
          <w:szCs w:val="22"/>
          <w:lang w:val="sk-SK"/>
        </w:rPr>
        <w:t xml:space="preserve"> </w:t>
      </w:r>
      <w:r>
        <w:rPr>
          <w:rFonts w:cs="Segoe UI"/>
          <w:bCs/>
          <w:szCs w:val="22"/>
          <w:lang w:val="sk-SK" w:bidi="bo-CN"/>
        </w:rPr>
        <w:t>Centrum, ktoré predstavuje investíciu v celkovej výške 130 mil. eur, je tesne pred dokončením a do prevádzky bude uvedené v prvom polroku 2021.</w:t>
      </w:r>
    </w:p>
    <w:p w14:paraId="191FDB47" w14:textId="77777777" w:rsidR="0019638B" w:rsidRPr="00EB79E9" w:rsidRDefault="0019638B" w:rsidP="0019638B">
      <w:pPr>
        <w:rPr>
          <w:rFonts w:cs="Segoe UI"/>
          <w:b/>
          <w:szCs w:val="22"/>
          <w:lang w:val="sk-SK"/>
        </w:rPr>
      </w:pPr>
    </w:p>
    <w:p w14:paraId="762BFE3E" w14:textId="77777777" w:rsidR="0019638B" w:rsidRPr="007D24C9" w:rsidRDefault="0019638B" w:rsidP="0019638B">
      <w:pPr>
        <w:rPr>
          <w:rFonts w:cs="Segoe UI"/>
          <w:bCs/>
          <w:szCs w:val="22"/>
          <w:lang w:val="sk-SK"/>
        </w:rPr>
      </w:pPr>
      <w:r>
        <w:rPr>
          <w:rFonts w:cs="Segoe UI"/>
          <w:b/>
          <w:szCs w:val="22"/>
          <w:lang w:val="sk-SK" w:bidi="bo-CN"/>
        </w:rPr>
        <w:t xml:space="preserve">Udržateľnosť </w:t>
      </w:r>
      <w:r>
        <w:rPr>
          <w:rFonts w:cs="Segoe UI"/>
          <w:bCs/>
          <w:szCs w:val="22"/>
          <w:lang w:val="sk-SK" w:bidi="bo-CN"/>
        </w:rPr>
        <w:t>je jednou z najsilnejších stránok spoločnosti Henkel.</w:t>
      </w:r>
      <w:r w:rsidRPr="00E64F8E">
        <w:rPr>
          <w:rFonts w:cs="Segoe UI"/>
          <w:bCs/>
          <w:szCs w:val="22"/>
          <w:lang w:val="sk-SK"/>
        </w:rPr>
        <w:t xml:space="preserve"> </w:t>
      </w:r>
      <w:r>
        <w:rPr>
          <w:rFonts w:cs="Segoe UI"/>
          <w:bCs/>
          <w:szCs w:val="22"/>
          <w:lang w:val="sk-SK" w:bidi="bo-CN"/>
        </w:rPr>
        <w:t>Spoločnosť je v tejto oblasti lídrom, čo potvrdzujú aj jej pravidelné umiestnenia na popredných priečkach v renomovaných ratingoch a rebríčkoch trvalej udržateľnosti.</w:t>
      </w:r>
      <w:r w:rsidRPr="00E64F8E">
        <w:rPr>
          <w:rFonts w:cs="Segoe UI"/>
          <w:bCs/>
          <w:szCs w:val="22"/>
          <w:lang w:val="sk-SK"/>
        </w:rPr>
        <w:t xml:space="preserve"> </w:t>
      </w:r>
      <w:r>
        <w:rPr>
          <w:rFonts w:cs="Segoe UI"/>
          <w:bCs/>
          <w:szCs w:val="22"/>
          <w:lang w:val="sk-SK" w:bidi="bo-CN"/>
        </w:rPr>
        <w:t>Trvalá udržateľnosť je preto jedným z hlavných faktorov, ktorými sa spoločnosť Henkel chce odlíšiť od svojej konkurencie.</w:t>
      </w:r>
      <w:r w:rsidRPr="00E64F8E">
        <w:rPr>
          <w:rFonts w:cs="Segoe UI"/>
          <w:bCs/>
          <w:szCs w:val="22"/>
          <w:lang w:val="sk-SK"/>
        </w:rPr>
        <w:t xml:space="preserve"> </w:t>
      </w:r>
      <w:r>
        <w:rPr>
          <w:rFonts w:cs="Segoe UI"/>
          <w:bCs/>
          <w:szCs w:val="22"/>
          <w:lang w:val="sk-SK" w:bidi="bo-CN"/>
        </w:rPr>
        <w:t>V roku 2020 spoločnosť úspešne pokračovala v integrácii princípov trvalej udržateľnosti do všetkých aspektov svojho podnikania a v ich presadzovaní v rámci celého hodnotového, dodávateľsko-spotrebiteľského reťazca.</w:t>
      </w:r>
      <w:r w:rsidRPr="00E64F8E">
        <w:rPr>
          <w:rFonts w:cs="Segoe UI"/>
          <w:bCs/>
          <w:szCs w:val="22"/>
          <w:lang w:val="sk-SK"/>
        </w:rPr>
        <w:t xml:space="preserve"> </w:t>
      </w:r>
      <w:r>
        <w:rPr>
          <w:rFonts w:cs="Segoe UI"/>
          <w:bCs/>
          <w:szCs w:val="22"/>
          <w:lang w:val="sk-SK" w:bidi="bo-CN"/>
        </w:rPr>
        <w:t xml:space="preserve">Na trh uviedla nové produkty, ktoré reagujú na rastúci dopyt spotrebiteľov po prírodných a udržateľných produktoch, ako sú napríklad tuhé šampóny a mydlá divízie </w:t>
      </w:r>
      <w:proofErr w:type="spellStart"/>
      <w:r>
        <w:rPr>
          <w:rFonts w:cs="Segoe UI"/>
          <w:bCs/>
          <w:szCs w:val="22"/>
          <w:lang w:val="sk-SK" w:bidi="bo-CN"/>
        </w:rPr>
        <w:t>Beauty</w:t>
      </w:r>
      <w:proofErr w:type="spellEnd"/>
      <w:r>
        <w:rPr>
          <w:rFonts w:cs="Segoe UI"/>
          <w:bCs/>
          <w:szCs w:val="22"/>
          <w:lang w:val="sk-SK" w:bidi="bo-CN"/>
        </w:rPr>
        <w:t xml:space="preserve"> </w:t>
      </w:r>
      <w:proofErr w:type="spellStart"/>
      <w:r>
        <w:rPr>
          <w:rFonts w:cs="Segoe UI"/>
          <w:bCs/>
          <w:szCs w:val="22"/>
          <w:lang w:val="sk-SK" w:bidi="bo-CN"/>
        </w:rPr>
        <w:t>Care</w:t>
      </w:r>
      <w:proofErr w:type="spellEnd"/>
      <w:r>
        <w:rPr>
          <w:rFonts w:cs="Segoe UI"/>
          <w:bCs/>
          <w:szCs w:val="22"/>
          <w:lang w:val="sk-SK" w:bidi="bo-CN"/>
        </w:rPr>
        <w:t xml:space="preserve"> predávané pod značkou Nature Box a N.A.E.</w:t>
      </w:r>
      <w:r w:rsidRPr="003C17C8">
        <w:rPr>
          <w:rFonts w:cs="Segoe UI"/>
          <w:bCs/>
          <w:szCs w:val="22"/>
          <w:lang w:val="sk-SK"/>
        </w:rPr>
        <w:t xml:space="preserve"> </w:t>
      </w:r>
      <w:r>
        <w:rPr>
          <w:rFonts w:cs="Segoe UI"/>
          <w:bCs/>
          <w:szCs w:val="22"/>
          <w:lang w:val="sk-SK" w:bidi="bo-CN"/>
        </w:rPr>
        <w:t xml:space="preserve">Divízia </w:t>
      </w:r>
      <w:r w:rsidRPr="00EB79E9">
        <w:rPr>
          <w:rFonts w:cs="Segoe UI"/>
          <w:bCs/>
          <w:szCs w:val="22"/>
          <w:lang w:val="sk-SK" w:bidi="bo-CN"/>
        </w:rPr>
        <w:t xml:space="preserve">Laundry &amp; Home </w:t>
      </w:r>
      <w:proofErr w:type="spellStart"/>
      <w:r w:rsidRPr="00EB79E9">
        <w:rPr>
          <w:rFonts w:cs="Segoe UI"/>
          <w:bCs/>
          <w:szCs w:val="22"/>
          <w:lang w:val="sk-SK" w:bidi="bo-CN"/>
        </w:rPr>
        <w:t>Care</w:t>
      </w:r>
      <w:proofErr w:type="spellEnd"/>
      <w:r w:rsidRPr="00EB79E9">
        <w:rPr>
          <w:rFonts w:cs="Segoe UI"/>
          <w:bCs/>
          <w:szCs w:val="22"/>
          <w:lang w:val="sk-SK" w:bidi="bo-CN"/>
        </w:rPr>
        <w:t xml:space="preserve"> </w:t>
      </w:r>
      <w:r>
        <w:rPr>
          <w:rFonts w:cs="Segoe UI"/>
          <w:bCs/>
          <w:szCs w:val="22"/>
          <w:lang w:val="sk-SK" w:bidi="bo-CN"/>
        </w:rPr>
        <w:t>rozšírila portfólio svojich výrobkov pod značkou Pro Nature a s úspechom uviedla novú značku udržateľných výrobkov Love Nature.</w:t>
      </w:r>
      <w:r w:rsidRPr="007E3A9B">
        <w:rPr>
          <w:rFonts w:cs="Segoe UI"/>
          <w:bCs/>
          <w:szCs w:val="22"/>
          <w:lang w:val="sk-SK"/>
        </w:rPr>
        <w:t xml:space="preserve"> </w:t>
      </w:r>
      <w:r>
        <w:rPr>
          <w:rFonts w:cs="Segoe UI"/>
          <w:bCs/>
          <w:szCs w:val="22"/>
          <w:lang w:val="sk-SK" w:bidi="bo-CN"/>
        </w:rPr>
        <w:t xml:space="preserve">Divízia Adhesive Technologies vyvinula v rámci značky </w:t>
      </w:r>
      <w:proofErr w:type="spellStart"/>
      <w:r>
        <w:rPr>
          <w:rFonts w:cs="Segoe UI"/>
          <w:bCs/>
          <w:szCs w:val="22"/>
          <w:lang w:val="sk-SK" w:bidi="bo-CN"/>
        </w:rPr>
        <w:t>Loctite</w:t>
      </w:r>
      <w:proofErr w:type="spellEnd"/>
      <w:r>
        <w:rPr>
          <w:rFonts w:cs="Segoe UI"/>
          <w:bCs/>
          <w:szCs w:val="22"/>
          <w:lang w:val="sk-SK" w:bidi="bo-CN"/>
        </w:rPr>
        <w:t xml:space="preserve"> novú technológiu, ktorá</w:t>
      </w:r>
      <w:r w:rsidRPr="007E3A9B">
        <w:rPr>
          <w:rFonts w:cs="Segoe UI"/>
          <w:bCs/>
          <w:szCs w:val="22"/>
          <w:lang w:val="sk-SK"/>
        </w:rPr>
        <w:t xml:space="preserve"> </w:t>
      </w:r>
      <w:r>
        <w:rPr>
          <w:rFonts w:cs="Segoe UI"/>
          <w:bCs/>
          <w:szCs w:val="22"/>
          <w:lang w:val="sk-SK" w:bidi="bo-CN"/>
        </w:rPr>
        <w:t>umožňuje nahradiť polyetylén v potravinárskych a nepotravinárskych obaloch papierom.</w:t>
      </w:r>
      <w:r w:rsidRPr="007E3A9B">
        <w:rPr>
          <w:rFonts w:cs="Segoe UI"/>
          <w:bCs/>
          <w:szCs w:val="22"/>
          <w:lang w:val="sk-SK"/>
        </w:rPr>
        <w:t xml:space="preserve"> </w:t>
      </w:r>
      <w:r>
        <w:rPr>
          <w:rFonts w:cs="Segoe UI"/>
          <w:bCs/>
          <w:szCs w:val="22"/>
          <w:lang w:val="sk-SK" w:bidi="bo-CN"/>
        </w:rPr>
        <w:t>Okrem inovácií, ktorých cieľom je vývoj udržateľnejších produktov, spoločnosť Henkel uzavrela virtuálny kontrakt na nákup elektrickej energie vyrobenej z obnoviteľných zdrojov, ktorý pokryje spotrebu elektrickej energie všetkých jej prevádzok v Severnej Amerike.</w:t>
      </w:r>
      <w:r w:rsidRPr="00A12D15">
        <w:rPr>
          <w:rFonts w:cs="Segoe UI"/>
          <w:bCs/>
          <w:szCs w:val="22"/>
          <w:lang w:val="sk-SK"/>
        </w:rPr>
        <w:t xml:space="preserve"> </w:t>
      </w:r>
      <w:r>
        <w:rPr>
          <w:rFonts w:cs="Segoe UI"/>
          <w:bCs/>
          <w:szCs w:val="22"/>
          <w:lang w:val="sk-SK" w:bidi="bo-CN"/>
        </w:rPr>
        <w:t>Stala sa tiež prvou spoločnosťou, ktorá vydala dlhopis na zníženie plastového odpadu v hodnote približne 100 mil. eur na financovanie opatrení zameraných na zníženie objemu plastového odpadu, ktorý vzniká v rámci jej dodávateľsko-spotrebiteľského reťazca.</w:t>
      </w:r>
      <w:r w:rsidRPr="00A12D15">
        <w:rPr>
          <w:rFonts w:cs="Segoe UI"/>
          <w:bCs/>
          <w:szCs w:val="22"/>
          <w:lang w:val="sk-SK"/>
        </w:rPr>
        <w:t xml:space="preserve"> </w:t>
      </w:r>
      <w:r>
        <w:rPr>
          <w:rFonts w:cs="Segoe UI"/>
          <w:bCs/>
          <w:szCs w:val="22"/>
          <w:lang w:val="sk-SK" w:bidi="bo-CN"/>
        </w:rPr>
        <w:t>Dlhopis podčiarkuje záväzok spoločnosti rozvíjať obehové hospodárstvo a znižovať tvorbu plastového odpadu a zároveň posilňovať udržateľné financovanie.</w:t>
      </w:r>
    </w:p>
    <w:p w14:paraId="10C58D5B" w14:textId="77777777" w:rsidR="0019638B" w:rsidRPr="00EB79E9" w:rsidRDefault="0019638B" w:rsidP="0019638B">
      <w:pPr>
        <w:rPr>
          <w:rFonts w:cs="Segoe UI"/>
          <w:bCs/>
          <w:szCs w:val="22"/>
          <w:lang w:val="sk-SK"/>
        </w:rPr>
      </w:pPr>
      <w:bookmarkStart w:id="5" w:name="_Hlk63409035"/>
    </w:p>
    <w:p w14:paraId="05CCA737" w14:textId="77777777" w:rsidR="0019638B" w:rsidRPr="005257F2" w:rsidRDefault="0019638B" w:rsidP="0019638B">
      <w:pPr>
        <w:rPr>
          <w:rFonts w:cs="Segoe UI"/>
          <w:bCs/>
          <w:szCs w:val="22"/>
          <w:lang w:val="sk-SK"/>
        </w:rPr>
      </w:pPr>
      <w:r>
        <w:rPr>
          <w:rFonts w:cs="Segoe UI"/>
          <w:bCs/>
          <w:szCs w:val="22"/>
          <w:lang w:val="sk-SK" w:bidi="bo-CN"/>
        </w:rPr>
        <w:t xml:space="preserve">Spoločnosť Henkel sleduje cieľ, ktorým je od roku 2010 do roku 2030 strojnásobiť </w:t>
      </w:r>
      <w:r w:rsidRPr="005257F2">
        <w:rPr>
          <w:rFonts w:cs="Segoe UI"/>
          <w:b/>
          <w:szCs w:val="22"/>
          <w:lang w:val="sk-SK" w:bidi="bo-CN"/>
        </w:rPr>
        <w:t xml:space="preserve">hodnotu </w:t>
      </w:r>
      <w:r>
        <w:rPr>
          <w:rFonts w:cs="Segoe UI"/>
          <w:b/>
          <w:szCs w:val="22"/>
          <w:lang w:val="sk-SK" w:bidi="bo-CN"/>
        </w:rPr>
        <w:t>jej</w:t>
      </w:r>
      <w:r w:rsidRPr="005257F2">
        <w:rPr>
          <w:rFonts w:cs="Segoe UI"/>
          <w:b/>
          <w:szCs w:val="22"/>
          <w:lang w:val="sk-SK" w:bidi="bo-CN"/>
        </w:rPr>
        <w:t xml:space="preserve"> operácií, produktov a</w:t>
      </w:r>
      <w:r>
        <w:rPr>
          <w:rFonts w:cs="Segoe UI"/>
          <w:b/>
          <w:szCs w:val="22"/>
          <w:lang w:val="sk-SK" w:bidi="bo-CN"/>
        </w:rPr>
        <w:t> </w:t>
      </w:r>
      <w:r w:rsidRPr="005257F2">
        <w:rPr>
          <w:rFonts w:cs="Segoe UI"/>
          <w:b/>
          <w:szCs w:val="22"/>
          <w:lang w:val="sk-SK" w:bidi="bo-CN"/>
        </w:rPr>
        <w:t>služieb</w:t>
      </w:r>
      <w:r>
        <w:rPr>
          <w:rFonts w:cs="Segoe UI"/>
          <w:b/>
          <w:szCs w:val="22"/>
          <w:lang w:val="sk-SK" w:bidi="bo-CN"/>
        </w:rPr>
        <w:t xml:space="preserve"> </w:t>
      </w:r>
      <w:r>
        <w:rPr>
          <w:rFonts w:cs="Segoe UI"/>
          <w:bCs/>
          <w:szCs w:val="22"/>
          <w:lang w:val="sk-SK" w:bidi="bo-CN"/>
        </w:rPr>
        <w:t>vo vzťahu k ich environmentálnej stope.</w:t>
      </w:r>
      <w:r w:rsidRPr="005257F2">
        <w:rPr>
          <w:rFonts w:cs="Segoe UI"/>
          <w:bCs/>
          <w:szCs w:val="22"/>
          <w:lang w:val="sk-SK"/>
        </w:rPr>
        <w:t xml:space="preserve"> </w:t>
      </w:r>
      <w:r>
        <w:rPr>
          <w:rFonts w:cs="Segoe UI"/>
          <w:bCs/>
          <w:szCs w:val="22"/>
          <w:lang w:val="sk-SK" w:bidi="bo-CN"/>
        </w:rPr>
        <w:t>Na ceste k tomuto dlhodobému cieľu si na rok 2020 stanovila strednodobé ciele, ktoré sa jej vo väčšine aspektov podarilo naplniť.</w:t>
      </w:r>
      <w:r w:rsidRPr="005257F2">
        <w:rPr>
          <w:rFonts w:cs="Segoe UI"/>
          <w:bCs/>
          <w:szCs w:val="22"/>
          <w:lang w:val="sk-SK"/>
        </w:rPr>
        <w:t xml:space="preserve"> </w:t>
      </w:r>
      <w:bookmarkStart w:id="6" w:name="_Hlk63415349"/>
      <w:r>
        <w:rPr>
          <w:rFonts w:cs="Segoe UI"/>
          <w:bCs/>
          <w:szCs w:val="22"/>
          <w:lang w:val="sk-SK" w:bidi="bo-CN"/>
        </w:rPr>
        <w:t>V porovnaní s rokom 2010 sa spoločnosti do roku 2020 podarilo celkovo zlepšiť svoju efektivitu vo využívaní zdrojov o 64 %.</w:t>
      </w:r>
    </w:p>
    <w:bookmarkEnd w:id="6"/>
    <w:p w14:paraId="1737A394" w14:textId="77777777" w:rsidR="0019638B" w:rsidRPr="00EB79E9" w:rsidRDefault="0019638B" w:rsidP="0019638B">
      <w:pPr>
        <w:rPr>
          <w:rFonts w:cs="Segoe UI"/>
          <w:szCs w:val="22"/>
          <w:lang w:val="sk-SK" w:eastAsia="de-DE"/>
        </w:rPr>
      </w:pPr>
    </w:p>
    <w:bookmarkEnd w:id="5"/>
    <w:p w14:paraId="4C8B19E4" w14:textId="77777777" w:rsidR="0019638B" w:rsidRPr="00F411B0" w:rsidRDefault="0019638B" w:rsidP="0019638B">
      <w:pPr>
        <w:rPr>
          <w:lang w:val="sk-SK"/>
        </w:rPr>
      </w:pPr>
      <w:r>
        <w:rPr>
          <w:rFonts w:cs="Segoe UI"/>
          <w:szCs w:val="22"/>
          <w:lang w:val="sk-SK" w:eastAsia="de-DE" w:bidi="bo-CN"/>
        </w:rPr>
        <w:t xml:space="preserve">Okrem inovácií a trvalej udržateľnosti je ďalším kľúčovým faktorom na posilnenie konkurenčného postavenia spoločnosti Henkel </w:t>
      </w:r>
      <w:r w:rsidRPr="005257F2">
        <w:rPr>
          <w:rFonts w:cs="Segoe UI"/>
          <w:b/>
          <w:bCs/>
          <w:szCs w:val="22"/>
          <w:lang w:val="sk-SK" w:eastAsia="de-DE" w:bidi="bo-CN"/>
        </w:rPr>
        <w:t>digitálna</w:t>
      </w:r>
      <w:r>
        <w:rPr>
          <w:rFonts w:cs="Segoe UI"/>
          <w:szCs w:val="22"/>
          <w:lang w:val="sk-SK" w:eastAsia="de-DE" w:bidi="bo-CN"/>
        </w:rPr>
        <w:t xml:space="preserve"> transformácia, ktorá má vytvárať hodnotu pre zákazníkov a spotrebiteľov v rámci všetkých obchodných divízií.</w:t>
      </w:r>
      <w:r w:rsidRPr="005257F2">
        <w:rPr>
          <w:rFonts w:cs="Segoe UI"/>
          <w:szCs w:val="22"/>
          <w:lang w:val="sk-SK" w:eastAsia="de-DE"/>
        </w:rPr>
        <w:t xml:space="preserve"> </w:t>
      </w:r>
      <w:r>
        <w:rPr>
          <w:rFonts w:cs="Segoe UI"/>
          <w:szCs w:val="22"/>
          <w:lang w:val="sk-SK" w:eastAsia="de-DE" w:bidi="bo-CN"/>
        </w:rPr>
        <w:t xml:space="preserve">Na realizáciu tejto </w:t>
      </w:r>
      <w:r>
        <w:rPr>
          <w:rFonts w:cs="Segoe UI"/>
          <w:szCs w:val="22"/>
          <w:lang w:val="sk-SK" w:eastAsia="de-DE" w:bidi="bo-CN"/>
        </w:rPr>
        <w:lastRenderedPageBreak/>
        <w:t>vízie a urýchlenie celého procesu transformácie spoločnosť Henkel založila v roku 2020 novú divíziu s názvom Henkel dx, ktorá spája digitalizáciu, riadenie podnikových procesov a IT do jednej globálnej organizácie.</w:t>
      </w:r>
      <w:r w:rsidRPr="005257F2">
        <w:rPr>
          <w:rFonts w:cs="Segoe UI"/>
          <w:szCs w:val="22"/>
          <w:lang w:val="sk-SK" w:eastAsia="de-DE"/>
        </w:rPr>
        <w:t xml:space="preserve"> </w:t>
      </w:r>
      <w:r>
        <w:rPr>
          <w:rFonts w:cs="Segoe UI"/>
          <w:szCs w:val="22"/>
          <w:lang w:val="sk-SK" w:eastAsia="de-DE" w:bidi="bo-CN"/>
        </w:rPr>
        <w:t>Divízia Henkel dx otvorila v Berlíne svoje prvé inovačné centrum a v budúcnosti plánuje rozšíriť svoju globálnu sieť o ďalšie podobné centrá.</w:t>
      </w:r>
      <w:r w:rsidRPr="005257F2">
        <w:rPr>
          <w:rFonts w:cs="Segoe UI"/>
          <w:szCs w:val="22"/>
          <w:lang w:val="sk-SK" w:eastAsia="de-DE"/>
        </w:rPr>
        <w:t xml:space="preserve"> </w:t>
      </w:r>
      <w:r>
        <w:rPr>
          <w:rFonts w:cs="Segoe UI"/>
          <w:szCs w:val="22"/>
          <w:lang w:val="sk-SK" w:eastAsia="de-DE" w:bidi="bo-CN"/>
        </w:rPr>
        <w:t>V priebehu roku 2020 sa výrazne zvýšil podiel predaja prostredníctvom digitálnych kanálov, z ktorého profitovali všetky obchodné divízie.</w:t>
      </w:r>
      <w:r w:rsidRPr="005257F2">
        <w:rPr>
          <w:rFonts w:cs="Segoe UI"/>
          <w:szCs w:val="22"/>
          <w:lang w:val="sk-SK" w:eastAsia="de-DE"/>
        </w:rPr>
        <w:t xml:space="preserve"> </w:t>
      </w:r>
      <w:r>
        <w:rPr>
          <w:rFonts w:cs="Segoe UI"/>
          <w:szCs w:val="22"/>
          <w:lang w:val="sk-SK" w:bidi="bo-CN"/>
        </w:rPr>
        <w:t>Obrat, ktorý spoločnosť Henkel dosiahla prostredníctvom digitálnych kanálov, sa celkovo zvýšil o 20 %, pričom spoločný príspevok spotrebiteľských divízií k rastu predstavoval viac než 60 %.</w:t>
      </w:r>
    </w:p>
    <w:p w14:paraId="0F6D115A" w14:textId="77777777" w:rsidR="0019638B" w:rsidRPr="00D247A0" w:rsidRDefault="0019638B" w:rsidP="0019638B">
      <w:pPr>
        <w:spacing w:line="264" w:lineRule="atLeast"/>
        <w:rPr>
          <w:rFonts w:cs="Segoe UI"/>
          <w:szCs w:val="22"/>
          <w:lang w:val="sk-SK" w:eastAsia="de-DE"/>
        </w:rPr>
      </w:pPr>
      <w:r w:rsidRPr="005257F2">
        <w:rPr>
          <w:rFonts w:cs="Segoe UI"/>
          <w:color w:val="FFFFFF"/>
          <w:sz w:val="6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>Na úrovni skupiny sa podiel obratu z digitálnych kanálov na celkovom obrate ďalej zvýšil na približne 15 %.</w:t>
      </w:r>
    </w:p>
    <w:p w14:paraId="663F7525" w14:textId="77777777" w:rsidR="0019638B" w:rsidRPr="00EB79E9" w:rsidRDefault="0019638B" w:rsidP="0019638B">
      <w:pPr>
        <w:rPr>
          <w:rFonts w:cs="Segoe UI"/>
          <w:szCs w:val="22"/>
          <w:lang w:val="sk-SK" w:eastAsia="de-DE"/>
        </w:rPr>
      </w:pPr>
    </w:p>
    <w:p w14:paraId="2B7E0946" w14:textId="6C6B0EB8" w:rsidR="0019638B" w:rsidRPr="00610EB3" w:rsidRDefault="0019638B" w:rsidP="0019638B">
      <w:pPr>
        <w:rPr>
          <w:rFonts w:cs="Segoe UI"/>
          <w:szCs w:val="22"/>
          <w:lang w:val="sk-SK" w:eastAsia="de-DE"/>
        </w:rPr>
      </w:pPr>
      <w:r>
        <w:rPr>
          <w:rFonts w:cs="Segoe UI"/>
          <w:szCs w:val="22"/>
          <w:lang w:val="sk-SK" w:eastAsia="de-DE" w:bidi="bo-CN"/>
        </w:rPr>
        <w:t xml:space="preserve">Dôležitými prvkami strategického rámca spoločnosti Henkel sú </w:t>
      </w:r>
      <w:r w:rsidR="00F411B0">
        <w:rPr>
          <w:rFonts w:cs="Segoe UI"/>
          <w:szCs w:val="22"/>
          <w:lang w:val="sk-SK" w:eastAsia="de-DE" w:bidi="bo-CN"/>
        </w:rPr>
        <w:t xml:space="preserve">adaptívne </w:t>
      </w:r>
      <w:r>
        <w:rPr>
          <w:rFonts w:cs="Segoe UI"/>
          <w:szCs w:val="22"/>
          <w:lang w:val="sk-SK" w:eastAsia="de-DE" w:bidi="bo-CN"/>
        </w:rPr>
        <w:t xml:space="preserve">a rýchle </w:t>
      </w:r>
      <w:r w:rsidRPr="00D247A0">
        <w:rPr>
          <w:rFonts w:cs="Segoe UI"/>
          <w:b/>
          <w:bCs/>
          <w:szCs w:val="22"/>
          <w:lang w:val="sk-SK" w:eastAsia="de-DE" w:bidi="bo-CN"/>
        </w:rPr>
        <w:t>prevádzkové modely</w:t>
      </w:r>
      <w:r>
        <w:rPr>
          <w:rFonts w:cs="Segoe UI"/>
          <w:b/>
          <w:bCs/>
          <w:szCs w:val="22"/>
          <w:lang w:val="sk-SK" w:eastAsia="de-DE" w:bidi="bo-CN"/>
        </w:rPr>
        <w:t xml:space="preserve"> </w:t>
      </w:r>
      <w:r>
        <w:rPr>
          <w:rFonts w:cs="Segoe UI"/>
          <w:szCs w:val="22"/>
          <w:lang w:val="sk-SK" w:eastAsia="de-DE" w:bidi="bo-CN"/>
        </w:rPr>
        <w:t>pripravené na budúcnosť.</w:t>
      </w:r>
      <w:r w:rsidRPr="00D247A0">
        <w:rPr>
          <w:rFonts w:cs="Segoe UI"/>
          <w:szCs w:val="22"/>
          <w:lang w:val="sk-SK" w:eastAsia="de-DE"/>
        </w:rPr>
        <w:t xml:space="preserve"> </w:t>
      </w:r>
      <w:r>
        <w:rPr>
          <w:rFonts w:cs="Segoe UI"/>
          <w:szCs w:val="22"/>
          <w:lang w:val="sk-SK" w:eastAsia="de-DE" w:bidi="bo-CN"/>
        </w:rPr>
        <w:t>Aby sa je to podarilo zabezpečiť a aby zlepšila svoju konkurencieschopnosť a efektívnosť, spoločnosť kontinuálne prispôsobuje a upravuje existujúce procesy a štruktúry v rámci celej svojej organizácie.</w:t>
      </w:r>
      <w:r w:rsidRPr="00D247A0">
        <w:rPr>
          <w:rFonts w:cs="Segoe UI"/>
          <w:szCs w:val="22"/>
          <w:lang w:val="sk-SK" w:eastAsia="de-DE"/>
        </w:rPr>
        <w:t xml:space="preserve"> </w:t>
      </w:r>
      <w:r>
        <w:rPr>
          <w:rFonts w:cs="Segoe UI"/>
          <w:szCs w:val="22"/>
          <w:lang w:val="sk-SK" w:eastAsia="de-DE" w:bidi="bo-CN"/>
        </w:rPr>
        <w:t>Pritom sa snaží zavádzať nové biznis modely, priblížiť sa k svojim zákazníkom a spotrebiteľom prostredníctvom rýchlejších rozhodovacích procesov a ďalej zvyšovať svoju efektívnosť.</w:t>
      </w:r>
      <w:r w:rsidRPr="00D247A0">
        <w:rPr>
          <w:rFonts w:cs="Segoe UI"/>
          <w:szCs w:val="22"/>
          <w:lang w:val="sk-SK" w:eastAsia="de-DE"/>
        </w:rPr>
        <w:t xml:space="preserve"> </w:t>
      </w:r>
      <w:r>
        <w:rPr>
          <w:rFonts w:cs="Segoe UI"/>
          <w:szCs w:val="22"/>
          <w:lang w:val="sk-SK" w:eastAsia="de-DE" w:bidi="bo-CN"/>
        </w:rPr>
        <w:t xml:space="preserve">Zavedením nových organizačných štruktúr v rámci divízie Adhesive Technologies v roku 2020  sa spoločnosti Henkel podarilo ešte lepšie osloviť a obslúžiť špecifické zákaznícke segmenty a trhy. V obchodných divíziách </w:t>
      </w:r>
      <w:proofErr w:type="spellStart"/>
      <w:r w:rsidRPr="00EB79E9">
        <w:rPr>
          <w:rFonts w:cs="Segoe UI"/>
          <w:szCs w:val="22"/>
          <w:lang w:val="sk-SK" w:eastAsia="de-DE" w:bidi="bo-CN"/>
        </w:rPr>
        <w:t>Beauty</w:t>
      </w:r>
      <w:proofErr w:type="spellEnd"/>
      <w:r w:rsidRPr="00EB79E9">
        <w:rPr>
          <w:rFonts w:cs="Segoe UI"/>
          <w:szCs w:val="22"/>
          <w:lang w:val="sk-SK" w:eastAsia="de-DE" w:bidi="bo-CN"/>
        </w:rPr>
        <w:t xml:space="preserve"> </w:t>
      </w:r>
      <w:proofErr w:type="spellStart"/>
      <w:r w:rsidRPr="00EB79E9">
        <w:rPr>
          <w:rFonts w:cs="Segoe UI"/>
          <w:szCs w:val="22"/>
          <w:lang w:val="sk-SK" w:eastAsia="de-DE" w:bidi="bo-CN"/>
        </w:rPr>
        <w:t>Care</w:t>
      </w:r>
      <w:proofErr w:type="spellEnd"/>
      <w:r w:rsidRPr="00EB79E9">
        <w:rPr>
          <w:rFonts w:cs="Segoe UI"/>
          <w:szCs w:val="22"/>
          <w:lang w:val="sk-SK" w:eastAsia="de-DE" w:bidi="bo-CN"/>
        </w:rPr>
        <w:t xml:space="preserve"> </w:t>
      </w:r>
      <w:r>
        <w:rPr>
          <w:rFonts w:cs="Segoe UI"/>
          <w:szCs w:val="22"/>
          <w:lang w:val="sk-SK" w:eastAsia="de-DE" w:bidi="bo-CN"/>
        </w:rPr>
        <w:t xml:space="preserve">a </w:t>
      </w:r>
      <w:r w:rsidRPr="00EB79E9">
        <w:rPr>
          <w:rFonts w:cs="Segoe UI"/>
          <w:szCs w:val="22"/>
          <w:lang w:val="sk-SK" w:eastAsia="de-DE" w:bidi="bo-CN"/>
        </w:rPr>
        <w:t xml:space="preserve">Laundry &amp; Home </w:t>
      </w:r>
      <w:proofErr w:type="spellStart"/>
      <w:r w:rsidRPr="00EB79E9">
        <w:rPr>
          <w:rFonts w:cs="Segoe UI"/>
          <w:szCs w:val="22"/>
          <w:lang w:val="sk-SK" w:eastAsia="de-DE" w:bidi="bo-CN"/>
        </w:rPr>
        <w:t>Care</w:t>
      </w:r>
      <w:proofErr w:type="spellEnd"/>
      <w:r>
        <w:rPr>
          <w:rFonts w:cs="Segoe UI"/>
          <w:szCs w:val="22"/>
          <w:lang w:val="sk-SK" w:eastAsia="de-DE" w:bidi="bo-CN"/>
        </w:rPr>
        <w:t xml:space="preserve"> zaviedla spoločnosť ďalšie organizačné zmeny, ktoré im umožnili posilniť ich regionálne zameranie a priblížiť sa k zákazníkom a spotrebiteľom.</w:t>
      </w:r>
    </w:p>
    <w:p w14:paraId="1D368D6F" w14:textId="77777777" w:rsidR="0019638B" w:rsidRPr="00EB79E9" w:rsidRDefault="0019638B" w:rsidP="0019638B">
      <w:pPr>
        <w:rPr>
          <w:rFonts w:cs="Segoe UI"/>
          <w:szCs w:val="22"/>
          <w:lang w:val="sk-SK" w:eastAsia="de-DE"/>
        </w:rPr>
      </w:pPr>
    </w:p>
    <w:p w14:paraId="50DCAE58" w14:textId="77777777" w:rsidR="0019638B" w:rsidRPr="00EB79E9" w:rsidRDefault="0019638B" w:rsidP="0019638B">
      <w:pPr>
        <w:rPr>
          <w:lang w:val="sk-SK"/>
        </w:rPr>
      </w:pPr>
      <w:r>
        <w:rPr>
          <w:rFonts w:cs="Segoe UI"/>
          <w:szCs w:val="22"/>
          <w:lang w:val="sk-SK" w:eastAsia="de-DE" w:bidi="bo-CN"/>
        </w:rPr>
        <w:t xml:space="preserve">V centre agendy „Zmysluplný rast“ je ďalší rozvoj firemnej kultúry a zrýchlenie </w:t>
      </w:r>
      <w:r>
        <w:rPr>
          <w:rFonts w:cs="Segoe UI"/>
          <w:b/>
          <w:bCs/>
          <w:szCs w:val="22"/>
          <w:lang w:val="sk-SK" w:eastAsia="de-DE" w:bidi="bo-CN"/>
        </w:rPr>
        <w:t xml:space="preserve">kultúrnej transformácie </w:t>
      </w:r>
      <w:r>
        <w:rPr>
          <w:rFonts w:cs="Segoe UI"/>
          <w:szCs w:val="22"/>
          <w:lang w:val="sk-SK" w:eastAsia="de-DE" w:bidi="bo-CN"/>
        </w:rPr>
        <w:t>v rámci spoločnosti Henkel.</w:t>
      </w:r>
      <w:r w:rsidRPr="00610EB3">
        <w:rPr>
          <w:rFonts w:cs="Segoe UI"/>
          <w:szCs w:val="22"/>
          <w:lang w:val="sk-SK" w:eastAsia="de-DE"/>
        </w:rPr>
        <w:t xml:space="preserve"> </w:t>
      </w:r>
      <w:r>
        <w:rPr>
          <w:rFonts w:cs="Segoe UI"/>
          <w:szCs w:val="22"/>
          <w:lang w:val="sk-SK" w:eastAsia="de-DE" w:bidi="bo-CN"/>
        </w:rPr>
        <w:t>Cieľom spoločnosti je rozvíjať kultúru spolupráce, ktorej stredobodom sú angažovaní zamestnanci a lídri.</w:t>
      </w:r>
      <w:r w:rsidRPr="00610EB3">
        <w:rPr>
          <w:rFonts w:cs="Segoe UI"/>
          <w:szCs w:val="22"/>
          <w:lang w:val="sk-SK" w:eastAsia="de-DE"/>
        </w:rPr>
        <w:t xml:space="preserve"> </w:t>
      </w:r>
      <w:r>
        <w:rPr>
          <w:rFonts w:cs="Segoe UI"/>
          <w:szCs w:val="22"/>
          <w:lang w:val="sk-SK" w:eastAsia="de-DE" w:bidi="bo-CN"/>
        </w:rPr>
        <w:t>V roku 2020 spoločnosť zaviedla množstvo opatrení zameraných na rozvoj a posilnenie kultúry spolupráce a zlepšovanie budúcich schopností a zručností svojich zamestnancov, ktoré im umožnia rásť a rozvíjať sa po osobnej aj profesionálnej stránke.</w:t>
      </w:r>
      <w:r w:rsidRPr="00F53052">
        <w:rPr>
          <w:rFonts w:cs="Segoe UI"/>
          <w:szCs w:val="22"/>
          <w:lang w:val="sk-SK" w:eastAsia="de-DE"/>
        </w:rPr>
        <w:t xml:space="preserve"> </w:t>
      </w:r>
      <w:r>
        <w:rPr>
          <w:rFonts w:cs="Segoe UI"/>
          <w:szCs w:val="22"/>
          <w:lang w:val="sk-SK" w:eastAsia="de-DE" w:bidi="bo-CN"/>
        </w:rPr>
        <w:t xml:space="preserve">Medzi zamestnancami uskutočnila globálny prieskum </w:t>
      </w:r>
      <w:proofErr w:type="spellStart"/>
      <w:r w:rsidRPr="00841218">
        <w:rPr>
          <w:rFonts w:cs="Segoe UI"/>
          <w:i/>
          <w:iCs/>
          <w:szCs w:val="22"/>
          <w:lang w:val="sk-SK" w:eastAsia="de-DE" w:bidi="bo-CN"/>
        </w:rPr>
        <w:t>Organizational</w:t>
      </w:r>
      <w:proofErr w:type="spellEnd"/>
      <w:r w:rsidRPr="00841218">
        <w:rPr>
          <w:rFonts w:cs="Segoe UI"/>
          <w:i/>
          <w:iCs/>
          <w:szCs w:val="22"/>
          <w:lang w:val="sk-SK" w:eastAsia="de-DE" w:bidi="bo-CN"/>
        </w:rPr>
        <w:t xml:space="preserve"> </w:t>
      </w:r>
      <w:proofErr w:type="spellStart"/>
      <w:r w:rsidRPr="00841218">
        <w:rPr>
          <w:rFonts w:cs="Segoe UI"/>
          <w:i/>
          <w:iCs/>
          <w:szCs w:val="22"/>
          <w:lang w:val="sk-SK" w:eastAsia="de-DE" w:bidi="bo-CN"/>
        </w:rPr>
        <w:t>Health</w:t>
      </w:r>
      <w:proofErr w:type="spellEnd"/>
      <w:r w:rsidRPr="00841218">
        <w:rPr>
          <w:rFonts w:cs="Segoe UI"/>
          <w:i/>
          <w:iCs/>
          <w:szCs w:val="22"/>
          <w:lang w:val="sk-SK" w:eastAsia="de-DE" w:bidi="bo-CN"/>
        </w:rPr>
        <w:t xml:space="preserve"> </w:t>
      </w:r>
      <w:proofErr w:type="spellStart"/>
      <w:r w:rsidRPr="00841218">
        <w:rPr>
          <w:rFonts w:cs="Segoe UI"/>
          <w:i/>
          <w:iCs/>
          <w:szCs w:val="22"/>
          <w:lang w:val="sk-SK" w:eastAsia="de-DE" w:bidi="bo-CN"/>
        </w:rPr>
        <w:t>Survey</w:t>
      </w:r>
      <w:proofErr w:type="spellEnd"/>
      <w:r>
        <w:rPr>
          <w:rFonts w:cs="Segoe UI"/>
          <w:szCs w:val="22"/>
          <w:lang w:val="sk-SK" w:eastAsia="de-DE" w:bidi="bo-CN"/>
        </w:rPr>
        <w:t>, ktorého cieľom bolo identifikovať silné stránky aj oblasti, ktoré je možné zlepšovať, a do budúcnosti vypracovať program kultúrnej transformácie. Snahy o neustále prispôsobovanie a rozvoj firemnej kultúry, aby si spoločnosť zachovala svoje postavenia atraktívneho zamestnávateľa, sa odrazili aj vo výraznom zlepšení jej umiestnenia v kľúčových rebríčkoch a hodnoteniach reputácie zamestnávateľov.</w:t>
      </w:r>
      <w:r w:rsidRPr="00F53052">
        <w:rPr>
          <w:lang w:val="sk-SK"/>
        </w:rPr>
        <w:t xml:space="preserve"> </w:t>
      </w:r>
    </w:p>
    <w:p w14:paraId="3D1949B3" w14:textId="77777777" w:rsidR="0019638B" w:rsidRPr="000D729C" w:rsidRDefault="0019638B" w:rsidP="0019638B">
      <w:pPr>
        <w:rPr>
          <w:i/>
          <w:iCs/>
          <w:lang w:val="sk-SK"/>
        </w:rPr>
      </w:pPr>
    </w:p>
    <w:p w14:paraId="0E2D28CE" w14:textId="77777777" w:rsidR="0019638B" w:rsidRPr="00F53052" w:rsidRDefault="0019638B" w:rsidP="0019638B">
      <w:pPr>
        <w:rPr>
          <w:rFonts w:cs="Segoe UI"/>
          <w:szCs w:val="22"/>
          <w:lang w:val="sk-SK" w:eastAsia="de-DE"/>
        </w:rPr>
      </w:pPr>
      <w:r w:rsidRPr="000D729C">
        <w:rPr>
          <w:rFonts w:cs="Segoe UI"/>
          <w:i/>
          <w:iCs/>
          <w:szCs w:val="22"/>
          <w:lang w:val="sk-SK" w:eastAsia="de-DE" w:bidi="bo-CN"/>
        </w:rPr>
        <w:t xml:space="preserve"> „Som hrdý na pokrok, ktorý sme v implementácii našej strategickej agendy dosiahli, pričom sme zároveň riešili globálnu pandemickú situáciu.</w:t>
      </w:r>
      <w:r w:rsidRPr="000D729C">
        <w:rPr>
          <w:rFonts w:cs="Segoe UI"/>
          <w:i/>
          <w:iCs/>
          <w:szCs w:val="22"/>
          <w:lang w:val="sk-SK" w:eastAsia="de-DE"/>
        </w:rPr>
        <w:t xml:space="preserve"> </w:t>
      </w:r>
      <w:r w:rsidRPr="000D729C">
        <w:rPr>
          <w:rFonts w:cs="Segoe UI"/>
          <w:i/>
          <w:iCs/>
          <w:szCs w:val="22"/>
          <w:lang w:val="sk-SK" w:eastAsia="de-DE" w:bidi="bo-CN"/>
        </w:rPr>
        <w:t>Som ohromený odolnosťou našich podnikateľských aktivít, vďaka ktorej sa nám podarilo dosiahnuť presvedčivé podnikateľské výsledky a ďalej posilniť naše finančné základy.</w:t>
      </w:r>
      <w:r w:rsidRPr="000D729C">
        <w:rPr>
          <w:rFonts w:cs="Segoe UI"/>
          <w:i/>
          <w:iCs/>
          <w:szCs w:val="22"/>
          <w:lang w:val="sk-SK" w:eastAsia="de-DE"/>
        </w:rPr>
        <w:t xml:space="preserve"> </w:t>
      </w:r>
      <w:r w:rsidRPr="000D729C">
        <w:rPr>
          <w:rFonts w:cs="Segoe UI"/>
          <w:i/>
          <w:iCs/>
          <w:szCs w:val="22"/>
          <w:lang w:val="sk-SK" w:eastAsia="de-DE" w:bidi="bo-CN"/>
        </w:rPr>
        <w:t xml:space="preserve">Ale najdôležitejší je pocit vďaky a úprimného rešpektu voči našim </w:t>
      </w:r>
      <w:r w:rsidRPr="000D729C">
        <w:rPr>
          <w:rFonts w:cs="Segoe UI"/>
          <w:i/>
          <w:iCs/>
          <w:szCs w:val="22"/>
          <w:lang w:val="sk-SK" w:eastAsia="de-DE" w:bidi="bo-CN"/>
        </w:rPr>
        <w:lastRenderedPageBreak/>
        <w:t>zamestnancom.</w:t>
      </w:r>
      <w:r w:rsidRPr="000D729C">
        <w:rPr>
          <w:rFonts w:cs="Segoe UI"/>
          <w:i/>
          <w:iCs/>
          <w:szCs w:val="22"/>
          <w:lang w:val="sk-SK" w:eastAsia="de-DE"/>
        </w:rPr>
        <w:t xml:space="preserve"> </w:t>
      </w:r>
      <w:r w:rsidRPr="000D729C">
        <w:rPr>
          <w:rFonts w:cs="Segoe UI"/>
          <w:i/>
          <w:iCs/>
          <w:szCs w:val="22"/>
          <w:lang w:val="sk-SK" w:eastAsia="de-DE" w:bidi="bo-CN"/>
        </w:rPr>
        <w:t>Ich výkony, spolupráca a pozitívny prístup, ktor</w:t>
      </w:r>
      <w:r>
        <w:rPr>
          <w:rFonts w:cs="Segoe UI"/>
          <w:i/>
          <w:iCs/>
          <w:szCs w:val="22"/>
          <w:lang w:val="sk-SK" w:eastAsia="de-DE" w:bidi="bo-CN"/>
        </w:rPr>
        <w:t>ý</w:t>
      </w:r>
      <w:r w:rsidRPr="000D729C">
        <w:rPr>
          <w:rFonts w:cs="Segoe UI"/>
          <w:i/>
          <w:iCs/>
          <w:szCs w:val="22"/>
          <w:lang w:val="sk-SK" w:eastAsia="de-DE" w:bidi="bo-CN"/>
        </w:rPr>
        <w:t xml:space="preserve"> v roku 2020 prejavili, sa ma hlboko dotkli a sú pre mňa inšpiráciou.</w:t>
      </w:r>
      <w:r w:rsidRPr="000D729C">
        <w:rPr>
          <w:rFonts w:cs="Segoe UI"/>
          <w:i/>
          <w:iCs/>
          <w:szCs w:val="22"/>
          <w:lang w:val="sk-SK" w:eastAsia="de-DE"/>
        </w:rPr>
        <w:t xml:space="preserve"> </w:t>
      </w:r>
      <w:r w:rsidRPr="000D729C">
        <w:rPr>
          <w:rFonts w:cs="Segoe UI"/>
          <w:i/>
          <w:iCs/>
          <w:szCs w:val="22"/>
          <w:lang w:val="sk-SK" w:eastAsia="de-DE" w:bidi="bo-CN"/>
        </w:rPr>
        <w:t xml:space="preserve">Chcel by som im všetkým poďakovať za ich neoceniteľný prínos k tomuto skutočne výnimočnému roku,“ </w:t>
      </w:r>
      <w:r>
        <w:rPr>
          <w:rFonts w:cs="Segoe UI"/>
          <w:szCs w:val="22"/>
          <w:lang w:val="sk-SK" w:eastAsia="de-DE" w:bidi="bo-CN"/>
        </w:rPr>
        <w:t xml:space="preserve">zhrnul na záver Carsten </w:t>
      </w:r>
      <w:proofErr w:type="spellStart"/>
      <w:r>
        <w:rPr>
          <w:rFonts w:cs="Segoe UI"/>
          <w:szCs w:val="22"/>
          <w:lang w:val="sk-SK" w:eastAsia="de-DE" w:bidi="bo-CN"/>
        </w:rPr>
        <w:t>Knobel</w:t>
      </w:r>
      <w:proofErr w:type="spellEnd"/>
      <w:r>
        <w:rPr>
          <w:rFonts w:cs="Segoe UI"/>
          <w:szCs w:val="22"/>
          <w:lang w:val="sk-SK" w:eastAsia="de-DE" w:bidi="bo-CN"/>
        </w:rPr>
        <w:t>.</w:t>
      </w:r>
    </w:p>
    <w:p w14:paraId="758312F7" w14:textId="77777777" w:rsidR="0019638B" w:rsidRPr="00EB79E9" w:rsidRDefault="0019638B" w:rsidP="0019638B">
      <w:pPr>
        <w:rPr>
          <w:rFonts w:cs="Segoe UI"/>
          <w:szCs w:val="22"/>
          <w:lang w:val="sk-SK" w:eastAsia="de-DE"/>
        </w:rPr>
      </w:pPr>
    </w:p>
    <w:p w14:paraId="407B8D69" w14:textId="77777777" w:rsidR="0019638B" w:rsidRDefault="0019638B" w:rsidP="0019638B">
      <w:pPr>
        <w:rPr>
          <w:rFonts w:cs="Segoe UI"/>
          <w:szCs w:val="22"/>
          <w:lang w:val="sk-SK" w:eastAsia="de-DE"/>
        </w:rPr>
      </w:pPr>
      <w:r>
        <w:rPr>
          <w:rFonts w:cs="Segoe UI"/>
          <w:szCs w:val="22"/>
          <w:lang w:val="sk-SK" w:eastAsia="de-DE"/>
        </w:rPr>
        <w:br w:type="page"/>
      </w:r>
    </w:p>
    <w:p w14:paraId="5EECBC66" w14:textId="77777777" w:rsidR="0019638B" w:rsidRPr="00237054" w:rsidRDefault="0019638B" w:rsidP="0019638B">
      <w:pPr>
        <w:spacing w:after="150" w:line="259" w:lineRule="auto"/>
        <w:ind w:left="7955" w:right="-507"/>
        <w:jc w:val="left"/>
        <w:rPr>
          <w:lang w:val="sk-SK"/>
        </w:rPr>
      </w:pPr>
      <w:r w:rsidRPr="00237054">
        <w:rPr>
          <w:noProof/>
          <w:lang w:val="sk-SK"/>
        </w:rPr>
        <w:lastRenderedPageBreak/>
        <w:drawing>
          <wp:anchor distT="0" distB="0" distL="114300" distR="114300" simplePos="0" relativeHeight="251658240" behindDoc="0" locked="0" layoutInCell="1" allowOverlap="1" wp14:anchorId="75952BCB" wp14:editId="4F9AD9C4">
            <wp:simplePos x="0" y="0"/>
            <wp:positionH relativeFrom="column">
              <wp:posOffset>5047709</wp:posOffset>
            </wp:positionH>
            <wp:positionV relativeFrom="paragraph">
              <wp:posOffset>-596265</wp:posOffset>
            </wp:positionV>
            <wp:extent cx="1000747" cy="585254"/>
            <wp:effectExtent l="0" t="0" r="0" b="5715"/>
            <wp:wrapNone/>
            <wp:docPr id="2502" name="Picture 2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2" name="Picture 250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00747" cy="585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048B4B" w14:textId="77777777" w:rsidR="0019638B" w:rsidRPr="00237054" w:rsidRDefault="0019638B" w:rsidP="0019638B">
      <w:pPr>
        <w:pStyle w:val="Heading1"/>
        <w:ind w:left="-77"/>
        <w:rPr>
          <w:color w:val="E1000F"/>
          <w:sz w:val="29"/>
          <w:lang w:val="sk-SK"/>
        </w:rPr>
      </w:pPr>
      <w:r w:rsidRPr="00237054">
        <w:rPr>
          <w:rFonts w:ascii="Calibri" w:eastAsia="Calibri" w:hAnsi="Calibri" w:cs="Calibri"/>
          <w:color w:val="E1000F"/>
          <w:sz w:val="29"/>
          <w:lang w:val="sk-SK" w:bidi="bo-CN"/>
        </w:rPr>
        <w:t>Hlavné údaje za 4</w:t>
      </w:r>
      <w:r>
        <w:rPr>
          <w:rFonts w:ascii="Calibri" w:eastAsia="Calibri" w:hAnsi="Calibri" w:cs="Calibri"/>
          <w:color w:val="E1000F"/>
          <w:sz w:val="29"/>
          <w:lang w:val="sk-SK" w:bidi="bo-CN"/>
        </w:rPr>
        <w:t>,</w:t>
      </w:r>
      <w:r w:rsidRPr="00237054">
        <w:rPr>
          <w:rFonts w:ascii="Calibri" w:eastAsia="Calibri" w:hAnsi="Calibri" w:cs="Calibri"/>
          <w:color w:val="E1000F"/>
          <w:sz w:val="29"/>
          <w:lang w:val="sk-SK" w:bidi="bo-CN"/>
        </w:rPr>
        <w:t xml:space="preserve"> štvrťrok 2020 (Q4) a za celý rok 2020 (1-12)</w:t>
      </w:r>
    </w:p>
    <w:tbl>
      <w:tblPr>
        <w:tblStyle w:val="TableGrid0"/>
        <w:tblW w:w="9031" w:type="dxa"/>
        <w:tblInd w:w="-125" w:type="dxa"/>
        <w:tblCellMar>
          <w:top w:w="23" w:type="dxa"/>
          <w:right w:w="115" w:type="dxa"/>
        </w:tblCellMar>
        <w:tblLook w:val="04A0" w:firstRow="1" w:lastRow="0" w:firstColumn="1" w:lastColumn="0" w:noHBand="0" w:noVBand="1"/>
      </w:tblPr>
      <w:tblGrid>
        <w:gridCol w:w="4401"/>
        <w:gridCol w:w="1122"/>
        <w:gridCol w:w="698"/>
        <w:gridCol w:w="1405"/>
        <w:gridCol w:w="1405"/>
      </w:tblGrid>
      <w:tr w:rsidR="0019638B" w:rsidRPr="00F411B0" w14:paraId="75F1D8B2" w14:textId="77777777" w:rsidTr="003F3994">
        <w:trPr>
          <w:trHeight w:val="228"/>
        </w:trPr>
        <w:tc>
          <w:tcPr>
            <w:tcW w:w="4401" w:type="dxa"/>
            <w:tcBorders>
              <w:top w:val="nil"/>
              <w:left w:val="nil"/>
              <w:bottom w:val="single" w:sz="4" w:space="0" w:color="AFB4B9"/>
              <w:right w:val="nil"/>
            </w:tcBorders>
          </w:tcPr>
          <w:p w14:paraId="386087D9" w14:textId="77777777" w:rsidR="0019638B" w:rsidRPr="00237054" w:rsidRDefault="0019638B" w:rsidP="003F3994">
            <w:pPr>
              <w:spacing w:line="259" w:lineRule="auto"/>
              <w:jc w:val="left"/>
              <w:rPr>
                <w:lang w:val="sk-SK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FB4B9"/>
              <w:right w:val="single" w:sz="12" w:space="0" w:color="FFFFFF"/>
            </w:tcBorders>
          </w:tcPr>
          <w:p w14:paraId="6A48743C" w14:textId="77777777" w:rsidR="0019638B" w:rsidRPr="00237054" w:rsidRDefault="0019638B" w:rsidP="003F3994">
            <w:pPr>
              <w:spacing w:line="259" w:lineRule="auto"/>
              <w:jc w:val="left"/>
              <w:rPr>
                <w:lang w:val="sk-SK"/>
              </w:rPr>
            </w:pPr>
          </w:p>
        </w:tc>
        <w:tc>
          <w:tcPr>
            <w:tcW w:w="1405" w:type="dxa"/>
            <w:tcBorders>
              <w:top w:val="nil"/>
              <w:left w:val="single" w:sz="12" w:space="0" w:color="FFFFFF"/>
              <w:bottom w:val="single" w:sz="4" w:space="0" w:color="AFB4B9"/>
              <w:right w:val="single" w:sz="12" w:space="0" w:color="FFFFFF"/>
            </w:tcBorders>
          </w:tcPr>
          <w:p w14:paraId="78A00AEB" w14:textId="77777777" w:rsidR="0019638B" w:rsidRPr="00237054" w:rsidRDefault="0019638B" w:rsidP="003F3994">
            <w:pPr>
              <w:spacing w:line="259" w:lineRule="auto"/>
              <w:jc w:val="left"/>
              <w:rPr>
                <w:lang w:val="sk-SK"/>
              </w:rPr>
            </w:pPr>
          </w:p>
        </w:tc>
        <w:tc>
          <w:tcPr>
            <w:tcW w:w="1405" w:type="dxa"/>
            <w:tcBorders>
              <w:top w:val="nil"/>
              <w:left w:val="single" w:sz="12" w:space="0" w:color="FFFFFF"/>
              <w:bottom w:val="single" w:sz="4" w:space="0" w:color="AFB4B9"/>
              <w:right w:val="nil"/>
            </w:tcBorders>
          </w:tcPr>
          <w:p w14:paraId="2ECFD381" w14:textId="77777777" w:rsidR="0019638B" w:rsidRPr="00237054" w:rsidRDefault="0019638B" w:rsidP="003F3994">
            <w:pPr>
              <w:spacing w:line="259" w:lineRule="auto"/>
              <w:jc w:val="left"/>
              <w:rPr>
                <w:lang w:val="sk-SK"/>
              </w:rPr>
            </w:pPr>
          </w:p>
        </w:tc>
      </w:tr>
      <w:tr w:rsidR="0019638B" w:rsidRPr="00237054" w14:paraId="721A114E" w14:textId="77777777" w:rsidTr="003F3994">
        <w:trPr>
          <w:trHeight w:val="228"/>
        </w:trPr>
        <w:tc>
          <w:tcPr>
            <w:tcW w:w="4401" w:type="dxa"/>
            <w:vMerge w:val="restart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vAlign w:val="bottom"/>
          </w:tcPr>
          <w:p w14:paraId="5A1326E3" w14:textId="77777777" w:rsidR="0019638B" w:rsidRPr="00237054" w:rsidRDefault="0019638B" w:rsidP="003F3994">
            <w:pPr>
              <w:spacing w:line="259" w:lineRule="auto"/>
              <w:ind w:left="34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b/>
                <w:sz w:val="18"/>
                <w:lang w:val="sk-SK"/>
              </w:rPr>
              <w:t>v miliónoch eur</w:t>
            </w:r>
          </w:p>
        </w:tc>
        <w:tc>
          <w:tcPr>
            <w:tcW w:w="1820" w:type="dxa"/>
            <w:gridSpan w:val="2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</w:tcPr>
          <w:p w14:paraId="2BC7C6FB" w14:textId="77777777" w:rsidR="0019638B" w:rsidRPr="00237054" w:rsidRDefault="0019638B" w:rsidP="003F3994">
            <w:pPr>
              <w:spacing w:line="259" w:lineRule="auto"/>
              <w:ind w:left="132"/>
              <w:jc w:val="center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b/>
                <w:sz w:val="18"/>
                <w:lang w:val="sk-SK"/>
              </w:rPr>
              <w:t>Obrat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single" w:sz="12" w:space="0" w:color="FFFFFF"/>
            </w:tcBorders>
          </w:tcPr>
          <w:p w14:paraId="2A294FF8" w14:textId="77777777" w:rsidR="0019638B" w:rsidRPr="00237054" w:rsidRDefault="0019638B" w:rsidP="003F3994">
            <w:pPr>
              <w:spacing w:line="259" w:lineRule="auto"/>
              <w:ind w:left="129"/>
              <w:jc w:val="center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b/>
                <w:sz w:val="18"/>
                <w:lang w:val="sk-SK"/>
              </w:rPr>
              <w:t>EBIT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</w:tcPr>
          <w:p w14:paraId="0DEDAD32" w14:textId="77777777" w:rsidR="0019638B" w:rsidRPr="00237054" w:rsidRDefault="0019638B" w:rsidP="003F3994">
            <w:pPr>
              <w:spacing w:line="259" w:lineRule="auto"/>
              <w:ind w:left="129"/>
              <w:jc w:val="center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b/>
                <w:sz w:val="18"/>
                <w:lang w:val="sk-SK"/>
              </w:rPr>
              <w:t xml:space="preserve">Marža EBIT </w:t>
            </w:r>
          </w:p>
        </w:tc>
      </w:tr>
      <w:tr w:rsidR="0019638B" w:rsidRPr="00237054" w14:paraId="045B4795" w14:textId="77777777" w:rsidTr="003F3994">
        <w:trPr>
          <w:trHeight w:val="22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FB4B9"/>
              <w:right w:val="nil"/>
            </w:tcBorders>
          </w:tcPr>
          <w:p w14:paraId="6D16DBBD" w14:textId="77777777" w:rsidR="0019638B" w:rsidRPr="00237054" w:rsidRDefault="0019638B" w:rsidP="003F3994">
            <w:pPr>
              <w:spacing w:line="259" w:lineRule="auto"/>
              <w:jc w:val="left"/>
              <w:rPr>
                <w:lang w:val="sk-SK"/>
              </w:rPr>
            </w:pPr>
          </w:p>
        </w:tc>
        <w:tc>
          <w:tcPr>
            <w:tcW w:w="1122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</w:tcPr>
          <w:p w14:paraId="20F8CBFC" w14:textId="77777777" w:rsidR="0019638B" w:rsidRPr="00237054" w:rsidRDefault="0019638B" w:rsidP="003F3994">
            <w:pPr>
              <w:spacing w:line="259" w:lineRule="auto"/>
              <w:ind w:left="356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b/>
                <w:sz w:val="18"/>
                <w:lang w:val="sk-SK"/>
              </w:rPr>
              <w:t>Q4</w:t>
            </w: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</w:tcPr>
          <w:p w14:paraId="03B652CD" w14:textId="77777777" w:rsidR="0019638B" w:rsidRPr="00237054" w:rsidRDefault="0019638B" w:rsidP="003F3994">
            <w:pPr>
              <w:spacing w:line="259" w:lineRule="auto"/>
              <w:ind w:left="86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b/>
                <w:sz w:val="18"/>
                <w:lang w:val="sk-SK"/>
              </w:rPr>
              <w:t>1-12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single" w:sz="12" w:space="0" w:color="FFFFFF"/>
            </w:tcBorders>
          </w:tcPr>
          <w:p w14:paraId="04932432" w14:textId="77777777" w:rsidR="0019638B" w:rsidRPr="00237054" w:rsidRDefault="0019638B" w:rsidP="003F3994">
            <w:pPr>
              <w:spacing w:line="259" w:lineRule="auto"/>
              <w:ind w:left="131"/>
              <w:jc w:val="center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b/>
                <w:sz w:val="18"/>
                <w:lang w:val="sk-SK"/>
              </w:rPr>
              <w:t>1-12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</w:tcPr>
          <w:p w14:paraId="1BE03B9A" w14:textId="77777777" w:rsidR="0019638B" w:rsidRPr="00237054" w:rsidRDefault="0019638B" w:rsidP="003F3994">
            <w:pPr>
              <w:spacing w:line="259" w:lineRule="auto"/>
              <w:ind w:left="131"/>
              <w:jc w:val="center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b/>
                <w:sz w:val="18"/>
                <w:lang w:val="sk-SK"/>
              </w:rPr>
              <w:t>1-12</w:t>
            </w:r>
          </w:p>
        </w:tc>
      </w:tr>
      <w:tr w:rsidR="0019638B" w:rsidRPr="00237054" w14:paraId="12E5660F" w14:textId="77777777" w:rsidTr="003F3994">
        <w:trPr>
          <w:trHeight w:val="187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</w:tcPr>
          <w:p w14:paraId="3CD5E14B" w14:textId="77777777" w:rsidR="0019638B" w:rsidRPr="00237054" w:rsidRDefault="0019638B" w:rsidP="003F3994">
            <w:pPr>
              <w:spacing w:line="259" w:lineRule="auto"/>
              <w:jc w:val="left"/>
              <w:rPr>
                <w:lang w:val="sk-SK"/>
              </w:rPr>
            </w:pPr>
          </w:p>
        </w:tc>
        <w:tc>
          <w:tcPr>
            <w:tcW w:w="1122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</w:tcPr>
          <w:p w14:paraId="7430BCA1" w14:textId="77777777" w:rsidR="0019638B" w:rsidRPr="00237054" w:rsidRDefault="0019638B" w:rsidP="003F3994">
            <w:pPr>
              <w:spacing w:line="259" w:lineRule="auto"/>
              <w:jc w:val="left"/>
              <w:rPr>
                <w:lang w:val="sk-SK"/>
              </w:rPr>
            </w:pP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</w:tcPr>
          <w:p w14:paraId="0CC16A25" w14:textId="77777777" w:rsidR="0019638B" w:rsidRPr="00237054" w:rsidRDefault="0019638B" w:rsidP="003F3994">
            <w:pPr>
              <w:spacing w:line="259" w:lineRule="auto"/>
              <w:jc w:val="left"/>
              <w:rPr>
                <w:lang w:val="sk-SK"/>
              </w:rPr>
            </w:pP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single" w:sz="12" w:space="0" w:color="FFFFFF"/>
            </w:tcBorders>
          </w:tcPr>
          <w:p w14:paraId="7311D871" w14:textId="77777777" w:rsidR="0019638B" w:rsidRPr="00237054" w:rsidRDefault="0019638B" w:rsidP="003F3994">
            <w:pPr>
              <w:spacing w:line="259" w:lineRule="auto"/>
              <w:jc w:val="left"/>
              <w:rPr>
                <w:lang w:val="sk-SK"/>
              </w:rPr>
            </w:pP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</w:tcPr>
          <w:p w14:paraId="0EA96070" w14:textId="77777777" w:rsidR="0019638B" w:rsidRPr="00237054" w:rsidRDefault="0019638B" w:rsidP="003F3994">
            <w:pPr>
              <w:spacing w:line="259" w:lineRule="auto"/>
              <w:jc w:val="left"/>
              <w:rPr>
                <w:lang w:val="sk-SK"/>
              </w:rPr>
            </w:pPr>
          </w:p>
        </w:tc>
      </w:tr>
      <w:tr w:rsidR="0019638B" w:rsidRPr="00237054" w14:paraId="2FA03CBD" w14:textId="77777777" w:rsidTr="003F3994">
        <w:trPr>
          <w:trHeight w:val="293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E7E6E6"/>
          </w:tcPr>
          <w:p w14:paraId="0588F7DD" w14:textId="77777777" w:rsidR="0019638B" w:rsidRPr="00237054" w:rsidRDefault="0019638B" w:rsidP="003F3994">
            <w:pPr>
              <w:spacing w:line="259" w:lineRule="auto"/>
              <w:ind w:left="34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b/>
                <w:sz w:val="18"/>
                <w:lang w:val="sk-SK"/>
              </w:rPr>
              <w:t>Adhesive Technologies</w:t>
            </w:r>
          </w:p>
        </w:tc>
        <w:tc>
          <w:tcPr>
            <w:tcW w:w="1122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E7E6E6"/>
          </w:tcPr>
          <w:p w14:paraId="7299856A" w14:textId="77777777" w:rsidR="0019638B" w:rsidRPr="00237054" w:rsidRDefault="0019638B" w:rsidP="003F3994">
            <w:pPr>
              <w:spacing w:line="259" w:lineRule="auto"/>
              <w:jc w:val="left"/>
              <w:rPr>
                <w:lang w:val="sk-SK"/>
              </w:rPr>
            </w:pP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  <w:shd w:val="clear" w:color="auto" w:fill="E7E6E6"/>
          </w:tcPr>
          <w:p w14:paraId="06A03330" w14:textId="77777777" w:rsidR="0019638B" w:rsidRPr="00237054" w:rsidRDefault="0019638B" w:rsidP="003F3994">
            <w:pPr>
              <w:spacing w:line="259" w:lineRule="auto"/>
              <w:jc w:val="left"/>
              <w:rPr>
                <w:lang w:val="sk-SK"/>
              </w:rPr>
            </w:pP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single" w:sz="12" w:space="0" w:color="FFFFFF"/>
            </w:tcBorders>
            <w:shd w:val="clear" w:color="auto" w:fill="E7E6E6"/>
          </w:tcPr>
          <w:p w14:paraId="4AD87FB2" w14:textId="77777777" w:rsidR="0019638B" w:rsidRPr="00237054" w:rsidRDefault="0019638B" w:rsidP="003F3994">
            <w:pPr>
              <w:spacing w:line="259" w:lineRule="auto"/>
              <w:jc w:val="left"/>
              <w:rPr>
                <w:lang w:val="sk-SK"/>
              </w:rPr>
            </w:pP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  <w:shd w:val="clear" w:color="auto" w:fill="E7E6E6"/>
          </w:tcPr>
          <w:p w14:paraId="6EA79F89" w14:textId="77777777" w:rsidR="0019638B" w:rsidRPr="00237054" w:rsidRDefault="0019638B" w:rsidP="003F3994">
            <w:pPr>
              <w:spacing w:line="259" w:lineRule="auto"/>
              <w:jc w:val="left"/>
              <w:rPr>
                <w:lang w:val="sk-SK"/>
              </w:rPr>
            </w:pPr>
          </w:p>
        </w:tc>
      </w:tr>
      <w:tr w:rsidR="0019638B" w:rsidRPr="00237054" w14:paraId="5DC70FDD" w14:textId="77777777" w:rsidTr="003F3994">
        <w:trPr>
          <w:trHeight w:val="293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3146DCC7" w14:textId="77777777" w:rsidR="0019638B" w:rsidRPr="00237054" w:rsidRDefault="0019638B" w:rsidP="003F3994">
            <w:pPr>
              <w:spacing w:line="259" w:lineRule="auto"/>
              <w:ind w:left="34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2020</w:t>
            </w:r>
          </w:p>
        </w:tc>
        <w:tc>
          <w:tcPr>
            <w:tcW w:w="1122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06908807" w14:textId="77777777" w:rsidR="0019638B" w:rsidRPr="00237054" w:rsidRDefault="0019638B" w:rsidP="003F3994">
            <w:pPr>
              <w:spacing w:line="259" w:lineRule="auto"/>
              <w:ind w:left="258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2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 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251</w:t>
            </w: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71BF1DD3" w14:textId="77777777" w:rsidR="0019638B" w:rsidRPr="00237054" w:rsidRDefault="0019638B" w:rsidP="003F3994">
            <w:pPr>
              <w:spacing w:line="259" w:lineRule="auto"/>
              <w:ind w:left="46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8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 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684</w:t>
            </w:r>
          </w:p>
        </w:tc>
        <w:tc>
          <w:tcPr>
            <w:tcW w:w="1405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4BE82B14" w14:textId="77777777" w:rsidR="0019638B" w:rsidRPr="00237054" w:rsidRDefault="0019638B" w:rsidP="003F3994">
            <w:pPr>
              <w:spacing w:line="259" w:lineRule="auto"/>
              <w:ind w:left="131"/>
              <w:jc w:val="center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1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 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248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  <w:shd w:val="clear" w:color="auto" w:fill="FFFFFF"/>
          </w:tcPr>
          <w:p w14:paraId="24C968D2" w14:textId="77777777" w:rsidR="0019638B" w:rsidRPr="00237054" w:rsidRDefault="0019638B" w:rsidP="003F3994">
            <w:pPr>
              <w:spacing w:line="259" w:lineRule="auto"/>
              <w:ind w:left="130"/>
              <w:jc w:val="center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14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,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4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 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%</w:t>
            </w:r>
          </w:p>
        </w:tc>
      </w:tr>
      <w:tr w:rsidR="0019638B" w:rsidRPr="00237054" w14:paraId="1A89904F" w14:textId="77777777" w:rsidTr="003F3994">
        <w:trPr>
          <w:trHeight w:val="293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38B86761" w14:textId="77777777" w:rsidR="0019638B" w:rsidRPr="00237054" w:rsidRDefault="0019638B" w:rsidP="003F3994">
            <w:pPr>
              <w:spacing w:line="259" w:lineRule="auto"/>
              <w:ind w:left="34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1562C2C4" w14:textId="77777777" w:rsidR="0019638B" w:rsidRPr="00237054" w:rsidRDefault="0019638B" w:rsidP="003F3994">
            <w:pPr>
              <w:spacing w:line="259" w:lineRule="auto"/>
              <w:ind w:left="258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2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 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335</w:t>
            </w: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08D69A78" w14:textId="77777777" w:rsidR="0019638B" w:rsidRPr="00237054" w:rsidRDefault="0019638B" w:rsidP="003F3994">
            <w:pPr>
              <w:spacing w:line="259" w:lineRule="auto"/>
              <w:ind w:left="46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9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 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461</w:t>
            </w:r>
          </w:p>
        </w:tc>
        <w:tc>
          <w:tcPr>
            <w:tcW w:w="1405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2BF0A917" w14:textId="77777777" w:rsidR="0019638B" w:rsidRPr="00237054" w:rsidRDefault="0019638B" w:rsidP="003F3994">
            <w:pPr>
              <w:spacing w:line="259" w:lineRule="auto"/>
              <w:ind w:left="131"/>
              <w:jc w:val="center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1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 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631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  <w:shd w:val="clear" w:color="auto" w:fill="FFFFFF"/>
          </w:tcPr>
          <w:p w14:paraId="4A93935F" w14:textId="77777777" w:rsidR="0019638B" w:rsidRPr="00237054" w:rsidRDefault="0019638B" w:rsidP="003F3994">
            <w:pPr>
              <w:spacing w:line="259" w:lineRule="auto"/>
              <w:ind w:left="130"/>
              <w:jc w:val="center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17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,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2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 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%</w:t>
            </w:r>
          </w:p>
        </w:tc>
      </w:tr>
      <w:tr w:rsidR="0019638B" w:rsidRPr="00237054" w14:paraId="62A3B700" w14:textId="77777777" w:rsidTr="003F3994">
        <w:trPr>
          <w:trHeight w:val="293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2A71F6A6" w14:textId="77777777" w:rsidR="0019638B" w:rsidRPr="00237054" w:rsidRDefault="0019638B" w:rsidP="003F3994">
            <w:pPr>
              <w:spacing w:line="259" w:lineRule="auto"/>
              <w:ind w:left="34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organický rast</w:t>
            </w:r>
          </w:p>
        </w:tc>
        <w:tc>
          <w:tcPr>
            <w:tcW w:w="1122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711010DF" w14:textId="77777777" w:rsidR="0019638B" w:rsidRPr="00237054" w:rsidRDefault="0019638B" w:rsidP="003F3994">
            <w:pPr>
              <w:spacing w:line="259" w:lineRule="auto"/>
              <w:ind w:left="284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3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,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7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 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%</w:t>
            </w: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106441A9" w14:textId="77777777" w:rsidR="0019638B" w:rsidRPr="00237054" w:rsidRDefault="0019638B" w:rsidP="003F3994">
            <w:pPr>
              <w:spacing w:line="259" w:lineRule="auto"/>
              <w:ind w:left="43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-4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,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2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 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%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7137B39A" w14:textId="77777777" w:rsidR="0019638B" w:rsidRPr="00237054" w:rsidRDefault="0019638B" w:rsidP="003F3994">
            <w:pPr>
              <w:spacing w:line="259" w:lineRule="auto"/>
              <w:ind w:left="131"/>
              <w:jc w:val="center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-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  <w:shd w:val="clear" w:color="auto" w:fill="FFFFFF"/>
          </w:tcPr>
          <w:p w14:paraId="00F21888" w14:textId="77777777" w:rsidR="0019638B" w:rsidRPr="00237054" w:rsidRDefault="0019638B" w:rsidP="003F3994">
            <w:pPr>
              <w:spacing w:line="259" w:lineRule="auto"/>
              <w:ind w:left="131"/>
              <w:jc w:val="center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-</w:t>
            </w:r>
          </w:p>
        </w:tc>
      </w:tr>
      <w:tr w:rsidR="0019638B" w:rsidRPr="00237054" w14:paraId="002934AD" w14:textId="77777777" w:rsidTr="003F3994">
        <w:trPr>
          <w:trHeight w:val="293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3DB0718A" w14:textId="77777777" w:rsidR="0019638B" w:rsidRPr="00237054" w:rsidRDefault="0019638B" w:rsidP="003F3994">
            <w:pPr>
              <w:spacing w:line="259" w:lineRule="auto"/>
              <w:ind w:left="34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 xml:space="preserve">2020 upravený </w:t>
            </w:r>
            <w:r w:rsidRPr="00237054">
              <w:rPr>
                <w:rFonts w:ascii="Calibri" w:eastAsia="Calibri" w:hAnsi="Calibri" w:cs="Calibri"/>
                <w:sz w:val="18"/>
                <w:vertAlign w:val="superscript"/>
                <w:lang w:val="sk-SK"/>
              </w:rPr>
              <w:t>1)</w:t>
            </w:r>
          </w:p>
        </w:tc>
        <w:tc>
          <w:tcPr>
            <w:tcW w:w="1122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350087B6" w14:textId="77777777" w:rsidR="0019638B" w:rsidRPr="00237054" w:rsidRDefault="0019638B" w:rsidP="003F3994">
            <w:pPr>
              <w:spacing w:line="259" w:lineRule="auto"/>
              <w:ind w:left="436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-</w:t>
            </w: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70631D04" w14:textId="77777777" w:rsidR="0019638B" w:rsidRPr="00237054" w:rsidRDefault="0019638B" w:rsidP="003F3994">
            <w:pPr>
              <w:spacing w:line="259" w:lineRule="auto"/>
              <w:ind w:left="223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-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255D22BB" w14:textId="77777777" w:rsidR="0019638B" w:rsidRPr="00237054" w:rsidRDefault="0019638B" w:rsidP="003F3994">
            <w:pPr>
              <w:spacing w:line="259" w:lineRule="auto"/>
              <w:ind w:left="131"/>
              <w:jc w:val="center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1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 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320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  <w:shd w:val="clear" w:color="auto" w:fill="FFFFFF"/>
          </w:tcPr>
          <w:p w14:paraId="010A3894" w14:textId="77777777" w:rsidR="0019638B" w:rsidRPr="00237054" w:rsidRDefault="0019638B" w:rsidP="003F3994">
            <w:pPr>
              <w:spacing w:line="259" w:lineRule="auto"/>
              <w:ind w:left="130"/>
              <w:jc w:val="center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15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,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2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 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%</w:t>
            </w:r>
          </w:p>
        </w:tc>
      </w:tr>
      <w:tr w:rsidR="0019638B" w:rsidRPr="00237054" w14:paraId="43873A94" w14:textId="77777777" w:rsidTr="003F3994">
        <w:trPr>
          <w:trHeight w:val="286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47D67916" w14:textId="77777777" w:rsidR="0019638B" w:rsidRPr="00237054" w:rsidRDefault="0019638B" w:rsidP="003F3994">
            <w:pPr>
              <w:spacing w:line="259" w:lineRule="auto"/>
              <w:ind w:left="34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 xml:space="preserve">2019 upravený </w:t>
            </w:r>
            <w:r w:rsidRPr="00237054">
              <w:rPr>
                <w:rFonts w:ascii="Calibri" w:eastAsia="Calibri" w:hAnsi="Calibri" w:cs="Calibri"/>
                <w:sz w:val="18"/>
                <w:vertAlign w:val="superscript"/>
                <w:lang w:val="sk-SK"/>
              </w:rPr>
              <w:t>1)</w:t>
            </w:r>
          </w:p>
        </w:tc>
        <w:tc>
          <w:tcPr>
            <w:tcW w:w="1122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09F014BA" w14:textId="77777777" w:rsidR="0019638B" w:rsidRPr="00237054" w:rsidRDefault="0019638B" w:rsidP="003F3994">
            <w:pPr>
              <w:spacing w:line="259" w:lineRule="auto"/>
              <w:ind w:left="436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-</w:t>
            </w: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5A57D579" w14:textId="77777777" w:rsidR="0019638B" w:rsidRPr="00237054" w:rsidRDefault="0019638B" w:rsidP="003F3994">
            <w:pPr>
              <w:spacing w:line="259" w:lineRule="auto"/>
              <w:ind w:left="223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-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76A55BBE" w14:textId="77777777" w:rsidR="0019638B" w:rsidRPr="00237054" w:rsidRDefault="0019638B" w:rsidP="003F3994">
            <w:pPr>
              <w:spacing w:line="259" w:lineRule="auto"/>
              <w:ind w:left="131"/>
              <w:jc w:val="center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1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 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712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  <w:shd w:val="clear" w:color="auto" w:fill="FFFFFF"/>
          </w:tcPr>
          <w:p w14:paraId="40BD9198" w14:textId="77777777" w:rsidR="0019638B" w:rsidRPr="00237054" w:rsidRDefault="0019638B" w:rsidP="003F3994">
            <w:pPr>
              <w:spacing w:line="259" w:lineRule="auto"/>
              <w:ind w:left="130"/>
              <w:jc w:val="center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18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,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1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 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%</w:t>
            </w:r>
          </w:p>
        </w:tc>
      </w:tr>
      <w:tr w:rsidR="0019638B" w:rsidRPr="00237054" w14:paraId="342DAF8D" w14:textId="77777777" w:rsidTr="003F3994">
        <w:trPr>
          <w:trHeight w:val="293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E7E6E6"/>
          </w:tcPr>
          <w:p w14:paraId="35DF08BF" w14:textId="77777777" w:rsidR="0019638B" w:rsidRPr="00237054" w:rsidRDefault="0019638B" w:rsidP="003F3994">
            <w:pPr>
              <w:spacing w:line="259" w:lineRule="auto"/>
              <w:ind w:left="34"/>
              <w:jc w:val="left"/>
              <w:rPr>
                <w:lang w:val="sk-SK"/>
              </w:rPr>
            </w:pPr>
            <w:proofErr w:type="spellStart"/>
            <w:r w:rsidRPr="00237054">
              <w:rPr>
                <w:rFonts w:ascii="Calibri" w:eastAsia="Calibri" w:hAnsi="Calibri" w:cs="Calibri"/>
                <w:b/>
                <w:sz w:val="18"/>
                <w:lang w:val="sk-SK"/>
              </w:rPr>
              <w:t>Beauty</w:t>
            </w:r>
            <w:proofErr w:type="spellEnd"/>
            <w:r w:rsidRPr="00237054">
              <w:rPr>
                <w:rFonts w:ascii="Calibri" w:eastAsia="Calibri" w:hAnsi="Calibri" w:cs="Calibri"/>
                <w:b/>
                <w:sz w:val="18"/>
                <w:lang w:val="sk-SK"/>
              </w:rPr>
              <w:t xml:space="preserve"> </w:t>
            </w:r>
            <w:proofErr w:type="spellStart"/>
            <w:r w:rsidRPr="00237054">
              <w:rPr>
                <w:rFonts w:ascii="Calibri" w:eastAsia="Calibri" w:hAnsi="Calibri" w:cs="Calibri"/>
                <w:b/>
                <w:sz w:val="18"/>
                <w:lang w:val="sk-SK"/>
              </w:rPr>
              <w:t>Care</w:t>
            </w:r>
            <w:proofErr w:type="spellEnd"/>
          </w:p>
        </w:tc>
        <w:tc>
          <w:tcPr>
            <w:tcW w:w="1122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E7E6E6"/>
          </w:tcPr>
          <w:p w14:paraId="485F5E14" w14:textId="77777777" w:rsidR="0019638B" w:rsidRPr="00237054" w:rsidRDefault="0019638B" w:rsidP="003F3994">
            <w:pPr>
              <w:spacing w:line="259" w:lineRule="auto"/>
              <w:jc w:val="left"/>
              <w:rPr>
                <w:lang w:val="sk-SK"/>
              </w:rPr>
            </w:pP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  <w:shd w:val="clear" w:color="auto" w:fill="E7E6E6"/>
          </w:tcPr>
          <w:p w14:paraId="0DA9052D" w14:textId="77777777" w:rsidR="0019638B" w:rsidRPr="00237054" w:rsidRDefault="0019638B" w:rsidP="003F3994">
            <w:pPr>
              <w:spacing w:line="259" w:lineRule="auto"/>
              <w:jc w:val="left"/>
              <w:rPr>
                <w:lang w:val="sk-SK"/>
              </w:rPr>
            </w:pP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single" w:sz="12" w:space="0" w:color="FFFFFF"/>
            </w:tcBorders>
            <w:shd w:val="clear" w:color="auto" w:fill="E7E6E6"/>
          </w:tcPr>
          <w:p w14:paraId="28385602" w14:textId="77777777" w:rsidR="0019638B" w:rsidRPr="00237054" w:rsidRDefault="0019638B" w:rsidP="003F3994">
            <w:pPr>
              <w:spacing w:line="259" w:lineRule="auto"/>
              <w:jc w:val="left"/>
              <w:rPr>
                <w:lang w:val="sk-SK"/>
              </w:rPr>
            </w:pP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  <w:shd w:val="clear" w:color="auto" w:fill="E7E6E6"/>
          </w:tcPr>
          <w:p w14:paraId="14484938" w14:textId="77777777" w:rsidR="0019638B" w:rsidRPr="00237054" w:rsidRDefault="0019638B" w:rsidP="003F3994">
            <w:pPr>
              <w:spacing w:line="259" w:lineRule="auto"/>
              <w:jc w:val="left"/>
              <w:rPr>
                <w:lang w:val="sk-SK"/>
              </w:rPr>
            </w:pPr>
          </w:p>
        </w:tc>
      </w:tr>
      <w:tr w:rsidR="0019638B" w:rsidRPr="00237054" w14:paraId="570F9F5E" w14:textId="77777777" w:rsidTr="003F3994">
        <w:trPr>
          <w:trHeight w:val="293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57B495A1" w14:textId="77777777" w:rsidR="0019638B" w:rsidRPr="00237054" w:rsidRDefault="0019638B" w:rsidP="003F3994">
            <w:pPr>
              <w:spacing w:line="259" w:lineRule="auto"/>
              <w:ind w:left="34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2020</w:t>
            </w:r>
          </w:p>
        </w:tc>
        <w:tc>
          <w:tcPr>
            <w:tcW w:w="1122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45DD206C" w14:textId="77777777" w:rsidR="0019638B" w:rsidRPr="00237054" w:rsidRDefault="0019638B" w:rsidP="003F3994">
            <w:pPr>
              <w:spacing w:line="259" w:lineRule="auto"/>
              <w:ind w:left="325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934</w:t>
            </w: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4F31AE65" w14:textId="77777777" w:rsidR="0019638B" w:rsidRPr="00237054" w:rsidRDefault="0019638B" w:rsidP="003F3994">
            <w:pPr>
              <w:spacing w:line="259" w:lineRule="auto"/>
              <w:ind w:left="46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3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 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752</w:t>
            </w:r>
          </w:p>
        </w:tc>
        <w:tc>
          <w:tcPr>
            <w:tcW w:w="1405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3FFC2664" w14:textId="77777777" w:rsidR="0019638B" w:rsidRPr="00237054" w:rsidRDefault="0019638B" w:rsidP="003F3994">
            <w:pPr>
              <w:spacing w:line="259" w:lineRule="auto"/>
              <w:ind w:left="129"/>
              <w:jc w:val="center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246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  <w:shd w:val="clear" w:color="auto" w:fill="FFFFFF"/>
          </w:tcPr>
          <w:p w14:paraId="4759B207" w14:textId="77777777" w:rsidR="0019638B" w:rsidRPr="00237054" w:rsidRDefault="0019638B" w:rsidP="003F3994">
            <w:pPr>
              <w:spacing w:line="259" w:lineRule="auto"/>
              <w:ind w:left="130"/>
              <w:jc w:val="center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6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,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6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 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%</w:t>
            </w:r>
          </w:p>
        </w:tc>
      </w:tr>
      <w:tr w:rsidR="0019638B" w:rsidRPr="00237054" w14:paraId="14C7E0B6" w14:textId="77777777" w:rsidTr="003F3994">
        <w:trPr>
          <w:trHeight w:val="293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0D61B769" w14:textId="77777777" w:rsidR="0019638B" w:rsidRPr="00237054" w:rsidRDefault="0019638B" w:rsidP="003F3994">
            <w:pPr>
              <w:spacing w:line="259" w:lineRule="auto"/>
              <w:ind w:left="34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78C5FDF3" w14:textId="77777777" w:rsidR="0019638B" w:rsidRPr="00237054" w:rsidRDefault="0019638B" w:rsidP="003F3994">
            <w:pPr>
              <w:spacing w:line="259" w:lineRule="auto"/>
              <w:ind w:left="325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944</w:t>
            </w: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5EAC4611" w14:textId="77777777" w:rsidR="0019638B" w:rsidRPr="00237054" w:rsidRDefault="0019638B" w:rsidP="003F3994">
            <w:pPr>
              <w:spacing w:line="259" w:lineRule="auto"/>
              <w:ind w:left="46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3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 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877</w:t>
            </w:r>
          </w:p>
        </w:tc>
        <w:tc>
          <w:tcPr>
            <w:tcW w:w="1405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1208DE82" w14:textId="77777777" w:rsidR="0019638B" w:rsidRPr="00237054" w:rsidRDefault="0019638B" w:rsidP="003F3994">
            <w:pPr>
              <w:spacing w:line="259" w:lineRule="auto"/>
              <w:ind w:left="129"/>
              <w:jc w:val="center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418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  <w:shd w:val="clear" w:color="auto" w:fill="FFFFFF"/>
          </w:tcPr>
          <w:p w14:paraId="794CDD04" w14:textId="77777777" w:rsidR="0019638B" w:rsidRPr="00237054" w:rsidRDefault="0019638B" w:rsidP="003F3994">
            <w:pPr>
              <w:spacing w:line="259" w:lineRule="auto"/>
              <w:ind w:left="130"/>
              <w:jc w:val="center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10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,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8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 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%</w:t>
            </w:r>
          </w:p>
        </w:tc>
      </w:tr>
      <w:tr w:rsidR="0019638B" w:rsidRPr="00237054" w14:paraId="0513698C" w14:textId="77777777" w:rsidTr="003F3994">
        <w:trPr>
          <w:trHeight w:val="293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53045C24" w14:textId="77777777" w:rsidR="0019638B" w:rsidRPr="00237054" w:rsidRDefault="0019638B" w:rsidP="003F3994">
            <w:pPr>
              <w:spacing w:line="259" w:lineRule="auto"/>
              <w:ind w:left="34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organický rast</w:t>
            </w:r>
          </w:p>
        </w:tc>
        <w:tc>
          <w:tcPr>
            <w:tcW w:w="1122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694FA97E" w14:textId="77777777" w:rsidR="0019638B" w:rsidRPr="00237054" w:rsidRDefault="0019638B" w:rsidP="003F3994">
            <w:pPr>
              <w:spacing w:line="259" w:lineRule="auto"/>
              <w:ind w:left="284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1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,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4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 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%</w:t>
            </w: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30262D80" w14:textId="77777777" w:rsidR="0019638B" w:rsidRPr="00237054" w:rsidRDefault="0019638B" w:rsidP="003F3994">
            <w:pPr>
              <w:spacing w:line="259" w:lineRule="auto"/>
              <w:ind w:left="43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-2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,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8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 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%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43AC6277" w14:textId="77777777" w:rsidR="0019638B" w:rsidRPr="00237054" w:rsidRDefault="0019638B" w:rsidP="003F3994">
            <w:pPr>
              <w:spacing w:line="259" w:lineRule="auto"/>
              <w:ind w:left="131"/>
              <w:jc w:val="center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-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  <w:shd w:val="clear" w:color="auto" w:fill="FFFFFF"/>
          </w:tcPr>
          <w:p w14:paraId="474A3656" w14:textId="77777777" w:rsidR="0019638B" w:rsidRPr="00237054" w:rsidRDefault="0019638B" w:rsidP="003F3994">
            <w:pPr>
              <w:spacing w:line="259" w:lineRule="auto"/>
              <w:ind w:left="131"/>
              <w:jc w:val="center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-</w:t>
            </w:r>
          </w:p>
        </w:tc>
      </w:tr>
      <w:tr w:rsidR="0019638B" w:rsidRPr="00237054" w14:paraId="3D45DB2F" w14:textId="77777777" w:rsidTr="003F3994">
        <w:trPr>
          <w:trHeight w:val="293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54C4CD57" w14:textId="77777777" w:rsidR="0019638B" w:rsidRPr="00237054" w:rsidRDefault="0019638B" w:rsidP="003F3994">
            <w:pPr>
              <w:spacing w:line="259" w:lineRule="auto"/>
              <w:ind w:left="34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2020 upravený</w:t>
            </w:r>
            <w:r w:rsidRPr="00237054">
              <w:rPr>
                <w:rFonts w:ascii="Calibri" w:eastAsia="Calibri" w:hAnsi="Calibri" w:cs="Calibri"/>
                <w:sz w:val="18"/>
                <w:vertAlign w:val="superscript"/>
                <w:lang w:val="sk-SK"/>
              </w:rPr>
              <w:t xml:space="preserve"> 1)</w:t>
            </w:r>
          </w:p>
        </w:tc>
        <w:tc>
          <w:tcPr>
            <w:tcW w:w="1122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1D066643" w14:textId="77777777" w:rsidR="0019638B" w:rsidRPr="00237054" w:rsidRDefault="0019638B" w:rsidP="003F3994">
            <w:pPr>
              <w:spacing w:line="259" w:lineRule="auto"/>
              <w:ind w:left="436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-</w:t>
            </w: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198DE226" w14:textId="77777777" w:rsidR="0019638B" w:rsidRPr="00237054" w:rsidRDefault="0019638B" w:rsidP="003F3994">
            <w:pPr>
              <w:spacing w:line="259" w:lineRule="auto"/>
              <w:ind w:left="223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-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73297C0E" w14:textId="77777777" w:rsidR="0019638B" w:rsidRPr="00237054" w:rsidRDefault="0019638B" w:rsidP="003F3994">
            <w:pPr>
              <w:spacing w:line="259" w:lineRule="auto"/>
              <w:ind w:left="129"/>
              <w:jc w:val="center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377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  <w:shd w:val="clear" w:color="auto" w:fill="FFFFFF"/>
          </w:tcPr>
          <w:p w14:paraId="19892464" w14:textId="77777777" w:rsidR="0019638B" w:rsidRPr="00237054" w:rsidRDefault="0019638B" w:rsidP="003F3994">
            <w:pPr>
              <w:spacing w:line="259" w:lineRule="auto"/>
              <w:ind w:left="130"/>
              <w:jc w:val="center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10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,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0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 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%</w:t>
            </w:r>
          </w:p>
        </w:tc>
      </w:tr>
      <w:tr w:rsidR="0019638B" w:rsidRPr="00237054" w14:paraId="3A0AB7B4" w14:textId="77777777" w:rsidTr="003F3994">
        <w:trPr>
          <w:trHeight w:val="286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3BF65F29" w14:textId="77777777" w:rsidR="0019638B" w:rsidRPr="00237054" w:rsidRDefault="0019638B" w:rsidP="003F3994">
            <w:pPr>
              <w:spacing w:line="259" w:lineRule="auto"/>
              <w:ind w:left="34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2019 upravený</w:t>
            </w:r>
            <w:r w:rsidRPr="00237054">
              <w:rPr>
                <w:rFonts w:ascii="Calibri" w:eastAsia="Calibri" w:hAnsi="Calibri" w:cs="Calibri"/>
                <w:sz w:val="18"/>
                <w:vertAlign w:val="superscript"/>
                <w:lang w:val="sk-SK"/>
              </w:rPr>
              <w:t xml:space="preserve"> 1)</w:t>
            </w:r>
          </w:p>
        </w:tc>
        <w:tc>
          <w:tcPr>
            <w:tcW w:w="1122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75AD6D80" w14:textId="77777777" w:rsidR="0019638B" w:rsidRPr="00237054" w:rsidRDefault="0019638B" w:rsidP="003F3994">
            <w:pPr>
              <w:spacing w:line="259" w:lineRule="auto"/>
              <w:ind w:left="436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-</w:t>
            </w: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194EBDE4" w14:textId="77777777" w:rsidR="0019638B" w:rsidRPr="00237054" w:rsidRDefault="0019638B" w:rsidP="003F3994">
            <w:pPr>
              <w:spacing w:line="259" w:lineRule="auto"/>
              <w:ind w:left="223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-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7CD78700" w14:textId="77777777" w:rsidR="0019638B" w:rsidRPr="00237054" w:rsidRDefault="0019638B" w:rsidP="003F3994">
            <w:pPr>
              <w:spacing w:line="259" w:lineRule="auto"/>
              <w:ind w:left="129"/>
              <w:jc w:val="center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519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  <w:shd w:val="clear" w:color="auto" w:fill="FFFFFF"/>
          </w:tcPr>
          <w:p w14:paraId="73630D86" w14:textId="77777777" w:rsidR="0019638B" w:rsidRPr="00237054" w:rsidRDefault="0019638B" w:rsidP="003F3994">
            <w:pPr>
              <w:spacing w:line="259" w:lineRule="auto"/>
              <w:ind w:left="130"/>
              <w:jc w:val="center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13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,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4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 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%</w:t>
            </w:r>
          </w:p>
        </w:tc>
      </w:tr>
      <w:tr w:rsidR="0019638B" w:rsidRPr="00237054" w14:paraId="24FAD881" w14:textId="77777777" w:rsidTr="003F3994">
        <w:trPr>
          <w:trHeight w:val="293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E7E6E6"/>
          </w:tcPr>
          <w:p w14:paraId="48364F21" w14:textId="77777777" w:rsidR="0019638B" w:rsidRPr="00237054" w:rsidRDefault="0019638B" w:rsidP="003F3994">
            <w:pPr>
              <w:spacing w:line="259" w:lineRule="auto"/>
              <w:ind w:left="34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b/>
                <w:sz w:val="18"/>
                <w:lang w:val="sk-SK"/>
              </w:rPr>
              <w:t xml:space="preserve">Laundry &amp; Home </w:t>
            </w:r>
            <w:proofErr w:type="spellStart"/>
            <w:r w:rsidRPr="00237054">
              <w:rPr>
                <w:rFonts w:ascii="Calibri" w:eastAsia="Calibri" w:hAnsi="Calibri" w:cs="Calibri"/>
                <w:b/>
                <w:sz w:val="18"/>
                <w:lang w:val="sk-SK"/>
              </w:rPr>
              <w:t>Care</w:t>
            </w:r>
            <w:proofErr w:type="spellEnd"/>
          </w:p>
        </w:tc>
        <w:tc>
          <w:tcPr>
            <w:tcW w:w="1122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E7E6E6"/>
          </w:tcPr>
          <w:p w14:paraId="66867D8D" w14:textId="77777777" w:rsidR="0019638B" w:rsidRPr="00237054" w:rsidRDefault="0019638B" w:rsidP="003F3994">
            <w:pPr>
              <w:spacing w:line="259" w:lineRule="auto"/>
              <w:jc w:val="left"/>
              <w:rPr>
                <w:lang w:val="sk-SK"/>
              </w:rPr>
            </w:pP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  <w:shd w:val="clear" w:color="auto" w:fill="E7E6E6"/>
          </w:tcPr>
          <w:p w14:paraId="508B7EE3" w14:textId="77777777" w:rsidR="0019638B" w:rsidRPr="00237054" w:rsidRDefault="0019638B" w:rsidP="003F3994">
            <w:pPr>
              <w:spacing w:line="259" w:lineRule="auto"/>
              <w:jc w:val="left"/>
              <w:rPr>
                <w:lang w:val="sk-SK"/>
              </w:rPr>
            </w:pP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single" w:sz="12" w:space="0" w:color="FFFFFF"/>
            </w:tcBorders>
            <w:shd w:val="clear" w:color="auto" w:fill="E7E6E6"/>
          </w:tcPr>
          <w:p w14:paraId="128F9D30" w14:textId="77777777" w:rsidR="0019638B" w:rsidRPr="00237054" w:rsidRDefault="0019638B" w:rsidP="003F3994">
            <w:pPr>
              <w:spacing w:line="259" w:lineRule="auto"/>
              <w:jc w:val="left"/>
              <w:rPr>
                <w:lang w:val="sk-SK"/>
              </w:rPr>
            </w:pP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  <w:shd w:val="clear" w:color="auto" w:fill="E7E6E6"/>
          </w:tcPr>
          <w:p w14:paraId="2A8E024C" w14:textId="77777777" w:rsidR="0019638B" w:rsidRPr="00237054" w:rsidRDefault="0019638B" w:rsidP="003F3994">
            <w:pPr>
              <w:spacing w:line="259" w:lineRule="auto"/>
              <w:jc w:val="left"/>
              <w:rPr>
                <w:lang w:val="sk-SK"/>
              </w:rPr>
            </w:pPr>
          </w:p>
        </w:tc>
      </w:tr>
      <w:tr w:rsidR="0019638B" w:rsidRPr="00237054" w14:paraId="53A7A2AF" w14:textId="77777777" w:rsidTr="003F3994">
        <w:trPr>
          <w:trHeight w:val="293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46509DDC" w14:textId="77777777" w:rsidR="0019638B" w:rsidRPr="00237054" w:rsidRDefault="0019638B" w:rsidP="003F3994">
            <w:pPr>
              <w:spacing w:line="259" w:lineRule="auto"/>
              <w:ind w:left="34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2020</w:t>
            </w:r>
          </w:p>
        </w:tc>
        <w:tc>
          <w:tcPr>
            <w:tcW w:w="1122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1DC4E853" w14:textId="77777777" w:rsidR="0019638B" w:rsidRPr="00237054" w:rsidRDefault="0019638B" w:rsidP="003F3994">
            <w:pPr>
              <w:spacing w:line="259" w:lineRule="auto"/>
              <w:ind w:left="258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1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 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551</w:t>
            </w: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2611851B" w14:textId="77777777" w:rsidR="0019638B" w:rsidRPr="00237054" w:rsidRDefault="0019638B" w:rsidP="003F3994">
            <w:pPr>
              <w:spacing w:line="259" w:lineRule="auto"/>
              <w:ind w:left="46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6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 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704</w:t>
            </w:r>
          </w:p>
        </w:tc>
        <w:tc>
          <w:tcPr>
            <w:tcW w:w="1405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092C2531" w14:textId="77777777" w:rsidR="0019638B" w:rsidRPr="00237054" w:rsidRDefault="0019638B" w:rsidP="003F3994">
            <w:pPr>
              <w:spacing w:line="259" w:lineRule="auto"/>
              <w:ind w:left="129"/>
              <w:jc w:val="center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688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  <w:shd w:val="clear" w:color="auto" w:fill="FFFFFF"/>
          </w:tcPr>
          <w:p w14:paraId="7D9B8E1B" w14:textId="77777777" w:rsidR="0019638B" w:rsidRPr="00237054" w:rsidRDefault="0019638B" w:rsidP="003F3994">
            <w:pPr>
              <w:spacing w:line="259" w:lineRule="auto"/>
              <w:ind w:left="130"/>
              <w:jc w:val="center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10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,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3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 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%</w:t>
            </w:r>
          </w:p>
        </w:tc>
      </w:tr>
      <w:tr w:rsidR="0019638B" w:rsidRPr="00237054" w14:paraId="6E1E0BED" w14:textId="77777777" w:rsidTr="003F3994">
        <w:trPr>
          <w:trHeight w:val="293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6118FD99" w14:textId="77777777" w:rsidR="0019638B" w:rsidRPr="00237054" w:rsidRDefault="0019638B" w:rsidP="003F3994">
            <w:pPr>
              <w:spacing w:line="259" w:lineRule="auto"/>
              <w:ind w:left="34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16C5B140" w14:textId="77777777" w:rsidR="0019638B" w:rsidRPr="00237054" w:rsidRDefault="0019638B" w:rsidP="003F3994">
            <w:pPr>
              <w:spacing w:line="259" w:lineRule="auto"/>
              <w:ind w:left="258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1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 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640</w:t>
            </w: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392D8F7C" w14:textId="77777777" w:rsidR="0019638B" w:rsidRPr="00237054" w:rsidRDefault="0019638B" w:rsidP="003F3994">
            <w:pPr>
              <w:spacing w:line="259" w:lineRule="auto"/>
              <w:ind w:left="46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6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 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656</w:t>
            </w:r>
          </w:p>
        </w:tc>
        <w:tc>
          <w:tcPr>
            <w:tcW w:w="1405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23E65A78" w14:textId="77777777" w:rsidR="0019638B" w:rsidRPr="00237054" w:rsidRDefault="0019638B" w:rsidP="003F3994">
            <w:pPr>
              <w:spacing w:line="259" w:lineRule="auto"/>
              <w:ind w:left="129"/>
              <w:jc w:val="center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973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  <w:shd w:val="clear" w:color="auto" w:fill="FFFFFF"/>
          </w:tcPr>
          <w:p w14:paraId="57297FF0" w14:textId="77777777" w:rsidR="0019638B" w:rsidRPr="00237054" w:rsidRDefault="0019638B" w:rsidP="003F3994">
            <w:pPr>
              <w:spacing w:line="259" w:lineRule="auto"/>
              <w:ind w:left="130"/>
              <w:jc w:val="center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14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,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6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 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%</w:t>
            </w:r>
          </w:p>
        </w:tc>
      </w:tr>
      <w:tr w:rsidR="0019638B" w:rsidRPr="00237054" w14:paraId="0427B585" w14:textId="77777777" w:rsidTr="003F3994">
        <w:trPr>
          <w:trHeight w:val="293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11BC78F7" w14:textId="77777777" w:rsidR="0019638B" w:rsidRPr="00237054" w:rsidRDefault="0019638B" w:rsidP="003F3994">
            <w:pPr>
              <w:spacing w:line="259" w:lineRule="auto"/>
              <w:ind w:left="34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organický rast</w:t>
            </w:r>
          </w:p>
        </w:tc>
        <w:tc>
          <w:tcPr>
            <w:tcW w:w="1122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06794492" w14:textId="77777777" w:rsidR="0019638B" w:rsidRPr="00237054" w:rsidRDefault="0019638B" w:rsidP="003F3994">
            <w:pPr>
              <w:spacing w:line="259" w:lineRule="auto"/>
              <w:ind w:left="284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4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,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9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 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%</w:t>
            </w: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75484849" w14:textId="77777777" w:rsidR="0019638B" w:rsidRPr="00237054" w:rsidRDefault="0019638B" w:rsidP="003F3994">
            <w:pPr>
              <w:spacing w:line="259" w:lineRule="auto"/>
              <w:ind w:left="72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5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,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6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 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%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710A2203" w14:textId="77777777" w:rsidR="0019638B" w:rsidRPr="00237054" w:rsidRDefault="0019638B" w:rsidP="003F3994">
            <w:pPr>
              <w:spacing w:line="259" w:lineRule="auto"/>
              <w:ind w:left="131"/>
              <w:jc w:val="center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-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  <w:shd w:val="clear" w:color="auto" w:fill="FFFFFF"/>
          </w:tcPr>
          <w:p w14:paraId="2CC7B2EB" w14:textId="77777777" w:rsidR="0019638B" w:rsidRPr="00237054" w:rsidRDefault="0019638B" w:rsidP="003F3994">
            <w:pPr>
              <w:spacing w:line="259" w:lineRule="auto"/>
              <w:ind w:left="131"/>
              <w:jc w:val="center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-</w:t>
            </w:r>
          </w:p>
        </w:tc>
      </w:tr>
      <w:tr w:rsidR="0019638B" w:rsidRPr="00237054" w14:paraId="496C8B1B" w14:textId="77777777" w:rsidTr="003F3994">
        <w:trPr>
          <w:trHeight w:val="293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026B621F" w14:textId="77777777" w:rsidR="0019638B" w:rsidRPr="00237054" w:rsidRDefault="0019638B" w:rsidP="003F3994">
            <w:pPr>
              <w:spacing w:line="259" w:lineRule="auto"/>
              <w:ind w:left="34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2020 upravený</w:t>
            </w:r>
            <w:r w:rsidRPr="00237054">
              <w:rPr>
                <w:rFonts w:ascii="Calibri" w:eastAsia="Calibri" w:hAnsi="Calibri" w:cs="Calibri"/>
                <w:sz w:val="18"/>
                <w:vertAlign w:val="superscript"/>
                <w:lang w:val="sk-SK"/>
              </w:rPr>
              <w:t xml:space="preserve"> 1)</w:t>
            </w:r>
          </w:p>
        </w:tc>
        <w:tc>
          <w:tcPr>
            <w:tcW w:w="1122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6C9FF894" w14:textId="77777777" w:rsidR="0019638B" w:rsidRPr="00237054" w:rsidRDefault="0019638B" w:rsidP="003F3994">
            <w:pPr>
              <w:spacing w:line="259" w:lineRule="auto"/>
              <w:ind w:left="436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-</w:t>
            </w: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5010443F" w14:textId="77777777" w:rsidR="0019638B" w:rsidRPr="00237054" w:rsidRDefault="0019638B" w:rsidP="003F3994">
            <w:pPr>
              <w:spacing w:line="259" w:lineRule="auto"/>
              <w:ind w:left="223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-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1B1706D2" w14:textId="77777777" w:rsidR="0019638B" w:rsidRPr="00237054" w:rsidRDefault="0019638B" w:rsidP="003F3994">
            <w:pPr>
              <w:spacing w:line="259" w:lineRule="auto"/>
              <w:ind w:left="131"/>
              <w:jc w:val="center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1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 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004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  <w:shd w:val="clear" w:color="auto" w:fill="FFFFFF"/>
          </w:tcPr>
          <w:p w14:paraId="5D6D6946" w14:textId="77777777" w:rsidR="0019638B" w:rsidRPr="00237054" w:rsidRDefault="0019638B" w:rsidP="003F3994">
            <w:pPr>
              <w:spacing w:line="259" w:lineRule="auto"/>
              <w:ind w:left="130"/>
              <w:jc w:val="center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15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,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0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 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%</w:t>
            </w:r>
          </w:p>
        </w:tc>
      </w:tr>
      <w:tr w:rsidR="0019638B" w:rsidRPr="00237054" w14:paraId="16D5AD80" w14:textId="77777777" w:rsidTr="003F3994">
        <w:trPr>
          <w:trHeight w:val="286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64215B21" w14:textId="77777777" w:rsidR="0019638B" w:rsidRPr="00237054" w:rsidRDefault="0019638B" w:rsidP="003F3994">
            <w:pPr>
              <w:spacing w:line="259" w:lineRule="auto"/>
              <w:ind w:left="34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2019 upravený</w:t>
            </w:r>
            <w:r w:rsidRPr="00237054">
              <w:rPr>
                <w:rFonts w:ascii="Calibri" w:eastAsia="Calibri" w:hAnsi="Calibri" w:cs="Calibri"/>
                <w:sz w:val="18"/>
                <w:vertAlign w:val="superscript"/>
                <w:lang w:val="sk-SK"/>
              </w:rPr>
              <w:t xml:space="preserve"> 1)</w:t>
            </w:r>
          </w:p>
        </w:tc>
        <w:tc>
          <w:tcPr>
            <w:tcW w:w="1122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6EB1F666" w14:textId="77777777" w:rsidR="0019638B" w:rsidRPr="00237054" w:rsidRDefault="0019638B" w:rsidP="003F3994">
            <w:pPr>
              <w:spacing w:line="259" w:lineRule="auto"/>
              <w:ind w:left="436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-</w:t>
            </w: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3C469919" w14:textId="77777777" w:rsidR="0019638B" w:rsidRPr="00237054" w:rsidRDefault="0019638B" w:rsidP="003F3994">
            <w:pPr>
              <w:spacing w:line="259" w:lineRule="auto"/>
              <w:ind w:left="223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-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7B6C193D" w14:textId="77777777" w:rsidR="0019638B" w:rsidRPr="00237054" w:rsidRDefault="0019638B" w:rsidP="003F3994">
            <w:pPr>
              <w:spacing w:line="259" w:lineRule="auto"/>
              <w:ind w:left="131"/>
              <w:jc w:val="center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1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 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096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  <w:shd w:val="clear" w:color="auto" w:fill="FFFFFF"/>
          </w:tcPr>
          <w:p w14:paraId="7D112C19" w14:textId="77777777" w:rsidR="0019638B" w:rsidRPr="00237054" w:rsidRDefault="0019638B" w:rsidP="003F3994">
            <w:pPr>
              <w:spacing w:line="259" w:lineRule="auto"/>
              <w:ind w:left="130"/>
              <w:jc w:val="center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16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,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5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 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%</w:t>
            </w:r>
          </w:p>
        </w:tc>
      </w:tr>
      <w:tr w:rsidR="0019638B" w:rsidRPr="00237054" w14:paraId="478D32C0" w14:textId="77777777" w:rsidTr="003F3994">
        <w:trPr>
          <w:trHeight w:val="293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E7E6E6"/>
          </w:tcPr>
          <w:p w14:paraId="1E6DC911" w14:textId="77777777" w:rsidR="0019638B" w:rsidRPr="00237054" w:rsidRDefault="0019638B" w:rsidP="003F3994">
            <w:pPr>
              <w:spacing w:line="259" w:lineRule="auto"/>
              <w:ind w:left="34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b/>
                <w:sz w:val="18"/>
                <w:lang w:val="sk-SK"/>
              </w:rPr>
              <w:t>Henkel</w:t>
            </w:r>
          </w:p>
        </w:tc>
        <w:tc>
          <w:tcPr>
            <w:tcW w:w="1122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E7E6E6"/>
          </w:tcPr>
          <w:p w14:paraId="74C7422D" w14:textId="77777777" w:rsidR="0019638B" w:rsidRPr="00237054" w:rsidRDefault="0019638B" w:rsidP="003F3994">
            <w:pPr>
              <w:spacing w:line="259" w:lineRule="auto"/>
              <w:jc w:val="left"/>
              <w:rPr>
                <w:lang w:val="sk-SK"/>
              </w:rPr>
            </w:pP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  <w:shd w:val="clear" w:color="auto" w:fill="E7E6E6"/>
          </w:tcPr>
          <w:p w14:paraId="1B42B09C" w14:textId="77777777" w:rsidR="0019638B" w:rsidRPr="00237054" w:rsidRDefault="0019638B" w:rsidP="003F3994">
            <w:pPr>
              <w:spacing w:line="259" w:lineRule="auto"/>
              <w:jc w:val="left"/>
              <w:rPr>
                <w:lang w:val="sk-SK"/>
              </w:rPr>
            </w:pP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single" w:sz="12" w:space="0" w:color="FFFFFF"/>
            </w:tcBorders>
            <w:shd w:val="clear" w:color="auto" w:fill="E7E6E6"/>
          </w:tcPr>
          <w:p w14:paraId="687E18AD" w14:textId="77777777" w:rsidR="0019638B" w:rsidRPr="00237054" w:rsidRDefault="0019638B" w:rsidP="003F3994">
            <w:pPr>
              <w:spacing w:line="259" w:lineRule="auto"/>
              <w:jc w:val="left"/>
              <w:rPr>
                <w:lang w:val="sk-SK"/>
              </w:rPr>
            </w:pP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  <w:shd w:val="clear" w:color="auto" w:fill="E7E6E6"/>
          </w:tcPr>
          <w:p w14:paraId="4885940B" w14:textId="77777777" w:rsidR="0019638B" w:rsidRPr="00237054" w:rsidRDefault="0019638B" w:rsidP="003F3994">
            <w:pPr>
              <w:spacing w:line="259" w:lineRule="auto"/>
              <w:jc w:val="left"/>
              <w:rPr>
                <w:lang w:val="sk-SK"/>
              </w:rPr>
            </w:pPr>
          </w:p>
        </w:tc>
      </w:tr>
      <w:tr w:rsidR="0019638B" w:rsidRPr="00237054" w14:paraId="176F6515" w14:textId="77777777" w:rsidTr="003F3994">
        <w:trPr>
          <w:trHeight w:val="293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0EE0D7E7" w14:textId="77777777" w:rsidR="0019638B" w:rsidRPr="00237054" w:rsidRDefault="0019638B" w:rsidP="003F3994">
            <w:pPr>
              <w:spacing w:line="259" w:lineRule="auto"/>
              <w:ind w:left="34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2020</w:t>
            </w:r>
          </w:p>
        </w:tc>
        <w:tc>
          <w:tcPr>
            <w:tcW w:w="1122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62C77ED3" w14:textId="77777777" w:rsidR="0019638B" w:rsidRPr="00237054" w:rsidRDefault="0019638B" w:rsidP="003F3994">
            <w:pPr>
              <w:spacing w:line="259" w:lineRule="auto"/>
              <w:ind w:left="258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4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 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765</w:t>
            </w: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1A59508D" w14:textId="77777777" w:rsidR="0019638B" w:rsidRPr="00237054" w:rsidRDefault="0019638B" w:rsidP="003F3994">
            <w:pPr>
              <w:spacing w:line="259" w:lineRule="auto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19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 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250</w:t>
            </w:r>
          </w:p>
        </w:tc>
        <w:tc>
          <w:tcPr>
            <w:tcW w:w="1405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6F73FA46" w14:textId="77777777" w:rsidR="0019638B" w:rsidRPr="00237054" w:rsidRDefault="0019638B" w:rsidP="003F3994">
            <w:pPr>
              <w:spacing w:line="259" w:lineRule="auto"/>
              <w:ind w:left="131"/>
              <w:jc w:val="center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2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 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019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  <w:shd w:val="clear" w:color="auto" w:fill="FFFFFF"/>
          </w:tcPr>
          <w:p w14:paraId="4F555374" w14:textId="77777777" w:rsidR="0019638B" w:rsidRPr="00237054" w:rsidRDefault="0019638B" w:rsidP="003F3994">
            <w:pPr>
              <w:spacing w:line="259" w:lineRule="auto"/>
              <w:ind w:left="130"/>
              <w:jc w:val="center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10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,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5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 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%</w:t>
            </w:r>
          </w:p>
        </w:tc>
      </w:tr>
      <w:tr w:rsidR="0019638B" w:rsidRPr="00237054" w14:paraId="5CCBA715" w14:textId="77777777" w:rsidTr="003F3994">
        <w:trPr>
          <w:trHeight w:val="293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2785853C" w14:textId="77777777" w:rsidR="0019638B" w:rsidRPr="00237054" w:rsidRDefault="0019638B" w:rsidP="003F3994">
            <w:pPr>
              <w:spacing w:line="259" w:lineRule="auto"/>
              <w:ind w:left="34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485527E3" w14:textId="77777777" w:rsidR="0019638B" w:rsidRPr="00237054" w:rsidRDefault="0019638B" w:rsidP="003F3994">
            <w:pPr>
              <w:spacing w:line="259" w:lineRule="auto"/>
              <w:ind w:left="258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4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 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947</w:t>
            </w: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05E8082F" w14:textId="77777777" w:rsidR="0019638B" w:rsidRPr="00237054" w:rsidRDefault="0019638B" w:rsidP="003F3994">
            <w:pPr>
              <w:spacing w:line="259" w:lineRule="auto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20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 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114</w:t>
            </w:r>
          </w:p>
        </w:tc>
        <w:tc>
          <w:tcPr>
            <w:tcW w:w="1405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318EA8F3" w14:textId="77777777" w:rsidR="0019638B" w:rsidRPr="00237054" w:rsidRDefault="0019638B" w:rsidP="003F3994">
            <w:pPr>
              <w:spacing w:line="259" w:lineRule="auto"/>
              <w:ind w:left="131"/>
              <w:jc w:val="center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2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 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899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  <w:shd w:val="clear" w:color="auto" w:fill="FFFFFF"/>
          </w:tcPr>
          <w:p w14:paraId="48F43CC1" w14:textId="77777777" w:rsidR="0019638B" w:rsidRPr="00237054" w:rsidRDefault="0019638B" w:rsidP="003F3994">
            <w:pPr>
              <w:spacing w:line="259" w:lineRule="auto"/>
              <w:ind w:left="130"/>
              <w:jc w:val="center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14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,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4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 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%</w:t>
            </w:r>
          </w:p>
        </w:tc>
      </w:tr>
      <w:tr w:rsidR="0019638B" w:rsidRPr="00237054" w14:paraId="7AEA34A1" w14:textId="77777777" w:rsidTr="003F3994">
        <w:trPr>
          <w:trHeight w:val="293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0BD5AAD9" w14:textId="77777777" w:rsidR="0019638B" w:rsidRPr="00237054" w:rsidRDefault="0019638B" w:rsidP="003F3994">
            <w:pPr>
              <w:spacing w:line="259" w:lineRule="auto"/>
              <w:ind w:left="34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organický rast</w:t>
            </w:r>
          </w:p>
        </w:tc>
        <w:tc>
          <w:tcPr>
            <w:tcW w:w="1122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1F07EE9F" w14:textId="77777777" w:rsidR="0019638B" w:rsidRPr="00237054" w:rsidRDefault="0019638B" w:rsidP="003F3994">
            <w:pPr>
              <w:spacing w:line="259" w:lineRule="auto"/>
              <w:ind w:left="284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3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,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7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 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%</w:t>
            </w: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0E5A0E8D" w14:textId="77777777" w:rsidR="0019638B" w:rsidRPr="00237054" w:rsidRDefault="0019638B" w:rsidP="003F3994">
            <w:pPr>
              <w:spacing w:line="259" w:lineRule="auto"/>
              <w:ind w:left="43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-0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,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7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 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%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2FECE0F6" w14:textId="77777777" w:rsidR="0019638B" w:rsidRPr="00237054" w:rsidRDefault="0019638B" w:rsidP="003F3994">
            <w:pPr>
              <w:spacing w:line="259" w:lineRule="auto"/>
              <w:ind w:left="131"/>
              <w:jc w:val="center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-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  <w:shd w:val="clear" w:color="auto" w:fill="FFFFFF"/>
          </w:tcPr>
          <w:p w14:paraId="2D7EF783" w14:textId="77777777" w:rsidR="0019638B" w:rsidRPr="00237054" w:rsidRDefault="0019638B" w:rsidP="003F3994">
            <w:pPr>
              <w:spacing w:line="259" w:lineRule="auto"/>
              <w:ind w:left="131"/>
              <w:jc w:val="center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-</w:t>
            </w:r>
          </w:p>
        </w:tc>
      </w:tr>
      <w:tr w:rsidR="0019638B" w:rsidRPr="00237054" w14:paraId="6B6443E3" w14:textId="77777777" w:rsidTr="003F3994">
        <w:trPr>
          <w:trHeight w:val="293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05F1EEBE" w14:textId="77777777" w:rsidR="0019638B" w:rsidRPr="00237054" w:rsidRDefault="0019638B" w:rsidP="003F3994">
            <w:pPr>
              <w:spacing w:line="259" w:lineRule="auto"/>
              <w:ind w:left="34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2020 upravený</w:t>
            </w:r>
            <w:r w:rsidRPr="00237054">
              <w:rPr>
                <w:rFonts w:ascii="Calibri" w:eastAsia="Calibri" w:hAnsi="Calibri" w:cs="Calibri"/>
                <w:sz w:val="18"/>
                <w:vertAlign w:val="superscript"/>
                <w:lang w:val="sk-SK"/>
              </w:rPr>
              <w:t xml:space="preserve"> 1)</w:t>
            </w:r>
          </w:p>
        </w:tc>
        <w:tc>
          <w:tcPr>
            <w:tcW w:w="1122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2D609204" w14:textId="77777777" w:rsidR="0019638B" w:rsidRPr="00237054" w:rsidRDefault="0019638B" w:rsidP="003F3994">
            <w:pPr>
              <w:spacing w:line="259" w:lineRule="auto"/>
              <w:ind w:left="436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-</w:t>
            </w: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6CCE769F" w14:textId="77777777" w:rsidR="0019638B" w:rsidRPr="00237054" w:rsidRDefault="0019638B" w:rsidP="003F3994">
            <w:pPr>
              <w:spacing w:line="259" w:lineRule="auto"/>
              <w:ind w:left="223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-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47A9A36E" w14:textId="77777777" w:rsidR="0019638B" w:rsidRPr="00237054" w:rsidRDefault="0019638B" w:rsidP="003F3994">
            <w:pPr>
              <w:spacing w:line="259" w:lineRule="auto"/>
              <w:ind w:left="131"/>
              <w:jc w:val="center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2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 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579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  <w:shd w:val="clear" w:color="auto" w:fill="FFFFFF"/>
          </w:tcPr>
          <w:p w14:paraId="51EF7B91" w14:textId="77777777" w:rsidR="0019638B" w:rsidRPr="00237054" w:rsidRDefault="0019638B" w:rsidP="003F3994">
            <w:pPr>
              <w:spacing w:line="259" w:lineRule="auto"/>
              <w:ind w:left="130"/>
              <w:jc w:val="center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13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,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4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 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%</w:t>
            </w:r>
          </w:p>
        </w:tc>
      </w:tr>
      <w:tr w:rsidR="0019638B" w:rsidRPr="00237054" w14:paraId="392AC18D" w14:textId="77777777" w:rsidTr="003F3994">
        <w:trPr>
          <w:trHeight w:val="293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008D4FFC" w14:textId="77777777" w:rsidR="0019638B" w:rsidRPr="00237054" w:rsidRDefault="0019638B" w:rsidP="003F3994">
            <w:pPr>
              <w:spacing w:line="259" w:lineRule="auto"/>
              <w:ind w:left="34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2019 upravený</w:t>
            </w:r>
            <w:r w:rsidRPr="00237054">
              <w:rPr>
                <w:rFonts w:ascii="Calibri" w:eastAsia="Calibri" w:hAnsi="Calibri" w:cs="Calibri"/>
                <w:sz w:val="18"/>
                <w:vertAlign w:val="superscript"/>
                <w:lang w:val="sk-SK"/>
              </w:rPr>
              <w:t xml:space="preserve"> 1)</w:t>
            </w:r>
          </w:p>
        </w:tc>
        <w:tc>
          <w:tcPr>
            <w:tcW w:w="1122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4842150B" w14:textId="77777777" w:rsidR="0019638B" w:rsidRPr="00237054" w:rsidRDefault="0019638B" w:rsidP="003F3994">
            <w:pPr>
              <w:spacing w:line="259" w:lineRule="auto"/>
              <w:ind w:left="436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-</w:t>
            </w: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2A2E1E11" w14:textId="77777777" w:rsidR="0019638B" w:rsidRPr="00237054" w:rsidRDefault="0019638B" w:rsidP="003F3994">
            <w:pPr>
              <w:spacing w:line="259" w:lineRule="auto"/>
              <w:ind w:left="223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-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464433AA" w14:textId="77777777" w:rsidR="0019638B" w:rsidRPr="00237054" w:rsidRDefault="0019638B" w:rsidP="003F3994">
            <w:pPr>
              <w:spacing w:line="259" w:lineRule="auto"/>
              <w:ind w:left="131"/>
              <w:jc w:val="center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3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 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220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  <w:shd w:val="clear" w:color="auto" w:fill="FFFFFF"/>
          </w:tcPr>
          <w:p w14:paraId="417ED128" w14:textId="77777777" w:rsidR="0019638B" w:rsidRPr="00237054" w:rsidRDefault="0019638B" w:rsidP="003F3994">
            <w:pPr>
              <w:spacing w:line="259" w:lineRule="auto"/>
              <w:ind w:left="130"/>
              <w:jc w:val="center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16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,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0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 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%</w:t>
            </w:r>
          </w:p>
        </w:tc>
      </w:tr>
      <w:tr w:rsidR="0019638B" w:rsidRPr="00237054" w14:paraId="28DCA08A" w14:textId="77777777" w:rsidTr="003F3994">
        <w:trPr>
          <w:trHeight w:val="276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385005C8" w14:textId="77777777" w:rsidR="0019638B" w:rsidRPr="00237054" w:rsidRDefault="0019638B" w:rsidP="003F3994">
            <w:pPr>
              <w:spacing w:line="259" w:lineRule="auto"/>
              <w:jc w:val="left"/>
              <w:rPr>
                <w:lang w:val="sk-SK"/>
              </w:rPr>
            </w:pPr>
          </w:p>
        </w:tc>
        <w:tc>
          <w:tcPr>
            <w:tcW w:w="1122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shd w:val="clear" w:color="auto" w:fill="FFFFFF"/>
          </w:tcPr>
          <w:p w14:paraId="70FA8F0A" w14:textId="77777777" w:rsidR="0019638B" w:rsidRPr="00237054" w:rsidRDefault="0019638B" w:rsidP="003F3994">
            <w:pPr>
              <w:spacing w:line="259" w:lineRule="auto"/>
              <w:jc w:val="left"/>
              <w:rPr>
                <w:lang w:val="sk-SK"/>
              </w:rPr>
            </w:pP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574E541D" w14:textId="77777777" w:rsidR="0019638B" w:rsidRPr="00237054" w:rsidRDefault="0019638B" w:rsidP="003F3994">
            <w:pPr>
              <w:spacing w:line="259" w:lineRule="auto"/>
              <w:jc w:val="left"/>
              <w:rPr>
                <w:lang w:val="sk-SK"/>
              </w:rPr>
            </w:pP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single" w:sz="12" w:space="0" w:color="FFFFFF"/>
            </w:tcBorders>
            <w:shd w:val="clear" w:color="auto" w:fill="FFFFFF"/>
          </w:tcPr>
          <w:p w14:paraId="72FDC283" w14:textId="77777777" w:rsidR="0019638B" w:rsidRPr="00237054" w:rsidRDefault="0019638B" w:rsidP="003F3994">
            <w:pPr>
              <w:spacing w:line="259" w:lineRule="auto"/>
              <w:jc w:val="left"/>
              <w:rPr>
                <w:lang w:val="sk-SK"/>
              </w:rPr>
            </w:pP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  <w:shd w:val="clear" w:color="auto" w:fill="FFFFFF"/>
          </w:tcPr>
          <w:p w14:paraId="0C1BFD99" w14:textId="77777777" w:rsidR="0019638B" w:rsidRPr="00237054" w:rsidRDefault="0019638B" w:rsidP="003F3994">
            <w:pPr>
              <w:spacing w:line="259" w:lineRule="auto"/>
              <w:jc w:val="left"/>
              <w:rPr>
                <w:lang w:val="sk-SK"/>
              </w:rPr>
            </w:pPr>
          </w:p>
        </w:tc>
      </w:tr>
      <w:tr w:rsidR="0019638B" w:rsidRPr="00237054" w14:paraId="124E8B36" w14:textId="77777777" w:rsidTr="003F3994">
        <w:trPr>
          <w:trHeight w:val="446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  <w:vAlign w:val="bottom"/>
          </w:tcPr>
          <w:p w14:paraId="33078C53" w14:textId="77777777" w:rsidR="0019638B" w:rsidRPr="00237054" w:rsidRDefault="0019638B" w:rsidP="003F3994">
            <w:pPr>
              <w:spacing w:line="259" w:lineRule="auto"/>
              <w:ind w:left="34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b/>
                <w:sz w:val="18"/>
                <w:lang w:val="sk-SK"/>
              </w:rPr>
              <w:t>Henkel</w:t>
            </w:r>
          </w:p>
        </w:tc>
        <w:tc>
          <w:tcPr>
            <w:tcW w:w="1122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</w:tcPr>
          <w:p w14:paraId="439F1CDA" w14:textId="77777777" w:rsidR="0019638B" w:rsidRPr="00237054" w:rsidRDefault="0019638B" w:rsidP="003F3994">
            <w:pPr>
              <w:spacing w:line="259" w:lineRule="auto"/>
              <w:ind w:left="299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b/>
                <w:sz w:val="18"/>
                <w:lang w:val="sk-SK"/>
              </w:rPr>
              <w:t>1-12</w:t>
            </w:r>
          </w:p>
          <w:p w14:paraId="4A22A2B9" w14:textId="77777777" w:rsidR="0019638B" w:rsidRPr="00237054" w:rsidRDefault="0019638B" w:rsidP="003F3994">
            <w:pPr>
              <w:spacing w:line="259" w:lineRule="auto"/>
              <w:ind w:left="280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b/>
                <w:sz w:val="18"/>
                <w:lang w:val="sk-SK"/>
              </w:rPr>
              <w:t>2019</w:t>
            </w: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</w:tcPr>
          <w:p w14:paraId="2DC970A5" w14:textId="77777777" w:rsidR="0019638B" w:rsidRPr="00237054" w:rsidRDefault="0019638B" w:rsidP="003F3994">
            <w:pPr>
              <w:spacing w:line="259" w:lineRule="auto"/>
              <w:ind w:left="86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b/>
                <w:sz w:val="18"/>
                <w:lang w:val="sk-SK"/>
              </w:rPr>
              <w:t>1-12</w:t>
            </w:r>
          </w:p>
          <w:p w14:paraId="23F330D3" w14:textId="77777777" w:rsidR="0019638B" w:rsidRPr="00237054" w:rsidRDefault="0019638B" w:rsidP="003F3994">
            <w:pPr>
              <w:spacing w:line="259" w:lineRule="auto"/>
              <w:ind w:left="67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b/>
                <w:sz w:val="18"/>
                <w:lang w:val="sk-SK"/>
              </w:rPr>
              <w:t>2020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single" w:sz="12" w:space="0" w:color="FFFFFF"/>
            </w:tcBorders>
            <w:vAlign w:val="bottom"/>
          </w:tcPr>
          <w:p w14:paraId="43A4E20C" w14:textId="77777777" w:rsidR="0019638B" w:rsidRPr="00237054" w:rsidRDefault="0019638B" w:rsidP="003F3994">
            <w:pPr>
              <w:spacing w:line="259" w:lineRule="auto"/>
              <w:ind w:left="130"/>
              <w:jc w:val="center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b/>
                <w:sz w:val="18"/>
                <w:lang w:val="sk-SK"/>
              </w:rPr>
              <w:t>Zmena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</w:tcPr>
          <w:p w14:paraId="2780C692" w14:textId="77777777" w:rsidR="0019638B" w:rsidRPr="00237054" w:rsidRDefault="0019638B" w:rsidP="003F3994">
            <w:pPr>
              <w:spacing w:line="259" w:lineRule="auto"/>
              <w:jc w:val="left"/>
              <w:rPr>
                <w:lang w:val="sk-SK"/>
              </w:rPr>
            </w:pPr>
          </w:p>
        </w:tc>
      </w:tr>
      <w:tr w:rsidR="0019638B" w:rsidRPr="00237054" w14:paraId="0384190F" w14:textId="77777777" w:rsidTr="003F3994">
        <w:trPr>
          <w:trHeight w:val="228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</w:tcPr>
          <w:p w14:paraId="6A3F449F" w14:textId="77777777" w:rsidR="0019638B" w:rsidRPr="00237054" w:rsidRDefault="0019638B" w:rsidP="003F3994">
            <w:pPr>
              <w:rPr>
                <w:color w:val="000080"/>
                <w:sz w:val="8"/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Výnosy na prioritnú akciu v eurách</w:t>
            </w:r>
          </w:p>
        </w:tc>
        <w:tc>
          <w:tcPr>
            <w:tcW w:w="1122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</w:tcPr>
          <w:p w14:paraId="183875D6" w14:textId="77777777" w:rsidR="0019638B" w:rsidRPr="00237054" w:rsidRDefault="0019638B" w:rsidP="003F3994">
            <w:pPr>
              <w:spacing w:line="259" w:lineRule="auto"/>
              <w:ind w:left="304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4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,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81</w:t>
            </w: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</w:tcPr>
          <w:p w14:paraId="490D3FB3" w14:textId="77777777" w:rsidR="0019638B" w:rsidRPr="00237054" w:rsidRDefault="0019638B" w:rsidP="003F3994">
            <w:pPr>
              <w:spacing w:line="259" w:lineRule="auto"/>
              <w:ind w:left="91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3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,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25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single" w:sz="12" w:space="0" w:color="FFFFFF"/>
            </w:tcBorders>
          </w:tcPr>
          <w:p w14:paraId="1C518F45" w14:textId="77777777" w:rsidR="0019638B" w:rsidRPr="00237054" w:rsidRDefault="0019638B" w:rsidP="003F3994">
            <w:pPr>
              <w:spacing w:line="259" w:lineRule="auto"/>
              <w:ind w:left="129"/>
              <w:jc w:val="center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-32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,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4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 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%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</w:tcPr>
          <w:p w14:paraId="7FF20A5A" w14:textId="77777777" w:rsidR="0019638B" w:rsidRPr="00237054" w:rsidRDefault="0019638B" w:rsidP="003F3994">
            <w:pPr>
              <w:spacing w:line="259" w:lineRule="auto"/>
              <w:jc w:val="left"/>
              <w:rPr>
                <w:lang w:val="sk-SK"/>
              </w:rPr>
            </w:pPr>
          </w:p>
        </w:tc>
      </w:tr>
      <w:tr w:rsidR="0019638B" w:rsidRPr="00237054" w14:paraId="7A66A390" w14:textId="77777777" w:rsidTr="003F3994">
        <w:trPr>
          <w:trHeight w:val="235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</w:tcPr>
          <w:p w14:paraId="7DC1F963" w14:textId="77777777" w:rsidR="0019638B" w:rsidRPr="00237054" w:rsidRDefault="0019638B" w:rsidP="003F3994">
            <w:pPr>
              <w:spacing w:line="259" w:lineRule="auto"/>
              <w:ind w:left="34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Upravené</w:t>
            </w:r>
            <w:r w:rsidRPr="00237054">
              <w:rPr>
                <w:rFonts w:ascii="Calibri" w:eastAsia="Calibri" w:hAnsi="Calibri" w:cs="Calibri"/>
                <w:sz w:val="18"/>
                <w:vertAlign w:val="superscript"/>
                <w:lang w:val="sk-SK"/>
              </w:rPr>
              <w:t>1)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 xml:space="preserve"> výnosy na prioritnú akciu v eurách </w:t>
            </w:r>
          </w:p>
        </w:tc>
        <w:tc>
          <w:tcPr>
            <w:tcW w:w="1122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</w:tcPr>
          <w:p w14:paraId="158939DD" w14:textId="77777777" w:rsidR="0019638B" w:rsidRPr="00237054" w:rsidRDefault="0019638B" w:rsidP="003F3994">
            <w:pPr>
              <w:spacing w:line="259" w:lineRule="auto"/>
              <w:ind w:left="304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5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,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43</w:t>
            </w:r>
          </w:p>
        </w:tc>
        <w:tc>
          <w:tcPr>
            <w:tcW w:w="698" w:type="dxa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</w:tcPr>
          <w:p w14:paraId="4C7D802B" w14:textId="77777777" w:rsidR="0019638B" w:rsidRPr="00237054" w:rsidRDefault="0019638B" w:rsidP="003F3994">
            <w:pPr>
              <w:spacing w:line="259" w:lineRule="auto"/>
              <w:ind w:left="91"/>
              <w:jc w:val="left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4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,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26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single" w:sz="12" w:space="0" w:color="FFFFFF"/>
            </w:tcBorders>
          </w:tcPr>
          <w:p w14:paraId="05AAC3E5" w14:textId="77777777" w:rsidR="0019638B" w:rsidRPr="00237054" w:rsidRDefault="0019638B" w:rsidP="003F3994">
            <w:pPr>
              <w:spacing w:line="259" w:lineRule="auto"/>
              <w:ind w:left="129"/>
              <w:jc w:val="center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-21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,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5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 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%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</w:tcPr>
          <w:p w14:paraId="0329EC9B" w14:textId="77777777" w:rsidR="0019638B" w:rsidRPr="00237054" w:rsidRDefault="0019638B" w:rsidP="003F3994">
            <w:pPr>
              <w:spacing w:line="259" w:lineRule="auto"/>
              <w:jc w:val="left"/>
              <w:rPr>
                <w:lang w:val="sk-SK"/>
              </w:rPr>
            </w:pPr>
          </w:p>
        </w:tc>
      </w:tr>
      <w:tr w:rsidR="0019638B" w:rsidRPr="00237054" w14:paraId="7E113D19" w14:textId="77777777" w:rsidTr="003F3994">
        <w:trPr>
          <w:trHeight w:val="235"/>
        </w:trPr>
        <w:tc>
          <w:tcPr>
            <w:tcW w:w="4401" w:type="dxa"/>
            <w:tcBorders>
              <w:top w:val="single" w:sz="4" w:space="0" w:color="AFB4B9"/>
              <w:left w:val="nil"/>
              <w:bottom w:val="single" w:sz="4" w:space="0" w:color="AFB4B9"/>
              <w:right w:val="nil"/>
            </w:tcBorders>
          </w:tcPr>
          <w:p w14:paraId="4E9DC06D" w14:textId="77777777" w:rsidR="0019638B" w:rsidRPr="00237054" w:rsidRDefault="0019638B" w:rsidP="003F3994">
            <w:pPr>
              <w:spacing w:line="259" w:lineRule="auto"/>
              <w:ind w:left="531"/>
              <w:jc w:val="left"/>
              <w:rPr>
                <w:lang w:val="sk-SK"/>
              </w:rPr>
            </w:pPr>
            <w:r>
              <w:rPr>
                <w:rFonts w:ascii="Calibri" w:eastAsia="Calibri" w:hAnsi="Calibri" w:cs="Calibri"/>
                <w:sz w:val="18"/>
                <w:lang w:val="sk-SK"/>
              </w:rPr>
              <w:t>pri</w:t>
            </w:r>
            <w:r w:rsidRPr="008F016A">
              <w:rPr>
                <w:rFonts w:ascii="Calibri" w:eastAsia="Calibri" w:hAnsi="Calibri" w:cs="Calibri"/>
                <w:sz w:val="18"/>
                <w:lang w:val="sk-SK"/>
              </w:rPr>
              <w:t xml:space="preserve"> konštantných kurzových sadzbách</w:t>
            </w:r>
          </w:p>
        </w:tc>
        <w:tc>
          <w:tcPr>
            <w:tcW w:w="1820" w:type="dxa"/>
            <w:gridSpan w:val="2"/>
            <w:tcBorders>
              <w:top w:val="single" w:sz="4" w:space="0" w:color="AFB4B9"/>
              <w:left w:val="nil"/>
              <w:bottom w:val="single" w:sz="4" w:space="0" w:color="AFB4B9"/>
              <w:right w:val="single" w:sz="12" w:space="0" w:color="FFFFFF"/>
            </w:tcBorders>
          </w:tcPr>
          <w:p w14:paraId="14EC02C5" w14:textId="77777777" w:rsidR="0019638B" w:rsidRPr="00237054" w:rsidRDefault="0019638B" w:rsidP="003F3994">
            <w:pPr>
              <w:spacing w:line="259" w:lineRule="auto"/>
              <w:jc w:val="left"/>
              <w:rPr>
                <w:lang w:val="sk-SK"/>
              </w:rPr>
            </w:pP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single" w:sz="12" w:space="0" w:color="FFFFFF"/>
            </w:tcBorders>
          </w:tcPr>
          <w:p w14:paraId="3D330BFE" w14:textId="77777777" w:rsidR="0019638B" w:rsidRPr="00237054" w:rsidRDefault="0019638B" w:rsidP="003F3994">
            <w:pPr>
              <w:spacing w:line="259" w:lineRule="auto"/>
              <w:ind w:left="129"/>
              <w:jc w:val="center"/>
              <w:rPr>
                <w:lang w:val="sk-SK"/>
              </w:rPr>
            </w:pP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-17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,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9</w:t>
            </w:r>
            <w:r>
              <w:rPr>
                <w:rFonts w:ascii="Calibri" w:eastAsia="Calibri" w:hAnsi="Calibri" w:cs="Calibri"/>
                <w:sz w:val="18"/>
                <w:lang w:val="sk-SK"/>
              </w:rPr>
              <w:t> </w:t>
            </w:r>
            <w:r w:rsidRPr="00237054">
              <w:rPr>
                <w:rFonts w:ascii="Calibri" w:eastAsia="Calibri" w:hAnsi="Calibri" w:cs="Calibri"/>
                <w:sz w:val="18"/>
                <w:lang w:val="sk-SK"/>
              </w:rPr>
              <w:t>%</w:t>
            </w:r>
          </w:p>
        </w:tc>
        <w:tc>
          <w:tcPr>
            <w:tcW w:w="1405" w:type="dxa"/>
            <w:tcBorders>
              <w:top w:val="single" w:sz="4" w:space="0" w:color="AFB4B9"/>
              <w:left w:val="single" w:sz="12" w:space="0" w:color="FFFFFF"/>
              <w:bottom w:val="single" w:sz="4" w:space="0" w:color="AFB4B9"/>
              <w:right w:val="nil"/>
            </w:tcBorders>
          </w:tcPr>
          <w:p w14:paraId="6A5FF39A" w14:textId="77777777" w:rsidR="0019638B" w:rsidRPr="00237054" w:rsidRDefault="0019638B" w:rsidP="003F3994">
            <w:pPr>
              <w:spacing w:line="259" w:lineRule="auto"/>
              <w:jc w:val="left"/>
              <w:rPr>
                <w:lang w:val="sk-SK"/>
              </w:rPr>
            </w:pPr>
          </w:p>
        </w:tc>
      </w:tr>
    </w:tbl>
    <w:p w14:paraId="7661E655" w14:textId="77777777" w:rsidR="0019638B" w:rsidRDefault="0019638B" w:rsidP="0019638B">
      <w:pPr>
        <w:spacing w:line="259" w:lineRule="auto"/>
        <w:ind w:left="19"/>
        <w:rPr>
          <w:rFonts w:ascii="Calibri" w:eastAsia="Calibri" w:hAnsi="Calibri" w:cs="Calibri"/>
          <w:sz w:val="7"/>
          <w:lang w:val="sk-SK"/>
        </w:rPr>
      </w:pPr>
    </w:p>
    <w:p w14:paraId="24CE4DA1" w14:textId="77777777" w:rsidR="0019638B" w:rsidRPr="00237054" w:rsidRDefault="0019638B" w:rsidP="0019638B">
      <w:pPr>
        <w:spacing w:line="259" w:lineRule="auto"/>
        <w:ind w:left="-142"/>
        <w:rPr>
          <w:lang w:val="sk-SK"/>
        </w:rPr>
      </w:pPr>
      <w:r>
        <w:rPr>
          <w:rFonts w:ascii="Calibri" w:eastAsia="Calibri" w:hAnsi="Calibri" w:cs="Calibri"/>
          <w:sz w:val="11"/>
          <w:lang w:val="sk-SK"/>
        </w:rPr>
        <w:t>1) U</w:t>
      </w:r>
      <w:r w:rsidRPr="00EE1986">
        <w:rPr>
          <w:rFonts w:ascii="Calibri" w:eastAsia="Calibri" w:hAnsi="Calibri" w:cs="Calibri"/>
          <w:color w:val="000000"/>
          <w:sz w:val="11"/>
          <w:lang w:val="sk-SK"/>
        </w:rPr>
        <w:t>pravené o jednorazové výdavky a príjmy a náklady na reštrukturalizáciu</w:t>
      </w:r>
      <w:r w:rsidRPr="00237054">
        <w:rPr>
          <w:rFonts w:ascii="Calibri" w:eastAsia="Calibri" w:hAnsi="Calibri" w:cs="Calibri"/>
          <w:sz w:val="11"/>
          <w:lang w:val="sk-SK"/>
        </w:rPr>
        <w:t>.</w:t>
      </w:r>
    </w:p>
    <w:p w14:paraId="1984F1FB" w14:textId="77777777" w:rsidR="0019638B" w:rsidRDefault="0019638B" w:rsidP="0019638B">
      <w:pPr>
        <w:ind w:left="-142"/>
        <w:rPr>
          <w:rFonts w:ascii="Calibri" w:eastAsia="Calibri" w:hAnsi="Calibri" w:cs="Calibri"/>
          <w:sz w:val="11"/>
          <w:lang w:val="sk-SK"/>
        </w:rPr>
      </w:pPr>
    </w:p>
    <w:p w14:paraId="1C43F185" w14:textId="77777777" w:rsidR="0019638B" w:rsidRPr="00237054" w:rsidRDefault="0019638B" w:rsidP="0019638B">
      <w:pPr>
        <w:ind w:left="-142"/>
        <w:rPr>
          <w:lang w:val="sk-SK"/>
        </w:rPr>
      </w:pPr>
      <w:r w:rsidRPr="00237054">
        <w:rPr>
          <w:rFonts w:ascii="Calibri" w:eastAsia="Calibri" w:hAnsi="Calibri" w:cs="Calibri"/>
          <w:sz w:val="11"/>
          <w:lang w:val="sk-SK"/>
        </w:rPr>
        <w:t xml:space="preserve">Henkel AG &amp; Co. </w:t>
      </w:r>
      <w:proofErr w:type="spellStart"/>
      <w:r w:rsidRPr="00237054">
        <w:rPr>
          <w:rFonts w:ascii="Calibri" w:eastAsia="Calibri" w:hAnsi="Calibri" w:cs="Calibri"/>
          <w:sz w:val="11"/>
          <w:lang w:val="sk-SK"/>
        </w:rPr>
        <w:t>KGaA</w:t>
      </w:r>
      <w:proofErr w:type="spellEnd"/>
      <w:r w:rsidRPr="00237054">
        <w:rPr>
          <w:rFonts w:ascii="Calibri" w:eastAsia="Calibri" w:hAnsi="Calibri" w:cs="Calibri"/>
          <w:sz w:val="11"/>
          <w:lang w:val="sk-SK"/>
        </w:rPr>
        <w:t>, Investor Relations</w:t>
      </w:r>
    </w:p>
    <w:p w14:paraId="7870A47C" w14:textId="77777777" w:rsidR="00F60E5C" w:rsidRDefault="00F60E5C" w:rsidP="00C50C62">
      <w:pPr>
        <w:spacing w:line="280" w:lineRule="auto"/>
        <w:rPr>
          <w:rFonts w:ascii="Calibri" w:hAnsi="Calibri" w:cs="Calibri"/>
          <w:b/>
          <w:bCs/>
          <w:sz w:val="20"/>
          <w:szCs w:val="20"/>
          <w:lang w:val="sk-SK"/>
        </w:rPr>
      </w:pPr>
    </w:p>
    <w:p w14:paraId="160E7297" w14:textId="02A1135E" w:rsidR="00C50C62" w:rsidRPr="001658F0" w:rsidRDefault="00C50C62" w:rsidP="00C50C62">
      <w:pPr>
        <w:spacing w:line="280" w:lineRule="auto"/>
        <w:rPr>
          <w:rFonts w:ascii="Calibri" w:hAnsi="Calibri" w:cs="Calibri"/>
          <w:sz w:val="20"/>
          <w:szCs w:val="20"/>
          <w:lang w:val="sk-SK" w:eastAsia="zh-CN"/>
        </w:rPr>
      </w:pPr>
      <w:r w:rsidRPr="001658F0">
        <w:rPr>
          <w:rFonts w:ascii="Calibri" w:hAnsi="Calibri" w:cs="Calibri"/>
          <w:b/>
          <w:bCs/>
          <w:sz w:val="20"/>
          <w:szCs w:val="20"/>
          <w:lang w:val="sk-SK"/>
        </w:rPr>
        <w:lastRenderedPageBreak/>
        <w:t>O spoločnosti Henkel</w:t>
      </w:r>
    </w:p>
    <w:p w14:paraId="51F7301B" w14:textId="025C59C6" w:rsidR="0018282C" w:rsidRPr="001658F0" w:rsidRDefault="00C50C62" w:rsidP="00C50C62">
      <w:pPr>
        <w:spacing w:line="280" w:lineRule="auto"/>
        <w:rPr>
          <w:rFonts w:ascii="Calibri" w:hAnsi="Calibri" w:cs="Calibri"/>
          <w:color w:val="000000"/>
          <w:sz w:val="20"/>
          <w:szCs w:val="20"/>
          <w:lang w:val="sk-SK"/>
        </w:rPr>
      </w:pPr>
      <w:r w:rsidRPr="001658F0">
        <w:rPr>
          <w:rFonts w:ascii="Calibri" w:hAnsi="Calibri" w:cs="Calibri"/>
          <w:sz w:val="20"/>
          <w:szCs w:val="20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Adhesive Technologies celosvetovým lídrom na trhu v rámci všetkých priemyselných segmentov. V oblastiach Laundry &amp; Home </w:t>
      </w:r>
      <w:proofErr w:type="spellStart"/>
      <w:r w:rsidRPr="001658F0">
        <w:rPr>
          <w:rFonts w:ascii="Calibri" w:hAnsi="Calibri" w:cs="Calibri"/>
          <w:sz w:val="20"/>
          <w:szCs w:val="20"/>
          <w:lang w:val="sk-SK"/>
        </w:rPr>
        <w:t>Care</w:t>
      </w:r>
      <w:proofErr w:type="spellEnd"/>
      <w:r w:rsidRPr="001658F0">
        <w:rPr>
          <w:rFonts w:ascii="Calibri" w:hAnsi="Calibri" w:cs="Calibri"/>
          <w:sz w:val="20"/>
          <w:szCs w:val="20"/>
          <w:lang w:val="sk-SK"/>
        </w:rPr>
        <w:t xml:space="preserve"> a </w:t>
      </w:r>
      <w:proofErr w:type="spellStart"/>
      <w:r w:rsidRPr="001658F0">
        <w:rPr>
          <w:rFonts w:ascii="Calibri" w:hAnsi="Calibri" w:cs="Calibri"/>
          <w:sz w:val="20"/>
          <w:szCs w:val="20"/>
          <w:lang w:val="sk-SK"/>
        </w:rPr>
        <w:t>Beauty</w:t>
      </w:r>
      <w:proofErr w:type="spellEnd"/>
      <w:r w:rsidRPr="001658F0">
        <w:rPr>
          <w:rFonts w:ascii="Calibri" w:hAnsi="Calibri" w:cs="Calibri"/>
          <w:sz w:val="20"/>
          <w:szCs w:val="20"/>
          <w:lang w:val="sk-SK"/>
        </w:rPr>
        <w:t xml:space="preserve"> </w:t>
      </w:r>
      <w:proofErr w:type="spellStart"/>
      <w:r w:rsidRPr="001658F0">
        <w:rPr>
          <w:rFonts w:ascii="Calibri" w:hAnsi="Calibri" w:cs="Calibri"/>
          <w:sz w:val="20"/>
          <w:szCs w:val="20"/>
          <w:lang w:val="sk-SK"/>
        </w:rPr>
        <w:t>Care</w:t>
      </w:r>
      <w:proofErr w:type="spellEnd"/>
      <w:r w:rsidRPr="001658F0">
        <w:rPr>
          <w:rFonts w:ascii="Calibri" w:hAnsi="Calibri" w:cs="Calibri"/>
          <w:sz w:val="20"/>
          <w:szCs w:val="20"/>
          <w:lang w:val="sk-SK"/>
        </w:rPr>
        <w:t xml:space="preserve"> je Henkel na vedúcich pozíciách na viacerých trhoch a v kategóriách vo svete. Spoločnosť bola založená v roku 1876 a má za sebou viac než 140 úspešných rokov. V roku 2019 dosiahla obrat vo výške 20 mld. eur a upravený prevádzkový zisk približne vo výške 3,2 mld. eur. Henkel zamestnáva viac než 52 000 ľudí po celom svete, ktorí spolu tvoria zanietený a veľmi rôznorodý tím, ktorý spája silná firemná kultúra a spoločný záujem vytvárať trvalo udržateľné hodnoty a ktorý zdieľa spoločné hodnoty. Ako uznávaný líder v oblasti udržateľnosti je Henkel na popredných priečkach v mnohých medzinárodných indexoch a hodnoteniach. Prioritné akcie spoločnosti Henkel sú kótované na nemeckom akciovom indexe DAX. Viac informácií nájdete na stránk</w:t>
      </w:r>
      <w:r w:rsidR="0018282C" w:rsidRPr="001658F0">
        <w:rPr>
          <w:rFonts w:ascii="Calibri" w:hAnsi="Calibri" w:cs="Calibri"/>
          <w:sz w:val="20"/>
          <w:szCs w:val="20"/>
          <w:lang w:val="sk-SK"/>
        </w:rPr>
        <w:t>ach</w:t>
      </w:r>
      <w:r w:rsidRPr="001658F0">
        <w:rPr>
          <w:rFonts w:ascii="Calibri" w:hAnsi="Calibri" w:cs="Calibri"/>
          <w:sz w:val="20"/>
          <w:szCs w:val="20"/>
          <w:lang w:val="sk-SK"/>
        </w:rPr>
        <w:t xml:space="preserve"> </w:t>
      </w:r>
      <w:hyperlink r:id="rId13" w:history="1">
        <w:r w:rsidRPr="001658F0">
          <w:rPr>
            <w:rStyle w:val="Hyperlink"/>
            <w:rFonts w:ascii="Calibri" w:hAnsi="Calibri" w:cs="Calibri"/>
            <w:sz w:val="20"/>
            <w:szCs w:val="20"/>
            <w:lang w:val="sk-SK"/>
          </w:rPr>
          <w:t>www.henkel.com</w:t>
        </w:r>
      </w:hyperlink>
      <w:r w:rsidR="0018282C" w:rsidRPr="001658F0">
        <w:rPr>
          <w:rFonts w:ascii="Calibri" w:hAnsi="Calibri" w:cs="Calibri"/>
          <w:color w:val="000000"/>
          <w:sz w:val="20"/>
          <w:szCs w:val="20"/>
          <w:lang w:val="sk-SK"/>
        </w:rPr>
        <w:t xml:space="preserve"> a </w:t>
      </w:r>
      <w:hyperlink r:id="rId14" w:history="1">
        <w:r w:rsidR="0018282C" w:rsidRPr="001658F0">
          <w:rPr>
            <w:rStyle w:val="Hyperlink"/>
            <w:rFonts w:ascii="Calibri" w:hAnsi="Calibri" w:cs="Calibri"/>
            <w:sz w:val="20"/>
            <w:szCs w:val="20"/>
            <w:lang w:val="sk-SK"/>
          </w:rPr>
          <w:t>www.henkel.sk</w:t>
        </w:r>
      </w:hyperlink>
    </w:p>
    <w:p w14:paraId="3EF9D3C6" w14:textId="77777777" w:rsidR="00C50C62" w:rsidRPr="001658F0" w:rsidRDefault="00C50C62" w:rsidP="00C50C62">
      <w:pPr>
        <w:spacing w:line="280" w:lineRule="auto"/>
        <w:rPr>
          <w:rFonts w:ascii="Calibri" w:hAnsi="Calibri" w:cs="Calibri"/>
          <w:color w:val="000000"/>
          <w:sz w:val="20"/>
          <w:szCs w:val="20"/>
          <w:lang w:val="sk-SK"/>
        </w:rPr>
      </w:pPr>
    </w:p>
    <w:p w14:paraId="113E39F6" w14:textId="77777777" w:rsidR="00C50C62" w:rsidRPr="001658F0" w:rsidRDefault="00C50C62" w:rsidP="00C50C62">
      <w:pPr>
        <w:spacing w:line="240" w:lineRule="auto"/>
        <w:rPr>
          <w:rFonts w:ascii="Calibri" w:hAnsi="Calibri" w:cs="Calibri"/>
          <w:sz w:val="20"/>
          <w:szCs w:val="20"/>
          <w:lang w:val="sk-SK"/>
        </w:rPr>
      </w:pPr>
      <w:r w:rsidRPr="001658F0">
        <w:rPr>
          <w:rFonts w:ascii="Calibri" w:hAnsi="Calibri" w:cs="Calibri"/>
          <w:sz w:val="20"/>
          <w:szCs w:val="20"/>
          <w:lang w:val="sk-SK" w:bidi="sk-SK"/>
        </w:rPr>
        <w:t>Na Slovensku pôsobí Henkel vo všetkých troch strategických oblastiach už od roku 1991. Henkel Slovensko predáva viac ako 50 značiek a dnes zamestnáva viac ako 1 900 pracovníkov.</w:t>
      </w:r>
    </w:p>
    <w:p w14:paraId="1B423C7B" w14:textId="77777777" w:rsidR="00C50C62" w:rsidRPr="001658F0" w:rsidRDefault="00C50C62" w:rsidP="00C50C62">
      <w:pPr>
        <w:spacing w:line="280" w:lineRule="auto"/>
        <w:rPr>
          <w:rFonts w:ascii="Calibri" w:hAnsi="Calibri" w:cs="Calibri"/>
          <w:sz w:val="20"/>
          <w:szCs w:val="20"/>
          <w:lang w:val="sk-SK"/>
        </w:rPr>
      </w:pPr>
    </w:p>
    <w:p w14:paraId="39CE2F79" w14:textId="77777777" w:rsidR="00C50C62" w:rsidRPr="001658F0" w:rsidRDefault="00C50C62" w:rsidP="00C50C62">
      <w:pPr>
        <w:spacing w:line="240" w:lineRule="auto"/>
        <w:rPr>
          <w:rFonts w:ascii="Calibri" w:hAnsi="Calibri" w:cs="Calibri"/>
          <w:b/>
          <w:sz w:val="24"/>
          <w:lang w:val="sk-SK" w:eastAsia="de-DE"/>
        </w:rPr>
      </w:pPr>
    </w:p>
    <w:p w14:paraId="360012EB" w14:textId="77777777" w:rsidR="00C50C62" w:rsidRPr="001658F0" w:rsidRDefault="00C50C62" w:rsidP="00C50C62">
      <w:pPr>
        <w:spacing w:line="240" w:lineRule="auto"/>
        <w:rPr>
          <w:rFonts w:ascii="Calibri" w:hAnsi="Calibri" w:cs="Calibri"/>
          <w:b/>
          <w:szCs w:val="20"/>
          <w:lang w:val="sk-SK" w:eastAsia="de-DE"/>
        </w:rPr>
      </w:pPr>
      <w:r w:rsidRPr="001658F0">
        <w:rPr>
          <w:rFonts w:ascii="Calibri" w:hAnsi="Calibri" w:cs="Calibri"/>
          <w:b/>
          <w:szCs w:val="20"/>
          <w:lang w:val="sk-SK" w:eastAsia="de-DE"/>
        </w:rPr>
        <w:t xml:space="preserve">Kontakt  </w:t>
      </w:r>
    </w:p>
    <w:p w14:paraId="3BE292AB" w14:textId="77777777" w:rsidR="00C50C62" w:rsidRPr="001658F0" w:rsidRDefault="00C50C62" w:rsidP="00C50C62">
      <w:pPr>
        <w:spacing w:line="240" w:lineRule="auto"/>
        <w:rPr>
          <w:rFonts w:ascii="Calibri" w:hAnsi="Calibri" w:cs="Calibri"/>
          <w:szCs w:val="20"/>
          <w:lang w:val="sk-SK" w:bidi="sk-SK"/>
        </w:rPr>
      </w:pPr>
      <w:r w:rsidRPr="001658F0">
        <w:rPr>
          <w:rFonts w:ascii="Calibri" w:hAnsi="Calibri" w:cs="Calibri"/>
          <w:szCs w:val="20"/>
          <w:lang w:val="sk-SK" w:bidi="sk-SK"/>
        </w:rPr>
        <w:t>Zuzana Kaňuchová</w:t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</w:p>
    <w:p w14:paraId="7E218707" w14:textId="77777777" w:rsidR="00C50C62" w:rsidRPr="001658F0" w:rsidRDefault="00C50C62" w:rsidP="00C50C62">
      <w:pPr>
        <w:spacing w:line="240" w:lineRule="auto"/>
        <w:rPr>
          <w:rFonts w:ascii="Calibri" w:hAnsi="Calibri" w:cs="Calibri"/>
          <w:szCs w:val="20"/>
          <w:lang w:val="sk-SK" w:bidi="sk-SK"/>
        </w:rPr>
      </w:pPr>
      <w:r w:rsidRPr="001658F0">
        <w:rPr>
          <w:rFonts w:ascii="Calibri" w:hAnsi="Calibri" w:cs="Calibri"/>
          <w:szCs w:val="20"/>
          <w:lang w:val="sk-SK" w:bidi="sk-SK"/>
        </w:rPr>
        <w:t>Riaditeľka korporátnej komunikácie</w:t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</w:p>
    <w:p w14:paraId="674620BC" w14:textId="77777777" w:rsidR="00C50C62" w:rsidRPr="001658F0" w:rsidRDefault="00C50C62" w:rsidP="00C50C62">
      <w:pPr>
        <w:tabs>
          <w:tab w:val="left" w:pos="1080"/>
          <w:tab w:val="left" w:pos="4500"/>
        </w:tabs>
        <w:spacing w:line="240" w:lineRule="auto"/>
        <w:rPr>
          <w:rFonts w:ascii="Calibri" w:hAnsi="Calibri" w:cs="Calibri"/>
          <w:szCs w:val="20"/>
          <w:lang w:val="sk-SK" w:bidi="sk-SK"/>
        </w:rPr>
      </w:pPr>
    </w:p>
    <w:p w14:paraId="0862BC9E" w14:textId="77777777" w:rsidR="00C50C62" w:rsidRPr="001658F0" w:rsidRDefault="00C50C62" w:rsidP="00C50C62">
      <w:pPr>
        <w:tabs>
          <w:tab w:val="left" w:pos="1080"/>
          <w:tab w:val="left" w:pos="4500"/>
        </w:tabs>
        <w:spacing w:line="240" w:lineRule="auto"/>
        <w:rPr>
          <w:rFonts w:ascii="Calibri" w:hAnsi="Calibri" w:cs="Calibri"/>
          <w:szCs w:val="20"/>
          <w:lang w:val="sk-SK" w:bidi="sk-SK"/>
        </w:rPr>
      </w:pPr>
      <w:r w:rsidRPr="001658F0">
        <w:rPr>
          <w:rFonts w:ascii="Calibri" w:hAnsi="Calibri" w:cs="Calibri"/>
          <w:szCs w:val="20"/>
          <w:lang w:val="sk-SK" w:bidi="sk-SK"/>
        </w:rPr>
        <w:t>Telefón: +421 917 160 597</w:t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</w:p>
    <w:p w14:paraId="121A4D26" w14:textId="0B855DDE" w:rsidR="00C50C62" w:rsidRPr="001658F0" w:rsidRDefault="00C50C62" w:rsidP="001658F0">
      <w:pPr>
        <w:spacing w:line="240" w:lineRule="auto"/>
        <w:rPr>
          <w:rFonts w:ascii="Calibri" w:hAnsi="Calibri" w:cs="Calibri"/>
          <w:szCs w:val="20"/>
          <w:lang w:val="sk-SK" w:bidi="sk-SK"/>
        </w:rPr>
      </w:pPr>
      <w:r w:rsidRPr="001658F0">
        <w:rPr>
          <w:rFonts w:ascii="Calibri" w:hAnsi="Calibri" w:cs="Calibri"/>
          <w:szCs w:val="20"/>
          <w:lang w:val="sk-SK" w:bidi="sk-SK"/>
        </w:rPr>
        <w:t>E-mail:</w:t>
      </w:r>
      <w:r w:rsidRPr="001658F0">
        <w:rPr>
          <w:rFonts w:ascii="Calibri" w:hAnsi="Calibri" w:cs="Calibri"/>
          <w:szCs w:val="20"/>
          <w:lang w:val="sk-SK" w:bidi="sk-SK"/>
        </w:rPr>
        <w:tab/>
        <w:t xml:space="preserve">  </w:t>
      </w:r>
      <w:hyperlink r:id="rId15" w:history="1">
        <w:r w:rsidRPr="001658F0">
          <w:rPr>
            <w:rStyle w:val="Hyperlink"/>
            <w:rFonts w:ascii="Calibri" w:hAnsi="Calibri" w:cs="Calibri"/>
            <w:lang w:val="sk-SK" w:bidi="sk-SK"/>
          </w:rPr>
          <w:t>zuzana.kanuchova@henkel.com</w:t>
        </w:r>
      </w:hyperlink>
      <w:r w:rsidRPr="001658F0">
        <w:rPr>
          <w:rFonts w:ascii="Calibri" w:hAnsi="Calibri" w:cs="Calibri"/>
          <w:szCs w:val="20"/>
          <w:lang w:val="sk-SK" w:bidi="sk-SK"/>
        </w:rPr>
        <w:tab/>
      </w:r>
    </w:p>
    <w:sectPr w:rsidR="00C50C62" w:rsidRPr="001658F0" w:rsidSect="00DC2465">
      <w:head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1AEA9" w14:textId="77777777" w:rsidR="00B33D1F" w:rsidRDefault="00B33D1F">
      <w:r>
        <w:separator/>
      </w:r>
    </w:p>
  </w:endnote>
  <w:endnote w:type="continuationSeparator" w:id="0">
    <w:p w14:paraId="347F800F" w14:textId="77777777" w:rsidR="00B33D1F" w:rsidRDefault="00B33D1F">
      <w:r>
        <w:continuationSeparator/>
      </w:r>
    </w:p>
  </w:endnote>
  <w:endnote w:type="continuationNotice" w:id="1">
    <w:p w14:paraId="0763F7DE" w14:textId="77777777" w:rsidR="00B33D1F" w:rsidRDefault="00B33D1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455D0" w14:textId="77777777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B63C6C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AD749D">
      <w:t>4</w:t>
    </w:r>
    <w:r w:rsidRPr="00BF6E82">
      <w:fldChar w:fldCharType="end"/>
    </w:r>
    <w:r w:rsidRPr="00BF6E82">
      <w:t>/</w:t>
    </w:r>
    <w:fldSimple w:instr=" NUMPAGES  \* Arabic  \* MERGEFORMAT ">
      <w:r w:rsidR="00AD749D"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6DB69" w14:textId="12E87325" w:rsidR="00DB5D40" w:rsidRDefault="009242D9" w:rsidP="00DB5D40">
    <w:pPr>
      <w:pStyle w:val="Footer"/>
      <w:jc w:val="distribute"/>
      <w:rPr>
        <w:b/>
      </w:rPr>
    </w:pPr>
    <w:r>
      <w:drawing>
        <wp:inline distT="0" distB="0" distL="0" distR="0" wp14:anchorId="71572E60" wp14:editId="6C0EAE93">
          <wp:extent cx="5768975" cy="360045"/>
          <wp:effectExtent l="0" t="0" r="3175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897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5D40">
      <w:rPr>
        <w:b/>
      </w:rPr>
      <w:t xml:space="preserve">      </w:t>
    </w:r>
  </w:p>
  <w:p w14:paraId="7DAC3790" w14:textId="77777777" w:rsidR="00CF6F33" w:rsidRPr="00992A11" w:rsidRDefault="00302D10" w:rsidP="00992A11">
    <w:pPr>
      <w:pStyle w:val="Footer"/>
    </w:pP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4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2E3B8" w14:textId="77777777" w:rsidR="00B33D1F" w:rsidRDefault="00B33D1F">
      <w:bookmarkStart w:id="0" w:name="_Hlk47541104"/>
      <w:bookmarkEnd w:id="0"/>
      <w:r>
        <w:separator/>
      </w:r>
    </w:p>
  </w:footnote>
  <w:footnote w:type="continuationSeparator" w:id="0">
    <w:p w14:paraId="2F225385" w14:textId="77777777" w:rsidR="00B33D1F" w:rsidRDefault="00B33D1F">
      <w:r>
        <w:continuationSeparator/>
      </w:r>
    </w:p>
  </w:footnote>
  <w:footnote w:type="continuationNotice" w:id="1">
    <w:p w14:paraId="196A08C4" w14:textId="77777777" w:rsidR="00B33D1F" w:rsidRDefault="00B33D1F">
      <w:pPr>
        <w:spacing w:line="240" w:lineRule="auto"/>
      </w:pPr>
    </w:p>
  </w:footnote>
  <w:footnote w:id="2">
    <w:p w14:paraId="70F69DC8" w14:textId="77777777" w:rsidR="0019638B" w:rsidRPr="00707F76" w:rsidRDefault="0019638B" w:rsidP="0019638B">
      <w:pPr>
        <w:pStyle w:val="FootnoteText"/>
        <w:rPr>
          <w:sz w:val="16"/>
          <w:lang w:val="sk-SK"/>
        </w:rPr>
      </w:pPr>
      <w:r w:rsidRPr="00BD077C">
        <w:rPr>
          <w:rStyle w:val="FootnoteReference"/>
          <w:sz w:val="28"/>
          <w:szCs w:val="28"/>
        </w:rPr>
        <w:t>*</w:t>
      </w:r>
      <w:r>
        <w:rPr>
          <w:sz w:val="16"/>
          <w:szCs w:val="16"/>
          <w:lang w:val="sk-SK" w:bidi="bo-CN"/>
        </w:rPr>
        <w:t>Očistené</w:t>
      </w:r>
      <w:r w:rsidRPr="00707F76">
        <w:rPr>
          <w:sz w:val="16"/>
          <w:szCs w:val="16"/>
          <w:lang w:val="sk-SK" w:bidi="bo-CN"/>
        </w:rPr>
        <w:t xml:space="preserve"> o jednorazové výdavky a </w:t>
      </w:r>
      <w:r>
        <w:rPr>
          <w:sz w:val="16"/>
          <w:szCs w:val="16"/>
          <w:lang w:val="sk-SK" w:bidi="bo-CN"/>
        </w:rPr>
        <w:t>príjmy</w:t>
      </w:r>
      <w:r w:rsidRPr="00707F76">
        <w:rPr>
          <w:sz w:val="16"/>
          <w:szCs w:val="16"/>
          <w:lang w:val="sk-SK" w:bidi="bo-CN"/>
        </w:rPr>
        <w:t xml:space="preserve"> a náklady na reštrukturalizáciu.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C2504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C7719" w14:textId="7782F052" w:rsidR="00CF6F33" w:rsidRPr="00962C60" w:rsidRDefault="0009087E" w:rsidP="00EB46D9">
    <w:pPr>
      <w:pStyle w:val="Header"/>
      <w:rPr>
        <w:lang w:val="sk-SK"/>
      </w:rPr>
    </w:pPr>
    <w:r>
      <w:rPr>
        <w:noProof/>
        <w:lang w:val="sk-SK"/>
      </w:rPr>
      <w:drawing>
        <wp:anchor distT="0" distB="0" distL="114300" distR="114300" simplePos="0" relativeHeight="251658240" behindDoc="0" locked="0" layoutInCell="1" allowOverlap="1" wp14:anchorId="7A8AE461" wp14:editId="037A9D37">
          <wp:simplePos x="0" y="0"/>
          <wp:positionH relativeFrom="margin">
            <wp:posOffset>4590364</wp:posOffset>
          </wp:positionH>
          <wp:positionV relativeFrom="margin">
            <wp:posOffset>-1185266</wp:posOffset>
          </wp:positionV>
          <wp:extent cx="1166495" cy="789305"/>
          <wp:effectExtent l="0" t="0" r="0" b="0"/>
          <wp:wrapNone/>
          <wp:docPr id="3" name="Obrázok 3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C60">
      <w:rPr>
        <w:lang w:val="sk-SK"/>
      </w:rPr>
      <w:t>Tlačová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73D3C74"/>
    <w:multiLevelType w:val="hybridMultilevel"/>
    <w:tmpl w:val="F4AAD272"/>
    <w:lvl w:ilvl="0" w:tplc="080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6" w15:restartNumberingAfterBreak="0">
    <w:nsid w:val="491C0505"/>
    <w:multiLevelType w:val="hybridMultilevel"/>
    <w:tmpl w:val="672C7FDA"/>
    <w:lvl w:ilvl="0" w:tplc="91E8FC00">
      <w:numFmt w:val="bullet"/>
      <w:lvlText w:val="•"/>
      <w:lvlJc w:val="left"/>
      <w:pPr>
        <w:ind w:left="643" w:hanging="360"/>
      </w:pPr>
      <w:rPr>
        <w:rFonts w:ascii="Century Gothic" w:eastAsia="Times New Roman" w:hAnsi="Century Gothic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14E7"/>
    <w:rsid w:val="00002AA4"/>
    <w:rsid w:val="00005267"/>
    <w:rsid w:val="00006346"/>
    <w:rsid w:val="00021C67"/>
    <w:rsid w:val="00026AFB"/>
    <w:rsid w:val="000273F2"/>
    <w:rsid w:val="00027C76"/>
    <w:rsid w:val="00030557"/>
    <w:rsid w:val="00030F51"/>
    <w:rsid w:val="00035A84"/>
    <w:rsid w:val="00040CC9"/>
    <w:rsid w:val="00046DD5"/>
    <w:rsid w:val="00051E86"/>
    <w:rsid w:val="000575F9"/>
    <w:rsid w:val="000618FC"/>
    <w:rsid w:val="00062609"/>
    <w:rsid w:val="00067071"/>
    <w:rsid w:val="00080D10"/>
    <w:rsid w:val="0008357F"/>
    <w:rsid w:val="00087E68"/>
    <w:rsid w:val="0009087E"/>
    <w:rsid w:val="00097CF3"/>
    <w:rsid w:val="000B695A"/>
    <w:rsid w:val="000C1075"/>
    <w:rsid w:val="000C210A"/>
    <w:rsid w:val="000C56DD"/>
    <w:rsid w:val="000D1672"/>
    <w:rsid w:val="000E2F62"/>
    <w:rsid w:val="000E33CB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4615D"/>
    <w:rsid w:val="00151F08"/>
    <w:rsid w:val="001577E9"/>
    <w:rsid w:val="0016138C"/>
    <w:rsid w:val="001658F0"/>
    <w:rsid w:val="001731CE"/>
    <w:rsid w:val="00173A9C"/>
    <w:rsid w:val="001813F3"/>
    <w:rsid w:val="0018282C"/>
    <w:rsid w:val="00183245"/>
    <w:rsid w:val="00193764"/>
    <w:rsid w:val="00196047"/>
    <w:rsid w:val="0019638B"/>
    <w:rsid w:val="001A59E3"/>
    <w:rsid w:val="001B743B"/>
    <w:rsid w:val="001B7C20"/>
    <w:rsid w:val="001C0B32"/>
    <w:rsid w:val="001C4BE1"/>
    <w:rsid w:val="001D7568"/>
    <w:rsid w:val="001D7ADF"/>
    <w:rsid w:val="001E0F71"/>
    <w:rsid w:val="001E6D05"/>
    <w:rsid w:val="001E7C28"/>
    <w:rsid w:val="001F1BDF"/>
    <w:rsid w:val="001F7110"/>
    <w:rsid w:val="001F7E96"/>
    <w:rsid w:val="00202284"/>
    <w:rsid w:val="00202BDC"/>
    <w:rsid w:val="00203B9E"/>
    <w:rsid w:val="00206C15"/>
    <w:rsid w:val="00212488"/>
    <w:rsid w:val="00220628"/>
    <w:rsid w:val="00225F4C"/>
    <w:rsid w:val="002304D2"/>
    <w:rsid w:val="00232AFF"/>
    <w:rsid w:val="00232C41"/>
    <w:rsid w:val="00234ABD"/>
    <w:rsid w:val="00236E2A"/>
    <w:rsid w:val="00237F62"/>
    <w:rsid w:val="0024586A"/>
    <w:rsid w:val="00246020"/>
    <w:rsid w:val="00256F0C"/>
    <w:rsid w:val="00262C05"/>
    <w:rsid w:val="00263D3E"/>
    <w:rsid w:val="002814DA"/>
    <w:rsid w:val="00281B42"/>
    <w:rsid w:val="00281D14"/>
    <w:rsid w:val="00282C13"/>
    <w:rsid w:val="00291BDB"/>
    <w:rsid w:val="002A0DF7"/>
    <w:rsid w:val="002A2975"/>
    <w:rsid w:val="002A60E0"/>
    <w:rsid w:val="002B0810"/>
    <w:rsid w:val="002B5578"/>
    <w:rsid w:val="002C0FD5"/>
    <w:rsid w:val="002C252E"/>
    <w:rsid w:val="002C6773"/>
    <w:rsid w:val="002D01B0"/>
    <w:rsid w:val="002D1A66"/>
    <w:rsid w:val="002D2A3D"/>
    <w:rsid w:val="002D74A3"/>
    <w:rsid w:val="002E0B17"/>
    <w:rsid w:val="002E1DAB"/>
    <w:rsid w:val="002E4FFB"/>
    <w:rsid w:val="002E7DED"/>
    <w:rsid w:val="002F23B0"/>
    <w:rsid w:val="002F666E"/>
    <w:rsid w:val="002F7E11"/>
    <w:rsid w:val="00302D10"/>
    <w:rsid w:val="00304087"/>
    <w:rsid w:val="00310ACD"/>
    <w:rsid w:val="003116E8"/>
    <w:rsid w:val="0031379F"/>
    <w:rsid w:val="00314264"/>
    <w:rsid w:val="00317C01"/>
    <w:rsid w:val="00320A26"/>
    <w:rsid w:val="00321344"/>
    <w:rsid w:val="00322DAD"/>
    <w:rsid w:val="00323AB5"/>
    <w:rsid w:val="00330AE5"/>
    <w:rsid w:val="0033451C"/>
    <w:rsid w:val="00336854"/>
    <w:rsid w:val="0034015C"/>
    <w:rsid w:val="003442F4"/>
    <w:rsid w:val="00347FE7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3887"/>
    <w:rsid w:val="00394C6B"/>
    <w:rsid w:val="003A0597"/>
    <w:rsid w:val="003A1116"/>
    <w:rsid w:val="003A4E62"/>
    <w:rsid w:val="003B1069"/>
    <w:rsid w:val="003B390A"/>
    <w:rsid w:val="003B4C4C"/>
    <w:rsid w:val="003C04FE"/>
    <w:rsid w:val="003C0A9E"/>
    <w:rsid w:val="003C15DE"/>
    <w:rsid w:val="003C4EB2"/>
    <w:rsid w:val="003D128E"/>
    <w:rsid w:val="003D24DD"/>
    <w:rsid w:val="003E2CEF"/>
    <w:rsid w:val="003E5F59"/>
    <w:rsid w:val="003F1AF3"/>
    <w:rsid w:val="003F4D8D"/>
    <w:rsid w:val="003F5B99"/>
    <w:rsid w:val="003F6489"/>
    <w:rsid w:val="004074DB"/>
    <w:rsid w:val="00414CB7"/>
    <w:rsid w:val="00421AF1"/>
    <w:rsid w:val="004313E7"/>
    <w:rsid w:val="00432AC4"/>
    <w:rsid w:val="0044763B"/>
    <w:rsid w:val="0045179F"/>
    <w:rsid w:val="004629B3"/>
    <w:rsid w:val="0046376E"/>
    <w:rsid w:val="0046690F"/>
    <w:rsid w:val="00472640"/>
    <w:rsid w:val="00472FEC"/>
    <w:rsid w:val="00474DC7"/>
    <w:rsid w:val="0048225E"/>
    <w:rsid w:val="00484677"/>
    <w:rsid w:val="00490A03"/>
    <w:rsid w:val="00493327"/>
    <w:rsid w:val="00494DBE"/>
    <w:rsid w:val="00495CE6"/>
    <w:rsid w:val="004968A1"/>
    <w:rsid w:val="004A323C"/>
    <w:rsid w:val="004A481A"/>
    <w:rsid w:val="004B54E8"/>
    <w:rsid w:val="004C4FEB"/>
    <w:rsid w:val="004C6B79"/>
    <w:rsid w:val="004D059B"/>
    <w:rsid w:val="004D4CB6"/>
    <w:rsid w:val="004E3341"/>
    <w:rsid w:val="004E626A"/>
    <w:rsid w:val="004E67B7"/>
    <w:rsid w:val="004F10C1"/>
    <w:rsid w:val="00502E62"/>
    <w:rsid w:val="00503D49"/>
    <w:rsid w:val="00506767"/>
    <w:rsid w:val="00506B8A"/>
    <w:rsid w:val="005118BD"/>
    <w:rsid w:val="005154AA"/>
    <w:rsid w:val="0051615D"/>
    <w:rsid w:val="0052212B"/>
    <w:rsid w:val="00534B46"/>
    <w:rsid w:val="00540358"/>
    <w:rsid w:val="00540D47"/>
    <w:rsid w:val="005449BB"/>
    <w:rsid w:val="00546555"/>
    <w:rsid w:val="00550864"/>
    <w:rsid w:val="0055571E"/>
    <w:rsid w:val="00556F67"/>
    <w:rsid w:val="00575350"/>
    <w:rsid w:val="00581280"/>
    <w:rsid w:val="005833F0"/>
    <w:rsid w:val="005854C8"/>
    <w:rsid w:val="0058684E"/>
    <w:rsid w:val="00586CAF"/>
    <w:rsid w:val="005873E9"/>
    <w:rsid w:val="0058794F"/>
    <w:rsid w:val="00591180"/>
    <w:rsid w:val="0059722C"/>
    <w:rsid w:val="00597D07"/>
    <w:rsid w:val="005A3846"/>
    <w:rsid w:val="005A3C87"/>
    <w:rsid w:val="005B1CBB"/>
    <w:rsid w:val="005B6A58"/>
    <w:rsid w:val="005C2EA2"/>
    <w:rsid w:val="005C58BA"/>
    <w:rsid w:val="005C7112"/>
    <w:rsid w:val="005D0561"/>
    <w:rsid w:val="005D0AD9"/>
    <w:rsid w:val="005D22F6"/>
    <w:rsid w:val="005E0C30"/>
    <w:rsid w:val="005E69D9"/>
    <w:rsid w:val="005F27F4"/>
    <w:rsid w:val="005F3239"/>
    <w:rsid w:val="005F3CA4"/>
    <w:rsid w:val="005F5FC5"/>
    <w:rsid w:val="005F6567"/>
    <w:rsid w:val="00605BFE"/>
    <w:rsid w:val="00607256"/>
    <w:rsid w:val="006141A6"/>
    <w:rsid w:val="006144B1"/>
    <w:rsid w:val="006209A6"/>
    <w:rsid w:val="006335F1"/>
    <w:rsid w:val="006345B6"/>
    <w:rsid w:val="00635712"/>
    <w:rsid w:val="006402B4"/>
    <w:rsid w:val="006403F3"/>
    <w:rsid w:val="00643D8A"/>
    <w:rsid w:val="00644595"/>
    <w:rsid w:val="00645FB8"/>
    <w:rsid w:val="00652229"/>
    <w:rsid w:val="00652793"/>
    <w:rsid w:val="00652E4F"/>
    <w:rsid w:val="006626CA"/>
    <w:rsid w:val="00663487"/>
    <w:rsid w:val="00672382"/>
    <w:rsid w:val="0067359B"/>
    <w:rsid w:val="00677A30"/>
    <w:rsid w:val="00682643"/>
    <w:rsid w:val="00682EB9"/>
    <w:rsid w:val="0068441A"/>
    <w:rsid w:val="00690B19"/>
    <w:rsid w:val="006A0A3C"/>
    <w:rsid w:val="006A34AA"/>
    <w:rsid w:val="006A4FFF"/>
    <w:rsid w:val="006A79F0"/>
    <w:rsid w:val="006B06C1"/>
    <w:rsid w:val="006B4030"/>
    <w:rsid w:val="006B47EE"/>
    <w:rsid w:val="006B499F"/>
    <w:rsid w:val="006D1AFF"/>
    <w:rsid w:val="006D4996"/>
    <w:rsid w:val="006D54AB"/>
    <w:rsid w:val="006E3006"/>
    <w:rsid w:val="006E4948"/>
    <w:rsid w:val="006E5032"/>
    <w:rsid w:val="006E58F4"/>
    <w:rsid w:val="006E5BDA"/>
    <w:rsid w:val="006F0FC7"/>
    <w:rsid w:val="006F39A9"/>
    <w:rsid w:val="006F5D05"/>
    <w:rsid w:val="006F670F"/>
    <w:rsid w:val="00703272"/>
    <w:rsid w:val="00705BDE"/>
    <w:rsid w:val="0070733C"/>
    <w:rsid w:val="00707C49"/>
    <w:rsid w:val="00710C5D"/>
    <w:rsid w:val="0071348C"/>
    <w:rsid w:val="00717273"/>
    <w:rsid w:val="00720FD4"/>
    <w:rsid w:val="00724AF2"/>
    <w:rsid w:val="00726216"/>
    <w:rsid w:val="00726975"/>
    <w:rsid w:val="0073096C"/>
    <w:rsid w:val="00742398"/>
    <w:rsid w:val="007507B5"/>
    <w:rsid w:val="0075091D"/>
    <w:rsid w:val="00753A24"/>
    <w:rsid w:val="007551E7"/>
    <w:rsid w:val="007630AF"/>
    <w:rsid w:val="0076475C"/>
    <w:rsid w:val="00765795"/>
    <w:rsid w:val="00772188"/>
    <w:rsid w:val="007736B2"/>
    <w:rsid w:val="007808C1"/>
    <w:rsid w:val="007813D0"/>
    <w:rsid w:val="00785993"/>
    <w:rsid w:val="007866E2"/>
    <w:rsid w:val="00786BA3"/>
    <w:rsid w:val="0079202F"/>
    <w:rsid w:val="00792CC7"/>
    <w:rsid w:val="00795AF2"/>
    <w:rsid w:val="007A2AAD"/>
    <w:rsid w:val="007A4432"/>
    <w:rsid w:val="007A784E"/>
    <w:rsid w:val="007B0D38"/>
    <w:rsid w:val="007B499C"/>
    <w:rsid w:val="007B4D4B"/>
    <w:rsid w:val="007C50BB"/>
    <w:rsid w:val="007D2A02"/>
    <w:rsid w:val="007E36BD"/>
    <w:rsid w:val="007E53D6"/>
    <w:rsid w:val="007E6EA1"/>
    <w:rsid w:val="007F0F63"/>
    <w:rsid w:val="007F2B1E"/>
    <w:rsid w:val="007F2D93"/>
    <w:rsid w:val="007F62B4"/>
    <w:rsid w:val="007F7897"/>
    <w:rsid w:val="00801517"/>
    <w:rsid w:val="0081130D"/>
    <w:rsid w:val="008136F8"/>
    <w:rsid w:val="00817AE8"/>
    <w:rsid w:val="00817DE8"/>
    <w:rsid w:val="008229F5"/>
    <w:rsid w:val="0082699A"/>
    <w:rsid w:val="00833CEB"/>
    <w:rsid w:val="008367DF"/>
    <w:rsid w:val="008372D2"/>
    <w:rsid w:val="008377BC"/>
    <w:rsid w:val="00844C17"/>
    <w:rsid w:val="00844D6C"/>
    <w:rsid w:val="0084769D"/>
    <w:rsid w:val="00847726"/>
    <w:rsid w:val="0084790A"/>
    <w:rsid w:val="00852511"/>
    <w:rsid w:val="008614F1"/>
    <w:rsid w:val="008639B3"/>
    <w:rsid w:val="00863C1A"/>
    <w:rsid w:val="00866171"/>
    <w:rsid w:val="0087142D"/>
    <w:rsid w:val="00873956"/>
    <w:rsid w:val="00880E72"/>
    <w:rsid w:val="00882237"/>
    <w:rsid w:val="008825EE"/>
    <w:rsid w:val="0088596E"/>
    <w:rsid w:val="008954A0"/>
    <w:rsid w:val="0089796A"/>
    <w:rsid w:val="008A2375"/>
    <w:rsid w:val="008A6920"/>
    <w:rsid w:val="008C42F5"/>
    <w:rsid w:val="008C4BF9"/>
    <w:rsid w:val="008C74E8"/>
    <w:rsid w:val="008D4D44"/>
    <w:rsid w:val="008D76C5"/>
    <w:rsid w:val="008E0AFA"/>
    <w:rsid w:val="008E58D7"/>
    <w:rsid w:val="008E5A1D"/>
    <w:rsid w:val="008E75D3"/>
    <w:rsid w:val="008F125E"/>
    <w:rsid w:val="008F4D2F"/>
    <w:rsid w:val="00906292"/>
    <w:rsid w:val="00915FBA"/>
    <w:rsid w:val="00917162"/>
    <w:rsid w:val="0092140A"/>
    <w:rsid w:val="009242D9"/>
    <w:rsid w:val="009251CC"/>
    <w:rsid w:val="00926FF4"/>
    <w:rsid w:val="0092714E"/>
    <w:rsid w:val="00927230"/>
    <w:rsid w:val="00942002"/>
    <w:rsid w:val="00942D97"/>
    <w:rsid w:val="00945889"/>
    <w:rsid w:val="0094704B"/>
    <w:rsid w:val="00947885"/>
    <w:rsid w:val="00951482"/>
    <w:rsid w:val="00952168"/>
    <w:rsid w:val="009527FE"/>
    <w:rsid w:val="00962C60"/>
    <w:rsid w:val="00966B91"/>
    <w:rsid w:val="009739A0"/>
    <w:rsid w:val="00973E9C"/>
    <w:rsid w:val="00974F84"/>
    <w:rsid w:val="009767C7"/>
    <w:rsid w:val="00982CDC"/>
    <w:rsid w:val="009831D3"/>
    <w:rsid w:val="0098579A"/>
    <w:rsid w:val="00986275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3A96"/>
    <w:rsid w:val="009D6875"/>
    <w:rsid w:val="009D6B66"/>
    <w:rsid w:val="009D7252"/>
    <w:rsid w:val="009D792E"/>
    <w:rsid w:val="009E5EB4"/>
    <w:rsid w:val="009F06DE"/>
    <w:rsid w:val="00A02D13"/>
    <w:rsid w:val="00A044D6"/>
    <w:rsid w:val="00A04ADB"/>
    <w:rsid w:val="00A06937"/>
    <w:rsid w:val="00A11E0F"/>
    <w:rsid w:val="00A26CB6"/>
    <w:rsid w:val="00A32F82"/>
    <w:rsid w:val="00A32F8B"/>
    <w:rsid w:val="00A33C0C"/>
    <w:rsid w:val="00A3756F"/>
    <w:rsid w:val="00A42D6F"/>
    <w:rsid w:val="00A45A62"/>
    <w:rsid w:val="00A52EA0"/>
    <w:rsid w:val="00A54AC5"/>
    <w:rsid w:val="00A55DC3"/>
    <w:rsid w:val="00A56D41"/>
    <w:rsid w:val="00A579DA"/>
    <w:rsid w:val="00A61353"/>
    <w:rsid w:val="00A61626"/>
    <w:rsid w:val="00A62BB2"/>
    <w:rsid w:val="00A66DB1"/>
    <w:rsid w:val="00A67A92"/>
    <w:rsid w:val="00A85C85"/>
    <w:rsid w:val="00A87870"/>
    <w:rsid w:val="00A91A70"/>
    <w:rsid w:val="00AA1B85"/>
    <w:rsid w:val="00AB1CB6"/>
    <w:rsid w:val="00AB1D9A"/>
    <w:rsid w:val="00AC2225"/>
    <w:rsid w:val="00AD01B0"/>
    <w:rsid w:val="00AD44FE"/>
    <w:rsid w:val="00AD749D"/>
    <w:rsid w:val="00AE3ABD"/>
    <w:rsid w:val="00AE464C"/>
    <w:rsid w:val="00AE49F1"/>
    <w:rsid w:val="00B05CCA"/>
    <w:rsid w:val="00B14271"/>
    <w:rsid w:val="00B16270"/>
    <w:rsid w:val="00B2685D"/>
    <w:rsid w:val="00B30351"/>
    <w:rsid w:val="00B33C2A"/>
    <w:rsid w:val="00B33D1F"/>
    <w:rsid w:val="00B368BD"/>
    <w:rsid w:val="00B377F7"/>
    <w:rsid w:val="00B37811"/>
    <w:rsid w:val="00B422EC"/>
    <w:rsid w:val="00B63C6C"/>
    <w:rsid w:val="00B6597F"/>
    <w:rsid w:val="00B71732"/>
    <w:rsid w:val="00B726D4"/>
    <w:rsid w:val="00B75D03"/>
    <w:rsid w:val="00B8214F"/>
    <w:rsid w:val="00B86A4F"/>
    <w:rsid w:val="00B86F4F"/>
    <w:rsid w:val="00B93035"/>
    <w:rsid w:val="00B958E8"/>
    <w:rsid w:val="00B97E4A"/>
    <w:rsid w:val="00BA09B2"/>
    <w:rsid w:val="00BA2788"/>
    <w:rsid w:val="00BA5B46"/>
    <w:rsid w:val="00BA6EA6"/>
    <w:rsid w:val="00BB00B7"/>
    <w:rsid w:val="00BC0995"/>
    <w:rsid w:val="00BE5D38"/>
    <w:rsid w:val="00BE793A"/>
    <w:rsid w:val="00BF2B82"/>
    <w:rsid w:val="00BF432A"/>
    <w:rsid w:val="00BF6E82"/>
    <w:rsid w:val="00C0209A"/>
    <w:rsid w:val="00C060C7"/>
    <w:rsid w:val="00C061B9"/>
    <w:rsid w:val="00C170EA"/>
    <w:rsid w:val="00C24C17"/>
    <w:rsid w:val="00C34B18"/>
    <w:rsid w:val="00C3758F"/>
    <w:rsid w:val="00C40B88"/>
    <w:rsid w:val="00C43223"/>
    <w:rsid w:val="00C47D87"/>
    <w:rsid w:val="00C50A63"/>
    <w:rsid w:val="00C50C62"/>
    <w:rsid w:val="00C51B88"/>
    <w:rsid w:val="00C5219F"/>
    <w:rsid w:val="00C5376E"/>
    <w:rsid w:val="00C565D4"/>
    <w:rsid w:val="00C570AB"/>
    <w:rsid w:val="00C634BF"/>
    <w:rsid w:val="00C743A7"/>
    <w:rsid w:val="00C808A6"/>
    <w:rsid w:val="00C97091"/>
    <w:rsid w:val="00C97260"/>
    <w:rsid w:val="00CA047F"/>
    <w:rsid w:val="00CA07F1"/>
    <w:rsid w:val="00CA2001"/>
    <w:rsid w:val="00CB09E9"/>
    <w:rsid w:val="00CB5B6C"/>
    <w:rsid w:val="00CB6F95"/>
    <w:rsid w:val="00CC052E"/>
    <w:rsid w:val="00CD140C"/>
    <w:rsid w:val="00CD16BE"/>
    <w:rsid w:val="00CD4616"/>
    <w:rsid w:val="00CD56AF"/>
    <w:rsid w:val="00CD7D2B"/>
    <w:rsid w:val="00CE0734"/>
    <w:rsid w:val="00CE33D5"/>
    <w:rsid w:val="00CE6A6E"/>
    <w:rsid w:val="00CF16DC"/>
    <w:rsid w:val="00CF5D37"/>
    <w:rsid w:val="00CF6F33"/>
    <w:rsid w:val="00D015B7"/>
    <w:rsid w:val="00D02248"/>
    <w:rsid w:val="00D063B8"/>
    <w:rsid w:val="00D06825"/>
    <w:rsid w:val="00D13187"/>
    <w:rsid w:val="00D162B6"/>
    <w:rsid w:val="00D17E3B"/>
    <w:rsid w:val="00D23C09"/>
    <w:rsid w:val="00D23CED"/>
    <w:rsid w:val="00D24BD2"/>
    <w:rsid w:val="00D2573D"/>
    <w:rsid w:val="00D260A2"/>
    <w:rsid w:val="00D2795D"/>
    <w:rsid w:val="00D30CC6"/>
    <w:rsid w:val="00D3260C"/>
    <w:rsid w:val="00D35790"/>
    <w:rsid w:val="00D44221"/>
    <w:rsid w:val="00D476DF"/>
    <w:rsid w:val="00D5051D"/>
    <w:rsid w:val="00D5182B"/>
    <w:rsid w:val="00D54EAF"/>
    <w:rsid w:val="00D5653B"/>
    <w:rsid w:val="00D61492"/>
    <w:rsid w:val="00D61781"/>
    <w:rsid w:val="00D617CD"/>
    <w:rsid w:val="00D62EF1"/>
    <w:rsid w:val="00D6309D"/>
    <w:rsid w:val="00D644CA"/>
    <w:rsid w:val="00D66FC2"/>
    <w:rsid w:val="00D710CA"/>
    <w:rsid w:val="00D76C7E"/>
    <w:rsid w:val="00D771DE"/>
    <w:rsid w:val="00D7776D"/>
    <w:rsid w:val="00D91F92"/>
    <w:rsid w:val="00D9293F"/>
    <w:rsid w:val="00D93598"/>
    <w:rsid w:val="00DA1086"/>
    <w:rsid w:val="00DA1E18"/>
    <w:rsid w:val="00DA2009"/>
    <w:rsid w:val="00DA2EB3"/>
    <w:rsid w:val="00DB05B1"/>
    <w:rsid w:val="00DB3950"/>
    <w:rsid w:val="00DB5A79"/>
    <w:rsid w:val="00DB5D40"/>
    <w:rsid w:val="00DB646C"/>
    <w:rsid w:val="00DC23C3"/>
    <w:rsid w:val="00DC2465"/>
    <w:rsid w:val="00DC5427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02DD0"/>
    <w:rsid w:val="00E06A2E"/>
    <w:rsid w:val="00E07340"/>
    <w:rsid w:val="00E13747"/>
    <w:rsid w:val="00E25AEA"/>
    <w:rsid w:val="00E30DEF"/>
    <w:rsid w:val="00E30ED2"/>
    <w:rsid w:val="00E31276"/>
    <w:rsid w:val="00E37F70"/>
    <w:rsid w:val="00E446C1"/>
    <w:rsid w:val="00E52E9E"/>
    <w:rsid w:val="00E57867"/>
    <w:rsid w:val="00E707AD"/>
    <w:rsid w:val="00E758B9"/>
    <w:rsid w:val="00E8269A"/>
    <w:rsid w:val="00E85569"/>
    <w:rsid w:val="00E856AF"/>
    <w:rsid w:val="00E86B83"/>
    <w:rsid w:val="00E87C64"/>
    <w:rsid w:val="00E910C0"/>
    <w:rsid w:val="00E926C4"/>
    <w:rsid w:val="00E93A01"/>
    <w:rsid w:val="00E93FF8"/>
    <w:rsid w:val="00E9582F"/>
    <w:rsid w:val="00E96EAF"/>
    <w:rsid w:val="00EA1752"/>
    <w:rsid w:val="00EA5A89"/>
    <w:rsid w:val="00EA5BDB"/>
    <w:rsid w:val="00EA5F8C"/>
    <w:rsid w:val="00EB3CB6"/>
    <w:rsid w:val="00EB46D9"/>
    <w:rsid w:val="00EC142D"/>
    <w:rsid w:val="00EC17A8"/>
    <w:rsid w:val="00EC1E16"/>
    <w:rsid w:val="00EC254A"/>
    <w:rsid w:val="00ED0024"/>
    <w:rsid w:val="00ED0F85"/>
    <w:rsid w:val="00ED2B5C"/>
    <w:rsid w:val="00ED3269"/>
    <w:rsid w:val="00EE1A8C"/>
    <w:rsid w:val="00EE4643"/>
    <w:rsid w:val="00EE64AD"/>
    <w:rsid w:val="00EF1330"/>
    <w:rsid w:val="00EF15FF"/>
    <w:rsid w:val="00EF570A"/>
    <w:rsid w:val="00EF7111"/>
    <w:rsid w:val="00EF7D1A"/>
    <w:rsid w:val="00F00AF6"/>
    <w:rsid w:val="00F03968"/>
    <w:rsid w:val="00F0448F"/>
    <w:rsid w:val="00F0716C"/>
    <w:rsid w:val="00F14097"/>
    <w:rsid w:val="00F21F97"/>
    <w:rsid w:val="00F22014"/>
    <w:rsid w:val="00F26849"/>
    <w:rsid w:val="00F270E9"/>
    <w:rsid w:val="00F275C0"/>
    <w:rsid w:val="00F346B6"/>
    <w:rsid w:val="00F36145"/>
    <w:rsid w:val="00F36E15"/>
    <w:rsid w:val="00F37A00"/>
    <w:rsid w:val="00F37BDD"/>
    <w:rsid w:val="00F4089B"/>
    <w:rsid w:val="00F40F82"/>
    <w:rsid w:val="00F411B0"/>
    <w:rsid w:val="00F41503"/>
    <w:rsid w:val="00F466C8"/>
    <w:rsid w:val="00F469A9"/>
    <w:rsid w:val="00F50B46"/>
    <w:rsid w:val="00F50D1F"/>
    <w:rsid w:val="00F50F5B"/>
    <w:rsid w:val="00F51909"/>
    <w:rsid w:val="00F55340"/>
    <w:rsid w:val="00F565D0"/>
    <w:rsid w:val="00F60E5C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C745F"/>
    <w:rsid w:val="00FD2BD3"/>
    <w:rsid w:val="00FD4CCA"/>
    <w:rsid w:val="00FE2A9E"/>
    <w:rsid w:val="00FE2DAA"/>
    <w:rsid w:val="00FE3773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E497938"/>
  <w14:defaultImageDpi w14:val="0"/>
  <w15:docId w15:val="{A48D90E4-64CC-45A1-8E4F-4C876333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Segoe UI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rFonts w:cs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92A11"/>
    <w:rPr>
      <w:rFonts w:ascii="Segoe UI" w:hAnsi="Segoe UI" w:cs="Times New Roman"/>
      <w:noProof/>
      <w:sz w:val="24"/>
      <w:lang w:val="de-DE"/>
    </w:rPr>
  </w:style>
  <w:style w:type="paragraph" w:styleId="Header">
    <w:name w:val="header"/>
    <w:basedOn w:val="Normal"/>
    <w:link w:val="Header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customStyle="1" w:styleId="Intro">
    <w:name w:val="Intro"/>
    <w:basedOn w:val="Normal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al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TableGrid">
    <w:name w:val="Table Grid"/>
    <w:basedOn w:val="TableNormal"/>
    <w:uiPriority w:val="59"/>
    <w:pPr>
      <w:spacing w:line="260" w:lineRule="atLeas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Normal"/>
    <w:pPr>
      <w:spacing w:line="300" w:lineRule="atLeast"/>
    </w:pPr>
    <w:rPr>
      <w:sz w:val="24"/>
    </w:rPr>
  </w:style>
  <w:style w:type="character" w:styleId="Hyperlink">
    <w:name w:val="Hyperlink"/>
    <w:basedOn w:val="DefaultParagraphFont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36854"/>
    <w:rPr>
      <w:rFonts w:ascii="Segoe UI" w:hAnsi="Segoe UI" w:cs="Times New Roman"/>
      <w:sz w:val="18"/>
      <w:lang w:val="de-D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 w:cs="Times New Roman"/>
      <w:szCs w:val="24"/>
      <w:lang w:val="de-DE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rFonts w:cs="Times New Roman"/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 w:cs="Times New Roman"/>
      <w:b/>
      <w:bCs/>
      <w:sz w:val="18"/>
    </w:rPr>
  </w:style>
  <w:style w:type="paragraph" w:styleId="FootnoteText">
    <w:name w:val="footnote text"/>
    <w:basedOn w:val="Normal"/>
    <w:link w:val="FootnoteTextChar"/>
    <w:rsid w:val="004074DB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locked/>
    <w:rsid w:val="004074DB"/>
    <w:rPr>
      <w:rFonts w:ascii="Arial" w:hAnsi="Arial" w:cs="Times New Roman"/>
      <w:sz w:val="20"/>
      <w:szCs w:val="20"/>
      <w:lang w:val="de-DE" w:eastAsia="x-none"/>
    </w:rPr>
  </w:style>
  <w:style w:type="character" w:styleId="FootnoteReference">
    <w:name w:val="footnote reference"/>
    <w:basedOn w:val="DefaultParagraphFont"/>
    <w:rsid w:val="004074DB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585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85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4C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85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54C8"/>
    <w:rPr>
      <w:rFonts w:cs="Times New Roman"/>
      <w:b/>
      <w:bCs/>
      <w:sz w:val="20"/>
      <w:szCs w:val="20"/>
    </w:rPr>
  </w:style>
  <w:style w:type="paragraph" w:customStyle="1" w:styleId="p1">
    <w:name w:val="p1"/>
    <w:basedOn w:val="Normal"/>
    <w:rsid w:val="00927230"/>
    <w:pPr>
      <w:spacing w:line="240" w:lineRule="auto"/>
      <w:jc w:val="left"/>
    </w:pPr>
    <w:rPr>
      <w:rFonts w:ascii="Helvetica" w:hAnsi="Helvetica"/>
      <w:sz w:val="18"/>
      <w:szCs w:val="18"/>
    </w:rPr>
  </w:style>
  <w:style w:type="paragraph" w:styleId="ListParagraph">
    <w:name w:val="List Paragraph"/>
    <w:basedOn w:val="Normal"/>
    <w:uiPriority w:val="34"/>
    <w:qFormat/>
    <w:rsid w:val="0019638B"/>
    <w:pPr>
      <w:ind w:left="720"/>
      <w:contextualSpacing/>
    </w:pPr>
  </w:style>
  <w:style w:type="table" w:customStyle="1" w:styleId="TableGrid0">
    <w:name w:val="TableGrid"/>
    <w:rsid w:val="0019638B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6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zuzana.kanuchova@henkel.com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E597FC69D7D41B730E55848FD6EAB" ma:contentTypeVersion="13" ma:contentTypeDescription="Create a new document." ma:contentTypeScope="" ma:versionID="0bd439bb7db1c11f7cafcadd6b5a65ce">
  <xsd:schema xmlns:xsd="http://www.w3.org/2001/XMLSchema" xmlns:xs="http://www.w3.org/2001/XMLSchema" xmlns:p="http://schemas.microsoft.com/office/2006/metadata/properties" xmlns:ns3="a4e290b9-c7ca-42dc-b7ad-52c336761d12" xmlns:ns4="4b231ab5-4db4-4050-9234-4df8de93caf3" targetNamespace="http://schemas.microsoft.com/office/2006/metadata/properties" ma:root="true" ma:fieldsID="9f905b692c2ba8474a3a603adbe5cb40" ns3:_="" ns4:_="">
    <xsd:import namespace="a4e290b9-c7ca-42dc-b7ad-52c336761d12"/>
    <xsd:import namespace="4b231ab5-4db4-4050-9234-4df8de93ca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290b9-c7ca-42dc-b7ad-52c336761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31ab5-4db4-4050-9234-4df8de93ca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99FB6B83-8754-41CA-BFAB-08310E61C387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4b231ab5-4db4-4050-9234-4df8de93caf3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a4e290b9-c7ca-42dc-b7ad-52c336761d1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F0D88D-AA15-4A65-A3C3-EB157D39BB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7E394B-239C-45F3-9B83-011C8F4B3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290b9-c7ca-42dc-b7ad-52c336761d12"/>
    <ds:schemaRef ds:uri="4b231ab5-4db4-4050-9234-4df8de93c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DA394BC-5B7B-40E1-B7FC-985CC1A5DD2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12</Pages>
  <Words>3603</Words>
  <Characters>21385</Characters>
  <Application>Microsoft Office Word</Application>
  <DocSecurity>4</DocSecurity>
  <Lines>178</Lines>
  <Paragraphs>49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Driving Food Safety and Efficiency in Packaging with Henkel’s Technomelt Supra Pro</vt:lpstr>
      <vt:lpstr>Driving Food Safety and Efficiency in Packaging with Henkel’s Technomelt Supra Pro</vt:lpstr>
    </vt:vector>
  </TitlesOfParts>
  <Company>Henkel AG &amp; Co. KGaA</Company>
  <LinksUpToDate>false</LinksUpToDate>
  <CharactersWithSpaces>24939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Driving Food Safety and Efficiency in Packaging with Henkel’s Technomelt Supra Pro</dc:title>
  <dc:subject>Henkel Adhesive Technologies as a Food Safety Pioneer</dc:subject>
  <dc:creator>Henkel AG &amp; Co. KGaA</dc:creator>
  <cp:keywords/>
  <dc:description/>
  <cp:lastModifiedBy>Zuzana Kanuchova</cp:lastModifiedBy>
  <cp:revision>2</cp:revision>
  <cp:lastPrinted>2016-11-16T02:11:00Z</cp:lastPrinted>
  <dcterms:created xsi:type="dcterms:W3CDTF">2021-03-05T18:31:00Z</dcterms:created>
  <dcterms:modified xsi:type="dcterms:W3CDTF">2021-03-05T18:31:00Z</dcterms:modified>
  <cp:category>press-release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0x010100DCAE597FC69D7D41B730E55848FD6EAB</vt:lpwstr>
  </property>
</Properties>
</file>