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BADC" w14:textId="77777777" w:rsidR="00F911D6" w:rsidRDefault="009F5629">
      <w:pPr>
        <w:pStyle w:val="BodyText"/>
        <w:ind w:left="80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F113A4" wp14:editId="778B625A">
            <wp:extent cx="1046677" cy="5989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677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2803C" w14:textId="77777777" w:rsidR="00F911D6" w:rsidRDefault="00F911D6">
      <w:pPr>
        <w:pStyle w:val="BodyText"/>
        <w:rPr>
          <w:rFonts w:ascii="Times New Roman"/>
          <w:sz w:val="20"/>
        </w:rPr>
      </w:pPr>
    </w:p>
    <w:p w14:paraId="125E505F" w14:textId="77777777" w:rsidR="00F911D6" w:rsidRDefault="00F911D6">
      <w:pPr>
        <w:pStyle w:val="BodyText"/>
        <w:rPr>
          <w:rFonts w:ascii="Times New Roman"/>
          <w:sz w:val="20"/>
        </w:rPr>
      </w:pPr>
    </w:p>
    <w:p w14:paraId="473E066E" w14:textId="77777777" w:rsidR="00F911D6" w:rsidRDefault="00F911D6">
      <w:pPr>
        <w:pStyle w:val="BodyText"/>
        <w:spacing w:before="6"/>
        <w:rPr>
          <w:rFonts w:ascii="Times New Roman"/>
          <w:sz w:val="25"/>
        </w:rPr>
      </w:pPr>
    </w:p>
    <w:p w14:paraId="31899376" w14:textId="0F11F4BA" w:rsidR="00F911D6" w:rsidRDefault="00AA0A7B">
      <w:pPr>
        <w:pStyle w:val="Title"/>
      </w:pPr>
      <w:r w:rsidRPr="00AA0A7B">
        <w:rPr>
          <w:color w:val="3D3B3B"/>
        </w:rPr>
        <w:t>Priopćenje za medije</w:t>
      </w:r>
    </w:p>
    <w:p w14:paraId="1F0BCDDB" w14:textId="77777777" w:rsidR="00AA0A7B" w:rsidRDefault="00AA0A7B" w:rsidP="00AA0A7B">
      <w:pPr>
        <w:pStyle w:val="BodyText"/>
        <w:spacing w:before="119"/>
        <w:ind w:right="605"/>
        <w:jc w:val="right"/>
      </w:pPr>
      <w:r>
        <w:t>4. ožujka</w:t>
      </w:r>
      <w:r>
        <w:rPr>
          <w:spacing w:val="2"/>
        </w:rPr>
        <w:t xml:space="preserve"> </w:t>
      </w:r>
      <w:r>
        <w:t>2021.</w:t>
      </w:r>
      <w:r>
        <w:rPr>
          <w:spacing w:val="-5"/>
        </w:rPr>
        <w:t xml:space="preserve"> </w:t>
      </w:r>
      <w:r>
        <w:t>godine</w:t>
      </w:r>
    </w:p>
    <w:p w14:paraId="1F8AD4FB" w14:textId="77777777" w:rsidR="00F911D6" w:rsidRDefault="00F911D6">
      <w:pPr>
        <w:pStyle w:val="BodyText"/>
        <w:rPr>
          <w:sz w:val="28"/>
        </w:rPr>
      </w:pPr>
    </w:p>
    <w:p w14:paraId="2C1970FC" w14:textId="62FB87F5" w:rsidR="00F911D6" w:rsidRDefault="00DE7586">
      <w:pPr>
        <w:pStyle w:val="BodyText"/>
        <w:spacing w:before="233"/>
        <w:ind w:left="111"/>
        <w:jc w:val="both"/>
      </w:pPr>
      <w:r w:rsidRPr="00DE7586">
        <w:t>Henkel će predložiti dividende kao na prošlogodišnjoj razini</w:t>
      </w:r>
    </w:p>
    <w:p w14:paraId="6710382E" w14:textId="77777777" w:rsidR="00F911D6" w:rsidRDefault="00F911D6">
      <w:pPr>
        <w:pStyle w:val="BodyText"/>
        <w:spacing w:before="7"/>
        <w:rPr>
          <w:sz w:val="30"/>
        </w:rPr>
      </w:pPr>
    </w:p>
    <w:p w14:paraId="0EC9578D" w14:textId="7FE4A8E6" w:rsidR="00F911D6" w:rsidRDefault="00DE7586" w:rsidP="00DE7586">
      <w:pPr>
        <w:ind w:left="111"/>
        <w:jc w:val="both"/>
        <w:rPr>
          <w:b/>
          <w:sz w:val="32"/>
        </w:rPr>
      </w:pPr>
      <w:r w:rsidRPr="00DE7586">
        <w:rPr>
          <w:b/>
          <w:sz w:val="32"/>
        </w:rPr>
        <w:t>Henkel je postigao snažne ukupne poslovne rezultate unatoč značajnim utjecajima pandemije COVID-19</w:t>
      </w:r>
    </w:p>
    <w:p w14:paraId="5D306D4D" w14:textId="77777777" w:rsidR="00F911D6" w:rsidRDefault="00F911D6">
      <w:pPr>
        <w:pStyle w:val="BodyText"/>
        <w:spacing w:before="12"/>
        <w:rPr>
          <w:b/>
          <w:sz w:val="29"/>
        </w:rPr>
      </w:pPr>
    </w:p>
    <w:p w14:paraId="50132AEA" w14:textId="35260E8E" w:rsidR="00F911D6" w:rsidRDefault="00DE7586" w:rsidP="00DE7586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0"/>
        <w:rPr>
          <w:b/>
        </w:rPr>
      </w:pPr>
      <w:r w:rsidRPr="00DE7586">
        <w:rPr>
          <w:b/>
        </w:rPr>
        <w:t>Uravnoteženi portfelj, moćne inovacije, financijska snaga i predan tim ključni su razlozi za snažne poslovne rezultate tijekom globalne krize</w:t>
      </w:r>
    </w:p>
    <w:p w14:paraId="0A623B9C" w14:textId="5CBF5015" w:rsidR="00F911D6" w:rsidRDefault="00DE7586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rPr>
          <w:b/>
        </w:rPr>
      </w:pPr>
      <w:r w:rsidRPr="00DE7586">
        <w:rPr>
          <w:b/>
        </w:rPr>
        <w:t>Rezultati za 2020. godinu na višoj razini u okviru ciljeva za cijelu godinu:</w:t>
      </w:r>
    </w:p>
    <w:p w14:paraId="75959906" w14:textId="080515D6" w:rsidR="00F911D6" w:rsidRDefault="00DE758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before="120"/>
        <w:rPr>
          <w:b/>
        </w:rPr>
      </w:pPr>
      <w:r w:rsidRPr="00DE7586">
        <w:rPr>
          <w:b/>
        </w:rPr>
        <w:t>Grupna prodaja dosegla je 19,3 milijarde eura, organska: -0,7 posto</w:t>
      </w:r>
    </w:p>
    <w:p w14:paraId="69B65BEE" w14:textId="47BE70BB" w:rsidR="00F911D6" w:rsidRDefault="00DE7586" w:rsidP="00DE758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before="116"/>
        <w:rPr>
          <w:b/>
        </w:rPr>
      </w:pPr>
      <w:r w:rsidRPr="00DE7586">
        <w:rPr>
          <w:b/>
        </w:rPr>
        <w:t>EBIT marža * iznosila je 13,4 posto, -260 baznih bodova, što odgovara operativnoj dobiti* od 2,6 milijardi eura</w:t>
      </w:r>
    </w:p>
    <w:p w14:paraId="13F1B64B" w14:textId="1963ED1E" w:rsidR="00F911D6" w:rsidRDefault="00DE758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before="110"/>
        <w:rPr>
          <w:b/>
        </w:rPr>
      </w:pPr>
      <w:r w:rsidRPr="00DE7586">
        <w:rPr>
          <w:b/>
        </w:rPr>
        <w:t>Zarada po prioritetnoj dionici (EPS)*: 4,26 €.</w:t>
      </w:r>
    </w:p>
    <w:p w14:paraId="3AEB2640" w14:textId="6E347C3A" w:rsidR="00F911D6" w:rsidRDefault="009F5629">
      <w:pPr>
        <w:spacing w:before="34"/>
        <w:ind w:left="1187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 w:rsidR="00DE7586" w:rsidRPr="00DE7586">
        <w:rPr>
          <w:b/>
          <w:spacing w:val="1"/>
        </w:rPr>
        <w:t xml:space="preserve">17,9 posto </w:t>
      </w:r>
      <w:r w:rsidR="00773EE4">
        <w:rPr>
          <w:b/>
          <w:spacing w:val="1"/>
        </w:rPr>
        <w:t>uz stalni tečaj</w:t>
      </w:r>
    </w:p>
    <w:p w14:paraId="6A273845" w14:textId="405B8BC2" w:rsidR="00F911D6" w:rsidRDefault="00773EE4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111" w:line="276" w:lineRule="auto"/>
        <w:ind w:right="3327"/>
        <w:rPr>
          <w:b/>
        </w:rPr>
      </w:pPr>
      <w:r w:rsidRPr="00773EE4">
        <w:rPr>
          <w:b/>
        </w:rPr>
        <w:t>Vrlo jak slobodni novčani tijek od 2,3 milijarde eura, neto</w:t>
      </w:r>
      <w:r>
        <w:rPr>
          <w:b/>
        </w:rPr>
        <w:t xml:space="preserve"> </w:t>
      </w:r>
      <w:r w:rsidRPr="00773EE4">
        <w:rPr>
          <w:b/>
        </w:rPr>
        <w:t>financijska pozicija značajno se popravila</w:t>
      </w:r>
    </w:p>
    <w:p w14:paraId="7DA692CB" w14:textId="09265C46" w:rsidR="00F911D6" w:rsidRDefault="00773EE4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81"/>
        <w:rPr>
          <w:b/>
        </w:rPr>
      </w:pPr>
      <w:r w:rsidRPr="00773EE4">
        <w:rPr>
          <w:b/>
        </w:rPr>
        <w:t>Predložene dividende na prošlogodišnjoj razini: 1,85 eura po povlaštenoj dionici</w:t>
      </w:r>
    </w:p>
    <w:p w14:paraId="7A0FECBF" w14:textId="7C395F72" w:rsidR="00F911D6" w:rsidRDefault="00773EE4" w:rsidP="00773EE4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rPr>
          <w:b/>
        </w:rPr>
      </w:pPr>
      <w:r w:rsidRPr="00773EE4">
        <w:rPr>
          <w:b/>
        </w:rPr>
        <w:t>Ostvarivanje dnevnog reda za svrhoviti rast u skladu s planom, jasnim planom za daljnju sprovedbu u 2021. i u budućnosti</w:t>
      </w:r>
    </w:p>
    <w:p w14:paraId="4FFA42B6" w14:textId="37C29445" w:rsidR="00F911D6" w:rsidRDefault="009F5629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rPr>
          <w:b/>
        </w:rPr>
      </w:pPr>
      <w:r>
        <w:rPr>
          <w:b/>
        </w:rPr>
        <w:t>Prognoza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2021</w:t>
      </w:r>
      <w:r w:rsidR="00773EE4">
        <w:rPr>
          <w:b/>
        </w:rPr>
        <w:t>. godinu</w:t>
      </w:r>
      <w:r>
        <w:rPr>
          <w:b/>
        </w:rPr>
        <w:t>:</w:t>
      </w:r>
    </w:p>
    <w:p w14:paraId="4EDE2C8A" w14:textId="67A6DAED" w:rsidR="00F911D6" w:rsidRDefault="00773EE4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before="126"/>
        <w:rPr>
          <w:b/>
        </w:rPr>
      </w:pPr>
      <w:r w:rsidRPr="00773EE4">
        <w:rPr>
          <w:b/>
        </w:rPr>
        <w:t>Organski rast prodaje: s 2,0 na 5,0 posto</w:t>
      </w:r>
    </w:p>
    <w:p w14:paraId="3C5F7D9A" w14:textId="6A7FC604" w:rsidR="00F911D6" w:rsidRDefault="00773EE4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before="110"/>
        <w:rPr>
          <w:b/>
        </w:rPr>
      </w:pPr>
      <w:r w:rsidRPr="00773EE4">
        <w:rPr>
          <w:b/>
        </w:rPr>
        <w:t>EBIT marža*: od 13,5 do 14,5 posto</w:t>
      </w:r>
    </w:p>
    <w:p w14:paraId="3662641F" w14:textId="48B23150" w:rsidR="00F911D6" w:rsidRDefault="00773EE4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before="111" w:line="268" w:lineRule="auto"/>
        <w:ind w:right="903"/>
        <w:rPr>
          <w:b/>
        </w:rPr>
      </w:pPr>
      <w:r w:rsidRPr="00773EE4">
        <w:rPr>
          <w:b/>
        </w:rPr>
        <w:t>Zarada po prioritetnoj dionici (EPS)*: rast između 5,0 i 15,0 posto uz stalni tečaj</w:t>
      </w:r>
    </w:p>
    <w:p w14:paraId="77A7D7AB" w14:textId="77777777" w:rsidR="00F911D6" w:rsidRDefault="00F911D6">
      <w:pPr>
        <w:pStyle w:val="BodyText"/>
        <w:spacing w:before="8"/>
        <w:rPr>
          <w:b/>
          <w:sz w:val="27"/>
        </w:rPr>
      </w:pPr>
    </w:p>
    <w:p w14:paraId="7D09B63A" w14:textId="26D11643" w:rsidR="00F911D6" w:rsidRDefault="007F1404">
      <w:pPr>
        <w:spacing w:line="276" w:lineRule="auto"/>
        <w:ind w:left="111" w:right="601"/>
        <w:jc w:val="both"/>
        <w:rPr>
          <w:b/>
        </w:rPr>
      </w:pPr>
      <w:r w:rsidRPr="007F1404">
        <w:rPr>
          <w:b/>
        </w:rPr>
        <w:t xml:space="preserve">Dusseldorf </w:t>
      </w:r>
      <w:r>
        <w:rPr>
          <w:b/>
        </w:rPr>
        <w:t>–</w:t>
      </w:r>
      <w:r w:rsidRPr="007F1404">
        <w:rPr>
          <w:b/>
        </w:rPr>
        <w:t xml:space="preserve"> </w:t>
      </w:r>
      <w:r>
        <w:rPr>
          <w:b/>
          <w:lang w:val="sr-Cyrl-RS"/>
        </w:rPr>
        <w:t>„</w:t>
      </w:r>
      <w:r w:rsidRPr="007F1404">
        <w:rPr>
          <w:b/>
        </w:rPr>
        <w:t>Unatoč naglom padu globalne ekonomije pod utjecajem pandemije COVID-19, 2020. postigli smo snažne ukupne rezultate u svim poslovnim sektorima</w:t>
      </w:r>
      <w:r w:rsidR="009F5629">
        <w:rPr>
          <w:b/>
        </w:rPr>
        <w:t>.</w:t>
      </w:r>
      <w:r w:rsidR="009F5629">
        <w:rPr>
          <w:b/>
          <w:spacing w:val="1"/>
        </w:rPr>
        <w:t xml:space="preserve"> </w:t>
      </w:r>
      <w:r w:rsidRPr="007F1404">
        <w:rPr>
          <w:b/>
          <w:spacing w:val="1"/>
        </w:rPr>
        <w:t>Tijekom cijele godine naši su rezultati bili na višoj razini unutar planiranih vrijednosti</w:t>
      </w:r>
      <w:r w:rsidR="009F5629">
        <w:rPr>
          <w:b/>
        </w:rPr>
        <w:t>.</w:t>
      </w:r>
      <w:r w:rsidR="009F5629">
        <w:rPr>
          <w:b/>
          <w:spacing w:val="1"/>
        </w:rPr>
        <w:t xml:space="preserve"> </w:t>
      </w:r>
      <w:r w:rsidRPr="007F1404">
        <w:rPr>
          <w:b/>
        </w:rPr>
        <w:t>To smo postigli zahvaljujući uravnoteženom portfelju, uspješnim inovacijama i</w:t>
      </w:r>
    </w:p>
    <w:p w14:paraId="78A0B9B1" w14:textId="77777777" w:rsidR="00F911D6" w:rsidRDefault="00FB4667">
      <w:pPr>
        <w:pStyle w:val="BodyText"/>
        <w:spacing w:before="9"/>
        <w:rPr>
          <w:b/>
          <w:sz w:val="21"/>
        </w:rPr>
      </w:pPr>
      <w:r>
        <w:pict w14:anchorId="39490690">
          <v:group id="_x0000_s1037" style="position:absolute;margin-left:75.85pt;margin-top:22pt;width:75.9pt;height:14.3pt;z-index:-15728640;mso-wrap-distance-left:0;mso-wrap-distance-right:0;mso-position-horizontal-relative:page" coordorigin="1517,440" coordsize="1518,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517;top:500;width:569;height:187">
              <v:imagedata r:id="rId8" o:title=""/>
            </v:shape>
            <v:shape id="_x0000_s1039" type="#_x0000_t75" style="position:absolute;left:2151;top:439;width:411;height:286">
              <v:imagedata r:id="rId9" o:title=""/>
            </v:shape>
            <v:shape id="_x0000_s1038" type="#_x0000_t75" style="position:absolute;left:2625;top:458;width:410;height:223">
              <v:imagedata r:id="rId10" o:title=""/>
            </v:shape>
            <w10:wrap type="topAndBottom" anchorx="page"/>
          </v:group>
        </w:pict>
      </w:r>
      <w:r>
        <w:pict w14:anchorId="418DA37F">
          <v:group id="_x0000_s1034" style="position:absolute;margin-left:157.25pt;margin-top:21.9pt;width:50.3pt;height:13pt;z-index:-15728128;mso-wrap-distance-left:0;mso-wrap-distance-right:0;mso-position-horizontal-relative:page" coordorigin="3145,438" coordsize="1006,260">
            <v:shape id="_x0000_s1036" type="#_x0000_t75" style="position:absolute;left:3145;top:437;width:537;height:260">
              <v:imagedata r:id="rId11" o:title=""/>
            </v:shape>
            <v:shape id="_x0000_s1035" type="#_x0000_t75" style="position:absolute;left:3749;top:486;width:401;height:182">
              <v:imagedata r:id="rId12" o:title=""/>
            </v:shape>
            <w10:wrap type="topAndBottom" anchorx="page"/>
          </v:group>
        </w:pict>
      </w:r>
      <w:r>
        <w:pict w14:anchorId="71C6092A">
          <v:group id="_x0000_s1030" style="position:absolute;margin-left:212.8pt;margin-top:16.35pt;width:100.3pt;height:19.95pt;z-index:-15727616;mso-wrap-distance-left:0;mso-wrap-distance-right:0;mso-position-horizontal-relative:page" coordorigin="4256,327" coordsize="2006,399">
            <v:shape id="_x0000_s1033" type="#_x0000_t75" style="position:absolute;left:4256;top:402;width:343;height:317">
              <v:imagedata r:id="rId13" o:title=""/>
            </v:shape>
            <v:shape id="_x0000_s1032" type="#_x0000_t75" style="position:absolute;left:4614;top:327;width:941;height:399">
              <v:imagedata r:id="rId14" o:title=""/>
            </v:shape>
            <v:shape id="_x0000_s1031" type="#_x0000_t75" style="position:absolute;left:5591;top:552;width:671;height:174">
              <v:imagedata r:id="rId15" o:title=""/>
            </v:shape>
            <w10:wrap type="topAndBottom" anchorx="page"/>
          </v:group>
        </w:pict>
      </w:r>
      <w:r w:rsidR="009F5629">
        <w:rPr>
          <w:noProof/>
        </w:rPr>
        <w:drawing>
          <wp:anchor distT="0" distB="0" distL="0" distR="0" simplePos="0" relativeHeight="3" behindDoc="0" locked="0" layoutInCell="1" allowOverlap="1" wp14:anchorId="555A7BC7" wp14:editId="0B4B7450">
            <wp:simplePos x="0" y="0"/>
            <wp:positionH relativeFrom="page">
              <wp:posOffset>4036186</wp:posOffset>
            </wp:positionH>
            <wp:positionV relativeFrom="paragraph">
              <wp:posOffset>272869</wp:posOffset>
            </wp:positionV>
            <wp:extent cx="264079" cy="187452"/>
            <wp:effectExtent l="0" t="0" r="0" b="0"/>
            <wp:wrapTopAndBottom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79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8B9CD91">
          <v:group id="_x0000_s1026" style="position:absolute;margin-left:343.6pt;margin-top:23.8pt;width:125.35pt;height:12.5pt;z-index:-15726592;mso-wrap-distance-left:0;mso-wrap-distance-right:0;mso-position-horizontal-relative:page;mso-position-vertical-relative:text" coordorigin="6872,476" coordsize="2507,250">
            <v:shape id="_x0000_s1029" type="#_x0000_t75" style="position:absolute;left:6871;top:506;width:777;height:219">
              <v:imagedata r:id="rId17" o:title=""/>
            </v:shape>
            <v:shape id="_x0000_s1028" type="#_x0000_t75" style="position:absolute;left:7714;top:475;width:921;height:250">
              <v:imagedata r:id="rId18" o:title=""/>
            </v:shape>
            <v:shape id="_x0000_s1027" type="#_x0000_t75" style="position:absolute;left:8668;top:568;width:710;height:157">
              <v:imagedata r:id="rId19" o:title=""/>
            </v:shape>
            <w10:wrap type="topAndBottom" anchorx="page"/>
          </v:group>
        </w:pict>
      </w:r>
      <w:r w:rsidR="009F5629">
        <w:rPr>
          <w:noProof/>
        </w:rPr>
        <w:drawing>
          <wp:anchor distT="0" distB="0" distL="0" distR="0" simplePos="0" relativeHeight="5" behindDoc="0" locked="0" layoutInCell="1" allowOverlap="1" wp14:anchorId="3B102FD5" wp14:editId="7707D764">
            <wp:simplePos x="0" y="0"/>
            <wp:positionH relativeFrom="page">
              <wp:posOffset>6003619</wp:posOffset>
            </wp:positionH>
            <wp:positionV relativeFrom="paragraph">
              <wp:posOffset>357326</wp:posOffset>
            </wp:positionV>
            <wp:extent cx="595801" cy="102679"/>
            <wp:effectExtent l="0" t="0" r="0" b="0"/>
            <wp:wrapTopAndBottom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0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0A76C" w14:textId="77777777" w:rsidR="00F911D6" w:rsidRDefault="00F911D6">
      <w:pPr>
        <w:rPr>
          <w:sz w:val="21"/>
        </w:rPr>
        <w:sectPr w:rsidR="00F911D6">
          <w:footerReference w:type="default" r:id="rId21"/>
          <w:type w:val="continuous"/>
          <w:pgSz w:w="11910" w:h="16840"/>
          <w:pgMar w:top="880" w:right="800" w:bottom="1100" w:left="1300" w:header="720" w:footer="904" w:gutter="0"/>
          <w:pgNumType w:start="1"/>
          <w:cols w:space="720"/>
        </w:sectPr>
      </w:pPr>
    </w:p>
    <w:p w14:paraId="3923B845" w14:textId="77777777" w:rsidR="00F911D6" w:rsidRDefault="00F911D6">
      <w:pPr>
        <w:pStyle w:val="BodyText"/>
        <w:spacing w:before="3"/>
        <w:rPr>
          <w:b/>
          <w:sz w:val="18"/>
        </w:rPr>
      </w:pPr>
    </w:p>
    <w:p w14:paraId="2A610755" w14:textId="1C6F08A8" w:rsidR="00F911D6" w:rsidRDefault="007F1404">
      <w:pPr>
        <w:spacing w:before="101" w:line="276" w:lineRule="auto"/>
        <w:ind w:left="111" w:right="607"/>
        <w:jc w:val="both"/>
        <w:rPr>
          <w:b/>
        </w:rPr>
      </w:pPr>
      <w:r w:rsidRPr="007F1404">
        <w:rPr>
          <w:b/>
        </w:rPr>
        <w:t>financijskoj snazi, kao i izvanrednoj predanosti naših zaposlenika širom svijeta.</w:t>
      </w:r>
      <w:r>
        <w:rPr>
          <w:b/>
        </w:rPr>
        <w:t xml:space="preserve"> </w:t>
      </w:r>
      <w:r w:rsidRPr="007F1404">
        <w:rPr>
          <w:b/>
        </w:rPr>
        <w:t>Želio bih zahvaliti svima njima na izvanrednom doprinosu u ovoj uistinu izazovnoj godini</w:t>
      </w:r>
      <w:r>
        <w:rPr>
          <w:b/>
          <w:lang w:val="sr-Cyrl-RS"/>
        </w:rPr>
        <w:t>“</w:t>
      </w:r>
      <w:r w:rsidRPr="007F1404">
        <w:rPr>
          <w:b/>
        </w:rPr>
        <w:t>, rekao je izvršni direktor Carsten Knobel.</w:t>
      </w:r>
    </w:p>
    <w:p w14:paraId="676320AB" w14:textId="77777777" w:rsidR="00F911D6" w:rsidRDefault="00F911D6">
      <w:pPr>
        <w:pStyle w:val="BodyText"/>
        <w:spacing w:before="2"/>
        <w:rPr>
          <w:b/>
          <w:sz w:val="25"/>
        </w:rPr>
      </w:pPr>
    </w:p>
    <w:p w14:paraId="23D45717" w14:textId="1F8A4811" w:rsidR="007F1404" w:rsidRDefault="007F1404">
      <w:pPr>
        <w:spacing w:before="1" w:line="276" w:lineRule="auto"/>
        <w:ind w:left="111" w:right="604"/>
        <w:jc w:val="both"/>
        <w:rPr>
          <w:b/>
        </w:rPr>
      </w:pPr>
      <w:r>
        <w:rPr>
          <w:b/>
          <w:lang w:val="sr-Cyrl-RS"/>
        </w:rPr>
        <w:t>„</w:t>
      </w:r>
      <w:r w:rsidRPr="007F1404">
        <w:rPr>
          <w:b/>
        </w:rPr>
        <w:t>Zabilježili smo prodaju od 19,3 milijarde eura, nešto ispod prošlogodišnje razine kada se promatra organska prodaja, i zadržali smo profitabilnost poslovanja s prilagođenom EBIT maržom od 13,4 posto.</w:t>
      </w:r>
      <w:r>
        <w:rPr>
          <w:b/>
        </w:rPr>
        <w:t xml:space="preserve"> </w:t>
      </w:r>
      <w:r w:rsidRPr="007F1404">
        <w:rPr>
          <w:b/>
        </w:rPr>
        <w:t>Također smo generirali vrlo jak slobodan novčani tijek od više od 2,3 milijarde eura, gotovo na rekordnoj razini od prošle godine.</w:t>
      </w:r>
      <w:r>
        <w:rPr>
          <w:b/>
        </w:rPr>
        <w:t xml:space="preserve"> </w:t>
      </w:r>
      <w:r w:rsidRPr="007F1404">
        <w:rPr>
          <w:b/>
        </w:rPr>
        <w:t>Na temelju ovih snažnih rezultata i zahvaljujući našoj snažnoj financijskoj bazi, predložit ćemo stabilnu dividendu našim dioničarima na sljedećoj godišnjoj skupštini.</w:t>
      </w:r>
      <w:r>
        <w:rPr>
          <w:b/>
        </w:rPr>
        <w:t xml:space="preserve"> </w:t>
      </w:r>
      <w:r w:rsidRPr="007F1404">
        <w:rPr>
          <w:b/>
        </w:rPr>
        <w:t>Posljednjih 35 godina, otkako je izašao na tržište, Henkel je uvijek isplaćivao dividende koje su veće ili na razini prošle godine</w:t>
      </w:r>
      <w:r>
        <w:rPr>
          <w:b/>
        </w:rPr>
        <w:t>“</w:t>
      </w:r>
      <w:r w:rsidRPr="007F1404">
        <w:rPr>
          <w:b/>
        </w:rPr>
        <w:t>, dodao je Knobel.</w:t>
      </w:r>
    </w:p>
    <w:p w14:paraId="6AFD13DF" w14:textId="77777777" w:rsidR="00F911D6" w:rsidRDefault="00F911D6">
      <w:pPr>
        <w:pStyle w:val="BodyText"/>
        <w:spacing w:before="5"/>
        <w:rPr>
          <w:b/>
          <w:sz w:val="25"/>
        </w:rPr>
      </w:pPr>
    </w:p>
    <w:p w14:paraId="31FBBEFE" w14:textId="448D8973" w:rsidR="007F1404" w:rsidRDefault="007F1404">
      <w:pPr>
        <w:spacing w:line="276" w:lineRule="auto"/>
        <w:ind w:left="111" w:right="599"/>
        <w:jc w:val="both"/>
        <w:rPr>
          <w:b/>
        </w:rPr>
      </w:pPr>
      <w:r>
        <w:rPr>
          <w:b/>
          <w:lang w:val="sr-Cyrl-RS"/>
        </w:rPr>
        <w:t>„</w:t>
      </w:r>
      <w:r w:rsidRPr="007F1404">
        <w:rPr>
          <w:b/>
        </w:rPr>
        <w:t>Tijekom krize COVID-19 fleksibilno smo se i brzo prilagođavali promjenama na našim tržištima, stavljajući sigurnost svojih zaposlenika u vrh svojih prioriteta. Istodobno smo uspjeli uspješno implementirati našu stratešku agendu na svim osnovama: oblikujući pobjednički portfelj, stvarajući konkurentsku prednost ubrzavanjem značajnih inovacija, čvrsto integrirajući održivost u sve što radimo, pokrećući digitalnu transformaciju i pripremajući poslovne modele spremne za budućnost.</w:t>
      </w:r>
      <w:r>
        <w:rPr>
          <w:b/>
        </w:rPr>
        <w:t xml:space="preserve"> </w:t>
      </w:r>
      <w:r w:rsidRPr="007F1404">
        <w:rPr>
          <w:b/>
        </w:rPr>
        <w:t>Što je najvažnije, ojačali smo kulturu suradnje i izgradili snažan zamah za promjene koji će nam omogućiti vrhunske rezultate i značajan rast - za naše kupce i potrošače, našu tvrtku, zaposlenike i dioničare, kao i društvo i planet .</w:t>
      </w:r>
      <w:r>
        <w:rPr>
          <w:b/>
        </w:rPr>
        <w:t>“</w:t>
      </w:r>
    </w:p>
    <w:p w14:paraId="66460533" w14:textId="77777777" w:rsidR="007F1404" w:rsidRDefault="007F1404">
      <w:pPr>
        <w:spacing w:line="276" w:lineRule="auto"/>
        <w:ind w:left="111" w:right="599"/>
        <w:jc w:val="both"/>
        <w:rPr>
          <w:b/>
        </w:rPr>
      </w:pPr>
    </w:p>
    <w:p w14:paraId="6B74903F" w14:textId="2779CCCB" w:rsidR="007F1404" w:rsidRDefault="007F1404" w:rsidP="007F1404">
      <w:pPr>
        <w:spacing w:before="1" w:line="276" w:lineRule="auto"/>
        <w:ind w:left="111" w:right="602"/>
        <w:jc w:val="both"/>
        <w:rPr>
          <w:b/>
        </w:rPr>
      </w:pPr>
      <w:r w:rsidRPr="007F1404">
        <w:rPr>
          <w:b/>
        </w:rPr>
        <w:t xml:space="preserve">Tijekom godine, poslovni sektor </w:t>
      </w:r>
      <w:r w:rsidR="004F5BB6" w:rsidRPr="00375ADF">
        <w:rPr>
          <w:b/>
          <w:highlight w:val="yellow"/>
        </w:rPr>
        <w:t>L</w:t>
      </w:r>
      <w:r w:rsidRPr="00375ADF">
        <w:rPr>
          <w:b/>
          <w:highlight w:val="yellow"/>
        </w:rPr>
        <w:t>jepi</w:t>
      </w:r>
      <w:r w:rsidR="00AF27B4" w:rsidRPr="00375ADF">
        <w:rPr>
          <w:b/>
          <w:highlight w:val="yellow"/>
        </w:rPr>
        <w:t>la</w:t>
      </w:r>
      <w:r w:rsidR="004F5BB6" w:rsidRPr="00375ADF">
        <w:rPr>
          <w:b/>
          <w:highlight w:val="yellow"/>
        </w:rPr>
        <w:t xml:space="preserve"> i</w:t>
      </w:r>
      <w:r w:rsidRPr="00375ADF">
        <w:rPr>
          <w:b/>
          <w:highlight w:val="yellow"/>
        </w:rPr>
        <w:t xml:space="preserve"> tehnologije</w:t>
      </w:r>
      <w:r w:rsidRPr="007F1404">
        <w:rPr>
          <w:b/>
        </w:rPr>
        <w:t xml:space="preserve"> zabilježio je prodaju ispod razine iz prethodne godine, što je odražavalo značajan pad potražnje iz ključnih industrija. Međutim, zahvaljujući širini portfelja i uspješnim inovativnim rješenjima, poslovni je sektor dokazao svoju snagu tijekom globalne ekonomske krize.</w:t>
      </w:r>
      <w:r>
        <w:rPr>
          <w:b/>
        </w:rPr>
        <w:t xml:space="preserve"> </w:t>
      </w:r>
      <w:r w:rsidRPr="007F1404">
        <w:rPr>
          <w:b/>
        </w:rPr>
        <w:t xml:space="preserve">Razvoj organske prodaje u poslovnom sektoru </w:t>
      </w:r>
      <w:r w:rsidR="000809EA">
        <w:rPr>
          <w:b/>
        </w:rPr>
        <w:t>Beauty Care</w:t>
      </w:r>
      <w:r w:rsidRPr="007F1404">
        <w:rPr>
          <w:b/>
        </w:rPr>
        <w:t xml:space="preserve"> bio je niži u odnosu na prošlogodišnju razinu, uslijed snažnog utjecaja na poslovanje frizera zbog obveznih zatvaranja, dok je prodaja na malo postigla dobar rast.</w:t>
      </w:r>
      <w:r>
        <w:rPr>
          <w:b/>
        </w:rPr>
        <w:t xml:space="preserve"> To je rezultat uspešnog razvoja</w:t>
      </w:r>
      <w:r>
        <w:rPr>
          <w:b/>
          <w:spacing w:val="1"/>
        </w:rPr>
        <w:t xml:space="preserve"> </w:t>
      </w:r>
      <w:r>
        <w:rPr>
          <w:b/>
        </w:rPr>
        <w:t>glavnih</w:t>
      </w:r>
      <w:r>
        <w:rPr>
          <w:b/>
          <w:spacing w:val="1"/>
        </w:rPr>
        <w:t xml:space="preserve"> </w:t>
      </w:r>
      <w:r w:rsidR="00E46FB4">
        <w:rPr>
          <w:b/>
        </w:rPr>
        <w:t>marki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kao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predstavljanja</w:t>
      </w:r>
      <w:r>
        <w:rPr>
          <w:b/>
          <w:spacing w:val="1"/>
        </w:rPr>
        <w:t xml:space="preserve"> </w:t>
      </w:r>
      <w:r>
        <w:rPr>
          <w:b/>
        </w:rPr>
        <w:t>novih</w:t>
      </w:r>
      <w:r>
        <w:rPr>
          <w:b/>
          <w:spacing w:val="1"/>
        </w:rPr>
        <w:t xml:space="preserve"> </w:t>
      </w:r>
      <w:r>
        <w:rPr>
          <w:b/>
        </w:rPr>
        <w:t>proizvoda</w:t>
      </w:r>
      <w:r>
        <w:rPr>
          <w:b/>
          <w:spacing w:val="1"/>
        </w:rPr>
        <w:t xml:space="preserve"> </w:t>
      </w:r>
      <w:r>
        <w:rPr>
          <w:b/>
        </w:rPr>
        <w:t>kao</w:t>
      </w:r>
      <w:r>
        <w:rPr>
          <w:b/>
          <w:spacing w:val="1"/>
        </w:rPr>
        <w:t xml:space="preserve"> </w:t>
      </w:r>
      <w:r>
        <w:rPr>
          <w:b/>
        </w:rPr>
        <w:t>odgovor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ključne</w:t>
      </w:r>
      <w:r>
        <w:rPr>
          <w:b/>
          <w:spacing w:val="1"/>
        </w:rPr>
        <w:t xml:space="preserve"> </w:t>
      </w:r>
      <w:r>
        <w:rPr>
          <w:b/>
        </w:rPr>
        <w:t>potrošačke</w:t>
      </w:r>
      <w:r>
        <w:rPr>
          <w:b/>
          <w:spacing w:val="-4"/>
        </w:rPr>
        <w:t xml:space="preserve"> </w:t>
      </w:r>
      <w:r>
        <w:rPr>
          <w:b/>
        </w:rPr>
        <w:t>trendove.</w:t>
      </w:r>
    </w:p>
    <w:p w14:paraId="49D34849" w14:textId="71CEB77F" w:rsidR="007F1404" w:rsidRDefault="007F1404" w:rsidP="007F1404">
      <w:pPr>
        <w:spacing w:before="1" w:line="276" w:lineRule="auto"/>
        <w:ind w:right="605"/>
        <w:jc w:val="both"/>
        <w:rPr>
          <w:b/>
        </w:rPr>
      </w:pPr>
    </w:p>
    <w:p w14:paraId="50FB56B6" w14:textId="77777777" w:rsidR="00F911D6" w:rsidRDefault="00F911D6">
      <w:pPr>
        <w:pStyle w:val="BodyText"/>
        <w:spacing w:before="6"/>
        <w:rPr>
          <w:b/>
          <w:sz w:val="25"/>
        </w:rPr>
      </w:pPr>
    </w:p>
    <w:p w14:paraId="36C53660" w14:textId="6D3A3796" w:rsidR="00E46FB4" w:rsidRPr="000809EA" w:rsidRDefault="00E46FB4" w:rsidP="000809EA">
      <w:pPr>
        <w:pStyle w:val="BodyText"/>
        <w:spacing w:before="8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2C7C54">
        <w:rPr>
          <w:b/>
        </w:rPr>
        <w:t xml:space="preserve">Poslovni sektor </w:t>
      </w:r>
      <w:r w:rsidR="000809EA" w:rsidRPr="00375ADF">
        <w:rPr>
          <w:b/>
          <w:highlight w:val="yellow"/>
        </w:rPr>
        <w:t>Sredstva za pranje i č</w:t>
      </w:r>
      <w:r w:rsidR="00375ADF" w:rsidRPr="00375ADF">
        <w:rPr>
          <w:b/>
          <w:highlight w:val="yellow"/>
        </w:rPr>
        <w:t>i</w:t>
      </w:r>
      <w:r w:rsidR="000809EA" w:rsidRPr="00375ADF">
        <w:rPr>
          <w:b/>
          <w:highlight w:val="yellow"/>
        </w:rPr>
        <w:t>šćenje u domaćinstvu</w:t>
      </w:r>
      <w:r w:rsidR="000809EA" w:rsidRPr="002C7C54">
        <w:rPr>
          <w:b/>
        </w:rPr>
        <w:t xml:space="preserve"> </w:t>
      </w:r>
      <w:r w:rsidRPr="002C7C54">
        <w:rPr>
          <w:b/>
        </w:rPr>
        <w:t>postigao je vrlo snažan rast organske prodaje kao rezultat povećanja potražnje za higijenskim proizvodima</w:t>
      </w:r>
      <w:r w:rsidRPr="002C7C54">
        <w:rPr>
          <w:b/>
          <w:sz w:val="20"/>
          <w:szCs w:val="20"/>
        </w:rPr>
        <w:t xml:space="preserve"> </w:t>
      </w:r>
      <w:r w:rsidRPr="00E46FB4">
        <w:rPr>
          <w:b/>
        </w:rPr>
        <w:t>i uspješnih inovacija, kao i odgovora na povećanu potražnju za održivijim proizvodima.</w:t>
      </w:r>
    </w:p>
    <w:p w14:paraId="3BE86987" w14:textId="77777777" w:rsidR="00F911D6" w:rsidRDefault="00F911D6">
      <w:pPr>
        <w:spacing w:line="276" w:lineRule="auto"/>
        <w:jc w:val="both"/>
        <w:sectPr w:rsidR="00F911D6">
          <w:footerReference w:type="default" r:id="rId22"/>
          <w:pgSz w:w="11910" w:h="16840"/>
          <w:pgMar w:top="1580" w:right="800" w:bottom="1100" w:left="1300" w:header="0" w:footer="904" w:gutter="0"/>
          <w:pgNumType w:start="2"/>
          <w:cols w:space="720"/>
        </w:sectPr>
      </w:pPr>
    </w:p>
    <w:p w14:paraId="5E254259" w14:textId="77777777" w:rsidR="00F911D6" w:rsidRDefault="00F911D6">
      <w:pPr>
        <w:pStyle w:val="BodyText"/>
        <w:rPr>
          <w:b/>
          <w:sz w:val="20"/>
        </w:rPr>
      </w:pPr>
    </w:p>
    <w:p w14:paraId="566F3629" w14:textId="77777777" w:rsidR="00F911D6" w:rsidRDefault="00F911D6">
      <w:pPr>
        <w:pStyle w:val="BodyText"/>
        <w:spacing w:before="7"/>
        <w:rPr>
          <w:b/>
          <w:sz w:val="23"/>
        </w:rPr>
      </w:pPr>
    </w:p>
    <w:p w14:paraId="16E60F12" w14:textId="6C5FDD43" w:rsidR="00E46FB4" w:rsidRDefault="00E46FB4">
      <w:pPr>
        <w:spacing w:before="101" w:line="276" w:lineRule="auto"/>
        <w:ind w:left="111" w:right="599"/>
        <w:jc w:val="both"/>
        <w:rPr>
          <w:b/>
        </w:rPr>
      </w:pPr>
      <w:r w:rsidRPr="00E46FB4">
        <w:rPr>
          <w:b/>
        </w:rPr>
        <w:t xml:space="preserve">Nakon snažnog negativnog utjecaja na prodaju </w:t>
      </w:r>
      <w:r w:rsidR="00871560">
        <w:rPr>
          <w:b/>
        </w:rPr>
        <w:t>L</w:t>
      </w:r>
      <w:r w:rsidRPr="00E46FB4">
        <w:rPr>
          <w:b/>
        </w:rPr>
        <w:t>jep</w:t>
      </w:r>
      <w:r w:rsidR="00871560">
        <w:rPr>
          <w:b/>
        </w:rPr>
        <w:t xml:space="preserve">ila i </w:t>
      </w:r>
      <w:r w:rsidRPr="00E46FB4">
        <w:rPr>
          <w:b/>
        </w:rPr>
        <w:t xml:space="preserve">tehnologije i sektora </w:t>
      </w:r>
      <w:r w:rsidR="00871560">
        <w:rPr>
          <w:b/>
        </w:rPr>
        <w:t>Beauty Care</w:t>
      </w:r>
      <w:r w:rsidRPr="00E46FB4">
        <w:rPr>
          <w:b/>
        </w:rPr>
        <w:t xml:space="preserve"> zbog pandemije i zatvaranja u drugom tromjesečju, sve su tri poslovne jedinice u drugoj polovici 2020. imale dobar organski rast u odnosu na prethodnu godinu.</w:t>
      </w:r>
    </w:p>
    <w:p w14:paraId="037D96F8" w14:textId="20714D4C" w:rsidR="00F911D6" w:rsidRDefault="009F5629">
      <w:pPr>
        <w:spacing w:before="101" w:line="276" w:lineRule="auto"/>
        <w:ind w:left="111" w:right="599"/>
        <w:jc w:val="both"/>
        <w:rPr>
          <w:b/>
        </w:rPr>
      </w:pPr>
      <w:r>
        <w:rPr>
          <w:b/>
        </w:rPr>
        <w:t>Razvoj</w:t>
      </w:r>
      <w:r>
        <w:rPr>
          <w:b/>
          <w:spacing w:val="1"/>
        </w:rPr>
        <w:t xml:space="preserve"> </w:t>
      </w:r>
      <w:r>
        <w:rPr>
          <w:b/>
        </w:rPr>
        <w:t xml:space="preserve">poslovanja u oblasti robe široke potrošnje sektora Beauty Care i </w:t>
      </w:r>
      <w:r w:rsidR="00095E9C" w:rsidRPr="00095E9C">
        <w:rPr>
          <w:b/>
        </w:rPr>
        <w:t>Sredstva za pranje i čišćenje u domaćinstvu</w:t>
      </w:r>
      <w:r>
        <w:rPr>
          <w:b/>
          <w:spacing w:val="-1"/>
        </w:rPr>
        <w:t xml:space="preserve"> </w:t>
      </w:r>
      <w:r>
        <w:rPr>
          <w:b/>
        </w:rPr>
        <w:t>takođe</w:t>
      </w:r>
      <w:r>
        <w:rPr>
          <w:b/>
          <w:spacing w:val="-6"/>
        </w:rPr>
        <w:t xml:space="preserve"> </w:t>
      </w:r>
      <w:r>
        <w:rPr>
          <w:b/>
        </w:rPr>
        <w:t>je</w:t>
      </w:r>
      <w:r>
        <w:rPr>
          <w:b/>
          <w:spacing w:val="-6"/>
        </w:rPr>
        <w:t xml:space="preserve"> </w:t>
      </w:r>
      <w:r>
        <w:rPr>
          <w:b/>
        </w:rPr>
        <w:t>podržan</w:t>
      </w:r>
      <w:r>
        <w:rPr>
          <w:b/>
          <w:spacing w:val="-6"/>
        </w:rPr>
        <w:t xml:space="preserve"> </w:t>
      </w:r>
      <w:r>
        <w:rPr>
          <w:b/>
        </w:rPr>
        <w:t>povećanim</w:t>
      </w:r>
      <w:r>
        <w:rPr>
          <w:b/>
          <w:spacing w:val="-3"/>
        </w:rPr>
        <w:t xml:space="preserve"> </w:t>
      </w:r>
      <w:r>
        <w:rPr>
          <w:b/>
        </w:rPr>
        <w:t>investicijama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5"/>
        </w:rPr>
        <w:t xml:space="preserve"> </w:t>
      </w:r>
      <w:r>
        <w:rPr>
          <w:b/>
        </w:rPr>
        <w:t>brendove, inovacije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digitalizaciju.</w:t>
      </w:r>
      <w:r w:rsidR="00E46FB4">
        <w:rPr>
          <w:b/>
        </w:rPr>
        <w:t xml:space="preserve"> </w:t>
      </w:r>
      <w:r w:rsidR="00E46FB4" w:rsidRPr="00E46FB4">
        <w:rPr>
          <w:b/>
        </w:rPr>
        <w:t>Razvoj sektora za zaštitu potrošača, deterdženata i kemikalija za kućanstvo također je podržan povećanim ulaganjima u robne marke, inovacijama i digitalizacijom.</w:t>
      </w:r>
    </w:p>
    <w:p w14:paraId="041553EE" w14:textId="77777777" w:rsidR="00F911D6" w:rsidRDefault="00F911D6">
      <w:pPr>
        <w:pStyle w:val="BodyText"/>
        <w:spacing w:before="6"/>
        <w:rPr>
          <w:b/>
          <w:sz w:val="25"/>
        </w:rPr>
      </w:pPr>
    </w:p>
    <w:p w14:paraId="22F5B5EA" w14:textId="39FE4F01" w:rsidR="00E46FB4" w:rsidRPr="00E46FB4" w:rsidRDefault="00E46FB4">
      <w:pPr>
        <w:spacing w:line="276" w:lineRule="auto"/>
        <w:ind w:left="111" w:right="599"/>
        <w:jc w:val="both"/>
        <w:rPr>
          <w:b/>
          <w:lang w:val="sr-Latn-RS"/>
        </w:rPr>
      </w:pPr>
      <w:r>
        <w:rPr>
          <w:b/>
          <w:lang w:val="sr-Cyrl-RS"/>
        </w:rPr>
        <w:t>„</w:t>
      </w:r>
      <w:r w:rsidRPr="00E46FB4">
        <w:rPr>
          <w:b/>
          <w:lang w:val="sr-Cyrl-RS"/>
        </w:rPr>
        <w:t>Razvoj naših prihoda ogleda se u našim povećanim ulaganjima, koja smo povećali, kako je najavljeno, početkom 2020.</w:t>
      </w:r>
      <w:r>
        <w:rPr>
          <w:b/>
          <w:lang w:val="sr-Latn-RS"/>
        </w:rPr>
        <w:t xml:space="preserve"> godine</w:t>
      </w:r>
      <w:r w:rsidRPr="00E46FB4">
        <w:rPr>
          <w:b/>
          <w:lang w:val="sr-Cyrl-RS"/>
        </w:rPr>
        <w:t xml:space="preserve"> - unatoč krizi.</w:t>
      </w:r>
      <w:r>
        <w:rPr>
          <w:b/>
          <w:lang w:val="sr-Latn-RS"/>
        </w:rPr>
        <w:t xml:space="preserve"> </w:t>
      </w:r>
      <w:r w:rsidRPr="00E46FB4">
        <w:rPr>
          <w:b/>
          <w:lang w:val="sr-Latn-RS"/>
        </w:rPr>
        <w:t>Pad potražnje u ključnim segmentima poslovanja tijekom krize COVID-19 također je negativno utjecao na našu profitabilnost.</w:t>
      </w:r>
      <w:r>
        <w:rPr>
          <w:b/>
          <w:lang w:val="sr-Latn-RS"/>
        </w:rPr>
        <w:t xml:space="preserve"> </w:t>
      </w:r>
      <w:r w:rsidRPr="00E46FB4">
        <w:rPr>
          <w:b/>
          <w:lang w:val="sr-Latn-RS"/>
        </w:rPr>
        <w:t>Međutim, zahvaljujući našem uspješnom upravljanju troškovima i primjeni poboljšanih poslovnih modela, uspjeli smo djelomično smanjiti utjecaj krize na naše prihode,</w:t>
      </w:r>
      <w:r>
        <w:rPr>
          <w:b/>
          <w:lang w:val="sr-Latn-RS"/>
        </w:rPr>
        <w:t xml:space="preserve">“ </w:t>
      </w:r>
      <w:r w:rsidRPr="00E46FB4">
        <w:rPr>
          <w:b/>
          <w:lang w:val="sr-Latn-RS"/>
        </w:rPr>
        <w:t>objasnio je Carsten Knobel.</w:t>
      </w:r>
    </w:p>
    <w:p w14:paraId="0B140BAA" w14:textId="77777777" w:rsidR="00F911D6" w:rsidRDefault="00F911D6">
      <w:pPr>
        <w:pStyle w:val="BodyText"/>
        <w:spacing w:before="1"/>
        <w:rPr>
          <w:b/>
          <w:sz w:val="25"/>
        </w:rPr>
      </w:pPr>
    </w:p>
    <w:p w14:paraId="4112662E" w14:textId="0B81040B" w:rsidR="00E46FB4" w:rsidRPr="00E46FB4" w:rsidRDefault="00E46FB4">
      <w:pPr>
        <w:spacing w:line="276" w:lineRule="auto"/>
        <w:ind w:left="111" w:right="600"/>
        <w:jc w:val="both"/>
        <w:rPr>
          <w:b/>
          <w:lang w:val="sr-Cyrl-RS"/>
        </w:rPr>
      </w:pPr>
      <w:r>
        <w:rPr>
          <w:b/>
          <w:lang w:val="sr-Cyrl-RS"/>
        </w:rPr>
        <w:t>„</w:t>
      </w:r>
      <w:r w:rsidRPr="00E46FB4">
        <w:rPr>
          <w:b/>
        </w:rPr>
        <w:t xml:space="preserve">Dok upravljamo trenutnom krizom, i dalje smo u potpunosti predani ambicioznom programu rasta u narednim godinama. Gledajući u budućnost, uvjereni smo više nego ikad da ćemo svoj plan za Svrhoviti rast </w:t>
      </w:r>
      <w:r>
        <w:rPr>
          <w:b/>
        </w:rPr>
        <w:t xml:space="preserve">(Purposeful Growth) </w:t>
      </w:r>
      <w:r w:rsidRPr="00E46FB4">
        <w:rPr>
          <w:b/>
        </w:rPr>
        <w:t>ostvariti s našim globalnim timom, kao i da ćemo uspješno oblikovati svoju budućnost.</w:t>
      </w:r>
      <w:r>
        <w:rPr>
          <w:b/>
          <w:lang w:val="sr-Cyrl-RS"/>
        </w:rPr>
        <w:t>“</w:t>
      </w:r>
    </w:p>
    <w:p w14:paraId="54C5FF41" w14:textId="77777777" w:rsidR="00F911D6" w:rsidRDefault="00F911D6">
      <w:pPr>
        <w:pStyle w:val="BodyText"/>
        <w:spacing w:before="7"/>
        <w:rPr>
          <w:b/>
          <w:sz w:val="25"/>
        </w:rPr>
      </w:pPr>
    </w:p>
    <w:p w14:paraId="4ADE4AB6" w14:textId="77777777" w:rsidR="00F911D6" w:rsidRDefault="009F5629">
      <w:pPr>
        <w:ind w:left="111"/>
        <w:jc w:val="both"/>
        <w:rPr>
          <w:b/>
        </w:rPr>
      </w:pPr>
      <w:r>
        <w:rPr>
          <w:b/>
        </w:rPr>
        <w:t>Prognoza</w:t>
      </w:r>
      <w:r>
        <w:rPr>
          <w:b/>
          <w:spacing w:val="-2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2021. godinu</w:t>
      </w:r>
    </w:p>
    <w:p w14:paraId="4FDF7FB8" w14:textId="2BA05212" w:rsidR="00E46FB4" w:rsidRPr="00E46FB4" w:rsidRDefault="00E46FB4">
      <w:pPr>
        <w:spacing w:before="163" w:line="276" w:lineRule="auto"/>
        <w:ind w:left="111" w:right="603"/>
        <w:jc w:val="both"/>
        <w:rPr>
          <w:b/>
          <w:lang w:val="sr-Cyrl-RS"/>
        </w:rPr>
      </w:pPr>
      <w:r w:rsidRPr="00E46FB4">
        <w:rPr>
          <w:b/>
        </w:rPr>
        <w:t>Henkel očekuje da će generirati rast prodaje i prihoda u fiskalnoj 2021. godini.</w:t>
      </w:r>
      <w:r>
        <w:rPr>
          <w:b/>
          <w:lang w:val="sr-Cyrl-RS"/>
        </w:rPr>
        <w:t xml:space="preserve"> </w:t>
      </w:r>
      <w:r w:rsidRPr="00E46FB4">
        <w:rPr>
          <w:b/>
          <w:lang w:val="sr-Cyrl-RS"/>
        </w:rPr>
        <w:t>Tvrtka očekuje organski rast prodaje od 2,0 do 5,0 posto i prilagođeni povrat prodaje (EBIT marža) u rasponu od 13,5 do 14,5 posto.</w:t>
      </w:r>
      <w:r>
        <w:rPr>
          <w:b/>
          <w:lang w:val="sr-Cyrl-RS"/>
        </w:rPr>
        <w:t xml:space="preserve"> </w:t>
      </w:r>
      <w:r w:rsidRPr="00E46FB4">
        <w:rPr>
          <w:b/>
          <w:lang w:val="sr-Cyrl-RS"/>
        </w:rPr>
        <w:t>Za prilagođenu zaradu po povlaštenoj dionici (EPS) po stalnim stopama, Henkel očekuje porast od 5,0 do 15,0 posto.</w:t>
      </w:r>
    </w:p>
    <w:p w14:paraId="09B3D83B" w14:textId="77777777" w:rsidR="00F911D6" w:rsidRDefault="00F911D6">
      <w:pPr>
        <w:pStyle w:val="BodyText"/>
        <w:spacing w:before="6"/>
        <w:rPr>
          <w:b/>
          <w:sz w:val="25"/>
        </w:rPr>
      </w:pPr>
    </w:p>
    <w:p w14:paraId="537AFBDD" w14:textId="69BDD9FB" w:rsidR="00F911D6" w:rsidRDefault="00CE4336">
      <w:pPr>
        <w:ind w:left="111"/>
        <w:jc w:val="both"/>
        <w:rPr>
          <w:b/>
        </w:rPr>
      </w:pPr>
      <w:r w:rsidRPr="00CE4336">
        <w:rPr>
          <w:b/>
        </w:rPr>
        <w:t xml:space="preserve">Rezultati prodaje i prihoda </w:t>
      </w:r>
      <w:r w:rsidR="0058320D">
        <w:rPr>
          <w:b/>
        </w:rPr>
        <w:t>G</w:t>
      </w:r>
      <w:r w:rsidRPr="00CE4336">
        <w:rPr>
          <w:b/>
        </w:rPr>
        <w:t>rupe u fiskalnoj 2020</w:t>
      </w:r>
      <w:r w:rsidR="0058320D">
        <w:rPr>
          <w:b/>
        </w:rPr>
        <w:t>.</w:t>
      </w:r>
      <w:r>
        <w:rPr>
          <w:b/>
        </w:rPr>
        <w:t xml:space="preserve"> godini</w:t>
      </w:r>
    </w:p>
    <w:p w14:paraId="6D8BF917" w14:textId="1367D04A" w:rsidR="00F911D6" w:rsidRDefault="00CE4336" w:rsidP="00CE4336">
      <w:pPr>
        <w:pStyle w:val="BodyText"/>
        <w:spacing w:before="164" w:line="276" w:lineRule="auto"/>
        <w:ind w:left="111" w:right="604"/>
        <w:jc w:val="both"/>
        <w:sectPr w:rsidR="00F911D6">
          <w:pgSz w:w="11910" w:h="16840"/>
          <w:pgMar w:top="1580" w:right="800" w:bottom="1100" w:left="1300" w:header="0" w:footer="904" w:gutter="0"/>
          <w:cols w:space="720"/>
        </w:sectPr>
      </w:pPr>
      <w:r w:rsidRPr="00CE4336">
        <w:t xml:space="preserve">S 19,25 milijardi eura, </w:t>
      </w:r>
      <w:r w:rsidRPr="00CE4336">
        <w:rPr>
          <w:b/>
          <w:bCs/>
        </w:rPr>
        <w:t>prodaja</w:t>
      </w:r>
      <w:r w:rsidRPr="00CE4336">
        <w:t xml:space="preserve"> Henkel </w:t>
      </w:r>
      <w:r w:rsidR="0058320D">
        <w:t>G</w:t>
      </w:r>
      <w:r w:rsidRPr="00CE4336">
        <w:t>rupe u fiskalnoj 2020. godini bila je -4,3 posto ispod razdoblja iz prethodne godine.</w:t>
      </w:r>
      <w:r>
        <w:t xml:space="preserve"> </w:t>
      </w:r>
      <w:r w:rsidRPr="00CE4336">
        <w:rPr>
          <w:b/>
          <w:bCs/>
        </w:rPr>
        <w:t xml:space="preserve">Organski </w:t>
      </w:r>
      <w:r w:rsidRPr="00CE4336">
        <w:t>rast prodaje, ne računajući utjecaj valuta i akvizicija / dezinvestiranja, zabilježio je lagani pad od -0,7 posto.</w:t>
      </w:r>
      <w:r>
        <w:t xml:space="preserve"> </w:t>
      </w:r>
      <w:r w:rsidRPr="00CE4336">
        <w:t>Doprinos akvizicija i dezinvestiranja iznosio je 0,3 posto. Utjecaj tečaja na prodaju bio je negativan i iznosio je -3,9 posto.</w:t>
      </w:r>
      <w:r>
        <w:t xml:space="preserve"> </w:t>
      </w:r>
      <w:r w:rsidRPr="00CE4336">
        <w:rPr>
          <w:b/>
          <w:bCs/>
        </w:rPr>
        <w:t>Prilagođeni prinos od prodaje (prilagođena EBIT marža)</w:t>
      </w:r>
      <w:r w:rsidRPr="00CE4336">
        <w:t xml:space="preserve"> dosegnuo je 13,4 posto, -2,6 postotnih bodova manje nego prethodne godine.</w:t>
      </w:r>
      <w:r>
        <w:t xml:space="preserve"> </w:t>
      </w:r>
      <w:r w:rsidRPr="00CE4336">
        <w:t>Na razvoj su utjecala i veća ulaganja u marketing i oglašavanje, kao i u digitalnu i informatičku industriju.</w:t>
      </w:r>
      <w:r>
        <w:t xml:space="preserve"> </w:t>
      </w:r>
      <w:r w:rsidRPr="00CE4336">
        <w:rPr>
          <w:b/>
          <w:bCs/>
        </w:rPr>
        <w:t xml:space="preserve">Prilagođena zarada po povlaštenoj dionici </w:t>
      </w:r>
      <w:r w:rsidRPr="00CE4336">
        <w:t>pala je -21,5 posto sa 5,43 eura u fiskalnoj 2019. godini na 4,26 eura.</w:t>
      </w:r>
      <w:r>
        <w:t xml:space="preserve"> </w:t>
      </w:r>
      <w:r w:rsidRPr="00CE4336">
        <w:t>Stalnim tečajevima prilagođena zarada po povlaštenoj dionici smanjila se za -17,9 posto.</w:t>
      </w:r>
    </w:p>
    <w:p w14:paraId="2DDFDF18" w14:textId="77777777" w:rsidR="00F911D6" w:rsidRDefault="00F911D6">
      <w:pPr>
        <w:pStyle w:val="BodyText"/>
        <w:spacing w:before="3"/>
        <w:rPr>
          <w:sz w:val="18"/>
        </w:rPr>
      </w:pPr>
    </w:p>
    <w:p w14:paraId="34B3284C" w14:textId="48CADBEF" w:rsidR="00CE4336" w:rsidRDefault="00CE4336">
      <w:pPr>
        <w:pStyle w:val="BodyText"/>
        <w:spacing w:before="101" w:line="276" w:lineRule="auto"/>
        <w:ind w:left="111" w:right="600"/>
        <w:jc w:val="both"/>
        <w:rPr>
          <w:b/>
        </w:rPr>
      </w:pPr>
      <w:r w:rsidRPr="00CE4336">
        <w:rPr>
          <w:b/>
        </w:rPr>
        <w:t xml:space="preserve">Neto obrtni kapital </w:t>
      </w:r>
      <w:r w:rsidRPr="00CE4336">
        <w:rPr>
          <w:bCs/>
        </w:rPr>
        <w:t>značajno se poboljšao i iznosio je 0,7 posto prodaje, u usporedbi s 3,9 posto prošle godine.</w:t>
      </w:r>
      <w:r>
        <w:rPr>
          <w:bCs/>
        </w:rPr>
        <w:t xml:space="preserve"> </w:t>
      </w:r>
      <w:r w:rsidRPr="00CE4336">
        <w:rPr>
          <w:b/>
        </w:rPr>
        <w:t>Slobodni novčani tokovi</w:t>
      </w:r>
      <w:r w:rsidRPr="00CE4336">
        <w:rPr>
          <w:bCs/>
        </w:rPr>
        <w:t xml:space="preserve"> i dalje su vrlo jaki.</w:t>
      </w:r>
      <w:r>
        <w:rPr>
          <w:bCs/>
        </w:rPr>
        <w:t xml:space="preserve"> </w:t>
      </w:r>
      <w:r w:rsidRPr="00CE4336">
        <w:rPr>
          <w:bCs/>
        </w:rPr>
        <w:t>Na razini od 2.338 milijuna eura, gotovo su dosegli razinu iz prethodne godine (2019, 2.471 milijun eura).</w:t>
      </w:r>
      <w:r>
        <w:rPr>
          <w:bCs/>
        </w:rPr>
        <w:t xml:space="preserve"> </w:t>
      </w:r>
      <w:r w:rsidRPr="00CE4336">
        <w:rPr>
          <w:bCs/>
        </w:rPr>
        <w:t>Na dan 31. prosinca 2020.</w:t>
      </w:r>
      <w:r>
        <w:rPr>
          <w:bCs/>
        </w:rPr>
        <w:t xml:space="preserve"> godine,</w:t>
      </w:r>
      <w:r w:rsidRPr="00CE4336">
        <w:rPr>
          <w:bCs/>
        </w:rPr>
        <w:t xml:space="preserve"> Henkelova </w:t>
      </w:r>
      <w:r w:rsidRPr="00CE4336">
        <w:rPr>
          <w:b/>
        </w:rPr>
        <w:t>neto financijska pozicija</w:t>
      </w:r>
      <w:r w:rsidRPr="00CE4336">
        <w:rPr>
          <w:bCs/>
        </w:rPr>
        <w:t xml:space="preserve"> znatno se popravila na -888 milijuna eura (31. prosinca 2019: -2,047 milijardi eura).</w:t>
      </w:r>
    </w:p>
    <w:p w14:paraId="0A37F140" w14:textId="77777777" w:rsidR="00F911D6" w:rsidRDefault="00F911D6">
      <w:pPr>
        <w:pStyle w:val="BodyText"/>
        <w:spacing w:before="6"/>
        <w:rPr>
          <w:sz w:val="25"/>
        </w:rPr>
      </w:pPr>
    </w:p>
    <w:p w14:paraId="31E35FA3" w14:textId="3B7E4C6C" w:rsidR="00CE4336" w:rsidRDefault="00CE4336">
      <w:pPr>
        <w:spacing w:line="276" w:lineRule="auto"/>
        <w:ind w:left="111" w:right="600"/>
        <w:jc w:val="both"/>
      </w:pPr>
      <w:r w:rsidRPr="00CE4336">
        <w:t xml:space="preserve">Poslovni sektor </w:t>
      </w:r>
      <w:r w:rsidR="0076644C">
        <w:rPr>
          <w:b/>
          <w:bCs/>
        </w:rPr>
        <w:t>L</w:t>
      </w:r>
      <w:r w:rsidRPr="00CE4336">
        <w:rPr>
          <w:b/>
          <w:bCs/>
        </w:rPr>
        <w:t>jep</w:t>
      </w:r>
      <w:r w:rsidR="0076644C">
        <w:rPr>
          <w:b/>
          <w:bCs/>
        </w:rPr>
        <w:t>ila i</w:t>
      </w:r>
      <w:r w:rsidRPr="00CE4336">
        <w:rPr>
          <w:b/>
          <w:bCs/>
        </w:rPr>
        <w:t xml:space="preserve"> tehnologije</w:t>
      </w:r>
      <w:r w:rsidRPr="00CE4336">
        <w:t xml:space="preserve"> izvijestio je o organskom razvoju prodaje od -4,2 posto. Prodaja poslovnog sektora </w:t>
      </w:r>
      <w:r w:rsidR="0076644C">
        <w:rPr>
          <w:b/>
          <w:bCs/>
        </w:rPr>
        <w:t>Beauty Care</w:t>
      </w:r>
      <w:r w:rsidRPr="00CE4336">
        <w:t xml:space="preserve"> organski je bila za -2,8 posto niža u odnosu na prethodnu godinu.</w:t>
      </w:r>
      <w:r>
        <w:t xml:space="preserve"> </w:t>
      </w:r>
      <w:r w:rsidRPr="00CE4336">
        <w:t xml:space="preserve">Poslovni sektor </w:t>
      </w:r>
      <w:r w:rsidR="0076644C" w:rsidRPr="0076644C">
        <w:rPr>
          <w:b/>
        </w:rPr>
        <w:t xml:space="preserve">Sredstva za pranje i čišćenje u domaćinstvu </w:t>
      </w:r>
      <w:r w:rsidRPr="0076644C">
        <w:t>ostvario</w:t>
      </w:r>
      <w:r w:rsidRPr="00CE4336">
        <w:t xml:space="preserve"> je snažan organski rast prodaje od 5,6 posto.</w:t>
      </w:r>
    </w:p>
    <w:p w14:paraId="65447EA7" w14:textId="77777777" w:rsidR="00F911D6" w:rsidRDefault="00F911D6">
      <w:pPr>
        <w:pStyle w:val="BodyText"/>
        <w:spacing w:before="2"/>
        <w:rPr>
          <w:sz w:val="25"/>
        </w:rPr>
      </w:pPr>
    </w:p>
    <w:p w14:paraId="32A31CA6" w14:textId="01CC151E" w:rsidR="00AF5EB4" w:rsidRDefault="00AF5EB4">
      <w:pPr>
        <w:pStyle w:val="BodyText"/>
        <w:spacing w:line="276" w:lineRule="auto"/>
        <w:ind w:left="111" w:right="602"/>
        <w:jc w:val="both"/>
      </w:pPr>
      <w:r w:rsidRPr="00AF5EB4">
        <w:t xml:space="preserve">Na godišnjoj skupštini 16. travnja 2021. godine, Upravni odbor, Nadzorni odbor i Odbor dioničara predložit će istu </w:t>
      </w:r>
      <w:r w:rsidRPr="00AF5EB4">
        <w:rPr>
          <w:b/>
          <w:bCs/>
        </w:rPr>
        <w:t>dividendu</w:t>
      </w:r>
      <w:r w:rsidRPr="00AF5EB4">
        <w:t xml:space="preserve"> kao i prethodne godine, i to 1,85 eura po povlaštenoj dionici i 1,83 eura po redovnoj dionici.</w:t>
      </w:r>
      <w:r>
        <w:t xml:space="preserve"> </w:t>
      </w:r>
      <w:r w:rsidRPr="00AF5EB4">
        <w:t>To je jednak</w:t>
      </w:r>
      <w:r>
        <w:t>o</w:t>
      </w:r>
      <w:r w:rsidRPr="00AF5EB4">
        <w:t xml:space="preserve"> iznosu isplate od 43,7 posto, što je iznad ciljanog raspona od 30 do 40 posto i odražava posebnu prirodu tereta tereta uzrokovanog pandemijom COVID-19.</w:t>
      </w:r>
      <w:r>
        <w:t xml:space="preserve"> </w:t>
      </w:r>
      <w:r w:rsidRPr="00AF5EB4">
        <w:t>To je jednak iznosu isplate od 43,7 posto, što je iznad ciljanog raspona od 30 do 40 posto i odražava posebnu prirodu opterećenja na zaradi uzrokovanim pandemijom COVID-19.</w:t>
      </w:r>
    </w:p>
    <w:p w14:paraId="2FFC07D3" w14:textId="77777777" w:rsidR="00F911D6" w:rsidRDefault="00F911D6">
      <w:pPr>
        <w:pStyle w:val="BodyText"/>
        <w:spacing w:before="6"/>
        <w:rPr>
          <w:sz w:val="25"/>
        </w:rPr>
      </w:pPr>
    </w:p>
    <w:p w14:paraId="72C50031" w14:textId="01BFFAE7" w:rsidR="00F911D6" w:rsidRDefault="00A46AAC">
      <w:pPr>
        <w:spacing w:before="1"/>
        <w:ind w:left="111"/>
        <w:jc w:val="both"/>
        <w:rPr>
          <w:b/>
        </w:rPr>
      </w:pPr>
      <w:r w:rsidRPr="00A46AAC">
        <w:rPr>
          <w:b/>
        </w:rPr>
        <w:t>Svrhoviti program rasta</w:t>
      </w:r>
      <w:r>
        <w:rPr>
          <w:b/>
        </w:rPr>
        <w:t xml:space="preserve"> (Purposeful</w:t>
      </w:r>
      <w:r>
        <w:rPr>
          <w:b/>
          <w:spacing w:val="-8"/>
        </w:rPr>
        <w:t xml:space="preserve"> </w:t>
      </w:r>
      <w:r>
        <w:rPr>
          <w:b/>
        </w:rPr>
        <w:t>Growth)</w:t>
      </w:r>
      <w:r w:rsidRPr="00A46AAC">
        <w:rPr>
          <w:b/>
        </w:rPr>
        <w:t>:</w:t>
      </w:r>
    </w:p>
    <w:p w14:paraId="44DC712D" w14:textId="32065069" w:rsidR="00A46AAC" w:rsidRPr="00A46AAC" w:rsidRDefault="00A46AAC">
      <w:pPr>
        <w:pStyle w:val="BodyText"/>
        <w:spacing w:before="163" w:line="276" w:lineRule="auto"/>
        <w:ind w:left="111" w:right="600"/>
        <w:jc w:val="both"/>
        <w:rPr>
          <w:lang w:val="sr-Latn-RS"/>
        </w:rPr>
      </w:pPr>
      <w:r w:rsidRPr="00A46AAC">
        <w:t>Početkom ožujka 2020. godine, Henkel je predstavio plan rasta tvrtke za naredne godine s naglaskom na: oblikovanju pobjedničkog portfelja, jačanju konkurentske prednosti tvrtke, posebno u inovacijama, održivosti i digitalizaciji, uspostavljanju operativnih modela spremnih za budućnost i stvaranju snažne korporativne kulture suradnje.</w:t>
      </w:r>
      <w:r>
        <w:t xml:space="preserve"> </w:t>
      </w:r>
      <w:r>
        <w:rPr>
          <w:lang w:val="sr-Cyrl-RS"/>
        </w:rPr>
        <w:t>„</w:t>
      </w:r>
      <w:r w:rsidRPr="00A46AAC">
        <w:t>Ovaj strateški okvir pomoći će Henkelu da pobijedi 2020. godine s jasnim fokusom na svrhoviti rast.</w:t>
      </w:r>
      <w:r>
        <w:t xml:space="preserve"> </w:t>
      </w:r>
      <w:r w:rsidRPr="00A46AAC">
        <w:t>Unatoč našoj predanosti upravljanju krizama u 2020. godini, uspjeli smo započeti s provedbom naše agende rasta.</w:t>
      </w:r>
      <w:r>
        <w:t xml:space="preserve"> </w:t>
      </w:r>
      <w:r w:rsidRPr="00A46AAC">
        <w:t>Potpuno smo predani daljnjem napretku u 2021. godini kao i u godinama koje dolaze</w:t>
      </w:r>
      <w:r>
        <w:t>“</w:t>
      </w:r>
      <w:r w:rsidRPr="00A46AAC">
        <w:t>, rekao je Carsten Knobel.</w:t>
      </w:r>
    </w:p>
    <w:p w14:paraId="03001DC5" w14:textId="77777777" w:rsidR="00F911D6" w:rsidRDefault="00F911D6">
      <w:pPr>
        <w:pStyle w:val="BodyText"/>
        <w:spacing w:before="5"/>
        <w:rPr>
          <w:sz w:val="25"/>
        </w:rPr>
      </w:pPr>
    </w:p>
    <w:p w14:paraId="58C38CCA" w14:textId="6ECFC838" w:rsidR="00EB5899" w:rsidRPr="00EB5899" w:rsidRDefault="00EB5899">
      <w:pPr>
        <w:pStyle w:val="BodyText"/>
        <w:spacing w:line="276" w:lineRule="auto"/>
        <w:ind w:left="111" w:right="603"/>
        <w:jc w:val="both"/>
      </w:pPr>
      <w:r w:rsidRPr="00EB5899">
        <w:t xml:space="preserve">Ključni element Henkelovog budućeg usmjerenja je </w:t>
      </w:r>
      <w:r w:rsidRPr="00EB5899">
        <w:rPr>
          <w:b/>
          <w:bCs/>
        </w:rPr>
        <w:t>aktivno upravljanje portfeljem</w:t>
      </w:r>
      <w:r w:rsidRPr="00EB5899">
        <w:t>. Henkel je identificirao marke i kategorije s ukupnom prodajom većom od milijardu eura, uglavnom unutar svojih potrošačkih proizvoda, od kojih je oko 50 posto bilo namijenjeno prodaji ili ukidanju do 2021. godine.</w:t>
      </w:r>
      <w:r>
        <w:t xml:space="preserve"> </w:t>
      </w:r>
      <w:r w:rsidRPr="00EB5899">
        <w:t xml:space="preserve">Očekuje se da će preostale marke i </w:t>
      </w:r>
      <w:r>
        <w:t>poduzeća</w:t>
      </w:r>
      <w:r w:rsidRPr="00EB5899">
        <w:t xml:space="preserve"> pokazati održiva poboljšanja performansi.</w:t>
      </w:r>
      <w:r>
        <w:t xml:space="preserve"> </w:t>
      </w:r>
      <w:r w:rsidRPr="00EB5899">
        <w:t>U 2020. godini 60 posto prihodne baze ovih marki i poduzeća pokazalo je poboljšan zamah bruto prihoda.</w:t>
      </w:r>
    </w:p>
    <w:p w14:paraId="4F3BAA1D" w14:textId="77777777" w:rsidR="00F911D6" w:rsidRDefault="00F911D6">
      <w:pPr>
        <w:pStyle w:val="BodyText"/>
        <w:spacing w:before="6"/>
        <w:rPr>
          <w:sz w:val="25"/>
        </w:rPr>
      </w:pPr>
    </w:p>
    <w:p w14:paraId="3EF9F02E" w14:textId="14C62F94" w:rsidR="00F911D6" w:rsidRDefault="001D265E">
      <w:pPr>
        <w:pStyle w:val="BodyText"/>
        <w:spacing w:line="276" w:lineRule="auto"/>
        <w:ind w:left="111" w:right="606"/>
        <w:jc w:val="both"/>
      </w:pPr>
      <w:r w:rsidRPr="001D265E">
        <w:t>Henkel je ojačao svoj portfelj spajanja i preuzimanja, koristeći svoju snažnu bilancu.</w:t>
      </w:r>
      <w:r>
        <w:t xml:space="preserve"> 2020. godine, </w:t>
      </w:r>
      <w:r w:rsidRPr="001D265E">
        <w:t>Henkel je dogovorio i zaključio dvije akvizicije s zajedničkom nabavnom cijenom od oko 500 milijuna eura u okviru svojih sektora za njegu ljepote i ljepila.</w:t>
      </w:r>
    </w:p>
    <w:p w14:paraId="157FDFCB" w14:textId="77777777" w:rsidR="00F911D6" w:rsidRDefault="00F911D6">
      <w:pPr>
        <w:spacing w:line="276" w:lineRule="auto"/>
        <w:jc w:val="both"/>
        <w:sectPr w:rsidR="00F911D6">
          <w:pgSz w:w="11910" w:h="16840"/>
          <w:pgMar w:top="1580" w:right="800" w:bottom="1100" w:left="1300" w:header="0" w:footer="904" w:gutter="0"/>
          <w:cols w:space="720"/>
        </w:sectPr>
      </w:pPr>
    </w:p>
    <w:p w14:paraId="65B9225F" w14:textId="77777777" w:rsidR="00F911D6" w:rsidRDefault="00F911D6">
      <w:pPr>
        <w:pStyle w:val="BodyText"/>
        <w:spacing w:before="3"/>
        <w:rPr>
          <w:sz w:val="18"/>
        </w:rPr>
      </w:pPr>
    </w:p>
    <w:p w14:paraId="58ADF72D" w14:textId="77777777" w:rsidR="001D265E" w:rsidRDefault="001D265E">
      <w:pPr>
        <w:spacing w:before="101" w:line="276" w:lineRule="auto"/>
        <w:ind w:left="111" w:right="604"/>
        <w:jc w:val="both"/>
      </w:pPr>
      <w:r w:rsidRPr="001D265E">
        <w:t xml:space="preserve">Kako bi nastavio jačati svoju </w:t>
      </w:r>
      <w:r w:rsidRPr="001D265E">
        <w:rPr>
          <w:b/>
          <w:bCs/>
        </w:rPr>
        <w:t>konkurentsku prednost</w:t>
      </w:r>
      <w:r w:rsidRPr="001D265E">
        <w:t xml:space="preserve">, Henkel ubrzava </w:t>
      </w:r>
      <w:r w:rsidRPr="001D265E">
        <w:rPr>
          <w:b/>
          <w:bCs/>
        </w:rPr>
        <w:t>inovacije</w:t>
      </w:r>
      <w:r w:rsidRPr="001D265E">
        <w:t xml:space="preserve">, njeguje </w:t>
      </w:r>
      <w:r w:rsidRPr="001D265E">
        <w:rPr>
          <w:b/>
          <w:bCs/>
        </w:rPr>
        <w:t>održivost</w:t>
      </w:r>
      <w:r w:rsidRPr="001D265E">
        <w:t xml:space="preserve"> kao faktor po kojem se ističe i pokreće </w:t>
      </w:r>
      <w:r w:rsidRPr="001D265E">
        <w:rPr>
          <w:b/>
          <w:bCs/>
        </w:rPr>
        <w:t>digitalnu</w:t>
      </w:r>
      <w:r w:rsidRPr="001D265E">
        <w:t xml:space="preserve"> transformaciju tvrtke.</w:t>
      </w:r>
    </w:p>
    <w:p w14:paraId="64885468" w14:textId="77777777" w:rsidR="00F911D6" w:rsidRDefault="00F911D6">
      <w:pPr>
        <w:pStyle w:val="BodyText"/>
        <w:spacing w:before="2"/>
        <w:rPr>
          <w:sz w:val="25"/>
        </w:rPr>
      </w:pPr>
    </w:p>
    <w:p w14:paraId="46ABACA7" w14:textId="6985D78E" w:rsidR="001D265E" w:rsidRDefault="001D265E">
      <w:pPr>
        <w:pStyle w:val="BodyText"/>
        <w:spacing w:before="1" w:line="278" w:lineRule="auto"/>
        <w:ind w:left="111" w:right="604"/>
        <w:jc w:val="both"/>
      </w:pPr>
      <w:r w:rsidRPr="001D265E">
        <w:t xml:space="preserve">U 2020. </w:t>
      </w:r>
      <w:r>
        <w:t xml:space="preserve">godini, </w:t>
      </w:r>
      <w:r w:rsidRPr="001D265E">
        <w:t xml:space="preserve">Henkel je povećao </w:t>
      </w:r>
      <w:r w:rsidRPr="001D265E">
        <w:rPr>
          <w:b/>
          <w:bCs/>
        </w:rPr>
        <w:t>ulaganja</w:t>
      </w:r>
      <w:r w:rsidRPr="001D265E">
        <w:t xml:space="preserve"> za oko 200 milijuna eura u odnosu na 2019. godinu (350 milijuna eura više nego u 2018) za jačanje svojih marki, tehnologija i inovacija, kao i za ubrzanje digitalne transformacije tvrtke.</w:t>
      </w:r>
    </w:p>
    <w:p w14:paraId="721FDCF8" w14:textId="77777777" w:rsidR="00F911D6" w:rsidRDefault="00F911D6">
      <w:pPr>
        <w:pStyle w:val="BodyText"/>
        <w:spacing w:before="11"/>
        <w:rPr>
          <w:sz w:val="24"/>
        </w:rPr>
      </w:pPr>
    </w:p>
    <w:p w14:paraId="15AA7249" w14:textId="520DBCB7" w:rsidR="001D265E" w:rsidRDefault="001D265E">
      <w:pPr>
        <w:pStyle w:val="BodyText"/>
        <w:spacing w:line="276" w:lineRule="auto"/>
        <w:ind w:left="111" w:right="601"/>
        <w:jc w:val="both"/>
      </w:pPr>
      <w:r w:rsidRPr="001D265E">
        <w:t xml:space="preserve">Kako bi ubrzali </w:t>
      </w:r>
      <w:r w:rsidRPr="001D265E">
        <w:rPr>
          <w:b/>
          <w:bCs/>
        </w:rPr>
        <w:t>inovacije</w:t>
      </w:r>
      <w:r w:rsidRPr="001D265E">
        <w:t xml:space="preserve"> i razvili </w:t>
      </w:r>
      <w:r w:rsidRPr="001D265E">
        <w:rPr>
          <w:b/>
          <w:bCs/>
        </w:rPr>
        <w:t>nove poslovne modele</w:t>
      </w:r>
      <w:r w:rsidRPr="001D265E">
        <w:t xml:space="preserve">, poslovni sektori potrošačke robe, </w:t>
      </w:r>
      <w:r w:rsidR="0023419F">
        <w:t xml:space="preserve">Beauty Care i </w:t>
      </w:r>
      <w:r w:rsidR="0023419F" w:rsidRPr="0023419F">
        <w:rPr>
          <w:bCs/>
        </w:rPr>
        <w:t>Sredstva za pranje i čišćenje u domaćinstvu</w:t>
      </w:r>
      <w:r w:rsidR="0023419F" w:rsidRPr="002C7C54">
        <w:rPr>
          <w:b/>
        </w:rPr>
        <w:t xml:space="preserve"> </w:t>
      </w:r>
      <w:r w:rsidRPr="001D265E">
        <w:t>uspostavili su interne timove za inkubaciju, kombinirajući agilne pristupe radu s razmjerima i stručnošću globalne tvrtke.</w:t>
      </w:r>
      <w:r>
        <w:t xml:space="preserve"> </w:t>
      </w:r>
      <w:r w:rsidRPr="001D265E">
        <w:t>Laboratorij ljepote Fritz, nadahnut osnivačem tvrtke Fritzom Henkelom, ima za cilj identificirati područja s potencijalom za rast postojećih marki ili slobodna područja za stvaranje potpuno novih marki.</w:t>
      </w:r>
      <w:r>
        <w:t xml:space="preserve"> </w:t>
      </w:r>
      <w:r w:rsidRPr="001D265E">
        <w:t xml:space="preserve">U sektoru </w:t>
      </w:r>
      <w:r w:rsidR="008E0796">
        <w:t xml:space="preserve">Ljepila i </w:t>
      </w:r>
      <w:r w:rsidRPr="001D265E">
        <w:t>tehnologije, Henkel je nastavio ulagati u svoj vrhunski inovacijski centar u Düsseldorfu.</w:t>
      </w:r>
    </w:p>
    <w:p w14:paraId="307C301F" w14:textId="77777777" w:rsidR="00F911D6" w:rsidRDefault="00F911D6">
      <w:pPr>
        <w:pStyle w:val="BodyText"/>
        <w:spacing w:before="5"/>
        <w:rPr>
          <w:sz w:val="25"/>
        </w:rPr>
      </w:pPr>
    </w:p>
    <w:p w14:paraId="33324DED" w14:textId="79E4A8F3" w:rsidR="001D265E" w:rsidRDefault="001D265E">
      <w:pPr>
        <w:pStyle w:val="BodyText"/>
        <w:spacing w:before="1" w:line="276" w:lineRule="auto"/>
        <w:ind w:left="111" w:right="600"/>
        <w:jc w:val="both"/>
        <w:rPr>
          <w:bCs/>
        </w:rPr>
      </w:pPr>
      <w:r w:rsidRPr="001D265E">
        <w:rPr>
          <w:b/>
        </w:rPr>
        <w:t>Održivost</w:t>
      </w:r>
      <w:r w:rsidRPr="001D265E">
        <w:rPr>
          <w:bCs/>
        </w:rPr>
        <w:t xml:space="preserve"> je jedna od najvećih Henkelovih snaga.</w:t>
      </w:r>
      <w:r>
        <w:rPr>
          <w:bCs/>
        </w:rPr>
        <w:t xml:space="preserve"> </w:t>
      </w:r>
      <w:r w:rsidRPr="001D265E">
        <w:rPr>
          <w:bCs/>
        </w:rPr>
        <w:t>Tvrtka ima vodeću ulogu koju redovito potvrđuju ocjene i ljestvice.</w:t>
      </w:r>
      <w:r>
        <w:rPr>
          <w:bCs/>
        </w:rPr>
        <w:t xml:space="preserve"> </w:t>
      </w:r>
      <w:r w:rsidRPr="001D265E">
        <w:rPr>
          <w:bCs/>
        </w:rPr>
        <w:t>Uz snažne temelje, održivost je i dalje konkurentna prednost Henkela.</w:t>
      </w:r>
      <w:r>
        <w:rPr>
          <w:bCs/>
        </w:rPr>
        <w:t xml:space="preserve"> </w:t>
      </w:r>
      <w:r w:rsidRPr="001D265E">
        <w:rPr>
          <w:bCs/>
        </w:rPr>
        <w:t>Tijekom 2020. godine</w:t>
      </w:r>
      <w:r>
        <w:rPr>
          <w:bCs/>
        </w:rPr>
        <w:t>,</w:t>
      </w:r>
      <w:r w:rsidRPr="001D265E">
        <w:rPr>
          <w:bCs/>
        </w:rPr>
        <w:t xml:space="preserve"> Henkel je uspješno nastavio integrirati održivost u sve svoje poslovne aktivnosti i pokretati napredak u cijelom lancu vrijednosti.</w:t>
      </w:r>
      <w:r>
        <w:rPr>
          <w:bCs/>
        </w:rPr>
        <w:t xml:space="preserve"> </w:t>
      </w:r>
      <w:r w:rsidRPr="001D265E">
        <w:rPr>
          <w:bCs/>
        </w:rPr>
        <w:t>Henkel je ujedno prva tvrtka koja je izdala obveznicu za smanjenje plastičnog otpada vrijednu oko 100 milijuna eura za financiranje mjera smanjenja plastičnog otpada duž cijelog lanca vrijednosti.</w:t>
      </w:r>
      <w:r>
        <w:rPr>
          <w:bCs/>
        </w:rPr>
        <w:t xml:space="preserve"> </w:t>
      </w:r>
      <w:r w:rsidRPr="001D265E">
        <w:rPr>
          <w:bCs/>
        </w:rPr>
        <w:t>Ova obveznica naglašava Henkelovu predanost promicanju kružne ekonomije, smanjenju plastičnog otpada i održivim financijama.</w:t>
      </w:r>
    </w:p>
    <w:p w14:paraId="19E42DDF" w14:textId="77777777" w:rsidR="00F911D6" w:rsidRDefault="00F911D6">
      <w:pPr>
        <w:pStyle w:val="BodyText"/>
        <w:spacing w:before="4"/>
        <w:rPr>
          <w:sz w:val="25"/>
        </w:rPr>
      </w:pPr>
    </w:p>
    <w:p w14:paraId="30CEA715" w14:textId="71BD1C2F" w:rsidR="001D265E" w:rsidRDefault="001D265E">
      <w:pPr>
        <w:pStyle w:val="BodyText"/>
        <w:spacing w:line="276" w:lineRule="auto"/>
        <w:ind w:left="111" w:right="600"/>
        <w:jc w:val="both"/>
      </w:pPr>
      <w:r w:rsidRPr="001D265E">
        <w:t xml:space="preserve">Henkel slijedi svoj cilj da utrostruči </w:t>
      </w:r>
      <w:r w:rsidRPr="001D265E">
        <w:rPr>
          <w:b/>
          <w:bCs/>
        </w:rPr>
        <w:t>vrijednost svojih operacija, proizvoda i usluga</w:t>
      </w:r>
      <w:r w:rsidRPr="001D265E">
        <w:t xml:space="preserve"> u odnosu na svoj utjecaj na okoliš u razdoblju 2010-2030.</w:t>
      </w:r>
      <w:r>
        <w:t xml:space="preserve"> </w:t>
      </w:r>
      <w:r w:rsidRPr="001D265E">
        <w:t>Na putu da ispuni svoj dugoročni cilj, Henkel je definirao srednjoročne ciljeve za 2020. godinu.</w:t>
      </w:r>
      <w:r>
        <w:t xml:space="preserve"> </w:t>
      </w:r>
      <w:r w:rsidRPr="001D265E">
        <w:t>Tvrtka je uspjela postići većinu utvrđenih ciljeva i poboljšati učinkovitost resursa u 2020. godini za 64 posto u odnosu na 2010. godinu.</w:t>
      </w:r>
    </w:p>
    <w:p w14:paraId="304D213B" w14:textId="77777777" w:rsidR="00F911D6" w:rsidRDefault="00F911D6">
      <w:pPr>
        <w:pStyle w:val="BodyText"/>
        <w:spacing w:before="1"/>
        <w:rPr>
          <w:sz w:val="25"/>
        </w:rPr>
      </w:pPr>
    </w:p>
    <w:p w14:paraId="763E2C95" w14:textId="669F0217" w:rsidR="00ED3173" w:rsidRDefault="00ED3173">
      <w:pPr>
        <w:pStyle w:val="BodyText"/>
        <w:spacing w:before="1" w:line="276" w:lineRule="auto"/>
        <w:ind w:left="111" w:right="600"/>
        <w:jc w:val="both"/>
      </w:pPr>
      <w:r w:rsidRPr="00ED3173">
        <w:t xml:space="preserve">Još jedan ključni pokretač u procesu jačanja Henkelove konkurentske prednosti je transformacija </w:t>
      </w:r>
      <w:r w:rsidRPr="00BD5CDF">
        <w:rPr>
          <w:b/>
          <w:bCs/>
        </w:rPr>
        <w:t>digitalnog</w:t>
      </w:r>
      <w:r w:rsidRPr="00ED3173">
        <w:t xml:space="preserve"> u generator vrijednosti za kupce i potrošače u poslovnim sektorima.</w:t>
      </w:r>
      <w:r w:rsidR="00BD5CDF">
        <w:t xml:space="preserve"> </w:t>
      </w:r>
      <w:r w:rsidR="00BD5CDF" w:rsidRPr="00BD5CDF">
        <w:t>Kako bi omogućio i ubrzao ovaj proces, Henkel je 2020. stvorio novu jedinicu pod nazivom Henkel dx, koja kombinira digitalnu stručnost, stručnost upravljanja poslovnim procesima i IT stručnost u jedinstvenu globalnu organizaciju.</w:t>
      </w:r>
      <w:r w:rsidR="00BD5CDF">
        <w:t xml:space="preserve"> </w:t>
      </w:r>
      <w:r w:rsidR="00BD5CDF" w:rsidRPr="00BD5CDF">
        <w:t>Henkelova digitalna prodaja porasla je za oko 20 posto, s kombiniranim rastom potrošačkog sektora većim od</w:t>
      </w:r>
    </w:p>
    <w:p w14:paraId="13220D0B" w14:textId="77777777" w:rsidR="00ED3173" w:rsidRDefault="00ED3173">
      <w:pPr>
        <w:pStyle w:val="BodyText"/>
        <w:spacing w:before="1" w:line="276" w:lineRule="auto"/>
        <w:ind w:left="111" w:right="600"/>
        <w:jc w:val="both"/>
      </w:pPr>
    </w:p>
    <w:p w14:paraId="231CD3CA" w14:textId="4902F77B" w:rsidR="00F911D6" w:rsidRDefault="009F5629" w:rsidP="00BD5CDF">
      <w:pPr>
        <w:pStyle w:val="BodyText"/>
        <w:spacing w:before="1" w:line="276" w:lineRule="auto"/>
        <w:ind w:left="111" w:right="600"/>
        <w:jc w:val="both"/>
        <w:sectPr w:rsidR="00F911D6">
          <w:pgSz w:w="11910" w:h="16840"/>
          <w:pgMar w:top="1580" w:right="800" w:bottom="1100" w:left="1300" w:header="0" w:footer="904" w:gutter="0"/>
          <w:cols w:space="720"/>
        </w:sectPr>
      </w:pPr>
      <w:r>
        <w:t>Digitalna prodaja kompanije</w:t>
      </w:r>
      <w:r>
        <w:rPr>
          <w:spacing w:val="1"/>
        </w:rPr>
        <w:t xml:space="preserve"> </w:t>
      </w:r>
      <w:r>
        <w:t>Henkel</w:t>
      </w:r>
      <w:r>
        <w:rPr>
          <w:spacing w:val="10"/>
        </w:rPr>
        <w:t xml:space="preserve"> </w:t>
      </w:r>
      <w:r>
        <w:t>povećala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oko</w:t>
      </w:r>
      <w:r>
        <w:rPr>
          <w:spacing w:val="6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odsto,</w:t>
      </w:r>
      <w:r>
        <w:rPr>
          <w:spacing w:val="7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kombinovanim</w:t>
      </w:r>
      <w:r>
        <w:rPr>
          <w:spacing w:val="13"/>
        </w:rPr>
        <w:t xml:space="preserve"> </w:t>
      </w:r>
      <w:r>
        <w:t>rastom</w:t>
      </w:r>
      <w:r>
        <w:rPr>
          <w:spacing w:val="13"/>
        </w:rPr>
        <w:t xml:space="preserve"> </w:t>
      </w:r>
      <w:r>
        <w:t>potrošačkih</w:t>
      </w:r>
      <w:r>
        <w:rPr>
          <w:spacing w:val="12"/>
        </w:rPr>
        <w:t xml:space="preserve"> </w:t>
      </w:r>
      <w:r>
        <w:t>sektora</w:t>
      </w:r>
      <w:r>
        <w:rPr>
          <w:spacing w:val="10"/>
        </w:rPr>
        <w:t xml:space="preserve"> </w:t>
      </w:r>
      <w:r w:rsidR="00BD5CDF">
        <w:t xml:space="preserve">više od 60 posto. </w:t>
      </w:r>
      <w:r w:rsidR="00BD5CDF" w:rsidRPr="00BD5CDF">
        <w:t>Na razini Grupe, udio digitalne prodaje</w:t>
      </w:r>
    </w:p>
    <w:p w14:paraId="256C39C5" w14:textId="50A416BA" w:rsidR="00BD5CDF" w:rsidRDefault="00BD5CDF" w:rsidP="00BD5CDF">
      <w:pPr>
        <w:pStyle w:val="BodyText"/>
        <w:spacing w:before="101"/>
        <w:ind w:firstLine="111"/>
        <w:jc w:val="both"/>
      </w:pPr>
      <w:r w:rsidRPr="00BD5CDF">
        <w:lastRenderedPageBreak/>
        <w:t>u ukupnoj prodaji povećao se i popeo se na oko 15 posto.</w:t>
      </w:r>
      <w:r>
        <w:t xml:space="preserve"> </w:t>
      </w:r>
    </w:p>
    <w:p w14:paraId="11585A96" w14:textId="77777777" w:rsidR="00F911D6" w:rsidRDefault="00F911D6">
      <w:pPr>
        <w:pStyle w:val="BodyText"/>
        <w:spacing w:before="8"/>
        <w:rPr>
          <w:sz w:val="28"/>
        </w:rPr>
      </w:pPr>
    </w:p>
    <w:p w14:paraId="0597F554" w14:textId="50EA7727" w:rsidR="00F911D6" w:rsidRDefault="00BD5CDF">
      <w:pPr>
        <w:pStyle w:val="BodyText"/>
        <w:spacing w:line="278" w:lineRule="auto"/>
        <w:ind w:left="111" w:right="602"/>
        <w:jc w:val="both"/>
      </w:pPr>
      <w:r w:rsidRPr="00BD5CDF">
        <w:t xml:space="preserve">Ekonomski, brzi, </w:t>
      </w:r>
      <w:r w:rsidRPr="00BD5CDF">
        <w:rPr>
          <w:b/>
          <w:bCs/>
        </w:rPr>
        <w:t>operativni modeli</w:t>
      </w:r>
      <w:r w:rsidRPr="00BD5CDF">
        <w:t xml:space="preserve"> spremni za budućnost još su jedan važan element Henkelovog strateškog okvira</w:t>
      </w:r>
      <w:r w:rsidR="009F5629">
        <w:t>.</w:t>
      </w:r>
      <w:r w:rsidR="009F5629">
        <w:rPr>
          <w:spacing w:val="1"/>
        </w:rPr>
        <w:t xml:space="preserve"> </w:t>
      </w:r>
      <w:r w:rsidRPr="00BD5CDF">
        <w:rPr>
          <w:spacing w:val="1"/>
        </w:rPr>
        <w:t>Kako bi to osigurala i poboljšala konkurentnost i učinkovitost, tvrtka neprestano prilagođava i preoblikuje procese i strukture na razini tvrtke.</w:t>
      </w:r>
    </w:p>
    <w:p w14:paraId="31AB39E9" w14:textId="77777777" w:rsidR="00F911D6" w:rsidRDefault="00F911D6">
      <w:pPr>
        <w:pStyle w:val="BodyText"/>
        <w:spacing w:before="12"/>
        <w:rPr>
          <w:sz w:val="24"/>
        </w:rPr>
      </w:pPr>
    </w:p>
    <w:p w14:paraId="7E7BA53B" w14:textId="175A4CB8" w:rsidR="00F911D6" w:rsidRDefault="00BD5CDF" w:rsidP="00BD5CDF">
      <w:pPr>
        <w:pStyle w:val="BodyText"/>
        <w:spacing w:line="276" w:lineRule="auto"/>
        <w:ind w:left="111" w:right="604"/>
        <w:jc w:val="both"/>
      </w:pPr>
      <w:r w:rsidRPr="00BD5CDF">
        <w:t xml:space="preserve">Daljnji razvoj Henkelove korporativne kulture i ubrzavanje </w:t>
      </w:r>
      <w:r w:rsidRPr="00BD5CDF">
        <w:rPr>
          <w:b/>
          <w:bCs/>
        </w:rPr>
        <w:t>kulturne transformacije</w:t>
      </w:r>
      <w:r w:rsidRPr="00BD5CDF">
        <w:t xml:space="preserve"> u središtu su Henkelovog cilja svrhovitog rasta</w:t>
      </w:r>
      <w:r>
        <w:t xml:space="preserve"> (Purposeful Growth)</w:t>
      </w:r>
      <w:r w:rsidRPr="00BD5CDF">
        <w:t>.</w:t>
      </w:r>
      <w:r>
        <w:t xml:space="preserve"> </w:t>
      </w:r>
      <w:r w:rsidRPr="00BD5CDF">
        <w:t xml:space="preserve">Tvrtka nastoji potaknuti kulturu suradnje s osnaženim ljudima i </w:t>
      </w:r>
      <w:r>
        <w:t xml:space="preserve">svojim Leadership Commitments vrijednostima u srijedištu. 2020. godine, </w:t>
      </w:r>
      <w:r w:rsidRPr="00BD5CDF">
        <w:t>Henkel je pokrenuo niz mjera za promicanje kulture suradnje i osnaživanja te projekata za razvoj vještina zaposlenika, a također je omogućio svojim ljudima rast i razvoj - kako osobno tako i profesionalno.</w:t>
      </w:r>
    </w:p>
    <w:p w14:paraId="046B653C" w14:textId="77777777" w:rsidR="00BD5CDF" w:rsidRPr="00BD5CDF" w:rsidRDefault="00BD5CDF" w:rsidP="00BD5CDF">
      <w:pPr>
        <w:pStyle w:val="BodyText"/>
        <w:spacing w:line="276" w:lineRule="auto"/>
        <w:ind w:left="111" w:right="604"/>
        <w:jc w:val="both"/>
      </w:pPr>
    </w:p>
    <w:p w14:paraId="1CCB0DF7" w14:textId="15C195EF" w:rsidR="00BD5CDF" w:rsidRDefault="00BD5CDF" w:rsidP="00BD5CDF">
      <w:pPr>
        <w:pStyle w:val="BodyText"/>
        <w:spacing w:line="276" w:lineRule="auto"/>
        <w:ind w:left="111" w:right="600"/>
        <w:jc w:val="both"/>
      </w:pPr>
      <w:r>
        <w:rPr>
          <w:lang w:val="sr-Cyrl-RS"/>
        </w:rPr>
        <w:t>„</w:t>
      </w:r>
      <w:r w:rsidRPr="00BD5CDF">
        <w:t>Ponosan sam na napredak koji smo postigli u ostvarivanju naše strateške agende, istovremeno se boreći protiv globalne pandemije.</w:t>
      </w:r>
      <w:r>
        <w:t xml:space="preserve"> </w:t>
      </w:r>
      <w:r w:rsidRPr="00BD5CDF">
        <w:t>Impresioniran sam otpornošću našeg poslovanja koja nam je omogućila postizanje velikih poslovnih postignuća i daljnje jačanje naše financijske baze.</w:t>
      </w:r>
      <w:r>
        <w:t xml:space="preserve"> </w:t>
      </w:r>
      <w:r w:rsidRPr="00BD5CDF">
        <w:t>Ali najvažniji osjećaj je zahvalnost i iskreno poštovanje</w:t>
      </w:r>
      <w:r>
        <w:t xml:space="preserve"> ka</w:t>
      </w:r>
      <w:r w:rsidRPr="00BD5CDF">
        <w:t xml:space="preserve"> naši</w:t>
      </w:r>
      <w:r>
        <w:t>m</w:t>
      </w:r>
      <w:r w:rsidRPr="00BD5CDF">
        <w:t xml:space="preserve"> zaposlen</w:t>
      </w:r>
      <w:r>
        <w:t>icima</w:t>
      </w:r>
      <w:r w:rsidRPr="00BD5CDF">
        <w:t xml:space="preserve"> u Henkelu.</w:t>
      </w:r>
      <w:r>
        <w:t xml:space="preserve"> </w:t>
      </w:r>
      <w:r w:rsidRPr="00BD5CDF">
        <w:t xml:space="preserve">Postignuća, suradnja i pozitivan stav koji su pokazali 2020. </w:t>
      </w:r>
      <w:r>
        <w:t xml:space="preserve">godini, </w:t>
      </w:r>
      <w:r w:rsidRPr="00BD5CDF">
        <w:t>dirnuli su me i nadahnuli.</w:t>
      </w:r>
      <w:r>
        <w:t xml:space="preserve"> </w:t>
      </w:r>
      <w:r w:rsidRPr="00BD5CDF">
        <w:t>Želio bih zahvaliti svima njima na neprocjenjivim doprinosima u ovoj uistinu izuzetnoj godini</w:t>
      </w:r>
      <w:r>
        <w:t>“</w:t>
      </w:r>
      <w:r w:rsidRPr="00BD5CDF">
        <w:t>, rezimirao je Carsten Knobel.</w:t>
      </w:r>
    </w:p>
    <w:p w14:paraId="5FD8E9EF" w14:textId="77777777" w:rsidR="00F911D6" w:rsidRDefault="00F911D6">
      <w:pPr>
        <w:pStyle w:val="BodyText"/>
        <w:spacing w:before="9"/>
        <w:rPr>
          <w:sz w:val="25"/>
        </w:rPr>
      </w:pPr>
    </w:p>
    <w:p w14:paraId="1F93537D" w14:textId="77777777" w:rsidR="00F911D6" w:rsidRDefault="009F5629">
      <w:pPr>
        <w:spacing w:before="1"/>
        <w:ind w:left="111"/>
        <w:jc w:val="both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Henkelu</w:t>
      </w:r>
    </w:p>
    <w:p w14:paraId="1F54F846" w14:textId="17A9D96C" w:rsidR="00BD5CDF" w:rsidRDefault="00BD5CDF" w:rsidP="00BD5CDF">
      <w:pPr>
        <w:spacing w:before="2" w:line="237" w:lineRule="auto"/>
        <w:ind w:left="111" w:right="613"/>
        <w:jc w:val="both"/>
        <w:rPr>
          <w:sz w:val="18"/>
        </w:rPr>
      </w:pPr>
      <w:r w:rsidRPr="00A347F7">
        <w:rPr>
          <w:sz w:val="18"/>
        </w:rPr>
        <w:t>Henkel posluje širom svijeta s uravnoteženim i raznolikim portfeljem.</w:t>
      </w:r>
      <w:r>
        <w:rPr>
          <w:sz w:val="18"/>
        </w:rPr>
        <w:t xml:space="preserve"> </w:t>
      </w:r>
      <w:r w:rsidRPr="00A347F7">
        <w:rPr>
          <w:sz w:val="18"/>
        </w:rPr>
        <w:t>Tvrtka zauzima vodeće pozicije sa svoja tri poslovna sektora na područjima industrijskog tržišta, kao i potrošačkih proizvoda, zahvaljujući snažnim robnim markama, inovacijama i tehnologijama.</w:t>
      </w:r>
      <w:r>
        <w:rPr>
          <w:sz w:val="18"/>
        </w:rPr>
        <w:t xml:space="preserve"> </w:t>
      </w:r>
      <w:r w:rsidRPr="004E48C9">
        <w:rPr>
          <w:sz w:val="18"/>
        </w:rPr>
        <w:t xml:space="preserve">Henkelov sektor </w:t>
      </w:r>
      <w:r w:rsidR="00005217">
        <w:rPr>
          <w:sz w:val="18"/>
        </w:rPr>
        <w:t xml:space="preserve">Ljepila i </w:t>
      </w:r>
      <w:r w:rsidRPr="004E48C9">
        <w:rPr>
          <w:sz w:val="18"/>
        </w:rPr>
        <w:t xml:space="preserve">tehnologije svjetski je </w:t>
      </w:r>
      <w:r>
        <w:rPr>
          <w:sz w:val="18"/>
        </w:rPr>
        <w:t>predvodnik</w:t>
      </w:r>
      <w:r w:rsidRPr="004E48C9">
        <w:rPr>
          <w:sz w:val="18"/>
        </w:rPr>
        <w:t xml:space="preserve"> na tržištu ljepila - u svim industrijskim segmentima na svijetu.</w:t>
      </w:r>
      <w:r>
        <w:rPr>
          <w:sz w:val="18"/>
        </w:rPr>
        <w:t xml:space="preserve"> </w:t>
      </w:r>
      <w:r w:rsidRPr="004E48C9">
        <w:rPr>
          <w:sz w:val="18"/>
        </w:rPr>
        <w:t xml:space="preserve">Sa </w:t>
      </w:r>
      <w:r w:rsidRPr="00421111">
        <w:rPr>
          <w:sz w:val="18"/>
          <w:szCs w:val="18"/>
        </w:rPr>
        <w:t>sektorima</w:t>
      </w:r>
      <w:r w:rsidR="00421111">
        <w:rPr>
          <w:sz w:val="18"/>
          <w:szCs w:val="18"/>
        </w:rPr>
        <w:t xml:space="preserve"> </w:t>
      </w:r>
      <w:r w:rsidR="00421111" w:rsidRPr="00421111">
        <w:rPr>
          <w:bCs/>
          <w:sz w:val="18"/>
          <w:szCs w:val="18"/>
        </w:rPr>
        <w:t>Sredstva za pranje i čišćenje u domaćinstvu</w:t>
      </w:r>
      <w:r w:rsidR="00421111" w:rsidRPr="002C7C54">
        <w:rPr>
          <w:b/>
        </w:rPr>
        <w:t xml:space="preserve"> </w:t>
      </w:r>
      <w:r w:rsidRPr="004E48C9">
        <w:rPr>
          <w:sz w:val="18"/>
        </w:rPr>
        <w:t xml:space="preserve">deterdženata i </w:t>
      </w:r>
      <w:r w:rsidR="00421111">
        <w:rPr>
          <w:sz w:val="18"/>
        </w:rPr>
        <w:t>Beauty Care</w:t>
      </w:r>
      <w:r w:rsidRPr="004E48C9">
        <w:rPr>
          <w:sz w:val="18"/>
        </w:rPr>
        <w:t>, Henkel drži vodeće pozicije na mnogim tržištima i kategorijama širom svijeta.</w:t>
      </w:r>
      <w:r>
        <w:rPr>
          <w:sz w:val="18"/>
        </w:rPr>
        <w:t xml:space="preserve"> </w:t>
      </w:r>
      <w:r w:rsidRPr="004E48C9">
        <w:rPr>
          <w:sz w:val="18"/>
        </w:rPr>
        <w:t>Osnovan 1876. godine, Henkel iza sebe ima više od 140 godina uspješnog poslovanja.</w:t>
      </w:r>
      <w:r>
        <w:rPr>
          <w:sz w:val="18"/>
        </w:rPr>
        <w:t xml:space="preserve"> </w:t>
      </w:r>
      <w:r w:rsidRPr="004E48C9">
        <w:rPr>
          <w:sz w:val="18"/>
        </w:rPr>
        <w:t>U 2020. godini Henkel je imao prodaju veću od 19 milijardi eura i operativnu dobit veću od 2,6 milijardi eura.</w:t>
      </w:r>
      <w:r>
        <w:rPr>
          <w:sz w:val="18"/>
        </w:rPr>
        <w:t xml:space="preserve"> </w:t>
      </w:r>
      <w:r w:rsidRPr="004E48C9">
        <w:rPr>
          <w:sz w:val="18"/>
        </w:rPr>
        <w:t>Henkel zapošljava više od 53.000 ljudi širom svijeta - predan i vrlo raznolik tim, ujedinjen snažnom korporativnom kulturom, zajedničkim ciljem postizanja održivih standarda i zajedničkim vrijednostima.</w:t>
      </w:r>
      <w:r>
        <w:rPr>
          <w:sz w:val="18"/>
        </w:rPr>
        <w:t xml:space="preserve"> </w:t>
      </w:r>
      <w:r w:rsidRPr="004E48C9">
        <w:rPr>
          <w:sz w:val="18"/>
        </w:rPr>
        <w:t xml:space="preserve">Kao priznati </w:t>
      </w:r>
      <w:r>
        <w:rPr>
          <w:sz w:val="18"/>
        </w:rPr>
        <w:t>predvodnik</w:t>
      </w:r>
      <w:r w:rsidRPr="004E48C9">
        <w:rPr>
          <w:sz w:val="18"/>
        </w:rPr>
        <w:t xml:space="preserve"> u održivosti, Henkel je na vrhu mnogih međunarodnih indeksa i popisa. Henkelove povlaštene dionice navedene su u njemačkom indeksu DAX.</w:t>
      </w:r>
      <w:r>
        <w:rPr>
          <w:sz w:val="18"/>
        </w:rPr>
        <w:t xml:space="preserve"> </w:t>
      </w:r>
      <w:r w:rsidRPr="004E48C9">
        <w:rPr>
          <w:sz w:val="18"/>
        </w:rPr>
        <w:t>Za više informacija posjetite www.henkel.com.</w:t>
      </w:r>
    </w:p>
    <w:p w14:paraId="539C9443" w14:textId="77777777" w:rsidR="00F911D6" w:rsidRDefault="00F911D6">
      <w:pPr>
        <w:pStyle w:val="BodyText"/>
        <w:spacing w:before="11"/>
        <w:rPr>
          <w:sz w:val="31"/>
        </w:rPr>
      </w:pPr>
    </w:p>
    <w:p w14:paraId="69BA9F6E" w14:textId="1C78C36A" w:rsidR="00F911D6" w:rsidRDefault="004F1D41" w:rsidP="004F1D41">
      <w:pPr>
        <w:ind w:left="111" w:right="642"/>
        <w:rPr>
          <w:sz w:val="14"/>
        </w:rPr>
        <w:sectPr w:rsidR="00F911D6">
          <w:pgSz w:w="11910" w:h="16840"/>
          <w:pgMar w:top="1580" w:right="800" w:bottom="1100" w:left="1300" w:header="0" w:footer="904" w:gutter="0"/>
          <w:cols w:space="720"/>
        </w:sectPr>
      </w:pPr>
      <w:r w:rsidRPr="004F1D41">
        <w:rPr>
          <w:sz w:val="14"/>
        </w:rPr>
        <w:t xml:space="preserve">Ovaj dokument sadrži izjave o budućnosti, financijske rezultate i druge buduće događaje ili okolnosti relevantne za Henkel koji se mogu smatrati izjavama </w:t>
      </w:r>
      <w:r>
        <w:rPr>
          <w:sz w:val="14"/>
        </w:rPr>
        <w:t>o</w:t>
      </w:r>
      <w:r w:rsidRPr="004F1D41">
        <w:rPr>
          <w:sz w:val="14"/>
        </w:rPr>
        <w:t xml:space="preserve"> budućnost</w:t>
      </w:r>
      <w:r>
        <w:rPr>
          <w:sz w:val="14"/>
        </w:rPr>
        <w:t>i</w:t>
      </w:r>
      <w:r w:rsidRPr="004F1D41">
        <w:rPr>
          <w:sz w:val="14"/>
        </w:rPr>
        <w:t>.</w:t>
      </w:r>
      <w:r>
        <w:rPr>
          <w:sz w:val="14"/>
        </w:rPr>
        <w:t xml:space="preserve"> </w:t>
      </w:r>
      <w:r w:rsidRPr="004F1D41">
        <w:rPr>
          <w:sz w:val="14"/>
        </w:rPr>
        <w:t>Izjave koje se odnose na budućnost karakteriziraju riječi kao što su "očekivati", "namjeravati", "planirati", "predvidjeti", "procijeniti" i slični pojmovi.</w:t>
      </w:r>
      <w:r>
        <w:rPr>
          <w:sz w:val="14"/>
        </w:rPr>
        <w:t xml:space="preserve"> </w:t>
      </w:r>
      <w:r w:rsidRPr="004F1D41">
        <w:rPr>
          <w:sz w:val="14"/>
        </w:rPr>
        <w:t>Ove informacije sadrže izjave o budućnosti koje se temelje na trenutnim procjenama i predviđanjima uprave Henkel AG &amp; Co. KGaA.</w:t>
      </w:r>
      <w:r>
        <w:rPr>
          <w:sz w:val="14"/>
        </w:rPr>
        <w:t xml:space="preserve"> </w:t>
      </w:r>
      <w:r w:rsidRPr="004F1D41">
        <w:rPr>
          <w:sz w:val="14"/>
        </w:rPr>
        <w:t>Takve izjave ni na koji način ne jamče da će se takva očekivanja ispuniti</w:t>
      </w:r>
      <w:r w:rsidR="004D2DCC">
        <w:rPr>
          <w:sz w:val="14"/>
        </w:rPr>
        <w:t xml:space="preserve">. </w:t>
      </w:r>
      <w:r w:rsidRPr="004F1D41">
        <w:rPr>
          <w:sz w:val="14"/>
        </w:rPr>
        <w:t>Budući učinci i rezultati koje Henkel AG &amp; Co. KGaA i njegove podružnice zapravo shvaćaju da ovise o više rizika i neizvjesnosti, te se stoga mogu bitno razlikovati od izjava o budućnosti.</w:t>
      </w:r>
      <w:r>
        <w:rPr>
          <w:sz w:val="14"/>
        </w:rPr>
        <w:t xml:space="preserve"> </w:t>
      </w:r>
      <w:r w:rsidRPr="004F1D41">
        <w:rPr>
          <w:sz w:val="14"/>
        </w:rPr>
        <w:t>Mnogi od ovih čimbenika su izvan Henkelove kontrole i ne mogu se precizno predvidjeti, poput budućeg gospodarskog okruženja i djelovanja konkurenata i ostalih sudionika na tržištu.</w:t>
      </w:r>
      <w:r>
        <w:rPr>
          <w:sz w:val="14"/>
        </w:rPr>
        <w:t xml:space="preserve"> </w:t>
      </w:r>
      <w:r w:rsidRPr="004F1D41">
        <w:rPr>
          <w:sz w:val="14"/>
        </w:rPr>
        <w:t>Henkel ne planira niti se obvezuje ažurirati bilo koju izjavu koja gleda u budućnost.</w:t>
      </w:r>
    </w:p>
    <w:p w14:paraId="37832D08" w14:textId="77777777" w:rsidR="00F911D6" w:rsidRDefault="00F911D6">
      <w:pPr>
        <w:pStyle w:val="BodyText"/>
        <w:spacing w:before="9"/>
        <w:rPr>
          <w:sz w:val="18"/>
        </w:rPr>
      </w:pPr>
    </w:p>
    <w:p w14:paraId="05490D50" w14:textId="712F059F" w:rsidR="00F911D6" w:rsidRDefault="00350270" w:rsidP="00350270">
      <w:pPr>
        <w:spacing w:before="101" w:line="237" w:lineRule="auto"/>
        <w:ind w:left="111" w:right="706"/>
        <w:jc w:val="both"/>
        <w:rPr>
          <w:sz w:val="14"/>
        </w:rPr>
      </w:pPr>
      <w:r w:rsidRPr="00350270">
        <w:rPr>
          <w:sz w:val="14"/>
        </w:rPr>
        <w:t>Ovaj dokument uključuje dodatne financijske mjere koje nisu jasno definirane u primjenjivom okviru financijskog izvještavanja i koje jesu ili mogu biti alternative mjerama utjecaja.</w:t>
      </w:r>
      <w:r w:rsidR="009F5629">
        <w:rPr>
          <w:sz w:val="14"/>
        </w:rPr>
        <w:t xml:space="preserve"> </w:t>
      </w:r>
      <w:r w:rsidRPr="00350270">
        <w:rPr>
          <w:sz w:val="14"/>
        </w:rPr>
        <w:t>Ove dodatne financijske mjere ne bi se trebale promatrati izolirano ili kao alternativa mjerama Henkelove neto imovine i financijskog stanja ili rezultata poslovanja kako su predstavljene u skladu s primjenjivim okvirom financijskog izvještavanja u njegovim konsolidiranim financijskim izvještajima.</w:t>
      </w:r>
      <w:r>
        <w:rPr>
          <w:sz w:val="14"/>
        </w:rPr>
        <w:t xml:space="preserve"> </w:t>
      </w:r>
      <w:r w:rsidRPr="00350270">
        <w:rPr>
          <w:sz w:val="14"/>
        </w:rPr>
        <w:t>Druge tvrtke koje izvještavaju ili opisuju slično nazvane alternativne mjere uspješnosti mogu ih različito izračunati.</w:t>
      </w:r>
    </w:p>
    <w:p w14:paraId="5E907659" w14:textId="34ABBE61" w:rsidR="00F911D6" w:rsidRDefault="00350270">
      <w:pPr>
        <w:spacing w:before="160"/>
        <w:ind w:left="111" w:right="731"/>
        <w:rPr>
          <w:sz w:val="14"/>
        </w:rPr>
      </w:pPr>
      <w:r w:rsidRPr="00350270">
        <w:rPr>
          <w:sz w:val="14"/>
        </w:rPr>
        <w:t>Ovaj dokument izdaje se samo u informativne svrhe i nije namijenjen posluživanju kao investicijski savjet ili ponuda za prodaju ili ponuda za kupnju bilo kakvih vrijednosnih papira</w:t>
      </w:r>
      <w:r>
        <w:rPr>
          <w:sz w:val="14"/>
        </w:rPr>
        <w:t>.</w:t>
      </w:r>
    </w:p>
    <w:p w14:paraId="67192EB0" w14:textId="77777777" w:rsidR="00F911D6" w:rsidRDefault="009F5629">
      <w:pPr>
        <w:spacing w:before="160"/>
        <w:ind w:left="111"/>
        <w:rPr>
          <w:b/>
          <w:sz w:val="18"/>
        </w:rPr>
      </w:pPr>
      <w:r>
        <w:rPr>
          <w:b/>
          <w:sz w:val="18"/>
        </w:rPr>
        <w:t>Kontakt</w:t>
      </w:r>
    </w:p>
    <w:p w14:paraId="4C210787" w14:textId="77777777" w:rsidR="00F911D6" w:rsidRDefault="00F911D6">
      <w:pPr>
        <w:pStyle w:val="BodyText"/>
        <w:spacing w:before="9"/>
        <w:rPr>
          <w:b/>
          <w:sz w:val="21"/>
        </w:rPr>
      </w:pPr>
    </w:p>
    <w:p w14:paraId="05FBB998" w14:textId="77777777" w:rsidR="004D2DCC" w:rsidRDefault="009F5629" w:rsidP="004D2DCC">
      <w:pPr>
        <w:tabs>
          <w:tab w:val="left" w:pos="4649"/>
        </w:tabs>
        <w:ind w:left="111"/>
        <w:rPr>
          <w:b/>
          <w:sz w:val="18"/>
        </w:rPr>
      </w:pPr>
      <w:r>
        <w:rPr>
          <w:b/>
          <w:sz w:val="18"/>
        </w:rPr>
        <w:t>Jelena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Gavrilović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Šarenac</w:t>
      </w:r>
      <w:r>
        <w:rPr>
          <w:b/>
          <w:sz w:val="18"/>
        </w:rPr>
        <w:tab/>
      </w:r>
    </w:p>
    <w:p w14:paraId="4260DA76" w14:textId="250BB012" w:rsidR="00F911D6" w:rsidRDefault="004D2DCC" w:rsidP="004D2DCC">
      <w:pPr>
        <w:tabs>
          <w:tab w:val="left" w:pos="4649"/>
        </w:tabs>
        <w:ind w:left="111"/>
        <w:rPr>
          <w:sz w:val="18"/>
        </w:rPr>
      </w:pPr>
      <w:r w:rsidRPr="004D2DCC">
        <w:rPr>
          <w:bCs/>
          <w:sz w:val="18"/>
        </w:rPr>
        <w:t>T</w:t>
      </w:r>
      <w:r w:rsidR="009F5629" w:rsidRPr="004D2DCC">
        <w:rPr>
          <w:bCs/>
          <w:sz w:val="18"/>
        </w:rPr>
        <w:t>ele</w:t>
      </w:r>
      <w:r w:rsidR="009F5629">
        <w:rPr>
          <w:sz w:val="18"/>
        </w:rPr>
        <w:t>fon:</w:t>
      </w:r>
      <w:r w:rsidR="009F5629">
        <w:rPr>
          <w:spacing w:val="-3"/>
          <w:sz w:val="18"/>
        </w:rPr>
        <w:t xml:space="preserve"> </w:t>
      </w:r>
      <w:r w:rsidR="009F5629">
        <w:rPr>
          <w:sz w:val="18"/>
        </w:rPr>
        <w:t>+381</w:t>
      </w:r>
      <w:r w:rsidR="009F5629">
        <w:rPr>
          <w:spacing w:val="-3"/>
          <w:sz w:val="18"/>
        </w:rPr>
        <w:t xml:space="preserve"> </w:t>
      </w:r>
      <w:r w:rsidR="009F5629">
        <w:rPr>
          <w:sz w:val="18"/>
        </w:rPr>
        <w:t>11</w:t>
      </w:r>
      <w:r w:rsidR="009F5629">
        <w:rPr>
          <w:spacing w:val="2"/>
          <w:sz w:val="18"/>
        </w:rPr>
        <w:t xml:space="preserve"> </w:t>
      </w:r>
      <w:r w:rsidR="009F5629">
        <w:rPr>
          <w:sz w:val="18"/>
        </w:rPr>
        <w:t>207</w:t>
      </w:r>
      <w:r w:rsidR="009F5629">
        <w:rPr>
          <w:spacing w:val="1"/>
          <w:sz w:val="18"/>
        </w:rPr>
        <w:t xml:space="preserve"> </w:t>
      </w:r>
      <w:r w:rsidR="009F5629">
        <w:rPr>
          <w:sz w:val="18"/>
        </w:rPr>
        <w:t>22</w:t>
      </w:r>
      <w:r w:rsidR="009F5629">
        <w:rPr>
          <w:spacing w:val="-3"/>
          <w:sz w:val="18"/>
        </w:rPr>
        <w:t xml:space="preserve"> </w:t>
      </w:r>
      <w:r w:rsidR="009F5629">
        <w:rPr>
          <w:sz w:val="18"/>
        </w:rPr>
        <w:t>09</w:t>
      </w:r>
      <w:r w:rsidR="009F5629">
        <w:rPr>
          <w:sz w:val="18"/>
        </w:rPr>
        <w:tab/>
      </w:r>
    </w:p>
    <w:p w14:paraId="18A9B2C4" w14:textId="3FDD307B" w:rsidR="00F911D6" w:rsidRDefault="009F5629">
      <w:pPr>
        <w:tabs>
          <w:tab w:val="left" w:pos="4649"/>
        </w:tabs>
        <w:spacing w:before="35"/>
        <w:ind w:left="111"/>
        <w:rPr>
          <w:sz w:val="18"/>
        </w:rPr>
      </w:pPr>
      <w:r>
        <w:rPr>
          <w:sz w:val="18"/>
        </w:rPr>
        <w:t>E-mail:</w:t>
      </w:r>
      <w:r>
        <w:rPr>
          <w:spacing w:val="-6"/>
          <w:sz w:val="18"/>
        </w:rPr>
        <w:t xml:space="preserve"> </w:t>
      </w:r>
      <w:hyperlink r:id="rId23">
        <w:r>
          <w:rPr>
            <w:sz w:val="18"/>
          </w:rPr>
          <w:t>jelena.sarenac@henkel.com</w:t>
        </w:r>
      </w:hyperlink>
      <w:r>
        <w:rPr>
          <w:sz w:val="18"/>
        </w:rPr>
        <w:tab/>
      </w:r>
      <w:r w:rsidR="004D2DCC">
        <w:rPr>
          <w:sz w:val="18"/>
        </w:rPr>
        <w:t xml:space="preserve"> </w:t>
      </w:r>
    </w:p>
    <w:p w14:paraId="413BD122" w14:textId="77777777" w:rsidR="00F911D6" w:rsidRDefault="00F911D6">
      <w:pPr>
        <w:pStyle w:val="BodyText"/>
        <w:rPr>
          <w:sz w:val="24"/>
        </w:rPr>
      </w:pPr>
    </w:p>
    <w:p w14:paraId="2ED2ED94" w14:textId="2E0D1ACA" w:rsidR="00F911D6" w:rsidRDefault="00FB4667">
      <w:pPr>
        <w:spacing w:before="200" w:line="261" w:lineRule="auto"/>
        <w:ind w:left="111" w:right="7856"/>
        <w:rPr>
          <w:sz w:val="18"/>
        </w:rPr>
      </w:pPr>
      <w:hyperlink r:id="rId24">
        <w:r w:rsidR="009F5629">
          <w:rPr>
            <w:color w:val="0000FF"/>
            <w:sz w:val="18"/>
            <w:u w:val="single" w:color="0000FF"/>
          </w:rPr>
          <w:t>www.henkel.com/press</w:t>
        </w:r>
      </w:hyperlink>
      <w:r w:rsidR="009F5629">
        <w:rPr>
          <w:color w:val="0000FF"/>
          <w:spacing w:val="-47"/>
          <w:sz w:val="18"/>
        </w:rPr>
        <w:t xml:space="preserve"> </w:t>
      </w:r>
      <w:hyperlink r:id="rId25" w:history="1">
        <w:r w:rsidR="00E00006" w:rsidRPr="00492BA3">
          <w:rPr>
            <w:rStyle w:val="Hyperlink"/>
            <w:sz w:val="18"/>
          </w:rPr>
          <w:t>www.henkel.hr</w:t>
        </w:r>
      </w:hyperlink>
    </w:p>
    <w:sectPr w:rsidR="00F911D6">
      <w:pgSz w:w="11910" w:h="16840"/>
      <w:pgMar w:top="1580" w:right="800" w:bottom="1100" w:left="130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56EE8" w14:textId="77777777" w:rsidR="00FB4667" w:rsidRDefault="00FB4667">
      <w:r>
        <w:separator/>
      </w:r>
    </w:p>
  </w:endnote>
  <w:endnote w:type="continuationSeparator" w:id="0">
    <w:p w14:paraId="5986B003" w14:textId="77777777" w:rsidR="00FB4667" w:rsidRDefault="00FB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F0215" w14:textId="77777777" w:rsidR="00F911D6" w:rsidRDefault="00FB4667">
    <w:pPr>
      <w:pStyle w:val="BodyText"/>
      <w:spacing w:line="14" w:lineRule="auto"/>
      <w:rPr>
        <w:sz w:val="20"/>
      </w:rPr>
    </w:pPr>
    <w:r>
      <w:pict w14:anchorId="247A815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7pt;margin-top:785.7pt;width:29.55pt;height:10pt;z-index:-15835648;mso-position-horizontal-relative:page;mso-position-vertical-relative:page" filled="f" stroked="f">
          <v:textbox inset="0,0,0,0">
            <w:txbxContent>
              <w:p w14:paraId="5EA483FB" w14:textId="77777777" w:rsidR="00F911D6" w:rsidRDefault="009F5629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Strana 1/7</w:t>
                </w:r>
              </w:p>
            </w:txbxContent>
          </v:textbox>
          <w10:wrap anchorx="page" anchory="page"/>
        </v:shape>
      </w:pict>
    </w:r>
    <w:r>
      <w:pict w14:anchorId="0AC09956">
        <v:shape id="_x0000_s2051" type="#_x0000_t202" style="position:absolute;margin-left:76.8pt;margin-top:788.45pt;width:294.05pt;height:12.55pt;z-index:-15835136;mso-position-horizontal-relative:page;mso-position-vertical-relative:page" filled="f" stroked="f">
          <v:textbox inset="0,0,0,0">
            <w:txbxContent>
              <w:p w14:paraId="7E196961" w14:textId="77777777" w:rsidR="00F911D6" w:rsidRDefault="009F5629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*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Korigovano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zbog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jednokratnih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troškova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dobiti,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 zbog troškova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restrukturiranja.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C319" w14:textId="77777777" w:rsidR="00F911D6" w:rsidRDefault="00FB4667">
    <w:pPr>
      <w:pStyle w:val="BodyText"/>
      <w:spacing w:line="14" w:lineRule="auto"/>
      <w:rPr>
        <w:sz w:val="20"/>
      </w:rPr>
    </w:pPr>
    <w:r>
      <w:pict w14:anchorId="19C72A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6pt;margin-top:785.7pt;width:63.05pt;height:10pt;z-index:-15834624;mso-position-horizontal-relative:page;mso-position-vertical-relative:page" filled="f" stroked="f">
          <v:textbox inset="0,0,0,0">
            <w:txbxContent>
              <w:p w14:paraId="242C8AF9" w14:textId="77777777" w:rsidR="00F911D6" w:rsidRDefault="009F5629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Henkel AG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&amp; Co.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KGaA</w:t>
                </w:r>
              </w:p>
            </w:txbxContent>
          </v:textbox>
          <w10:wrap anchorx="page" anchory="page"/>
        </v:shape>
      </w:pict>
    </w:r>
    <w:r>
      <w:pict w14:anchorId="08B9E576">
        <v:shape id="_x0000_s2049" type="#_x0000_t202" style="position:absolute;margin-left:496pt;margin-top:785.7pt;width:32.55pt;height:10pt;z-index:-15834112;mso-position-horizontal-relative:page;mso-position-vertical-relative:page" filled="f" stroked="f">
          <v:textbox inset="0,0,0,0">
            <w:txbxContent>
              <w:p w14:paraId="2CFD7611" w14:textId="77777777" w:rsidR="00F911D6" w:rsidRDefault="009F5629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Strana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2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213A2" w14:textId="77777777" w:rsidR="00FB4667" w:rsidRDefault="00FB4667">
      <w:r>
        <w:separator/>
      </w:r>
    </w:p>
  </w:footnote>
  <w:footnote w:type="continuationSeparator" w:id="0">
    <w:p w14:paraId="543DCA16" w14:textId="77777777" w:rsidR="00FB4667" w:rsidRDefault="00FB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F6597"/>
    <w:multiLevelType w:val="hybridMultilevel"/>
    <w:tmpl w:val="49909E5A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74FB24BC"/>
    <w:multiLevelType w:val="hybridMultilevel"/>
    <w:tmpl w:val="FE640A56"/>
    <w:lvl w:ilvl="0" w:tplc="D7D81BA4">
      <w:numFmt w:val="bullet"/>
      <w:lvlText w:val=""/>
      <w:lvlJc w:val="left"/>
      <w:pPr>
        <w:ind w:left="466" w:hanging="356"/>
      </w:pPr>
      <w:rPr>
        <w:rFonts w:ascii="Wingdings" w:eastAsia="Wingdings" w:hAnsi="Wingdings" w:cs="Wingdings" w:hint="default"/>
        <w:color w:val="E0000E"/>
        <w:w w:val="100"/>
        <w:sz w:val="24"/>
        <w:szCs w:val="24"/>
        <w:lang w:val="bs" w:eastAsia="en-US" w:bidi="ar-SA"/>
      </w:rPr>
    </w:lvl>
    <w:lvl w:ilvl="1" w:tplc="D2465D64">
      <w:numFmt w:val="bullet"/>
      <w:lvlText w:val="-"/>
      <w:lvlJc w:val="left"/>
      <w:pPr>
        <w:ind w:left="1187" w:hanging="356"/>
      </w:pPr>
      <w:rPr>
        <w:rFonts w:ascii="Arial" w:eastAsia="Arial" w:hAnsi="Arial" w:cs="Arial" w:hint="default"/>
        <w:color w:val="FF0000"/>
        <w:w w:val="100"/>
        <w:sz w:val="22"/>
        <w:szCs w:val="22"/>
        <w:lang w:val="bs" w:eastAsia="en-US" w:bidi="ar-SA"/>
      </w:rPr>
    </w:lvl>
    <w:lvl w:ilvl="2" w:tplc="41EC8C16">
      <w:numFmt w:val="bullet"/>
      <w:lvlText w:val="•"/>
      <w:lvlJc w:val="left"/>
      <w:pPr>
        <w:ind w:left="1340" w:hanging="356"/>
      </w:pPr>
      <w:rPr>
        <w:rFonts w:hint="default"/>
        <w:lang w:val="bs" w:eastAsia="en-US" w:bidi="ar-SA"/>
      </w:rPr>
    </w:lvl>
    <w:lvl w:ilvl="3" w:tplc="B6A6772E">
      <w:numFmt w:val="bullet"/>
      <w:lvlText w:val="•"/>
      <w:lvlJc w:val="left"/>
      <w:pPr>
        <w:ind w:left="2398" w:hanging="356"/>
      </w:pPr>
      <w:rPr>
        <w:rFonts w:hint="default"/>
        <w:lang w:val="bs" w:eastAsia="en-US" w:bidi="ar-SA"/>
      </w:rPr>
    </w:lvl>
    <w:lvl w:ilvl="4" w:tplc="9EFA86C2">
      <w:numFmt w:val="bullet"/>
      <w:lvlText w:val="•"/>
      <w:lvlJc w:val="left"/>
      <w:pPr>
        <w:ind w:left="3457" w:hanging="356"/>
      </w:pPr>
      <w:rPr>
        <w:rFonts w:hint="default"/>
        <w:lang w:val="bs" w:eastAsia="en-US" w:bidi="ar-SA"/>
      </w:rPr>
    </w:lvl>
    <w:lvl w:ilvl="5" w:tplc="34CA731C">
      <w:numFmt w:val="bullet"/>
      <w:lvlText w:val="•"/>
      <w:lvlJc w:val="left"/>
      <w:pPr>
        <w:ind w:left="4515" w:hanging="356"/>
      </w:pPr>
      <w:rPr>
        <w:rFonts w:hint="default"/>
        <w:lang w:val="bs" w:eastAsia="en-US" w:bidi="ar-SA"/>
      </w:rPr>
    </w:lvl>
    <w:lvl w:ilvl="6" w:tplc="5B0C623A">
      <w:numFmt w:val="bullet"/>
      <w:lvlText w:val="•"/>
      <w:lvlJc w:val="left"/>
      <w:pPr>
        <w:ind w:left="5574" w:hanging="356"/>
      </w:pPr>
      <w:rPr>
        <w:rFonts w:hint="default"/>
        <w:lang w:val="bs" w:eastAsia="en-US" w:bidi="ar-SA"/>
      </w:rPr>
    </w:lvl>
    <w:lvl w:ilvl="7" w:tplc="E474B26C">
      <w:numFmt w:val="bullet"/>
      <w:lvlText w:val="•"/>
      <w:lvlJc w:val="left"/>
      <w:pPr>
        <w:ind w:left="6633" w:hanging="356"/>
      </w:pPr>
      <w:rPr>
        <w:rFonts w:hint="default"/>
        <w:lang w:val="bs" w:eastAsia="en-US" w:bidi="ar-SA"/>
      </w:rPr>
    </w:lvl>
    <w:lvl w:ilvl="8" w:tplc="629EB6F4">
      <w:numFmt w:val="bullet"/>
      <w:lvlText w:val="•"/>
      <w:lvlJc w:val="left"/>
      <w:pPr>
        <w:ind w:left="7691" w:hanging="356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1D6"/>
    <w:rsid w:val="00005217"/>
    <w:rsid w:val="000809EA"/>
    <w:rsid w:val="00095E9C"/>
    <w:rsid w:val="001D265E"/>
    <w:rsid w:val="0023419F"/>
    <w:rsid w:val="002C7C54"/>
    <w:rsid w:val="00350270"/>
    <w:rsid w:val="00375ADF"/>
    <w:rsid w:val="00421111"/>
    <w:rsid w:val="004D2DCC"/>
    <w:rsid w:val="004F1D41"/>
    <w:rsid w:val="004F5BB6"/>
    <w:rsid w:val="0058320D"/>
    <w:rsid w:val="00666322"/>
    <w:rsid w:val="00667067"/>
    <w:rsid w:val="0076644C"/>
    <w:rsid w:val="00773EE4"/>
    <w:rsid w:val="007D7345"/>
    <w:rsid w:val="007F1404"/>
    <w:rsid w:val="00871560"/>
    <w:rsid w:val="008E0796"/>
    <w:rsid w:val="009F5629"/>
    <w:rsid w:val="00A46AAC"/>
    <w:rsid w:val="00AA0A7B"/>
    <w:rsid w:val="00AF27B4"/>
    <w:rsid w:val="00AF5EB4"/>
    <w:rsid w:val="00BD5CDF"/>
    <w:rsid w:val="00CE4336"/>
    <w:rsid w:val="00DE7586"/>
    <w:rsid w:val="00E00006"/>
    <w:rsid w:val="00E46FB4"/>
    <w:rsid w:val="00EB5899"/>
    <w:rsid w:val="00ED3173"/>
    <w:rsid w:val="00EF7136"/>
    <w:rsid w:val="00F911D6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136BBD3"/>
  <w15:docId w15:val="{8AA47AF2-78C5-4F53-B292-0493B002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8"/>
      <w:ind w:left="524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5"/>
      <w:ind w:left="466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0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://www.henkel.h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henkel.com/pres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jelena.sarenac@henkel.co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Jelena Sarenac</cp:lastModifiedBy>
  <cp:revision>29</cp:revision>
  <dcterms:created xsi:type="dcterms:W3CDTF">2021-03-07T08:44:00Z</dcterms:created>
  <dcterms:modified xsi:type="dcterms:W3CDTF">2021-03-10T18:54:00Z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2021-03-07T00:00:00Z</vt:filetime>
  </property>
</Properties>
</file>