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1D87D" w14:textId="5E451332" w:rsidR="00B422EC" w:rsidRPr="001658F0" w:rsidRDefault="0019638B" w:rsidP="00643D8A">
      <w:pPr>
        <w:pStyle w:val="MonthDayYear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4</w:t>
      </w:r>
      <w:r w:rsidR="0018282C" w:rsidRPr="001658F0">
        <w:rPr>
          <w:rFonts w:ascii="Calibri" w:hAnsi="Calibri" w:cs="Calibri"/>
          <w:lang w:val="sk-SK"/>
        </w:rPr>
        <w:t>.</w:t>
      </w:r>
      <w:r w:rsidR="00B86F4F" w:rsidRPr="001658F0">
        <w:rPr>
          <w:rFonts w:ascii="Calibri" w:hAnsi="Calibri" w:cs="Calibri"/>
          <w:lang w:val="sk-SK"/>
        </w:rPr>
        <w:t xml:space="preserve"> </w:t>
      </w:r>
      <w:r w:rsidR="007012BC">
        <w:rPr>
          <w:rFonts w:ascii="Calibri" w:hAnsi="Calibri" w:cs="Calibri"/>
          <w:lang w:val="sk-SK"/>
        </w:rPr>
        <w:t>března</w:t>
      </w:r>
      <w:r w:rsidR="00263D3E" w:rsidRPr="001658F0">
        <w:rPr>
          <w:rFonts w:ascii="Calibri" w:hAnsi="Calibri" w:cs="Calibri"/>
          <w:lang w:val="sk-SK"/>
        </w:rPr>
        <w:t xml:space="preserve"> </w:t>
      </w:r>
      <w:r w:rsidR="00BF6E82" w:rsidRPr="001658F0">
        <w:rPr>
          <w:rFonts w:ascii="Calibri" w:hAnsi="Calibri" w:cs="Calibri"/>
          <w:lang w:val="sk-SK"/>
        </w:rPr>
        <w:t>20</w:t>
      </w:r>
      <w:r w:rsidR="00F635FC" w:rsidRPr="001658F0">
        <w:rPr>
          <w:rFonts w:ascii="Calibri" w:hAnsi="Calibri" w:cs="Calibri"/>
          <w:lang w:val="sk-SK"/>
        </w:rPr>
        <w:t>2</w:t>
      </w:r>
      <w:r w:rsidR="00B37811" w:rsidRPr="001658F0">
        <w:rPr>
          <w:rFonts w:ascii="Calibri" w:hAnsi="Calibri" w:cs="Calibri"/>
          <w:lang w:val="sk-SK"/>
        </w:rPr>
        <w:t>1</w:t>
      </w:r>
    </w:p>
    <w:p w14:paraId="625F05AB" w14:textId="0A8F9800" w:rsidR="0019638B" w:rsidRPr="007012BC" w:rsidRDefault="008E257A" w:rsidP="0019638B">
      <w:pPr>
        <w:pStyle w:val="Topline"/>
        <w:spacing w:after="360"/>
        <w:rPr>
          <w:rFonts w:asciiTheme="majorHAnsi" w:hAnsiTheme="majorHAnsi" w:cs="Cambria"/>
          <w:lang w:val="cs-CZ"/>
        </w:rPr>
      </w:pPr>
      <w:r w:rsidRPr="007012BC">
        <w:rPr>
          <w:rFonts w:asciiTheme="majorHAnsi" w:hAnsiTheme="majorHAnsi" w:cs="Cambria"/>
          <w:lang w:val="cs-CZ"/>
        </w:rPr>
        <w:t>Společnost</w:t>
      </w:r>
      <w:r w:rsidR="0019638B" w:rsidRPr="007012BC">
        <w:rPr>
          <w:rFonts w:asciiTheme="majorHAnsi" w:hAnsiTheme="majorHAnsi" w:cs="Cambria"/>
          <w:lang w:val="cs-CZ"/>
        </w:rPr>
        <w:t xml:space="preserve"> Henkel navrhne výplatu dividend na úrovni</w:t>
      </w:r>
      <w:r>
        <w:rPr>
          <w:rFonts w:asciiTheme="majorHAnsi" w:hAnsiTheme="majorHAnsi" w:cs="Cambria"/>
          <w:lang w:val="cs-CZ"/>
        </w:rPr>
        <w:t xml:space="preserve"> předchozího roku</w:t>
      </w:r>
    </w:p>
    <w:p w14:paraId="72695DEA" w14:textId="3898A426" w:rsidR="0019638B" w:rsidRPr="007012BC" w:rsidRDefault="008E257A" w:rsidP="0019638B">
      <w:pPr>
        <w:jc w:val="left"/>
        <w:rPr>
          <w:rStyle w:val="Headline"/>
          <w:rFonts w:asciiTheme="majorHAnsi" w:hAnsiTheme="majorHAnsi" w:cs="Cambria"/>
          <w:lang w:val="cs-CZ"/>
        </w:rPr>
      </w:pPr>
      <w:r>
        <w:rPr>
          <w:rStyle w:val="Headline"/>
          <w:rFonts w:asciiTheme="majorHAnsi" w:hAnsiTheme="majorHAnsi" w:cs="Cambria"/>
          <w:lang w:val="cs-CZ"/>
        </w:rPr>
        <w:t xml:space="preserve">Společnost Henkel </w:t>
      </w:r>
      <w:r w:rsidR="00B41614">
        <w:rPr>
          <w:rStyle w:val="Headline"/>
          <w:rFonts w:asciiTheme="majorHAnsi" w:hAnsiTheme="majorHAnsi" w:cs="Cambria"/>
          <w:lang w:val="cs-CZ"/>
        </w:rPr>
        <w:t>dosáhla</w:t>
      </w:r>
      <w:r>
        <w:rPr>
          <w:rStyle w:val="Headline"/>
          <w:rFonts w:asciiTheme="majorHAnsi" w:hAnsiTheme="majorHAnsi" w:cs="Cambria"/>
          <w:lang w:val="cs-CZ"/>
        </w:rPr>
        <w:t xml:space="preserve"> ve fiskálním roce 2020 </w:t>
      </w:r>
      <w:r w:rsidR="00B41614">
        <w:rPr>
          <w:rStyle w:val="Headline"/>
          <w:rFonts w:asciiTheme="majorHAnsi" w:hAnsiTheme="majorHAnsi" w:cs="Cambria"/>
          <w:lang w:val="cs-CZ"/>
        </w:rPr>
        <w:t xml:space="preserve">celkově silného výkonu, a to i přes značný </w:t>
      </w:r>
      <w:r w:rsidR="004D7D82">
        <w:rPr>
          <w:rStyle w:val="Headline"/>
          <w:rFonts w:asciiTheme="majorHAnsi" w:hAnsiTheme="majorHAnsi" w:cs="Cambria"/>
          <w:lang w:val="cs-CZ"/>
        </w:rPr>
        <w:t xml:space="preserve">negativní </w:t>
      </w:r>
      <w:r w:rsidR="00B41614">
        <w:rPr>
          <w:rStyle w:val="Headline"/>
          <w:rFonts w:asciiTheme="majorHAnsi" w:hAnsiTheme="majorHAnsi" w:cs="Cambria"/>
          <w:lang w:val="cs-CZ"/>
        </w:rPr>
        <w:t>dopad pandemie COVID-19</w:t>
      </w:r>
    </w:p>
    <w:p w14:paraId="4F44D052" w14:textId="77777777" w:rsidR="0019638B" w:rsidRPr="007012BC" w:rsidRDefault="0019638B" w:rsidP="0019638B">
      <w:pPr>
        <w:rPr>
          <w:lang w:val="cs-CZ"/>
        </w:rPr>
      </w:pPr>
    </w:p>
    <w:p w14:paraId="1DF8AC70" w14:textId="6A0024BF" w:rsidR="0019638B" w:rsidRPr="007012BC" w:rsidRDefault="0019638B" w:rsidP="0019638B">
      <w:pPr>
        <w:pStyle w:val="ListParagraph"/>
        <w:numPr>
          <w:ilvl w:val="0"/>
          <w:numId w:val="9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cs-CZ"/>
        </w:rPr>
      </w:pPr>
      <w:bookmarkStart w:id="1" w:name="_Hlk43712519"/>
      <w:r w:rsidRPr="007012BC">
        <w:rPr>
          <w:rFonts w:asciiTheme="majorHAnsi" w:hAnsiTheme="majorHAnsi" w:cs="Cambria"/>
          <w:b/>
          <w:szCs w:val="22"/>
          <w:lang w:val="cs-CZ"/>
        </w:rPr>
        <w:t xml:space="preserve">Vyrovnané </w:t>
      </w:r>
      <w:r w:rsidR="00A4278C" w:rsidRPr="007012BC">
        <w:rPr>
          <w:rFonts w:asciiTheme="majorHAnsi" w:hAnsiTheme="majorHAnsi" w:cs="Cambria"/>
          <w:b/>
          <w:szCs w:val="22"/>
          <w:lang w:val="cs-CZ"/>
        </w:rPr>
        <w:t>portfolio</w:t>
      </w:r>
      <w:r w:rsidRPr="007012BC">
        <w:rPr>
          <w:rFonts w:asciiTheme="majorHAnsi" w:hAnsiTheme="majorHAnsi" w:cs="Cambria"/>
          <w:b/>
          <w:szCs w:val="22"/>
          <w:lang w:val="cs-CZ"/>
        </w:rPr>
        <w:t xml:space="preserve">, výrazné </w:t>
      </w:r>
      <w:r w:rsidR="00A4278C" w:rsidRPr="007012BC">
        <w:rPr>
          <w:rFonts w:asciiTheme="majorHAnsi" w:hAnsiTheme="majorHAnsi" w:cs="Cambria"/>
          <w:b/>
          <w:szCs w:val="22"/>
          <w:lang w:val="cs-CZ"/>
        </w:rPr>
        <w:t>inovace</w:t>
      </w:r>
      <w:r w:rsidRPr="007012BC">
        <w:rPr>
          <w:rFonts w:asciiTheme="majorHAnsi" w:hAnsiTheme="majorHAnsi" w:cs="Cambria"/>
          <w:b/>
          <w:szCs w:val="22"/>
          <w:lang w:val="cs-CZ"/>
        </w:rPr>
        <w:t xml:space="preserve">, </w:t>
      </w:r>
      <w:r w:rsidR="00A4278C" w:rsidRPr="007012BC">
        <w:rPr>
          <w:rFonts w:asciiTheme="majorHAnsi" w:hAnsiTheme="majorHAnsi" w:cs="Cambria"/>
          <w:b/>
          <w:szCs w:val="22"/>
          <w:lang w:val="cs-CZ"/>
        </w:rPr>
        <w:t>finanční</w:t>
      </w:r>
      <w:r w:rsidRPr="007012BC">
        <w:rPr>
          <w:rFonts w:asciiTheme="majorHAnsi" w:hAnsiTheme="majorHAnsi" w:cs="Cambria"/>
          <w:b/>
          <w:szCs w:val="22"/>
          <w:lang w:val="cs-CZ"/>
        </w:rPr>
        <w:t xml:space="preserve"> s</w:t>
      </w:r>
      <w:r w:rsidR="00A4278C">
        <w:rPr>
          <w:rFonts w:asciiTheme="majorHAnsi" w:hAnsiTheme="majorHAnsi" w:cs="Cambria"/>
          <w:b/>
          <w:szCs w:val="22"/>
          <w:lang w:val="cs-CZ"/>
        </w:rPr>
        <w:t>í</w:t>
      </w:r>
      <w:r w:rsidRPr="007012BC">
        <w:rPr>
          <w:rFonts w:asciiTheme="majorHAnsi" w:hAnsiTheme="majorHAnsi" w:cs="Cambria"/>
          <w:b/>
          <w:szCs w:val="22"/>
          <w:lang w:val="cs-CZ"/>
        </w:rPr>
        <w:t xml:space="preserve">la a odhodlaní </w:t>
      </w:r>
      <w:r w:rsidR="00A4278C" w:rsidRPr="007012BC">
        <w:rPr>
          <w:rFonts w:asciiTheme="majorHAnsi" w:hAnsiTheme="majorHAnsi" w:cs="Cambria"/>
          <w:b/>
          <w:szCs w:val="22"/>
          <w:lang w:val="cs-CZ"/>
        </w:rPr>
        <w:t>zaměstnanci</w:t>
      </w:r>
      <w:r w:rsidRPr="007012BC">
        <w:rPr>
          <w:rFonts w:asciiTheme="majorHAnsi" w:hAnsiTheme="majorHAnsi" w:cs="Cambria"/>
          <w:b/>
          <w:szCs w:val="22"/>
          <w:lang w:val="cs-CZ"/>
        </w:rPr>
        <w:t xml:space="preserve"> b</w:t>
      </w:r>
      <w:r w:rsidR="00A4278C">
        <w:rPr>
          <w:rFonts w:asciiTheme="majorHAnsi" w:hAnsiTheme="majorHAnsi" w:cs="Cambria"/>
          <w:b/>
          <w:szCs w:val="22"/>
          <w:lang w:val="cs-CZ"/>
        </w:rPr>
        <w:t>yli</w:t>
      </w:r>
      <w:r w:rsidRPr="007012BC">
        <w:rPr>
          <w:rFonts w:asciiTheme="majorHAnsi" w:hAnsiTheme="majorHAnsi" w:cs="Cambria"/>
          <w:b/>
          <w:szCs w:val="22"/>
          <w:lang w:val="cs-CZ"/>
        </w:rPr>
        <w:t xml:space="preserve"> k</w:t>
      </w:r>
      <w:r w:rsidR="00A4278C">
        <w:rPr>
          <w:rFonts w:asciiTheme="majorHAnsi" w:hAnsiTheme="majorHAnsi" w:cs="Cambria"/>
          <w:b/>
          <w:szCs w:val="22"/>
          <w:lang w:val="cs-CZ"/>
        </w:rPr>
        <w:t xml:space="preserve">líčem </w:t>
      </w:r>
      <w:r w:rsidRPr="007012BC">
        <w:rPr>
          <w:rFonts w:asciiTheme="majorHAnsi" w:hAnsiTheme="majorHAnsi" w:cs="Cambria"/>
          <w:b/>
          <w:szCs w:val="22"/>
          <w:lang w:val="cs-CZ"/>
        </w:rPr>
        <w:t>k silným obchodn</w:t>
      </w:r>
      <w:r w:rsidR="00897440">
        <w:rPr>
          <w:rFonts w:asciiTheme="majorHAnsi" w:hAnsiTheme="majorHAnsi" w:cs="Cambria"/>
          <w:b/>
          <w:szCs w:val="22"/>
          <w:lang w:val="cs-CZ"/>
        </w:rPr>
        <w:t>í</w:t>
      </w:r>
      <w:r w:rsidRPr="007012BC">
        <w:rPr>
          <w:rFonts w:asciiTheme="majorHAnsi" w:hAnsiTheme="majorHAnsi" w:cs="Cambria"/>
          <w:b/>
          <w:szCs w:val="22"/>
          <w:lang w:val="cs-CZ"/>
        </w:rPr>
        <w:t xml:space="preserve">m </w:t>
      </w:r>
      <w:r w:rsidR="00A4278C" w:rsidRPr="007012BC">
        <w:rPr>
          <w:rFonts w:asciiTheme="majorHAnsi" w:hAnsiTheme="majorHAnsi" w:cs="Cambria"/>
          <w:b/>
          <w:szCs w:val="22"/>
          <w:lang w:val="cs-CZ"/>
        </w:rPr>
        <w:t>výsledkům</w:t>
      </w:r>
      <w:r w:rsidRPr="007012BC">
        <w:rPr>
          <w:rFonts w:asciiTheme="majorHAnsi" w:hAnsiTheme="majorHAnsi" w:cs="Cambria"/>
          <w:b/>
          <w:szCs w:val="22"/>
          <w:lang w:val="cs-CZ"/>
        </w:rPr>
        <w:t xml:space="preserve"> v čase globáln</w:t>
      </w:r>
      <w:r w:rsidR="00A4278C">
        <w:rPr>
          <w:rFonts w:asciiTheme="majorHAnsi" w:hAnsiTheme="majorHAnsi" w:cs="Cambria"/>
          <w:b/>
          <w:szCs w:val="22"/>
          <w:lang w:val="cs-CZ"/>
        </w:rPr>
        <w:t>í krize</w:t>
      </w:r>
      <w:r w:rsidRPr="007012BC">
        <w:rPr>
          <w:rFonts w:asciiTheme="majorHAnsi" w:hAnsiTheme="majorHAnsi" w:cs="Cambria"/>
          <w:b/>
          <w:szCs w:val="22"/>
          <w:lang w:val="cs-CZ"/>
        </w:rPr>
        <w:t xml:space="preserve">  </w:t>
      </w:r>
    </w:p>
    <w:p w14:paraId="67FC0593" w14:textId="7AF2506E" w:rsidR="0019638B" w:rsidRPr="007012BC" w:rsidRDefault="0019638B" w:rsidP="0019638B">
      <w:pPr>
        <w:pStyle w:val="ListParagraph"/>
        <w:numPr>
          <w:ilvl w:val="0"/>
          <w:numId w:val="9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cs-CZ"/>
        </w:rPr>
      </w:pPr>
      <w:r w:rsidRPr="007012BC">
        <w:rPr>
          <w:rFonts w:asciiTheme="majorHAnsi" w:hAnsiTheme="majorHAnsi" w:cs="Cambria"/>
          <w:b/>
          <w:szCs w:val="22"/>
          <w:lang w:val="cs-CZ" w:bidi="bo-CN"/>
        </w:rPr>
        <w:t xml:space="preserve">Výsledky za rok 2020 v </w:t>
      </w:r>
      <w:r w:rsidR="00712EBE">
        <w:rPr>
          <w:rFonts w:asciiTheme="majorHAnsi" w:hAnsiTheme="majorHAnsi" w:cs="Cambria"/>
          <w:b/>
          <w:szCs w:val="22"/>
          <w:lang w:val="cs-CZ" w:bidi="bo-CN"/>
        </w:rPr>
        <w:t>lepší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 xml:space="preserve"> časti </w:t>
      </w:r>
      <w:r w:rsidR="006D3B91" w:rsidRPr="007012BC">
        <w:rPr>
          <w:rFonts w:asciiTheme="majorHAnsi" w:hAnsiTheme="majorHAnsi" w:cs="Cambria"/>
          <w:b/>
          <w:szCs w:val="22"/>
          <w:lang w:val="cs-CZ" w:bidi="bo-CN"/>
        </w:rPr>
        <w:t>celoročního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 xml:space="preserve"> </w:t>
      </w:r>
      <w:r w:rsidR="006D3B91" w:rsidRPr="007012BC">
        <w:rPr>
          <w:rFonts w:asciiTheme="majorHAnsi" w:hAnsiTheme="majorHAnsi" w:cs="Cambria"/>
          <w:b/>
          <w:szCs w:val="22"/>
          <w:lang w:val="cs-CZ" w:bidi="bo-CN"/>
        </w:rPr>
        <w:t>výhledu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>:</w:t>
      </w:r>
    </w:p>
    <w:bookmarkEnd w:id="1"/>
    <w:p w14:paraId="4A6EBDC8" w14:textId="5028CCA7" w:rsidR="0019638B" w:rsidRPr="007012BC" w:rsidRDefault="006D3B91" w:rsidP="0019638B">
      <w:pPr>
        <w:pStyle w:val="ListParagraph"/>
        <w:numPr>
          <w:ilvl w:val="1"/>
          <w:numId w:val="9"/>
        </w:numPr>
        <w:spacing w:after="80" w:line="266" w:lineRule="auto"/>
        <w:ind w:left="1077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cs-CZ"/>
        </w:rPr>
      </w:pPr>
      <w:r>
        <w:rPr>
          <w:rFonts w:asciiTheme="majorHAnsi" w:hAnsiTheme="majorHAnsi" w:cs="Cambria"/>
          <w:b/>
          <w:szCs w:val="22"/>
          <w:lang w:val="cs-CZ" w:bidi="bo-CN"/>
        </w:rPr>
        <w:t>Tržby</w:t>
      </w:r>
      <w:r w:rsidR="0019638B" w:rsidRPr="007012BC">
        <w:rPr>
          <w:rFonts w:asciiTheme="majorHAnsi" w:hAnsiTheme="majorHAnsi" w:cs="Cambria"/>
          <w:b/>
          <w:szCs w:val="22"/>
          <w:lang w:val="cs-CZ" w:bidi="bo-CN"/>
        </w:rPr>
        <w:t xml:space="preserve"> na úrovni skupiny dos</w:t>
      </w:r>
      <w:r>
        <w:rPr>
          <w:rFonts w:asciiTheme="majorHAnsi" w:hAnsiTheme="majorHAnsi" w:cs="Cambria"/>
          <w:b/>
          <w:szCs w:val="22"/>
          <w:lang w:val="cs-CZ" w:bidi="bo-CN"/>
        </w:rPr>
        <w:t>áhly</w:t>
      </w:r>
      <w:r w:rsidR="0019638B" w:rsidRPr="007012BC">
        <w:rPr>
          <w:rFonts w:asciiTheme="majorHAnsi" w:hAnsiTheme="majorHAnsi" w:cs="Cambria"/>
          <w:b/>
          <w:szCs w:val="22"/>
          <w:lang w:val="cs-CZ" w:bidi="bo-CN"/>
        </w:rPr>
        <w:t xml:space="preserve"> 19,3 mld. eur, organicky -0,7 </w:t>
      </w:r>
      <w:r w:rsidR="005057BD">
        <w:rPr>
          <w:rFonts w:asciiTheme="majorHAnsi" w:hAnsiTheme="majorHAnsi" w:cs="Cambria"/>
          <w:b/>
          <w:szCs w:val="22"/>
          <w:lang w:val="cs-CZ" w:bidi="bo-CN"/>
        </w:rPr>
        <w:t>%</w:t>
      </w:r>
    </w:p>
    <w:p w14:paraId="15737248" w14:textId="009A2A2C" w:rsidR="0019638B" w:rsidRPr="007012BC" w:rsidRDefault="0019638B" w:rsidP="0019638B">
      <w:pPr>
        <w:pStyle w:val="ListParagraph"/>
        <w:numPr>
          <w:ilvl w:val="1"/>
          <w:numId w:val="9"/>
        </w:numPr>
        <w:spacing w:after="80" w:line="266" w:lineRule="auto"/>
        <w:ind w:left="1077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cs-CZ"/>
        </w:rPr>
      </w:pPr>
      <w:r w:rsidRPr="007012BC">
        <w:rPr>
          <w:rFonts w:asciiTheme="majorHAnsi" w:hAnsiTheme="majorHAnsi" w:cs="Cambria"/>
          <w:b/>
          <w:szCs w:val="22"/>
          <w:lang w:val="cs-CZ" w:bidi="bo-CN"/>
        </w:rPr>
        <w:t>Marž</w:t>
      </w:r>
      <w:r w:rsidR="00B926FC">
        <w:rPr>
          <w:rFonts w:asciiTheme="majorHAnsi" w:hAnsiTheme="majorHAnsi" w:cs="Cambria"/>
          <w:b/>
          <w:szCs w:val="22"/>
          <w:lang w:val="cs-CZ" w:bidi="bo-CN"/>
        </w:rPr>
        <w:t>e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 xml:space="preserve"> EBIT</w:t>
      </w:r>
      <w:r w:rsidRPr="007012BC">
        <w:rPr>
          <w:rStyle w:val="FootnoteReference"/>
          <w:rFonts w:asciiTheme="majorHAnsi" w:hAnsiTheme="majorHAnsi" w:cs="Cambria"/>
          <w:b/>
          <w:sz w:val="24"/>
          <w:lang w:val="cs-CZ" w:bidi="bo-CN"/>
        </w:rPr>
        <w:footnoteReference w:customMarkFollows="1" w:id="2"/>
        <w:t>*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 xml:space="preserve"> na </w:t>
      </w:r>
      <w:r w:rsidR="00B926FC" w:rsidRPr="007012BC">
        <w:rPr>
          <w:rFonts w:asciiTheme="majorHAnsi" w:hAnsiTheme="majorHAnsi" w:cs="Cambria"/>
          <w:b/>
          <w:szCs w:val="22"/>
          <w:lang w:val="cs-CZ" w:bidi="bo-CN"/>
        </w:rPr>
        <w:t>hodnotě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 xml:space="preserve"> 13,4 %, -260 </w:t>
      </w:r>
      <w:r w:rsidR="00B926FC" w:rsidRPr="007012BC">
        <w:rPr>
          <w:rFonts w:asciiTheme="majorHAnsi" w:hAnsiTheme="majorHAnsi" w:cs="Cambria"/>
          <w:b/>
          <w:szCs w:val="22"/>
          <w:lang w:val="cs-CZ" w:bidi="bo-CN"/>
        </w:rPr>
        <w:t>bazických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 xml:space="preserve"> bod</w:t>
      </w:r>
      <w:r w:rsidR="00B926FC">
        <w:rPr>
          <w:rFonts w:asciiTheme="majorHAnsi" w:hAnsiTheme="majorHAnsi" w:cs="Cambria"/>
          <w:b/>
          <w:szCs w:val="22"/>
          <w:lang w:val="cs-CZ" w:bidi="bo-CN"/>
        </w:rPr>
        <w:t>ů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 xml:space="preserve">, </w:t>
      </w:r>
      <w:r w:rsidR="005057BD">
        <w:rPr>
          <w:rFonts w:asciiTheme="majorHAnsi" w:hAnsiTheme="majorHAnsi" w:cs="Cambria"/>
          <w:b/>
          <w:szCs w:val="22"/>
          <w:lang w:val="cs-CZ" w:bidi="bo-CN"/>
        </w:rPr>
        <w:t>c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>o</w:t>
      </w:r>
      <w:r w:rsidR="00B926FC">
        <w:rPr>
          <w:rFonts w:asciiTheme="majorHAnsi" w:hAnsiTheme="majorHAnsi" w:cs="Cambria"/>
          <w:b/>
          <w:szCs w:val="22"/>
          <w:lang w:val="cs-CZ" w:bidi="bo-CN"/>
        </w:rPr>
        <w:t>ž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 xml:space="preserve"> </w:t>
      </w:r>
      <w:r w:rsidR="00B926FC">
        <w:rPr>
          <w:rFonts w:asciiTheme="majorHAnsi" w:hAnsiTheme="majorHAnsi" w:cs="Cambria"/>
          <w:b/>
          <w:szCs w:val="22"/>
          <w:lang w:val="cs-CZ" w:bidi="bo-CN"/>
        </w:rPr>
        <w:t>odpovídá provoznímu zisku</w:t>
      </w:r>
      <w:r w:rsidR="00B926FC" w:rsidRPr="007012BC">
        <w:rPr>
          <w:rFonts w:asciiTheme="majorHAnsi" w:hAnsiTheme="majorHAnsi" w:cs="Cambria"/>
          <w:b/>
          <w:sz w:val="20"/>
          <w:szCs w:val="20"/>
          <w:lang w:val="cs-CZ" w:bidi="bo-CN"/>
        </w:rPr>
        <w:t>*</w:t>
      </w:r>
      <w:r w:rsidR="00B926FC" w:rsidRPr="007012BC">
        <w:rPr>
          <w:rFonts w:asciiTheme="majorHAnsi" w:hAnsiTheme="majorHAnsi" w:cs="Cambria"/>
          <w:b/>
          <w:szCs w:val="22"/>
          <w:lang w:val="cs-CZ" w:bidi="bo-CN"/>
        </w:rPr>
        <w:t xml:space="preserve"> </w:t>
      </w:r>
      <w:r w:rsidR="00B926FC">
        <w:rPr>
          <w:rFonts w:asciiTheme="majorHAnsi" w:hAnsiTheme="majorHAnsi" w:cs="Cambria"/>
          <w:b/>
          <w:szCs w:val="22"/>
          <w:lang w:val="cs-CZ" w:bidi="bo-CN"/>
        </w:rPr>
        <w:t>2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>,6 mld. eur</w:t>
      </w:r>
    </w:p>
    <w:p w14:paraId="08F3F8B8" w14:textId="7E4C952C" w:rsidR="0019638B" w:rsidRPr="007012BC" w:rsidRDefault="0019638B" w:rsidP="0019638B">
      <w:pPr>
        <w:pStyle w:val="ListParagraph"/>
        <w:numPr>
          <w:ilvl w:val="1"/>
          <w:numId w:val="9"/>
        </w:numPr>
        <w:spacing w:after="80" w:line="266" w:lineRule="auto"/>
        <w:ind w:left="1077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cs-CZ"/>
        </w:rPr>
      </w:pPr>
      <w:r w:rsidRPr="007012BC">
        <w:rPr>
          <w:rFonts w:asciiTheme="majorHAnsi" w:hAnsiTheme="majorHAnsi" w:cs="Cambria"/>
          <w:b/>
          <w:szCs w:val="22"/>
          <w:lang w:val="cs-CZ" w:bidi="bo-CN"/>
        </w:rPr>
        <w:t xml:space="preserve">Výnos na </w:t>
      </w:r>
      <w:r w:rsidR="00B926FC" w:rsidRPr="007012BC">
        <w:rPr>
          <w:rFonts w:asciiTheme="majorHAnsi" w:hAnsiTheme="majorHAnsi" w:cs="Cambria"/>
          <w:b/>
          <w:szCs w:val="22"/>
          <w:lang w:val="cs-CZ" w:bidi="bo-CN"/>
        </w:rPr>
        <w:t>prioritní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 xml:space="preserve"> </w:t>
      </w:r>
      <w:r w:rsidR="00B926FC" w:rsidRPr="007012BC">
        <w:rPr>
          <w:rFonts w:asciiTheme="majorHAnsi" w:hAnsiTheme="majorHAnsi" w:cs="Cambria"/>
          <w:b/>
          <w:szCs w:val="22"/>
          <w:lang w:val="cs-CZ" w:bidi="bo-CN"/>
        </w:rPr>
        <w:t>akci</w:t>
      </w:r>
      <w:r w:rsidR="00B926FC">
        <w:rPr>
          <w:rFonts w:asciiTheme="majorHAnsi" w:hAnsiTheme="majorHAnsi" w:cs="Cambria"/>
          <w:b/>
          <w:szCs w:val="22"/>
          <w:lang w:val="cs-CZ" w:bidi="bo-CN"/>
        </w:rPr>
        <w:t xml:space="preserve">i 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>(EPS)</w:t>
      </w:r>
      <w:r w:rsidRPr="007012BC">
        <w:rPr>
          <w:rFonts w:asciiTheme="majorHAnsi" w:hAnsiTheme="majorHAnsi" w:cs="Cambria"/>
          <w:b/>
          <w:sz w:val="20"/>
          <w:szCs w:val="20"/>
          <w:lang w:val="cs-CZ" w:bidi="bo-CN"/>
        </w:rPr>
        <w:t>*</w:t>
      </w:r>
      <w:r w:rsidR="00B926FC">
        <w:rPr>
          <w:rFonts w:asciiTheme="majorHAnsi" w:hAnsiTheme="majorHAnsi" w:cs="Cambria"/>
          <w:b/>
          <w:szCs w:val="22"/>
          <w:lang w:val="cs-CZ"/>
        </w:rPr>
        <w:t xml:space="preserve">: </w:t>
      </w:r>
      <w:r w:rsidRPr="007012BC">
        <w:rPr>
          <w:rFonts w:asciiTheme="majorHAnsi" w:hAnsiTheme="majorHAnsi" w:cs="Cambria"/>
          <w:b/>
          <w:szCs w:val="22"/>
          <w:lang w:val="cs-CZ"/>
        </w:rPr>
        <w:t>4,26 eur,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 xml:space="preserve"> -17,9 % </w:t>
      </w:r>
      <w:r w:rsidR="00B926FC" w:rsidRPr="007012BC">
        <w:rPr>
          <w:rFonts w:asciiTheme="majorHAnsi" w:hAnsiTheme="majorHAnsi" w:cs="Cambria"/>
          <w:b/>
          <w:szCs w:val="22"/>
          <w:lang w:val="cs-CZ" w:bidi="bo-CN"/>
        </w:rPr>
        <w:t>při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 xml:space="preserve"> </w:t>
      </w:r>
      <w:r w:rsidR="00B926FC" w:rsidRPr="007012BC">
        <w:rPr>
          <w:rFonts w:asciiTheme="majorHAnsi" w:hAnsiTheme="majorHAnsi" w:cs="Cambria"/>
          <w:b/>
          <w:szCs w:val="22"/>
          <w:lang w:val="cs-CZ" w:bidi="bo-CN"/>
        </w:rPr>
        <w:t>konstantních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 xml:space="preserve"> kurzových </w:t>
      </w:r>
      <w:r w:rsidR="00B926FC" w:rsidRPr="007012BC">
        <w:rPr>
          <w:rFonts w:asciiTheme="majorHAnsi" w:hAnsiTheme="majorHAnsi" w:cs="Cambria"/>
          <w:b/>
          <w:szCs w:val="22"/>
          <w:lang w:val="cs-CZ" w:bidi="bo-CN"/>
        </w:rPr>
        <w:t>sazbách</w:t>
      </w:r>
      <w:r w:rsidRPr="007012BC">
        <w:rPr>
          <w:rFonts w:asciiTheme="majorHAnsi" w:hAnsiTheme="majorHAnsi" w:cs="Cambria"/>
          <w:b/>
          <w:szCs w:val="22"/>
          <w:lang w:val="cs-CZ"/>
        </w:rPr>
        <w:t xml:space="preserve"> </w:t>
      </w:r>
    </w:p>
    <w:p w14:paraId="1299660A" w14:textId="32523943" w:rsidR="0019638B" w:rsidRPr="007012BC" w:rsidRDefault="00B926FC" w:rsidP="0019638B">
      <w:pPr>
        <w:pStyle w:val="ListParagraph"/>
        <w:numPr>
          <w:ilvl w:val="0"/>
          <w:numId w:val="9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cs-CZ"/>
        </w:rPr>
      </w:pPr>
      <w:r w:rsidRPr="007012BC">
        <w:rPr>
          <w:rFonts w:asciiTheme="majorHAnsi" w:hAnsiTheme="majorHAnsi" w:cs="Cambria"/>
          <w:b/>
          <w:szCs w:val="22"/>
          <w:lang w:val="cs-CZ" w:bidi="bo-CN"/>
        </w:rPr>
        <w:t>Velmi</w:t>
      </w:r>
      <w:r w:rsidR="0019638B" w:rsidRPr="007012BC">
        <w:rPr>
          <w:rFonts w:asciiTheme="majorHAnsi" w:hAnsiTheme="majorHAnsi" w:cs="Cambria"/>
          <w:b/>
          <w:szCs w:val="22"/>
          <w:lang w:val="cs-CZ" w:bidi="bo-CN"/>
        </w:rPr>
        <w:t xml:space="preserve"> silný 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>nár</w:t>
      </w:r>
      <w:r>
        <w:rPr>
          <w:rFonts w:asciiTheme="majorHAnsi" w:hAnsiTheme="majorHAnsi" w:cs="Cambria"/>
          <w:b/>
          <w:szCs w:val="22"/>
          <w:lang w:val="cs-CZ" w:bidi="bo-CN"/>
        </w:rPr>
        <w:t>ů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>st</w:t>
      </w:r>
      <w:r w:rsidR="0019638B" w:rsidRPr="007012BC">
        <w:rPr>
          <w:rFonts w:asciiTheme="majorHAnsi" w:hAnsiTheme="majorHAnsi" w:cs="Cambria"/>
          <w:b/>
          <w:szCs w:val="22"/>
          <w:lang w:val="cs-CZ" w:bidi="bo-CN"/>
        </w:rPr>
        <w:t xml:space="preserve"> 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>volného</w:t>
      </w:r>
      <w:r w:rsidR="0019638B" w:rsidRPr="007012BC">
        <w:rPr>
          <w:rFonts w:asciiTheme="majorHAnsi" w:hAnsiTheme="majorHAnsi" w:cs="Cambria"/>
          <w:b/>
          <w:szCs w:val="22"/>
          <w:lang w:val="cs-CZ" w:bidi="bo-CN"/>
        </w:rPr>
        <w:t xml:space="preserve"> cash flow v</w:t>
      </w:r>
      <w:r>
        <w:rPr>
          <w:rFonts w:asciiTheme="majorHAnsi" w:hAnsiTheme="majorHAnsi" w:cs="Cambria"/>
          <w:b/>
          <w:szCs w:val="22"/>
          <w:lang w:val="cs-CZ" w:bidi="bo-CN"/>
        </w:rPr>
        <w:t>e</w:t>
      </w:r>
      <w:r w:rsidR="0019638B" w:rsidRPr="007012BC">
        <w:rPr>
          <w:rFonts w:asciiTheme="majorHAnsi" w:hAnsiTheme="majorHAnsi" w:cs="Cambria"/>
          <w:b/>
          <w:szCs w:val="22"/>
          <w:lang w:val="cs-CZ" w:bidi="bo-CN"/>
        </w:rPr>
        <w:t xml:space="preserve"> výš</w:t>
      </w:r>
      <w:r>
        <w:rPr>
          <w:rFonts w:asciiTheme="majorHAnsi" w:hAnsiTheme="majorHAnsi" w:cs="Cambria"/>
          <w:b/>
          <w:szCs w:val="22"/>
          <w:lang w:val="cs-CZ" w:bidi="bo-CN"/>
        </w:rPr>
        <w:t>i</w:t>
      </w:r>
      <w:r w:rsidR="0019638B" w:rsidRPr="007012BC">
        <w:rPr>
          <w:rFonts w:asciiTheme="majorHAnsi" w:hAnsiTheme="majorHAnsi" w:cs="Cambria"/>
          <w:b/>
          <w:szCs w:val="22"/>
          <w:lang w:val="cs-CZ" w:bidi="bo-CN"/>
        </w:rPr>
        <w:t xml:space="preserve"> 2,3 mld. eur, čistá 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>finanční</w:t>
      </w:r>
      <w:r w:rsidR="0019638B" w:rsidRPr="007012BC">
        <w:rPr>
          <w:rFonts w:asciiTheme="majorHAnsi" w:hAnsiTheme="majorHAnsi" w:cs="Cambria"/>
          <w:b/>
          <w:szCs w:val="22"/>
          <w:lang w:val="cs-CZ" w:bidi="bo-CN"/>
        </w:rPr>
        <w:t xml:space="preserve"> 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>pozice</w:t>
      </w:r>
      <w:r w:rsidR="0019638B" w:rsidRPr="007012BC">
        <w:rPr>
          <w:rFonts w:asciiTheme="majorHAnsi" w:hAnsiTheme="majorHAnsi" w:cs="Cambria"/>
          <w:b/>
          <w:szCs w:val="22"/>
          <w:lang w:val="cs-CZ" w:bidi="bo-CN"/>
        </w:rPr>
        <w:t xml:space="preserve"> s</w:t>
      </w:r>
      <w:r>
        <w:rPr>
          <w:rFonts w:asciiTheme="majorHAnsi" w:hAnsiTheme="majorHAnsi" w:cs="Cambria"/>
          <w:b/>
          <w:szCs w:val="22"/>
          <w:lang w:val="cs-CZ" w:bidi="bo-CN"/>
        </w:rPr>
        <w:t>e</w:t>
      </w:r>
      <w:r w:rsidR="0019638B" w:rsidRPr="007012BC">
        <w:rPr>
          <w:rFonts w:asciiTheme="majorHAnsi" w:hAnsiTheme="majorHAnsi" w:cs="Cambria"/>
          <w:b/>
          <w:szCs w:val="22"/>
          <w:lang w:val="cs-CZ" w:bidi="bo-CN"/>
        </w:rPr>
        <w:t xml:space="preserve"> 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>významně</w:t>
      </w:r>
      <w:r w:rsidR="0019638B" w:rsidRPr="007012BC">
        <w:rPr>
          <w:rFonts w:asciiTheme="majorHAnsi" w:hAnsiTheme="majorHAnsi" w:cs="Cambria"/>
          <w:b/>
          <w:szCs w:val="22"/>
          <w:lang w:val="cs-CZ" w:bidi="bo-CN"/>
        </w:rPr>
        <w:t xml:space="preserve"> zlepšila</w:t>
      </w:r>
    </w:p>
    <w:p w14:paraId="21EC5424" w14:textId="74CC67AD" w:rsidR="0019638B" w:rsidRPr="007012BC" w:rsidRDefault="0019638B" w:rsidP="0019638B">
      <w:pPr>
        <w:pStyle w:val="ListParagraph"/>
        <w:numPr>
          <w:ilvl w:val="0"/>
          <w:numId w:val="9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cs-CZ"/>
        </w:rPr>
      </w:pPr>
      <w:r w:rsidRPr="007012BC">
        <w:rPr>
          <w:rFonts w:asciiTheme="majorHAnsi" w:hAnsiTheme="majorHAnsi" w:cs="Cambria"/>
          <w:b/>
          <w:szCs w:val="22"/>
          <w:lang w:val="cs-CZ" w:bidi="bo-CN"/>
        </w:rPr>
        <w:t>Navrhovaná výška dividendy na úrovni p</w:t>
      </w:r>
      <w:r w:rsidR="00B926FC">
        <w:rPr>
          <w:rFonts w:asciiTheme="majorHAnsi" w:hAnsiTheme="majorHAnsi" w:cs="Cambria"/>
          <w:b/>
          <w:szCs w:val="22"/>
          <w:lang w:val="cs-CZ" w:bidi="bo-CN"/>
        </w:rPr>
        <w:t>ředcházejícího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 xml:space="preserve"> rok</w:t>
      </w:r>
      <w:r w:rsidR="00B926FC">
        <w:rPr>
          <w:rFonts w:asciiTheme="majorHAnsi" w:hAnsiTheme="majorHAnsi" w:cs="Cambria"/>
          <w:b/>
          <w:szCs w:val="22"/>
          <w:lang w:val="cs-CZ" w:bidi="bo-CN"/>
        </w:rPr>
        <w:t>u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>:</w:t>
      </w:r>
      <w:r w:rsidRPr="007012BC">
        <w:rPr>
          <w:rFonts w:asciiTheme="majorHAnsi" w:hAnsiTheme="majorHAnsi" w:cs="Cambria"/>
          <w:b/>
          <w:szCs w:val="22"/>
          <w:lang w:val="cs-CZ"/>
        </w:rPr>
        <w:t xml:space="preserve"> 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 xml:space="preserve">1,85 eur na </w:t>
      </w:r>
      <w:r w:rsidR="00B926FC" w:rsidRPr="007012BC">
        <w:rPr>
          <w:rFonts w:asciiTheme="majorHAnsi" w:hAnsiTheme="majorHAnsi" w:cs="Cambria"/>
          <w:b/>
          <w:szCs w:val="22"/>
          <w:lang w:val="cs-CZ" w:bidi="bo-CN"/>
        </w:rPr>
        <w:t>prioritní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 xml:space="preserve"> </w:t>
      </w:r>
      <w:r w:rsidR="00B926FC" w:rsidRPr="007012BC">
        <w:rPr>
          <w:rFonts w:asciiTheme="majorHAnsi" w:hAnsiTheme="majorHAnsi" w:cs="Cambria"/>
          <w:b/>
          <w:szCs w:val="22"/>
          <w:lang w:val="cs-CZ" w:bidi="bo-CN"/>
        </w:rPr>
        <w:t>akci</w:t>
      </w:r>
      <w:r w:rsidR="00B926FC">
        <w:rPr>
          <w:rFonts w:asciiTheme="majorHAnsi" w:hAnsiTheme="majorHAnsi" w:cs="Cambria"/>
          <w:b/>
          <w:szCs w:val="22"/>
          <w:lang w:val="cs-CZ" w:bidi="bo-CN"/>
        </w:rPr>
        <w:t>i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 xml:space="preserve"> </w:t>
      </w:r>
    </w:p>
    <w:p w14:paraId="0264C000" w14:textId="2036C686" w:rsidR="0019638B" w:rsidRPr="007012BC" w:rsidRDefault="0019638B" w:rsidP="0019638B">
      <w:pPr>
        <w:pStyle w:val="ListParagraph"/>
        <w:numPr>
          <w:ilvl w:val="0"/>
          <w:numId w:val="9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cs-CZ"/>
        </w:rPr>
      </w:pPr>
      <w:r w:rsidRPr="007012BC">
        <w:rPr>
          <w:rFonts w:asciiTheme="majorHAnsi" w:hAnsiTheme="majorHAnsi" w:cs="Cambria"/>
          <w:b/>
          <w:szCs w:val="22"/>
          <w:lang w:val="cs-CZ" w:bidi="bo-CN"/>
        </w:rPr>
        <w:t xml:space="preserve">Pokračuje </w:t>
      </w:r>
      <w:r w:rsidR="00B926FC" w:rsidRPr="007012BC">
        <w:rPr>
          <w:rFonts w:asciiTheme="majorHAnsi" w:hAnsiTheme="majorHAnsi" w:cs="Cambria"/>
          <w:b/>
          <w:szCs w:val="22"/>
          <w:lang w:val="cs-CZ" w:bidi="bo-CN"/>
        </w:rPr>
        <w:t>implementac</w:t>
      </w:r>
      <w:r w:rsidR="002C0583">
        <w:rPr>
          <w:rFonts w:asciiTheme="majorHAnsi" w:hAnsiTheme="majorHAnsi" w:cs="Cambria"/>
          <w:b/>
          <w:szCs w:val="22"/>
          <w:lang w:val="cs-CZ" w:bidi="bo-CN"/>
        </w:rPr>
        <w:t>e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 xml:space="preserve"> agendy </w:t>
      </w:r>
      <w:r w:rsidR="00B926FC" w:rsidRPr="007012BC">
        <w:rPr>
          <w:rFonts w:asciiTheme="majorHAnsi" w:hAnsiTheme="majorHAnsi" w:cs="Cambria"/>
          <w:b/>
          <w:szCs w:val="22"/>
          <w:lang w:val="cs-CZ" w:bidi="bo-CN"/>
        </w:rPr>
        <w:t>zaměřen</w:t>
      </w:r>
      <w:r w:rsidR="00B926FC">
        <w:rPr>
          <w:rFonts w:asciiTheme="majorHAnsi" w:hAnsiTheme="majorHAnsi" w:cs="Cambria"/>
          <w:b/>
          <w:szCs w:val="22"/>
          <w:lang w:val="cs-CZ" w:bidi="bo-CN"/>
        </w:rPr>
        <w:t xml:space="preserve">é 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 xml:space="preserve">na </w:t>
      </w:r>
      <w:r w:rsidR="00B926FC">
        <w:rPr>
          <w:rFonts w:asciiTheme="majorHAnsi" w:hAnsiTheme="majorHAnsi" w:cs="Cambria"/>
          <w:b/>
          <w:szCs w:val="22"/>
          <w:lang w:val="cs-CZ" w:bidi="bo-CN"/>
        </w:rPr>
        <w:t>udržitelný růst</w:t>
      </w:r>
      <w:r w:rsidR="005E7D79">
        <w:rPr>
          <w:rFonts w:asciiTheme="majorHAnsi" w:hAnsiTheme="majorHAnsi" w:cs="Cambria"/>
          <w:b/>
          <w:szCs w:val="22"/>
          <w:lang w:val="cs-CZ" w:bidi="bo-CN"/>
        </w:rPr>
        <w:t>. Pro její realizaci byl vypracován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 xml:space="preserve"> </w:t>
      </w:r>
      <w:r w:rsidR="006D2DCA">
        <w:rPr>
          <w:rFonts w:asciiTheme="majorHAnsi" w:hAnsiTheme="majorHAnsi" w:cs="Cambria"/>
          <w:b/>
          <w:szCs w:val="22"/>
          <w:lang w:val="cs-CZ" w:bidi="bo-CN"/>
        </w:rPr>
        <w:t>jasný plán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 xml:space="preserve"> </w:t>
      </w:r>
      <w:r w:rsidR="00A03CBF">
        <w:rPr>
          <w:rFonts w:asciiTheme="majorHAnsi" w:hAnsiTheme="majorHAnsi" w:cs="Cambria"/>
          <w:b/>
          <w:szCs w:val="22"/>
          <w:lang w:val="cs-CZ" w:bidi="bo-CN"/>
        </w:rPr>
        <w:t>pro rok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 xml:space="preserve"> 2021 </w:t>
      </w:r>
      <w:r w:rsidR="005E7D79">
        <w:rPr>
          <w:rFonts w:asciiTheme="majorHAnsi" w:hAnsiTheme="majorHAnsi" w:cs="Cambria"/>
          <w:b/>
          <w:szCs w:val="22"/>
          <w:lang w:val="cs-CZ" w:bidi="bo-CN"/>
        </w:rPr>
        <w:t>a</w:t>
      </w:r>
      <w:r w:rsidR="00A03CBF">
        <w:rPr>
          <w:rFonts w:asciiTheme="majorHAnsi" w:hAnsiTheme="majorHAnsi" w:cs="Cambria"/>
          <w:b/>
          <w:szCs w:val="22"/>
          <w:lang w:val="cs-CZ" w:bidi="bo-CN"/>
        </w:rPr>
        <w:t xml:space="preserve"> další nadcházející roky.</w:t>
      </w:r>
    </w:p>
    <w:p w14:paraId="6E266816" w14:textId="115F5A78" w:rsidR="0019638B" w:rsidRPr="007012BC" w:rsidRDefault="006D2DCA" w:rsidP="0019638B">
      <w:pPr>
        <w:pStyle w:val="ListParagraph"/>
        <w:numPr>
          <w:ilvl w:val="0"/>
          <w:numId w:val="9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cs-CZ"/>
        </w:rPr>
      </w:pPr>
      <w:r w:rsidRPr="007012BC">
        <w:rPr>
          <w:rFonts w:asciiTheme="majorHAnsi" w:hAnsiTheme="majorHAnsi" w:cs="Cambria"/>
          <w:b/>
          <w:szCs w:val="22"/>
          <w:lang w:val="cs-CZ" w:bidi="bo-CN"/>
        </w:rPr>
        <w:t>Výhled</w:t>
      </w:r>
      <w:r w:rsidR="0019638B" w:rsidRPr="007012BC">
        <w:rPr>
          <w:rFonts w:asciiTheme="majorHAnsi" w:hAnsiTheme="majorHAnsi" w:cs="Cambria"/>
          <w:b/>
          <w:szCs w:val="22"/>
          <w:lang w:val="cs-CZ" w:bidi="bo-CN"/>
        </w:rPr>
        <w:t xml:space="preserve"> na rok 2021:</w:t>
      </w:r>
      <w:r w:rsidR="0019638B" w:rsidRPr="007012BC">
        <w:rPr>
          <w:rFonts w:asciiTheme="majorHAnsi" w:hAnsiTheme="majorHAnsi" w:cs="Cambria"/>
          <w:b/>
          <w:szCs w:val="22"/>
          <w:lang w:val="cs-CZ"/>
        </w:rPr>
        <w:t xml:space="preserve"> </w:t>
      </w:r>
    </w:p>
    <w:p w14:paraId="5273F4A7" w14:textId="2B25932D" w:rsidR="0019638B" w:rsidRPr="007012BC" w:rsidRDefault="0019638B" w:rsidP="0019638B">
      <w:pPr>
        <w:pStyle w:val="ListParagraph"/>
        <w:numPr>
          <w:ilvl w:val="1"/>
          <w:numId w:val="9"/>
        </w:numPr>
        <w:spacing w:after="80" w:line="266" w:lineRule="auto"/>
        <w:ind w:left="1077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cs-CZ"/>
        </w:rPr>
      </w:pPr>
      <w:r w:rsidRPr="007012BC">
        <w:rPr>
          <w:rFonts w:asciiTheme="majorHAnsi" w:hAnsiTheme="majorHAnsi" w:cs="Cambria"/>
          <w:b/>
          <w:szCs w:val="22"/>
          <w:lang w:val="cs-CZ" w:bidi="bo-CN"/>
        </w:rPr>
        <w:t>Organický r</w:t>
      </w:r>
      <w:r w:rsidR="006D2DCA">
        <w:rPr>
          <w:rFonts w:asciiTheme="majorHAnsi" w:hAnsiTheme="majorHAnsi" w:cs="Cambria"/>
          <w:b/>
          <w:szCs w:val="22"/>
          <w:lang w:val="cs-CZ" w:bidi="bo-CN"/>
        </w:rPr>
        <w:t>ů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 xml:space="preserve">st </w:t>
      </w:r>
      <w:r w:rsidR="006D2DCA">
        <w:rPr>
          <w:rFonts w:asciiTheme="majorHAnsi" w:hAnsiTheme="majorHAnsi" w:cs="Cambria"/>
          <w:b/>
          <w:szCs w:val="22"/>
          <w:lang w:val="cs-CZ" w:bidi="bo-CN"/>
        </w:rPr>
        <w:t>tržeb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>:</w:t>
      </w:r>
      <w:r w:rsidRPr="007012BC">
        <w:rPr>
          <w:rFonts w:asciiTheme="majorHAnsi" w:hAnsiTheme="majorHAnsi" w:cs="Cambria"/>
          <w:b/>
          <w:szCs w:val="22"/>
          <w:lang w:val="cs-CZ"/>
        </w:rPr>
        <w:t xml:space="preserve"> 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 xml:space="preserve">2,0 až 5,0 </w:t>
      </w:r>
      <w:r w:rsidR="00B514C2">
        <w:rPr>
          <w:rFonts w:asciiTheme="majorHAnsi" w:hAnsiTheme="majorHAnsi" w:cs="Cambria"/>
          <w:b/>
          <w:szCs w:val="22"/>
          <w:lang w:val="cs-CZ" w:bidi="bo-CN"/>
        </w:rPr>
        <w:t>%</w:t>
      </w:r>
    </w:p>
    <w:p w14:paraId="457D815C" w14:textId="20FE11D3" w:rsidR="0019638B" w:rsidRPr="007012BC" w:rsidRDefault="006D2DCA" w:rsidP="0019638B">
      <w:pPr>
        <w:pStyle w:val="ListParagraph"/>
        <w:numPr>
          <w:ilvl w:val="1"/>
          <w:numId w:val="9"/>
        </w:numPr>
        <w:spacing w:after="80" w:line="266" w:lineRule="auto"/>
        <w:ind w:left="1077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cs-CZ"/>
        </w:rPr>
      </w:pPr>
      <w:r w:rsidRPr="007012BC">
        <w:rPr>
          <w:rFonts w:asciiTheme="majorHAnsi" w:hAnsiTheme="majorHAnsi" w:cs="Cambria"/>
          <w:b/>
          <w:szCs w:val="22"/>
          <w:lang w:val="cs-CZ" w:bidi="bo-CN"/>
        </w:rPr>
        <w:t>Marže</w:t>
      </w:r>
      <w:r w:rsidR="0019638B" w:rsidRPr="007012BC">
        <w:rPr>
          <w:rFonts w:asciiTheme="majorHAnsi" w:hAnsiTheme="majorHAnsi" w:cs="Cambria"/>
          <w:b/>
          <w:szCs w:val="22"/>
          <w:lang w:val="cs-CZ" w:bidi="bo-CN"/>
        </w:rPr>
        <w:t xml:space="preserve"> EBIT*:</w:t>
      </w:r>
      <w:r w:rsidR="0019638B" w:rsidRPr="007012BC">
        <w:rPr>
          <w:rFonts w:asciiTheme="majorHAnsi" w:hAnsiTheme="majorHAnsi" w:cs="Cambria"/>
          <w:b/>
          <w:szCs w:val="22"/>
          <w:lang w:val="cs-CZ"/>
        </w:rPr>
        <w:t xml:space="preserve"> </w:t>
      </w:r>
      <w:r w:rsidR="0019638B" w:rsidRPr="007012BC">
        <w:rPr>
          <w:rFonts w:asciiTheme="majorHAnsi" w:hAnsiTheme="majorHAnsi" w:cs="Cambria"/>
          <w:b/>
          <w:szCs w:val="22"/>
          <w:lang w:val="cs-CZ" w:bidi="bo-CN"/>
        </w:rPr>
        <w:t xml:space="preserve">13,5 až 14,5 </w:t>
      </w:r>
      <w:r w:rsidR="00B514C2">
        <w:rPr>
          <w:rFonts w:asciiTheme="majorHAnsi" w:hAnsiTheme="majorHAnsi" w:cs="Cambria"/>
          <w:b/>
          <w:szCs w:val="22"/>
          <w:lang w:val="cs-CZ" w:bidi="bo-CN"/>
        </w:rPr>
        <w:t>%</w:t>
      </w:r>
    </w:p>
    <w:p w14:paraId="7AD88654" w14:textId="3914D301" w:rsidR="0019638B" w:rsidRPr="007012BC" w:rsidRDefault="0019638B" w:rsidP="0019638B">
      <w:pPr>
        <w:pStyle w:val="ListParagraph"/>
        <w:numPr>
          <w:ilvl w:val="1"/>
          <w:numId w:val="9"/>
        </w:numPr>
        <w:spacing w:after="80" w:line="266" w:lineRule="auto"/>
        <w:ind w:left="1077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cs-CZ"/>
        </w:rPr>
      </w:pPr>
      <w:r w:rsidRPr="007012BC">
        <w:rPr>
          <w:rFonts w:asciiTheme="majorHAnsi" w:hAnsiTheme="majorHAnsi" w:cs="Cambria"/>
          <w:b/>
          <w:szCs w:val="22"/>
          <w:lang w:val="cs-CZ" w:bidi="bo-CN"/>
        </w:rPr>
        <w:t xml:space="preserve">Výnos na </w:t>
      </w:r>
      <w:r w:rsidR="006D2DCA" w:rsidRPr="007012BC">
        <w:rPr>
          <w:rFonts w:asciiTheme="majorHAnsi" w:hAnsiTheme="majorHAnsi" w:cs="Cambria"/>
          <w:b/>
          <w:szCs w:val="22"/>
          <w:lang w:val="cs-CZ" w:bidi="bo-CN"/>
        </w:rPr>
        <w:t>prioritní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 xml:space="preserve"> </w:t>
      </w:r>
      <w:r w:rsidR="006D2DCA" w:rsidRPr="007012BC">
        <w:rPr>
          <w:rFonts w:asciiTheme="majorHAnsi" w:hAnsiTheme="majorHAnsi" w:cs="Cambria"/>
          <w:b/>
          <w:szCs w:val="22"/>
          <w:lang w:val="cs-CZ" w:bidi="bo-CN"/>
        </w:rPr>
        <w:t>akci</w:t>
      </w:r>
      <w:r w:rsidR="006D2DCA">
        <w:rPr>
          <w:rFonts w:asciiTheme="majorHAnsi" w:hAnsiTheme="majorHAnsi" w:cs="Cambria"/>
          <w:b/>
          <w:szCs w:val="22"/>
          <w:lang w:val="cs-CZ" w:bidi="bo-CN"/>
        </w:rPr>
        <w:t>i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 xml:space="preserve"> (EPS)*: </w:t>
      </w:r>
      <w:r w:rsidR="006D2DCA" w:rsidRPr="007012BC">
        <w:rPr>
          <w:rFonts w:asciiTheme="majorHAnsi" w:hAnsiTheme="majorHAnsi" w:cs="Cambria"/>
          <w:b/>
          <w:szCs w:val="22"/>
          <w:lang w:val="cs-CZ" w:bidi="bo-CN"/>
        </w:rPr>
        <w:t>nárust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 xml:space="preserve"> v </w:t>
      </w:r>
      <w:r w:rsidR="006D2DCA" w:rsidRPr="007012BC">
        <w:rPr>
          <w:rFonts w:asciiTheme="majorHAnsi" w:hAnsiTheme="majorHAnsi" w:cs="Cambria"/>
          <w:b/>
          <w:szCs w:val="22"/>
          <w:lang w:val="cs-CZ" w:bidi="bo-CN"/>
        </w:rPr>
        <w:t>rozpětí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 xml:space="preserve"> od 5,0 do 15,0 </w:t>
      </w:r>
      <w:r w:rsidR="00B514C2">
        <w:rPr>
          <w:rFonts w:asciiTheme="majorHAnsi" w:hAnsiTheme="majorHAnsi" w:cs="Cambria"/>
          <w:b/>
          <w:szCs w:val="22"/>
          <w:lang w:val="cs-CZ" w:bidi="bo-CN"/>
        </w:rPr>
        <w:t>%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 xml:space="preserve"> </w:t>
      </w:r>
      <w:r w:rsidR="006D2DCA" w:rsidRPr="007012BC">
        <w:rPr>
          <w:rFonts w:asciiTheme="majorHAnsi" w:hAnsiTheme="majorHAnsi" w:cs="Cambria"/>
          <w:b/>
          <w:szCs w:val="22"/>
          <w:lang w:val="cs-CZ" w:bidi="bo-CN"/>
        </w:rPr>
        <w:t>při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> </w:t>
      </w:r>
      <w:r w:rsidR="006D2DCA" w:rsidRPr="007012BC">
        <w:rPr>
          <w:rFonts w:asciiTheme="majorHAnsi" w:hAnsiTheme="majorHAnsi" w:cs="Cambria"/>
          <w:b/>
          <w:szCs w:val="22"/>
          <w:lang w:val="cs-CZ" w:bidi="bo-CN"/>
        </w:rPr>
        <w:t>konstantních</w:t>
      </w:r>
      <w:r w:rsidRPr="007012BC">
        <w:rPr>
          <w:rFonts w:asciiTheme="majorHAnsi" w:hAnsiTheme="majorHAnsi" w:cs="Cambria"/>
          <w:b/>
          <w:szCs w:val="22"/>
          <w:lang w:val="cs-CZ" w:bidi="bo-CN"/>
        </w:rPr>
        <w:t xml:space="preserve"> </w:t>
      </w:r>
      <w:r w:rsidR="006D2DCA">
        <w:rPr>
          <w:rFonts w:asciiTheme="majorHAnsi" w:hAnsiTheme="majorHAnsi" w:cs="Cambria"/>
          <w:b/>
          <w:szCs w:val="22"/>
          <w:lang w:val="cs-CZ" w:bidi="bo-CN"/>
        </w:rPr>
        <w:t>směnných k</w:t>
      </w:r>
      <w:r w:rsidR="00D23570">
        <w:rPr>
          <w:rFonts w:asciiTheme="majorHAnsi" w:hAnsiTheme="majorHAnsi" w:cs="Cambria"/>
          <w:b/>
          <w:szCs w:val="22"/>
          <w:lang w:val="cs-CZ" w:bidi="bo-CN"/>
        </w:rPr>
        <w:t>urzech</w:t>
      </w:r>
    </w:p>
    <w:p w14:paraId="5FA63189" w14:textId="2EFE02C5" w:rsidR="0019638B" w:rsidRPr="00BC57C0" w:rsidRDefault="009B68E2" w:rsidP="009B68E2">
      <w:pPr>
        <w:rPr>
          <w:rFonts w:cs="Segoe UI"/>
          <w:b/>
          <w:bCs/>
          <w:szCs w:val="22"/>
          <w:lang w:val="cs-CZ" w:bidi="bo-CN"/>
        </w:rPr>
      </w:pPr>
      <w:r w:rsidRPr="00BC57C0">
        <w:rPr>
          <w:rFonts w:cs="Segoe UI"/>
          <w:b/>
          <w:bCs/>
          <w:szCs w:val="22"/>
          <w:lang w:val="cs-CZ" w:bidi="bo-CN"/>
        </w:rPr>
        <w:lastRenderedPageBreak/>
        <w:t>Düsseldorf</w:t>
      </w:r>
      <w:r w:rsidRPr="009B68E2">
        <w:rPr>
          <w:rFonts w:cs="Segoe UI"/>
          <w:b/>
          <w:bCs/>
          <w:i/>
          <w:iCs/>
          <w:szCs w:val="22"/>
          <w:lang w:val="cs-CZ" w:bidi="bo-CN"/>
        </w:rPr>
        <w:t xml:space="preserve"> – „Navzdory prudkému poklesu globální ekonomiky v důsledku pandemie COVID-19</w:t>
      </w:r>
      <w:r w:rsidR="008B7105">
        <w:rPr>
          <w:rFonts w:cs="Segoe UI"/>
          <w:b/>
          <w:bCs/>
          <w:i/>
          <w:iCs/>
          <w:szCs w:val="22"/>
          <w:lang w:val="cs-CZ" w:bidi="bo-CN"/>
        </w:rPr>
        <w:t xml:space="preserve"> jsme </w:t>
      </w:r>
      <w:r w:rsidRPr="009B68E2">
        <w:rPr>
          <w:rFonts w:cs="Segoe UI"/>
          <w:b/>
          <w:bCs/>
          <w:i/>
          <w:iCs/>
          <w:szCs w:val="22"/>
          <w:lang w:val="cs-CZ" w:bidi="bo-CN"/>
        </w:rPr>
        <w:t xml:space="preserve">v roce 2020 dosáhli celkově silného výkonu ve všech obchodních </w:t>
      </w:r>
      <w:r>
        <w:rPr>
          <w:rFonts w:cs="Segoe UI"/>
          <w:b/>
          <w:bCs/>
          <w:i/>
          <w:iCs/>
          <w:szCs w:val="22"/>
          <w:lang w:val="cs-CZ" w:bidi="bo-CN"/>
        </w:rPr>
        <w:t>divizích</w:t>
      </w:r>
      <w:r w:rsidRPr="009B68E2">
        <w:rPr>
          <w:rFonts w:cs="Segoe UI"/>
          <w:b/>
          <w:bCs/>
          <w:i/>
          <w:iCs/>
          <w:szCs w:val="22"/>
          <w:lang w:val="cs-CZ" w:bidi="bo-CN"/>
        </w:rPr>
        <w:t xml:space="preserve">. Za celý rok byly výsledky </w:t>
      </w:r>
      <w:r w:rsidR="00BC57C0">
        <w:rPr>
          <w:rFonts w:cs="Segoe UI"/>
          <w:b/>
          <w:bCs/>
          <w:i/>
          <w:iCs/>
          <w:szCs w:val="22"/>
          <w:lang w:val="cs-CZ" w:bidi="bo-CN"/>
        </w:rPr>
        <w:t>v </w:t>
      </w:r>
      <w:r w:rsidR="00F02426">
        <w:rPr>
          <w:rFonts w:cs="Segoe UI"/>
          <w:b/>
          <w:bCs/>
          <w:i/>
          <w:iCs/>
          <w:szCs w:val="22"/>
          <w:lang w:val="cs-CZ" w:bidi="bo-CN"/>
        </w:rPr>
        <w:t>lepší</w:t>
      </w:r>
      <w:r w:rsidR="00BC57C0">
        <w:rPr>
          <w:rFonts w:cs="Segoe UI"/>
          <w:b/>
          <w:bCs/>
          <w:i/>
          <w:iCs/>
          <w:szCs w:val="22"/>
          <w:lang w:val="cs-CZ" w:bidi="bo-CN"/>
        </w:rPr>
        <w:t xml:space="preserve"> polovině našeho celoročního výhledu</w:t>
      </w:r>
      <w:r w:rsidRPr="009B68E2">
        <w:rPr>
          <w:rFonts w:cs="Segoe UI"/>
          <w:b/>
          <w:bCs/>
          <w:i/>
          <w:iCs/>
          <w:szCs w:val="22"/>
          <w:lang w:val="cs-CZ" w:bidi="bo-CN"/>
        </w:rPr>
        <w:t>. Dosáhli jsme toho díky našemu vyváženému portfoliu, úspěšným inovacím a finanční síle, stejně</w:t>
      </w:r>
      <w:r w:rsidR="00BC57C0">
        <w:rPr>
          <w:rFonts w:cs="Segoe UI"/>
          <w:b/>
          <w:bCs/>
          <w:i/>
          <w:iCs/>
          <w:szCs w:val="22"/>
          <w:lang w:val="cs-CZ" w:bidi="bo-CN"/>
        </w:rPr>
        <w:t xml:space="preserve"> tak</w:t>
      </w:r>
      <w:r w:rsidRPr="009B68E2">
        <w:rPr>
          <w:rFonts w:cs="Segoe UI"/>
          <w:b/>
          <w:bCs/>
          <w:i/>
          <w:iCs/>
          <w:szCs w:val="22"/>
          <w:lang w:val="cs-CZ" w:bidi="bo-CN"/>
        </w:rPr>
        <w:t xml:space="preserve"> jako vynikajícímu nasazení našich zaměstnanců po celém světě. Rád bych jim všem poděkoval za vynikající přínos v tomto skutečně náročném roce, “</w:t>
      </w:r>
      <w:r w:rsidRPr="00BC57C0">
        <w:rPr>
          <w:rFonts w:cs="Segoe UI"/>
          <w:b/>
          <w:bCs/>
          <w:szCs w:val="22"/>
          <w:lang w:val="cs-CZ" w:bidi="bo-CN"/>
        </w:rPr>
        <w:t>uvedl generální ředitel společnosti Henkel Carsten Knobel.</w:t>
      </w:r>
    </w:p>
    <w:p w14:paraId="278CCBB1" w14:textId="77777777" w:rsidR="009B68E2" w:rsidRPr="009B68E2" w:rsidRDefault="009B68E2" w:rsidP="009B68E2">
      <w:pPr>
        <w:rPr>
          <w:rFonts w:cs="Segoe UI"/>
          <w:b/>
          <w:bCs/>
          <w:i/>
          <w:iCs/>
          <w:szCs w:val="22"/>
          <w:lang w:val="cs-CZ" w:bidi="bo-CN"/>
        </w:rPr>
      </w:pPr>
    </w:p>
    <w:p w14:paraId="0DCBE8DA" w14:textId="421A6143" w:rsidR="00524465" w:rsidRPr="00524465" w:rsidRDefault="00524465" w:rsidP="00524465">
      <w:pPr>
        <w:rPr>
          <w:rFonts w:cs="Segoe UI"/>
          <w:b/>
          <w:bCs/>
          <w:i/>
          <w:iCs/>
          <w:szCs w:val="22"/>
          <w:lang w:val="cs-CZ" w:bidi="bo-CN"/>
        </w:rPr>
      </w:pPr>
      <w:r w:rsidRPr="00524465">
        <w:rPr>
          <w:rFonts w:cs="Segoe UI"/>
          <w:b/>
          <w:bCs/>
          <w:i/>
          <w:iCs/>
          <w:szCs w:val="22"/>
          <w:lang w:val="cs-CZ" w:bidi="bo-CN"/>
        </w:rPr>
        <w:t xml:space="preserve">„Zaznamenali jsme tržby ve výši 19,3 miliard eur, což je organicky mírně pod úrovní předchozího roku, a udrželi jsme </w:t>
      </w:r>
      <w:r w:rsidR="00680078">
        <w:rPr>
          <w:rFonts w:cs="Segoe UI"/>
          <w:b/>
          <w:bCs/>
          <w:i/>
          <w:iCs/>
          <w:szCs w:val="22"/>
          <w:lang w:val="cs-CZ" w:bidi="bo-CN"/>
        </w:rPr>
        <w:t>provozní ziskovost</w:t>
      </w:r>
      <w:r w:rsidRPr="00524465">
        <w:rPr>
          <w:rFonts w:cs="Segoe UI"/>
          <w:b/>
          <w:bCs/>
          <w:i/>
          <w:iCs/>
          <w:szCs w:val="22"/>
          <w:lang w:val="cs-CZ" w:bidi="bo-CN"/>
        </w:rPr>
        <w:t xml:space="preserve"> s upravenou marží EBIT ve výši 13,4 </w:t>
      </w:r>
      <w:r w:rsidR="00235730">
        <w:rPr>
          <w:rFonts w:cs="Segoe UI"/>
          <w:b/>
          <w:bCs/>
          <w:i/>
          <w:iCs/>
          <w:szCs w:val="22"/>
          <w:lang w:val="cs-CZ" w:bidi="bo-CN"/>
        </w:rPr>
        <w:t>%</w:t>
      </w:r>
      <w:r w:rsidRPr="00524465">
        <w:rPr>
          <w:rFonts w:cs="Segoe UI"/>
          <w:b/>
          <w:bCs/>
          <w:i/>
          <w:iCs/>
          <w:szCs w:val="22"/>
          <w:lang w:val="cs-CZ" w:bidi="bo-CN"/>
        </w:rPr>
        <w:t xml:space="preserve">. Rovněž jsme vygenerovali velmi silný volný </w:t>
      </w:r>
      <w:r w:rsidR="00680078">
        <w:rPr>
          <w:rFonts w:cs="Segoe UI"/>
          <w:b/>
          <w:bCs/>
          <w:i/>
          <w:iCs/>
          <w:szCs w:val="22"/>
          <w:lang w:val="cs-CZ" w:bidi="bo-CN"/>
        </w:rPr>
        <w:t>cash flow</w:t>
      </w:r>
      <w:r w:rsidRPr="00524465">
        <w:rPr>
          <w:rFonts w:cs="Segoe UI"/>
          <w:b/>
          <w:bCs/>
          <w:i/>
          <w:iCs/>
          <w:szCs w:val="22"/>
          <w:lang w:val="cs-CZ" w:bidi="bo-CN"/>
        </w:rPr>
        <w:t xml:space="preserve"> přesahující 2,3 miliardy eur, </w:t>
      </w:r>
      <w:r w:rsidR="007F52EF">
        <w:rPr>
          <w:rFonts w:cs="Segoe UI"/>
          <w:b/>
          <w:bCs/>
          <w:i/>
          <w:iCs/>
          <w:szCs w:val="22"/>
          <w:lang w:val="cs-CZ" w:bidi="bo-CN"/>
        </w:rPr>
        <w:t xml:space="preserve">který se přibližuje </w:t>
      </w:r>
      <w:r w:rsidRPr="00524465">
        <w:rPr>
          <w:rFonts w:cs="Segoe UI"/>
          <w:b/>
          <w:bCs/>
          <w:i/>
          <w:iCs/>
          <w:szCs w:val="22"/>
          <w:lang w:val="cs-CZ" w:bidi="bo-CN"/>
        </w:rPr>
        <w:t xml:space="preserve">rekordní úrovni předchozího roku. Na základě těchto robustních výsledků a naší silné finanční základně navrhneme na nadcházející výroční valné hromadě našim akcionářům stabilní dividendu. Za posledních 35 let, </w:t>
      </w:r>
      <w:r w:rsidR="001676A3">
        <w:rPr>
          <w:rFonts w:cs="Segoe UI"/>
          <w:b/>
          <w:bCs/>
          <w:i/>
          <w:iCs/>
          <w:szCs w:val="22"/>
          <w:lang w:val="cs-CZ" w:bidi="bo-CN"/>
        </w:rPr>
        <w:t xml:space="preserve">od doby, </w:t>
      </w:r>
      <w:r w:rsidRPr="00524465">
        <w:rPr>
          <w:rFonts w:cs="Segoe UI"/>
          <w:b/>
          <w:bCs/>
          <w:i/>
          <w:iCs/>
          <w:szCs w:val="22"/>
          <w:lang w:val="cs-CZ" w:bidi="bo-CN"/>
        </w:rPr>
        <w:t>kdy společnost Henkel vstoupila na burzu, vždy vyplácela dividendy nad úrovní nebo na úrovni předchozího roku, “dodal Knobel.</w:t>
      </w:r>
    </w:p>
    <w:p w14:paraId="63E27692" w14:textId="01EBBB6D" w:rsidR="00BC57C0" w:rsidRDefault="00BC57C0" w:rsidP="0019638B">
      <w:pPr>
        <w:rPr>
          <w:rFonts w:cs="Segoe UI"/>
          <w:b/>
          <w:bCs/>
          <w:i/>
          <w:iCs/>
          <w:szCs w:val="22"/>
          <w:lang w:val="cs-CZ" w:bidi="bo-CN"/>
        </w:rPr>
      </w:pPr>
    </w:p>
    <w:p w14:paraId="0C5C3747" w14:textId="14E0B24B" w:rsidR="007D0FBD" w:rsidRPr="007D0FBD" w:rsidRDefault="007D0FBD" w:rsidP="007D0FBD">
      <w:pPr>
        <w:rPr>
          <w:rFonts w:cs="Segoe UI"/>
          <w:b/>
          <w:bCs/>
          <w:i/>
          <w:iCs/>
          <w:szCs w:val="22"/>
          <w:lang w:val="cs-CZ" w:bidi="bo-CN"/>
        </w:rPr>
      </w:pPr>
      <w:r w:rsidRPr="007D0FBD">
        <w:rPr>
          <w:rFonts w:cs="Segoe UI"/>
          <w:b/>
          <w:bCs/>
          <w:i/>
          <w:iCs/>
          <w:szCs w:val="22"/>
          <w:lang w:val="cs-CZ" w:bidi="bo-CN"/>
        </w:rPr>
        <w:t>"Během krize COVID-19 jsme se pružně a rychle přizpůsobili změnám na našich trzích, přičemž bezpečnost zaměstnanců</w:t>
      </w:r>
      <w:r>
        <w:rPr>
          <w:rFonts w:cs="Segoe UI"/>
          <w:b/>
          <w:bCs/>
          <w:i/>
          <w:iCs/>
          <w:szCs w:val="22"/>
          <w:lang w:val="cs-CZ" w:bidi="bo-CN"/>
        </w:rPr>
        <w:t xml:space="preserve"> se sta</w:t>
      </w:r>
      <w:r w:rsidR="00AD5010">
        <w:rPr>
          <w:rFonts w:cs="Segoe UI"/>
          <w:b/>
          <w:bCs/>
          <w:i/>
          <w:iCs/>
          <w:szCs w:val="22"/>
          <w:lang w:val="cs-CZ" w:bidi="bo-CN"/>
        </w:rPr>
        <w:t xml:space="preserve">la </w:t>
      </w:r>
      <w:r w:rsidR="001676A3">
        <w:rPr>
          <w:rFonts w:cs="Segoe UI"/>
          <w:b/>
          <w:bCs/>
          <w:i/>
          <w:iCs/>
          <w:szCs w:val="22"/>
          <w:lang w:val="cs-CZ" w:bidi="bo-CN"/>
        </w:rPr>
        <w:t>prioritou</w:t>
      </w:r>
      <w:r w:rsidR="00AD5010">
        <w:rPr>
          <w:rFonts w:cs="Segoe UI"/>
          <w:b/>
          <w:bCs/>
          <w:i/>
          <w:iCs/>
          <w:szCs w:val="22"/>
          <w:lang w:val="cs-CZ" w:bidi="bo-CN"/>
        </w:rPr>
        <w:t>.</w:t>
      </w:r>
      <w:r w:rsidRPr="007D0FBD">
        <w:rPr>
          <w:rFonts w:cs="Segoe UI"/>
          <w:b/>
          <w:bCs/>
          <w:i/>
          <w:iCs/>
          <w:szCs w:val="22"/>
          <w:lang w:val="cs-CZ" w:bidi="bo-CN"/>
        </w:rPr>
        <w:t xml:space="preserve">" Současně jsme byli schopni úspěšně zahájit a řídit implementaci naší strategické agendy napříč všemi pilíři: formování vítězného portfolia, vytváření konkurenční výhody urychlením působivých inovací, </w:t>
      </w:r>
      <w:r w:rsidR="009F3406">
        <w:rPr>
          <w:rFonts w:cs="Segoe UI"/>
          <w:b/>
          <w:bCs/>
          <w:i/>
          <w:iCs/>
          <w:szCs w:val="22"/>
          <w:lang w:val="cs-CZ" w:bidi="bo-CN"/>
        </w:rPr>
        <w:t>prohlubování integrac</w:t>
      </w:r>
      <w:r w:rsidR="00101CAB">
        <w:rPr>
          <w:rFonts w:cs="Segoe UI"/>
          <w:b/>
          <w:bCs/>
          <w:i/>
          <w:iCs/>
          <w:szCs w:val="22"/>
          <w:lang w:val="cs-CZ" w:bidi="bo-CN"/>
        </w:rPr>
        <w:t>e principů</w:t>
      </w:r>
      <w:r w:rsidRPr="007D0FBD">
        <w:rPr>
          <w:rFonts w:cs="Segoe UI"/>
          <w:b/>
          <w:bCs/>
          <w:i/>
          <w:iCs/>
          <w:szCs w:val="22"/>
          <w:lang w:val="cs-CZ" w:bidi="bo-CN"/>
        </w:rPr>
        <w:t xml:space="preserve"> udržitelnosti do všeho, co děláme, a řízením digitální transformace a zajištění provozních modelů připravených na budoucnost. Ale co je pro mě nejdůležitější, posílili jsme naši kulturu spolupráce a vytvořili silnou hybnou sílu pro změnu, která nám umožní poskytovat vynikající výkon a účelný růst</w:t>
      </w:r>
      <w:r w:rsidR="00B22C2F">
        <w:rPr>
          <w:rFonts w:cs="Segoe UI"/>
          <w:b/>
          <w:bCs/>
          <w:i/>
          <w:iCs/>
          <w:szCs w:val="22"/>
          <w:lang w:val="cs-CZ" w:bidi="bo-CN"/>
        </w:rPr>
        <w:t xml:space="preserve"> jak </w:t>
      </w:r>
      <w:r w:rsidRPr="007D0FBD">
        <w:rPr>
          <w:rFonts w:cs="Segoe UI"/>
          <w:b/>
          <w:bCs/>
          <w:i/>
          <w:iCs/>
          <w:szCs w:val="22"/>
          <w:lang w:val="cs-CZ" w:bidi="bo-CN"/>
        </w:rPr>
        <w:t xml:space="preserve">pro naše zákazníky a spotřebitele, </w:t>
      </w:r>
      <w:r w:rsidR="00B22C2F">
        <w:rPr>
          <w:rFonts w:cs="Segoe UI"/>
          <w:b/>
          <w:bCs/>
          <w:i/>
          <w:iCs/>
          <w:szCs w:val="22"/>
          <w:lang w:val="cs-CZ" w:bidi="bo-CN"/>
        </w:rPr>
        <w:t xml:space="preserve">tak pro </w:t>
      </w:r>
      <w:r w:rsidRPr="007D0FBD">
        <w:rPr>
          <w:rFonts w:cs="Segoe UI"/>
          <w:b/>
          <w:bCs/>
          <w:i/>
          <w:iCs/>
          <w:szCs w:val="22"/>
          <w:lang w:val="cs-CZ" w:bidi="bo-CN"/>
        </w:rPr>
        <w:t>naši společnost, zaměstnance a akcionáře a</w:t>
      </w:r>
      <w:r w:rsidR="00B22C2F">
        <w:rPr>
          <w:rFonts w:cs="Segoe UI"/>
          <w:b/>
          <w:bCs/>
          <w:i/>
          <w:iCs/>
          <w:szCs w:val="22"/>
          <w:lang w:val="cs-CZ" w:bidi="bo-CN"/>
        </w:rPr>
        <w:t xml:space="preserve"> také</w:t>
      </w:r>
      <w:r w:rsidRPr="007D0FBD">
        <w:rPr>
          <w:rFonts w:cs="Segoe UI"/>
          <w:b/>
          <w:bCs/>
          <w:i/>
          <w:iCs/>
          <w:szCs w:val="22"/>
          <w:lang w:val="cs-CZ" w:bidi="bo-CN"/>
        </w:rPr>
        <w:t xml:space="preserve"> pro </w:t>
      </w:r>
      <w:r w:rsidR="006A009A">
        <w:rPr>
          <w:rFonts w:cs="Segoe UI"/>
          <w:b/>
          <w:bCs/>
          <w:i/>
          <w:iCs/>
          <w:szCs w:val="22"/>
          <w:lang w:val="cs-CZ" w:bidi="bo-CN"/>
        </w:rPr>
        <w:t xml:space="preserve">celou </w:t>
      </w:r>
      <w:r w:rsidRPr="007D0FBD">
        <w:rPr>
          <w:rFonts w:cs="Segoe UI"/>
          <w:b/>
          <w:bCs/>
          <w:i/>
          <w:iCs/>
          <w:szCs w:val="22"/>
          <w:lang w:val="cs-CZ" w:bidi="bo-CN"/>
        </w:rPr>
        <w:t>společnost a planetu. “</w:t>
      </w:r>
    </w:p>
    <w:p w14:paraId="322D62A8" w14:textId="1C5A8FF1" w:rsidR="0019638B" w:rsidRDefault="0019638B" w:rsidP="0019638B">
      <w:pPr>
        <w:rPr>
          <w:rFonts w:cs="Segoe UI"/>
          <w:b/>
          <w:bCs/>
          <w:i/>
          <w:iCs/>
          <w:szCs w:val="22"/>
          <w:lang w:val="cs-CZ" w:bidi="bo-CN"/>
        </w:rPr>
      </w:pPr>
    </w:p>
    <w:p w14:paraId="4EC3B6FE" w14:textId="109A5CD4" w:rsidR="001A63DF" w:rsidRPr="001A63DF" w:rsidRDefault="001A63DF" w:rsidP="001A63DF">
      <w:pPr>
        <w:rPr>
          <w:rFonts w:cs="Segoe UI"/>
          <w:b/>
          <w:bCs/>
          <w:szCs w:val="22"/>
          <w:lang w:val="cs-CZ" w:bidi="bo-CN"/>
        </w:rPr>
      </w:pPr>
      <w:r w:rsidRPr="001A63DF">
        <w:rPr>
          <w:rFonts w:cs="Segoe UI"/>
          <w:b/>
          <w:bCs/>
          <w:szCs w:val="22"/>
          <w:lang w:val="cs-CZ" w:bidi="bo-CN"/>
        </w:rPr>
        <w:t xml:space="preserve">Za celý rok vykázala obchodní jednotka Adhesive Technologies tržby pod úrovní předchozího roku, což odráží výrazný pokles poptávky </w:t>
      </w:r>
      <w:r w:rsidR="002321E3">
        <w:rPr>
          <w:rFonts w:cs="Segoe UI"/>
          <w:b/>
          <w:bCs/>
          <w:szCs w:val="22"/>
          <w:lang w:val="cs-CZ" w:bidi="bo-CN"/>
        </w:rPr>
        <w:t>v</w:t>
      </w:r>
      <w:r w:rsidRPr="001A63DF">
        <w:rPr>
          <w:rFonts w:cs="Segoe UI"/>
          <w:b/>
          <w:bCs/>
          <w:szCs w:val="22"/>
          <w:lang w:val="cs-CZ" w:bidi="bo-CN"/>
        </w:rPr>
        <w:t xml:space="preserve"> klíčových průmyslových odvětví. Díky šíři svého portfolia a úspěšným inovativním řešením však </w:t>
      </w:r>
      <w:r w:rsidR="002321E3">
        <w:rPr>
          <w:rFonts w:cs="Segoe UI"/>
          <w:b/>
          <w:bCs/>
          <w:szCs w:val="22"/>
          <w:lang w:val="cs-CZ" w:bidi="bo-CN"/>
        </w:rPr>
        <w:t xml:space="preserve">divize </w:t>
      </w:r>
      <w:r w:rsidRPr="001A63DF">
        <w:rPr>
          <w:rFonts w:cs="Segoe UI"/>
          <w:b/>
          <w:bCs/>
          <w:szCs w:val="22"/>
          <w:lang w:val="cs-CZ" w:bidi="bo-CN"/>
        </w:rPr>
        <w:t>prokázal</w:t>
      </w:r>
      <w:r w:rsidR="00551091">
        <w:rPr>
          <w:rFonts w:cs="Segoe UI"/>
          <w:b/>
          <w:bCs/>
          <w:szCs w:val="22"/>
          <w:lang w:val="cs-CZ" w:bidi="bo-CN"/>
        </w:rPr>
        <w:t>a</w:t>
      </w:r>
      <w:r w:rsidRPr="001A63DF">
        <w:rPr>
          <w:rFonts w:cs="Segoe UI"/>
          <w:b/>
          <w:bCs/>
          <w:szCs w:val="22"/>
          <w:lang w:val="cs-CZ" w:bidi="bo-CN"/>
        </w:rPr>
        <w:t xml:space="preserve"> svoji robustnost </w:t>
      </w:r>
      <w:r w:rsidR="002321E3">
        <w:rPr>
          <w:rFonts w:cs="Segoe UI"/>
          <w:b/>
          <w:bCs/>
          <w:szCs w:val="22"/>
          <w:lang w:val="cs-CZ" w:bidi="bo-CN"/>
        </w:rPr>
        <w:t>i pří</w:t>
      </w:r>
      <w:r w:rsidRPr="001A63DF">
        <w:rPr>
          <w:rFonts w:cs="Segoe UI"/>
          <w:b/>
          <w:bCs/>
          <w:szCs w:val="22"/>
          <w:lang w:val="cs-CZ" w:bidi="bo-CN"/>
        </w:rPr>
        <w:t xml:space="preserve"> globálním hospodářském poklesu.</w:t>
      </w:r>
    </w:p>
    <w:p w14:paraId="5950DCE7" w14:textId="77777777" w:rsidR="0063478E" w:rsidRPr="007012BC" w:rsidRDefault="0063478E" w:rsidP="0019638B">
      <w:pPr>
        <w:rPr>
          <w:rFonts w:cs="Segoe UI"/>
          <w:b/>
          <w:bCs/>
          <w:szCs w:val="22"/>
          <w:lang w:val="cs-CZ"/>
        </w:rPr>
      </w:pPr>
    </w:p>
    <w:p w14:paraId="5A951E40" w14:textId="6FDD3EF3" w:rsidR="00023A73" w:rsidRPr="00023A73" w:rsidRDefault="00023A73" w:rsidP="00023A73">
      <w:pPr>
        <w:rPr>
          <w:rFonts w:cs="Segoe UI"/>
          <w:b/>
          <w:bCs/>
          <w:szCs w:val="22"/>
          <w:lang w:val="cs-CZ" w:bidi="bo-CN"/>
        </w:rPr>
      </w:pPr>
      <w:bookmarkStart w:id="2" w:name="_Hlk63415665"/>
      <w:r w:rsidRPr="00023A73">
        <w:rPr>
          <w:rFonts w:cs="Segoe UI"/>
          <w:b/>
          <w:bCs/>
          <w:szCs w:val="22"/>
          <w:lang w:val="cs-CZ" w:bidi="bo-CN"/>
        </w:rPr>
        <w:t xml:space="preserve">Organický vývoj </w:t>
      </w:r>
      <w:r>
        <w:rPr>
          <w:rFonts w:cs="Segoe UI"/>
          <w:b/>
          <w:bCs/>
          <w:szCs w:val="22"/>
          <w:lang w:val="cs-CZ" w:bidi="bo-CN"/>
        </w:rPr>
        <w:t>tržeb divize</w:t>
      </w:r>
      <w:r w:rsidRPr="00023A73">
        <w:rPr>
          <w:rFonts w:cs="Segoe UI"/>
          <w:b/>
          <w:bCs/>
          <w:szCs w:val="22"/>
          <w:lang w:val="cs-CZ" w:bidi="bo-CN"/>
        </w:rPr>
        <w:t xml:space="preserve"> Beauty Care byl pod úrovní předchozího roku</w:t>
      </w:r>
      <w:r w:rsidR="00A36BC4">
        <w:rPr>
          <w:rFonts w:cs="Segoe UI"/>
          <w:b/>
          <w:bCs/>
          <w:szCs w:val="22"/>
          <w:lang w:val="cs-CZ" w:bidi="bo-CN"/>
        </w:rPr>
        <w:t>. Byl</w:t>
      </w:r>
      <w:r w:rsidRPr="00023A73">
        <w:rPr>
          <w:rFonts w:cs="Segoe UI"/>
          <w:b/>
          <w:bCs/>
          <w:szCs w:val="22"/>
          <w:lang w:val="cs-CZ" w:bidi="bo-CN"/>
        </w:rPr>
        <w:t xml:space="preserve"> silně ovlivněn</w:t>
      </w:r>
      <w:r w:rsidR="00A36BC4">
        <w:rPr>
          <w:rFonts w:cs="Segoe UI"/>
          <w:b/>
          <w:bCs/>
          <w:szCs w:val="22"/>
          <w:lang w:val="cs-CZ" w:bidi="bo-CN"/>
        </w:rPr>
        <w:t xml:space="preserve"> propadem v segmentu profesionální vlasové </w:t>
      </w:r>
      <w:r w:rsidR="00B35427">
        <w:rPr>
          <w:rFonts w:cs="Segoe UI"/>
          <w:b/>
          <w:bCs/>
          <w:szCs w:val="22"/>
          <w:lang w:val="cs-CZ" w:bidi="bo-CN"/>
        </w:rPr>
        <w:t>kosmetiky, způsobeným</w:t>
      </w:r>
      <w:r w:rsidRPr="00023A73">
        <w:rPr>
          <w:rFonts w:cs="Segoe UI"/>
          <w:b/>
          <w:bCs/>
          <w:szCs w:val="22"/>
          <w:lang w:val="cs-CZ" w:bidi="bo-CN"/>
        </w:rPr>
        <w:t xml:space="preserve"> vynuceným uzavíráním</w:t>
      </w:r>
      <w:r w:rsidR="00B35427">
        <w:rPr>
          <w:rFonts w:cs="Segoe UI"/>
          <w:b/>
          <w:bCs/>
          <w:szCs w:val="22"/>
          <w:lang w:val="cs-CZ" w:bidi="bo-CN"/>
        </w:rPr>
        <w:t>.</w:t>
      </w:r>
      <w:r w:rsidRPr="00023A73">
        <w:rPr>
          <w:rFonts w:cs="Segoe UI"/>
          <w:b/>
          <w:bCs/>
          <w:szCs w:val="22"/>
          <w:lang w:val="cs-CZ" w:bidi="bo-CN"/>
        </w:rPr>
        <w:t xml:space="preserve"> </w:t>
      </w:r>
      <w:r w:rsidR="00B35427">
        <w:rPr>
          <w:rFonts w:cs="Segoe UI"/>
          <w:b/>
          <w:bCs/>
          <w:szCs w:val="22"/>
          <w:lang w:val="cs-CZ" w:bidi="bo-CN"/>
        </w:rPr>
        <w:t>Ma</w:t>
      </w:r>
      <w:r w:rsidRPr="00023A73">
        <w:rPr>
          <w:rFonts w:cs="Segoe UI"/>
          <w:b/>
          <w:bCs/>
          <w:szCs w:val="22"/>
          <w:lang w:val="cs-CZ" w:bidi="bo-CN"/>
        </w:rPr>
        <w:t xml:space="preserve">loobchod </w:t>
      </w:r>
      <w:r w:rsidR="00B35427">
        <w:rPr>
          <w:rFonts w:cs="Segoe UI"/>
          <w:b/>
          <w:bCs/>
          <w:szCs w:val="22"/>
          <w:lang w:val="cs-CZ" w:bidi="bo-CN"/>
        </w:rPr>
        <w:t xml:space="preserve">oproti tomu </w:t>
      </w:r>
      <w:r w:rsidRPr="00023A73">
        <w:rPr>
          <w:rFonts w:cs="Segoe UI"/>
          <w:b/>
          <w:bCs/>
          <w:szCs w:val="22"/>
          <w:lang w:val="cs-CZ" w:bidi="bo-CN"/>
        </w:rPr>
        <w:t xml:space="preserve">zaznamenal </w:t>
      </w:r>
      <w:r w:rsidR="00B35427">
        <w:rPr>
          <w:rFonts w:cs="Segoe UI"/>
          <w:b/>
          <w:bCs/>
          <w:szCs w:val="22"/>
          <w:lang w:val="cs-CZ" w:bidi="bo-CN"/>
        </w:rPr>
        <w:t>pozitivní</w:t>
      </w:r>
      <w:r w:rsidRPr="00023A73">
        <w:rPr>
          <w:rFonts w:cs="Segoe UI"/>
          <w:b/>
          <w:bCs/>
          <w:szCs w:val="22"/>
          <w:lang w:val="cs-CZ" w:bidi="bo-CN"/>
        </w:rPr>
        <w:t xml:space="preserve"> růst. Důvodem byl úspěšný vývoj špičkových značek i uvedení nových produktů na trh, které reagují na klíčové spotřebitelské trendy.</w:t>
      </w:r>
    </w:p>
    <w:p w14:paraId="79B91CD2" w14:textId="12085DF1" w:rsidR="0019638B" w:rsidRDefault="0019638B" w:rsidP="0019638B">
      <w:pPr>
        <w:rPr>
          <w:rFonts w:cs="Segoe UI"/>
          <w:b/>
          <w:bCs/>
          <w:szCs w:val="22"/>
          <w:lang w:val="cs-CZ"/>
        </w:rPr>
      </w:pPr>
    </w:p>
    <w:p w14:paraId="301F18E8" w14:textId="764EF903" w:rsidR="00DC3730" w:rsidRPr="00DC3730" w:rsidRDefault="00DC3730" w:rsidP="00DC3730">
      <w:pPr>
        <w:rPr>
          <w:rFonts w:cs="Segoe UI"/>
          <w:b/>
          <w:bCs/>
          <w:szCs w:val="22"/>
          <w:lang w:val="cs-CZ" w:bidi="bo-CN"/>
        </w:rPr>
      </w:pPr>
      <w:r w:rsidRPr="00DC3730">
        <w:rPr>
          <w:rFonts w:cs="Segoe UI"/>
          <w:b/>
          <w:bCs/>
          <w:szCs w:val="22"/>
          <w:lang w:val="cs-CZ" w:bidi="bo-CN"/>
        </w:rPr>
        <w:t xml:space="preserve">Obchodní </w:t>
      </w:r>
      <w:r>
        <w:rPr>
          <w:rFonts w:cs="Segoe UI"/>
          <w:b/>
          <w:bCs/>
          <w:szCs w:val="22"/>
          <w:lang w:val="cs-CZ" w:bidi="bo-CN"/>
        </w:rPr>
        <w:t xml:space="preserve">divize </w:t>
      </w:r>
      <w:r w:rsidRPr="00DC3730">
        <w:rPr>
          <w:rFonts w:cs="Segoe UI"/>
          <w:b/>
          <w:bCs/>
          <w:szCs w:val="22"/>
          <w:lang w:val="cs-CZ" w:bidi="bo-CN"/>
        </w:rPr>
        <w:t>Laundry &amp; Home Care dosáhla velmi silného organického růstu tržeb, k čemuž přispěl jednak nárůst poptávky po hygienických výrobcích</w:t>
      </w:r>
      <w:r w:rsidR="007F54E1">
        <w:rPr>
          <w:rFonts w:cs="Segoe UI"/>
          <w:b/>
          <w:bCs/>
          <w:szCs w:val="22"/>
          <w:lang w:val="cs-CZ" w:bidi="bo-CN"/>
        </w:rPr>
        <w:t xml:space="preserve"> a také</w:t>
      </w:r>
      <w:r w:rsidRPr="00DC3730">
        <w:rPr>
          <w:rFonts w:cs="Segoe UI"/>
          <w:b/>
          <w:bCs/>
          <w:szCs w:val="22"/>
          <w:lang w:val="cs-CZ" w:bidi="bo-CN"/>
        </w:rPr>
        <w:t xml:space="preserve"> úspěšné inovace, které rovněž </w:t>
      </w:r>
      <w:r w:rsidR="007F54E1">
        <w:rPr>
          <w:rFonts w:cs="Segoe UI"/>
          <w:b/>
          <w:bCs/>
          <w:szCs w:val="22"/>
          <w:lang w:val="cs-CZ" w:bidi="bo-CN"/>
        </w:rPr>
        <w:t>zvýšily</w:t>
      </w:r>
      <w:r w:rsidRPr="00DC3730">
        <w:rPr>
          <w:rFonts w:cs="Segoe UI"/>
          <w:b/>
          <w:bCs/>
          <w:szCs w:val="22"/>
          <w:lang w:val="cs-CZ" w:bidi="bo-CN"/>
        </w:rPr>
        <w:t xml:space="preserve"> poptávku po udržitelnějších produktech.</w:t>
      </w:r>
    </w:p>
    <w:p w14:paraId="66089F6B" w14:textId="77777777" w:rsidR="00023A73" w:rsidRPr="007012BC" w:rsidRDefault="00023A73" w:rsidP="0019638B">
      <w:pPr>
        <w:rPr>
          <w:rFonts w:cs="Segoe UI"/>
          <w:b/>
          <w:bCs/>
          <w:szCs w:val="22"/>
          <w:lang w:val="cs-CZ" w:bidi="bo-CN"/>
        </w:rPr>
      </w:pPr>
    </w:p>
    <w:bookmarkEnd w:id="2"/>
    <w:p w14:paraId="3C95E217" w14:textId="532B30BD" w:rsidR="00211B33" w:rsidRPr="00211B33" w:rsidRDefault="00211B33" w:rsidP="00211B33">
      <w:pPr>
        <w:rPr>
          <w:rFonts w:cs="Segoe UI"/>
          <w:b/>
          <w:bCs/>
          <w:szCs w:val="22"/>
          <w:lang w:val="cs-CZ" w:bidi="bo-CN"/>
        </w:rPr>
      </w:pPr>
      <w:r w:rsidRPr="00211B33">
        <w:rPr>
          <w:rFonts w:cs="Segoe UI"/>
          <w:b/>
          <w:bCs/>
          <w:szCs w:val="22"/>
          <w:lang w:val="cs-CZ" w:bidi="bo-CN"/>
        </w:rPr>
        <w:t>Po siln</w:t>
      </w:r>
      <w:r w:rsidR="004C4AAE">
        <w:rPr>
          <w:rFonts w:cs="Segoe UI"/>
          <w:b/>
          <w:bCs/>
          <w:szCs w:val="22"/>
          <w:lang w:val="cs-CZ" w:bidi="bo-CN"/>
        </w:rPr>
        <w:t>ě</w:t>
      </w:r>
      <w:r w:rsidRPr="00211B33">
        <w:rPr>
          <w:rFonts w:cs="Segoe UI"/>
          <w:b/>
          <w:bCs/>
          <w:szCs w:val="22"/>
          <w:lang w:val="cs-CZ" w:bidi="bo-CN"/>
        </w:rPr>
        <w:t xml:space="preserve"> negativním dopadu na tržby </w:t>
      </w:r>
      <w:r>
        <w:rPr>
          <w:rFonts w:cs="Segoe UI"/>
          <w:b/>
          <w:bCs/>
          <w:szCs w:val="22"/>
          <w:lang w:val="cs-CZ" w:bidi="bo-CN"/>
        </w:rPr>
        <w:t xml:space="preserve">způsobené </w:t>
      </w:r>
      <w:r w:rsidRPr="00211B33">
        <w:rPr>
          <w:rFonts w:cs="Segoe UI"/>
          <w:b/>
          <w:bCs/>
          <w:szCs w:val="22"/>
          <w:lang w:val="cs-CZ" w:bidi="bo-CN"/>
        </w:rPr>
        <w:t>pandemi</w:t>
      </w:r>
      <w:r>
        <w:rPr>
          <w:rFonts w:cs="Segoe UI"/>
          <w:b/>
          <w:bCs/>
          <w:szCs w:val="22"/>
          <w:lang w:val="cs-CZ" w:bidi="bo-CN"/>
        </w:rPr>
        <w:t>í Covid-19</w:t>
      </w:r>
      <w:r w:rsidRPr="00211B33">
        <w:rPr>
          <w:rFonts w:cs="Segoe UI"/>
          <w:b/>
          <w:bCs/>
          <w:szCs w:val="22"/>
          <w:lang w:val="cs-CZ" w:bidi="bo-CN"/>
        </w:rPr>
        <w:t xml:space="preserve"> a </w:t>
      </w:r>
      <w:r>
        <w:rPr>
          <w:rFonts w:cs="Segoe UI"/>
          <w:b/>
          <w:bCs/>
          <w:szCs w:val="22"/>
          <w:lang w:val="cs-CZ" w:bidi="bo-CN"/>
        </w:rPr>
        <w:t xml:space="preserve">s ní </w:t>
      </w:r>
      <w:r w:rsidRPr="00211B33">
        <w:rPr>
          <w:rFonts w:cs="Segoe UI"/>
          <w:b/>
          <w:bCs/>
          <w:szCs w:val="22"/>
          <w:lang w:val="cs-CZ" w:bidi="bo-CN"/>
        </w:rPr>
        <w:t>související</w:t>
      </w:r>
      <w:r>
        <w:rPr>
          <w:rFonts w:cs="Segoe UI"/>
          <w:b/>
          <w:bCs/>
          <w:szCs w:val="22"/>
          <w:lang w:val="cs-CZ" w:bidi="bo-CN"/>
        </w:rPr>
        <w:t xml:space="preserve"> </w:t>
      </w:r>
      <w:r w:rsidRPr="00211B33">
        <w:rPr>
          <w:rFonts w:cs="Segoe UI"/>
          <w:b/>
          <w:bCs/>
          <w:szCs w:val="22"/>
          <w:lang w:val="cs-CZ" w:bidi="bo-CN"/>
        </w:rPr>
        <w:t>odstáv</w:t>
      </w:r>
      <w:r>
        <w:rPr>
          <w:rFonts w:cs="Segoe UI"/>
          <w:b/>
          <w:bCs/>
          <w:szCs w:val="22"/>
          <w:lang w:val="cs-CZ" w:bidi="bo-CN"/>
        </w:rPr>
        <w:t>ky</w:t>
      </w:r>
      <w:r w:rsidR="00807E1A">
        <w:rPr>
          <w:rFonts w:cs="Segoe UI"/>
          <w:b/>
          <w:bCs/>
          <w:szCs w:val="22"/>
          <w:lang w:val="cs-CZ" w:bidi="bo-CN"/>
        </w:rPr>
        <w:t>, kterému divize</w:t>
      </w:r>
      <w:r w:rsidRPr="00211B33">
        <w:rPr>
          <w:rFonts w:cs="Segoe UI"/>
          <w:b/>
          <w:bCs/>
          <w:szCs w:val="22"/>
          <w:lang w:val="cs-CZ" w:bidi="bo-CN"/>
        </w:rPr>
        <w:t xml:space="preserve"> Adhesive Technologies a Beauty Care </w:t>
      </w:r>
      <w:r w:rsidR="00807E1A">
        <w:rPr>
          <w:rFonts w:cs="Segoe UI"/>
          <w:b/>
          <w:bCs/>
          <w:szCs w:val="22"/>
          <w:lang w:val="cs-CZ" w:bidi="bo-CN"/>
        </w:rPr>
        <w:t>čelily</w:t>
      </w:r>
      <w:r w:rsidR="009E7150">
        <w:rPr>
          <w:rFonts w:cs="Segoe UI"/>
          <w:b/>
          <w:bCs/>
          <w:szCs w:val="22"/>
          <w:lang w:val="cs-CZ" w:bidi="bo-CN"/>
        </w:rPr>
        <w:t xml:space="preserve">, </w:t>
      </w:r>
      <w:r w:rsidRPr="00211B33">
        <w:rPr>
          <w:rFonts w:cs="Segoe UI"/>
          <w:b/>
          <w:bCs/>
          <w:szCs w:val="22"/>
          <w:lang w:val="cs-CZ" w:bidi="bo-CN"/>
        </w:rPr>
        <w:t xml:space="preserve">vykázaly všechny tři obchodní jednotky ve druhé polovině roku 2020 </w:t>
      </w:r>
      <w:r w:rsidR="009E7150">
        <w:rPr>
          <w:rFonts w:cs="Segoe UI"/>
          <w:b/>
          <w:bCs/>
          <w:szCs w:val="22"/>
          <w:lang w:val="cs-CZ" w:bidi="bo-CN"/>
        </w:rPr>
        <w:t>kladný</w:t>
      </w:r>
      <w:r w:rsidRPr="00211B33">
        <w:rPr>
          <w:rFonts w:cs="Segoe UI"/>
          <w:b/>
          <w:bCs/>
          <w:szCs w:val="22"/>
          <w:lang w:val="cs-CZ" w:bidi="bo-CN"/>
        </w:rPr>
        <w:t xml:space="preserve"> organický růst ve srovnání s předchozím rokem. </w:t>
      </w:r>
      <w:r w:rsidR="00F45EBB">
        <w:rPr>
          <w:rFonts w:cs="Segoe UI"/>
          <w:b/>
          <w:bCs/>
          <w:szCs w:val="22"/>
          <w:lang w:val="cs-CZ" w:bidi="bo-CN"/>
        </w:rPr>
        <w:t>Pozitivní</w:t>
      </w:r>
      <w:r w:rsidR="00A60C91">
        <w:rPr>
          <w:rFonts w:cs="Segoe UI"/>
          <w:b/>
          <w:bCs/>
          <w:szCs w:val="22"/>
          <w:lang w:val="cs-CZ" w:bidi="bo-CN"/>
        </w:rPr>
        <w:t>m</w:t>
      </w:r>
      <w:r w:rsidR="00F45EBB">
        <w:rPr>
          <w:rFonts w:cs="Segoe UI"/>
          <w:b/>
          <w:bCs/>
          <w:szCs w:val="22"/>
          <w:lang w:val="cs-CZ" w:bidi="bo-CN"/>
        </w:rPr>
        <w:t xml:space="preserve"> přínos</w:t>
      </w:r>
      <w:r w:rsidR="00A60C91">
        <w:rPr>
          <w:rFonts w:cs="Segoe UI"/>
          <w:b/>
          <w:bCs/>
          <w:szCs w:val="22"/>
          <w:lang w:val="cs-CZ" w:bidi="bo-CN"/>
        </w:rPr>
        <w:t>em</w:t>
      </w:r>
      <w:r w:rsidR="00F45EBB">
        <w:rPr>
          <w:rFonts w:cs="Segoe UI"/>
          <w:b/>
          <w:bCs/>
          <w:szCs w:val="22"/>
          <w:lang w:val="cs-CZ" w:bidi="bo-CN"/>
        </w:rPr>
        <w:t xml:space="preserve"> při r</w:t>
      </w:r>
      <w:r w:rsidRPr="00211B33">
        <w:rPr>
          <w:rFonts w:cs="Segoe UI"/>
          <w:b/>
          <w:bCs/>
          <w:szCs w:val="22"/>
          <w:lang w:val="cs-CZ" w:bidi="bo-CN"/>
        </w:rPr>
        <w:t>ozvoj</w:t>
      </w:r>
      <w:r w:rsidR="00F45EBB">
        <w:rPr>
          <w:rFonts w:cs="Segoe UI"/>
          <w:b/>
          <w:bCs/>
          <w:szCs w:val="22"/>
          <w:lang w:val="cs-CZ" w:bidi="bo-CN"/>
        </w:rPr>
        <w:t>i</w:t>
      </w:r>
      <w:r w:rsidRPr="00211B33">
        <w:rPr>
          <w:rFonts w:cs="Segoe UI"/>
          <w:b/>
          <w:bCs/>
          <w:szCs w:val="22"/>
          <w:lang w:val="cs-CZ" w:bidi="bo-CN"/>
        </w:rPr>
        <w:t xml:space="preserve"> podnikání se spotřebním zbožím</w:t>
      </w:r>
      <w:r w:rsidR="00F45EBB">
        <w:rPr>
          <w:rFonts w:cs="Segoe UI"/>
          <w:b/>
          <w:bCs/>
          <w:szCs w:val="22"/>
          <w:lang w:val="cs-CZ" w:bidi="bo-CN"/>
        </w:rPr>
        <w:t xml:space="preserve"> divizí </w:t>
      </w:r>
      <w:r w:rsidRPr="00211B33">
        <w:rPr>
          <w:rFonts w:cs="Segoe UI"/>
          <w:b/>
          <w:bCs/>
          <w:szCs w:val="22"/>
          <w:lang w:val="cs-CZ" w:bidi="bo-CN"/>
        </w:rPr>
        <w:t xml:space="preserve">Beauty Care a Laundry &amp; Home Care, </w:t>
      </w:r>
      <w:r w:rsidR="00A60C91">
        <w:rPr>
          <w:rFonts w:cs="Segoe UI"/>
          <w:b/>
          <w:bCs/>
          <w:szCs w:val="22"/>
          <w:lang w:val="cs-CZ" w:bidi="bo-CN"/>
        </w:rPr>
        <w:t>byly</w:t>
      </w:r>
      <w:r w:rsidR="00F45EBB">
        <w:rPr>
          <w:rFonts w:cs="Segoe UI"/>
          <w:b/>
          <w:bCs/>
          <w:szCs w:val="22"/>
          <w:lang w:val="cs-CZ" w:bidi="bo-CN"/>
        </w:rPr>
        <w:t xml:space="preserve"> zvýšené investice</w:t>
      </w:r>
      <w:r w:rsidRPr="00211B33">
        <w:rPr>
          <w:rFonts w:cs="Segoe UI"/>
          <w:b/>
          <w:bCs/>
          <w:szCs w:val="22"/>
          <w:lang w:val="cs-CZ" w:bidi="bo-CN"/>
        </w:rPr>
        <w:t xml:space="preserve"> do značek, inovací a digitalizace.</w:t>
      </w:r>
    </w:p>
    <w:p w14:paraId="30D2ED49" w14:textId="77777777" w:rsidR="0019638B" w:rsidRPr="007012BC" w:rsidRDefault="0019638B" w:rsidP="0019638B">
      <w:pPr>
        <w:rPr>
          <w:rFonts w:cs="Segoe UI"/>
          <w:b/>
          <w:bCs/>
          <w:szCs w:val="22"/>
          <w:lang w:val="cs-CZ"/>
        </w:rPr>
      </w:pPr>
    </w:p>
    <w:p w14:paraId="59A6D0BE" w14:textId="1054B730" w:rsidR="0019638B" w:rsidRPr="00766FAC" w:rsidRDefault="00766FAC" w:rsidP="0019638B">
      <w:pPr>
        <w:rPr>
          <w:rFonts w:cs="Segoe UI"/>
          <w:b/>
          <w:bCs/>
          <w:szCs w:val="22"/>
          <w:lang w:val="cs-CZ" w:bidi="bo-CN"/>
        </w:rPr>
      </w:pPr>
      <w:r w:rsidRPr="00766FAC">
        <w:rPr>
          <w:rFonts w:cs="Segoe UI"/>
          <w:b/>
          <w:bCs/>
          <w:szCs w:val="22"/>
          <w:lang w:val="cs-CZ" w:bidi="bo-CN"/>
        </w:rPr>
        <w:t>Na úrovni skupiny se upravený EBIT snížil o 19,9</w:t>
      </w:r>
      <w:r>
        <w:rPr>
          <w:rFonts w:cs="Segoe UI"/>
          <w:b/>
          <w:bCs/>
          <w:szCs w:val="22"/>
          <w:lang w:val="cs-CZ" w:bidi="bo-CN"/>
        </w:rPr>
        <w:t xml:space="preserve"> %</w:t>
      </w:r>
      <w:r w:rsidRPr="00766FAC">
        <w:rPr>
          <w:rFonts w:cs="Segoe UI"/>
          <w:b/>
          <w:bCs/>
          <w:szCs w:val="22"/>
          <w:lang w:val="cs-CZ" w:bidi="bo-CN"/>
        </w:rPr>
        <w:t xml:space="preserve"> na 2,6 miliardy eur. Upravená návratnost tržeb (marže EBIT) činila 13,4 procenta, což je o </w:t>
      </w:r>
      <w:r w:rsidR="00173946" w:rsidRPr="00766FAC">
        <w:rPr>
          <w:rFonts w:cs="Segoe UI"/>
          <w:b/>
          <w:bCs/>
          <w:szCs w:val="22"/>
          <w:lang w:val="cs-CZ" w:bidi="bo-CN"/>
        </w:rPr>
        <w:t>2,6</w:t>
      </w:r>
      <w:r w:rsidR="00173946">
        <w:rPr>
          <w:rFonts w:cs="Segoe UI"/>
          <w:b/>
          <w:bCs/>
          <w:szCs w:val="22"/>
          <w:lang w:val="cs-CZ" w:bidi="bo-CN"/>
        </w:rPr>
        <w:t xml:space="preserve"> </w:t>
      </w:r>
      <w:r w:rsidR="00173946" w:rsidRPr="00766FAC">
        <w:rPr>
          <w:rFonts w:cs="Segoe UI"/>
          <w:b/>
          <w:bCs/>
          <w:szCs w:val="22"/>
          <w:lang w:val="cs-CZ" w:bidi="bo-CN"/>
        </w:rPr>
        <w:t>procentního</w:t>
      </w:r>
      <w:r w:rsidRPr="00766FAC">
        <w:rPr>
          <w:rFonts w:cs="Segoe UI"/>
          <w:b/>
          <w:bCs/>
          <w:szCs w:val="22"/>
          <w:lang w:val="cs-CZ" w:bidi="bo-CN"/>
        </w:rPr>
        <w:t xml:space="preserve"> bodu méně než v roce 2019. Upravený </w:t>
      </w:r>
      <w:r w:rsidR="00173946">
        <w:rPr>
          <w:rFonts w:cs="Segoe UI"/>
          <w:b/>
          <w:bCs/>
          <w:szCs w:val="22"/>
          <w:lang w:val="cs-CZ" w:bidi="bo-CN"/>
        </w:rPr>
        <w:t>výnos</w:t>
      </w:r>
      <w:r w:rsidRPr="00766FAC">
        <w:rPr>
          <w:rFonts w:cs="Segoe UI"/>
          <w:b/>
          <w:bCs/>
          <w:szCs w:val="22"/>
          <w:lang w:val="cs-CZ" w:bidi="bo-CN"/>
        </w:rPr>
        <w:t xml:space="preserve"> na preferovanou akcii </w:t>
      </w:r>
      <w:r w:rsidR="006615D2">
        <w:rPr>
          <w:rFonts w:cs="Segoe UI"/>
          <w:b/>
          <w:bCs/>
          <w:szCs w:val="22"/>
          <w:lang w:val="cs-CZ" w:bidi="bo-CN"/>
        </w:rPr>
        <w:t>činil</w:t>
      </w:r>
      <w:r w:rsidRPr="00766FAC">
        <w:rPr>
          <w:rFonts w:cs="Segoe UI"/>
          <w:b/>
          <w:bCs/>
          <w:szCs w:val="22"/>
          <w:lang w:val="cs-CZ" w:bidi="bo-CN"/>
        </w:rPr>
        <w:t xml:space="preserve"> 4,26 eura, což je pokles o -17,9 </w:t>
      </w:r>
      <w:r w:rsidR="00682DFD">
        <w:rPr>
          <w:rFonts w:cs="Segoe UI"/>
          <w:b/>
          <w:bCs/>
          <w:szCs w:val="22"/>
          <w:lang w:val="cs-CZ" w:bidi="bo-CN"/>
        </w:rPr>
        <w:t>%</w:t>
      </w:r>
      <w:r w:rsidRPr="00766FAC">
        <w:rPr>
          <w:rFonts w:cs="Segoe UI"/>
          <w:b/>
          <w:bCs/>
          <w:szCs w:val="22"/>
          <w:lang w:val="cs-CZ" w:bidi="bo-CN"/>
        </w:rPr>
        <w:t xml:space="preserve"> při stálých směnných kurzech.</w:t>
      </w:r>
    </w:p>
    <w:p w14:paraId="59784C57" w14:textId="77777777" w:rsidR="0019638B" w:rsidRPr="007012BC" w:rsidRDefault="0019638B" w:rsidP="0019638B">
      <w:pPr>
        <w:rPr>
          <w:rFonts w:cs="Segoe UI"/>
          <w:b/>
          <w:bCs/>
          <w:szCs w:val="22"/>
          <w:lang w:val="cs-CZ"/>
        </w:rPr>
      </w:pPr>
    </w:p>
    <w:p w14:paraId="1105F039" w14:textId="379817CD" w:rsidR="0019638B" w:rsidRPr="00EB47BC" w:rsidRDefault="00EB47BC" w:rsidP="0019638B">
      <w:pPr>
        <w:rPr>
          <w:rFonts w:cs="Segoe UI"/>
          <w:b/>
          <w:bCs/>
          <w:szCs w:val="22"/>
          <w:lang w:val="cs-CZ" w:bidi="bo-CN"/>
        </w:rPr>
      </w:pPr>
      <w:r w:rsidRPr="00EB47BC">
        <w:rPr>
          <w:rFonts w:cs="Segoe UI"/>
          <w:b/>
          <w:bCs/>
          <w:i/>
          <w:iCs/>
          <w:szCs w:val="22"/>
          <w:lang w:val="cs-CZ" w:bidi="bo-CN"/>
        </w:rPr>
        <w:t>„Vývoj našich příjmů odráží naše zvýšené investice, které jsme navzdory krizi zvýšili, jak bylo oznámeno na začátku roku 2020. Klesající poptávka v klíčových obchodních segmentech během krize COVID-19 také negativně ovlivnila naši ziskovost. Díky našemu úspěšnému řízení nákladů a implementaci vylepšených provozních modelů se nám však podařilo částečně zmírnit dopad krize na naše</w:t>
      </w:r>
      <w:r w:rsidR="00754D0B">
        <w:rPr>
          <w:rFonts w:cs="Segoe UI"/>
          <w:b/>
          <w:bCs/>
          <w:i/>
          <w:iCs/>
          <w:szCs w:val="22"/>
          <w:lang w:val="cs-CZ" w:bidi="bo-CN"/>
        </w:rPr>
        <w:t xml:space="preserve"> obchodní výsledky</w:t>
      </w:r>
      <w:r w:rsidRPr="00EB47BC">
        <w:rPr>
          <w:rFonts w:cs="Segoe UI"/>
          <w:b/>
          <w:bCs/>
          <w:i/>
          <w:iCs/>
          <w:szCs w:val="22"/>
          <w:lang w:val="cs-CZ" w:bidi="bo-CN"/>
        </w:rPr>
        <w:t>, “</w:t>
      </w:r>
      <w:r w:rsidRPr="00EB47BC">
        <w:rPr>
          <w:rFonts w:cs="Segoe UI"/>
          <w:b/>
          <w:bCs/>
          <w:szCs w:val="22"/>
          <w:lang w:val="cs-CZ" w:bidi="bo-CN"/>
        </w:rPr>
        <w:t>vysvětlil Carsten Knobel.</w:t>
      </w:r>
    </w:p>
    <w:p w14:paraId="579B8DA8" w14:textId="77777777" w:rsidR="006615D2" w:rsidRPr="00EB47BC" w:rsidRDefault="006615D2" w:rsidP="0019638B">
      <w:pPr>
        <w:rPr>
          <w:rFonts w:cs="Segoe UI"/>
          <w:b/>
          <w:bCs/>
          <w:szCs w:val="22"/>
          <w:lang w:val="cs-CZ" w:bidi="bo-CN"/>
        </w:rPr>
      </w:pPr>
    </w:p>
    <w:p w14:paraId="4A3676E0" w14:textId="131A0A60" w:rsidR="000D0273" w:rsidRPr="000D0273" w:rsidRDefault="000D0273" w:rsidP="000D0273">
      <w:pPr>
        <w:rPr>
          <w:rFonts w:cs="Segoe UI"/>
          <w:b/>
          <w:bCs/>
          <w:i/>
          <w:iCs/>
          <w:szCs w:val="22"/>
          <w:lang w:val="cs-CZ" w:bidi="bo-CN"/>
        </w:rPr>
      </w:pPr>
      <w:r w:rsidRPr="000D0273">
        <w:rPr>
          <w:rFonts w:cs="Segoe UI"/>
          <w:b/>
          <w:bCs/>
          <w:i/>
          <w:iCs/>
          <w:szCs w:val="22"/>
          <w:lang w:val="cs-CZ" w:bidi="bo-CN"/>
        </w:rPr>
        <w:t>"</w:t>
      </w:r>
      <w:r w:rsidR="0083041B">
        <w:rPr>
          <w:rFonts w:cs="Segoe UI"/>
          <w:b/>
          <w:bCs/>
          <w:i/>
          <w:iCs/>
          <w:szCs w:val="22"/>
          <w:lang w:val="cs-CZ" w:bidi="bo-CN"/>
        </w:rPr>
        <w:t>I p</w:t>
      </w:r>
      <w:r>
        <w:rPr>
          <w:rFonts w:cs="Segoe UI"/>
          <w:b/>
          <w:bCs/>
          <w:i/>
          <w:iCs/>
          <w:szCs w:val="22"/>
          <w:lang w:val="cs-CZ" w:bidi="bo-CN"/>
        </w:rPr>
        <w:t>ři zvládání současné krize</w:t>
      </w:r>
      <w:r w:rsidRPr="000D0273">
        <w:rPr>
          <w:rFonts w:cs="Segoe UI"/>
          <w:b/>
          <w:bCs/>
          <w:i/>
          <w:iCs/>
          <w:szCs w:val="22"/>
          <w:lang w:val="cs-CZ" w:bidi="bo-CN"/>
        </w:rPr>
        <w:t>, zůstáváme</w:t>
      </w:r>
      <w:r w:rsidR="0083041B">
        <w:rPr>
          <w:rFonts w:cs="Segoe UI"/>
          <w:b/>
          <w:bCs/>
          <w:i/>
          <w:iCs/>
          <w:szCs w:val="22"/>
          <w:lang w:val="cs-CZ" w:bidi="bo-CN"/>
        </w:rPr>
        <w:t xml:space="preserve"> </w:t>
      </w:r>
      <w:r w:rsidR="00EA4DCF">
        <w:rPr>
          <w:rFonts w:cs="Segoe UI"/>
          <w:b/>
          <w:bCs/>
          <w:i/>
          <w:iCs/>
          <w:szCs w:val="22"/>
          <w:lang w:val="cs-CZ" w:bidi="bo-CN"/>
        </w:rPr>
        <w:t>odhodlán</w:t>
      </w:r>
      <w:r w:rsidR="00C6126E">
        <w:rPr>
          <w:rFonts w:cs="Segoe UI"/>
          <w:b/>
          <w:bCs/>
          <w:i/>
          <w:iCs/>
          <w:szCs w:val="22"/>
          <w:lang w:val="cs-CZ" w:bidi="bo-CN"/>
        </w:rPr>
        <w:t>i</w:t>
      </w:r>
      <w:r w:rsidR="00EA4DCF">
        <w:rPr>
          <w:rFonts w:cs="Segoe UI"/>
          <w:b/>
          <w:bCs/>
          <w:i/>
          <w:iCs/>
          <w:szCs w:val="22"/>
          <w:lang w:val="cs-CZ" w:bidi="bo-CN"/>
        </w:rPr>
        <w:t xml:space="preserve"> naplňovat ambiciózní cíle udržitelného růstu i v následujících letech.</w:t>
      </w:r>
      <w:r w:rsidRPr="000D0273">
        <w:rPr>
          <w:rFonts w:cs="Segoe UI"/>
          <w:b/>
          <w:bCs/>
          <w:i/>
          <w:iCs/>
          <w:szCs w:val="22"/>
          <w:lang w:val="cs-CZ" w:bidi="bo-CN"/>
        </w:rPr>
        <w:t xml:space="preserve"> " Při pohledu do budoucna jsme si jistější než kdy jindy, že s naším globálním týmem </w:t>
      </w:r>
      <w:r w:rsidR="00EA4DCF">
        <w:rPr>
          <w:rFonts w:cs="Segoe UI"/>
          <w:b/>
          <w:bCs/>
          <w:i/>
          <w:iCs/>
          <w:szCs w:val="22"/>
          <w:lang w:val="cs-CZ" w:bidi="bo-CN"/>
        </w:rPr>
        <w:t xml:space="preserve">dokážeme naplnit cíle naší agendy pro </w:t>
      </w:r>
      <w:r w:rsidR="0074727D">
        <w:rPr>
          <w:rFonts w:cs="Segoe UI"/>
          <w:b/>
          <w:bCs/>
          <w:i/>
          <w:iCs/>
          <w:szCs w:val="22"/>
          <w:lang w:val="cs-CZ" w:bidi="bo-CN"/>
        </w:rPr>
        <w:t xml:space="preserve">smysluplný růst a úspěšně tak formovat </w:t>
      </w:r>
      <w:r w:rsidR="00BB5B40">
        <w:rPr>
          <w:rFonts w:cs="Segoe UI"/>
          <w:b/>
          <w:bCs/>
          <w:i/>
          <w:iCs/>
          <w:szCs w:val="22"/>
          <w:lang w:val="cs-CZ" w:bidi="bo-CN"/>
        </w:rPr>
        <w:t>naši</w:t>
      </w:r>
      <w:r w:rsidR="0074727D">
        <w:rPr>
          <w:rFonts w:cs="Segoe UI"/>
          <w:b/>
          <w:bCs/>
          <w:i/>
          <w:iCs/>
          <w:szCs w:val="22"/>
          <w:lang w:val="cs-CZ" w:bidi="bo-CN"/>
        </w:rPr>
        <w:t xml:space="preserve"> budoucnost.</w:t>
      </w:r>
      <w:r w:rsidRPr="000D0273">
        <w:rPr>
          <w:rFonts w:cs="Segoe UI"/>
          <w:b/>
          <w:bCs/>
          <w:i/>
          <w:iCs/>
          <w:szCs w:val="22"/>
          <w:lang w:val="cs-CZ" w:bidi="bo-CN"/>
        </w:rPr>
        <w:t xml:space="preserve"> “</w:t>
      </w:r>
    </w:p>
    <w:p w14:paraId="6BC4311E" w14:textId="1DB19391" w:rsidR="0019638B" w:rsidRDefault="0019638B" w:rsidP="0019638B">
      <w:pPr>
        <w:rPr>
          <w:rFonts w:cs="Segoe UI"/>
          <w:b/>
          <w:bCs/>
          <w:i/>
          <w:iCs/>
          <w:szCs w:val="22"/>
          <w:lang w:val="cs-CZ" w:bidi="bo-CN"/>
        </w:rPr>
      </w:pPr>
    </w:p>
    <w:p w14:paraId="0DD38F51" w14:textId="62CBAB2E" w:rsidR="0019638B" w:rsidRDefault="0019638B" w:rsidP="0019638B">
      <w:pPr>
        <w:rPr>
          <w:rFonts w:cs="Segoe UI"/>
          <w:b/>
          <w:bCs/>
          <w:i/>
          <w:iCs/>
          <w:szCs w:val="22"/>
          <w:lang w:val="cs-CZ" w:bidi="bo-CN"/>
        </w:rPr>
      </w:pPr>
    </w:p>
    <w:p w14:paraId="3A72E438" w14:textId="77777777" w:rsidR="0074727D" w:rsidRPr="007012BC" w:rsidRDefault="0074727D" w:rsidP="0019638B">
      <w:pPr>
        <w:rPr>
          <w:rFonts w:cs="Segoe UI"/>
          <w:b/>
          <w:bCs/>
          <w:szCs w:val="22"/>
          <w:lang w:val="cs-CZ"/>
        </w:rPr>
      </w:pPr>
    </w:p>
    <w:p w14:paraId="082DC7E2" w14:textId="59E0BE4C" w:rsidR="0019638B" w:rsidRDefault="009D15F3" w:rsidP="0019638B">
      <w:pPr>
        <w:spacing w:after="120"/>
        <w:rPr>
          <w:rFonts w:cs="Segoe UI"/>
          <w:b/>
          <w:bCs/>
          <w:szCs w:val="22"/>
          <w:lang w:val="cs-CZ" w:bidi="bo-CN"/>
        </w:rPr>
      </w:pPr>
      <w:r w:rsidRPr="007012BC">
        <w:rPr>
          <w:rFonts w:cs="Segoe UI"/>
          <w:b/>
          <w:bCs/>
          <w:szCs w:val="22"/>
          <w:lang w:val="cs-CZ" w:bidi="bo-CN"/>
        </w:rPr>
        <w:t>Výhled</w:t>
      </w:r>
      <w:r w:rsidR="0019638B" w:rsidRPr="007012BC">
        <w:rPr>
          <w:rFonts w:cs="Segoe UI"/>
          <w:b/>
          <w:bCs/>
          <w:szCs w:val="22"/>
          <w:lang w:val="cs-CZ" w:bidi="bo-CN"/>
        </w:rPr>
        <w:t xml:space="preserve"> na rok 2021</w:t>
      </w:r>
    </w:p>
    <w:p w14:paraId="1C737055" w14:textId="1DF15A3B" w:rsidR="009D15F3" w:rsidRPr="009D15F3" w:rsidRDefault="009D15F3" w:rsidP="009D15F3">
      <w:pPr>
        <w:rPr>
          <w:rFonts w:cs="Segoe UI"/>
          <w:b/>
          <w:bCs/>
          <w:i/>
          <w:iCs/>
          <w:szCs w:val="22"/>
          <w:lang w:val="cs-CZ" w:bidi="bo-CN"/>
        </w:rPr>
      </w:pPr>
    </w:p>
    <w:p w14:paraId="4F1F4899" w14:textId="063DFDA4" w:rsidR="009D15F3" w:rsidRPr="009D15F3" w:rsidRDefault="009D15F3" w:rsidP="009D15F3">
      <w:pPr>
        <w:rPr>
          <w:rFonts w:cs="Segoe UI"/>
          <w:b/>
          <w:bCs/>
          <w:i/>
          <w:iCs/>
          <w:szCs w:val="22"/>
          <w:lang w:val="cs-CZ" w:bidi="bo-CN"/>
        </w:rPr>
      </w:pPr>
      <w:r w:rsidRPr="009D15F3">
        <w:rPr>
          <w:rFonts w:cs="Segoe UI"/>
          <w:b/>
          <w:bCs/>
          <w:i/>
          <w:iCs/>
          <w:szCs w:val="22"/>
          <w:lang w:val="cs-CZ" w:bidi="bo-CN"/>
        </w:rPr>
        <w:t>"</w:t>
      </w:r>
      <w:r>
        <w:rPr>
          <w:rFonts w:cs="Segoe UI"/>
          <w:b/>
          <w:bCs/>
          <w:i/>
          <w:iCs/>
          <w:szCs w:val="22"/>
          <w:lang w:val="cs-CZ" w:bidi="bo-CN"/>
        </w:rPr>
        <w:t>I na začátku roku</w:t>
      </w:r>
      <w:r w:rsidRPr="009D15F3">
        <w:rPr>
          <w:rFonts w:cs="Segoe UI"/>
          <w:b/>
          <w:bCs/>
          <w:i/>
          <w:iCs/>
          <w:szCs w:val="22"/>
          <w:lang w:val="cs-CZ" w:bidi="bo-CN"/>
        </w:rPr>
        <w:t xml:space="preserve"> 2021 čelíme vysoké míře nejistoty, jak se bude pandemie nadále vyvíjet, jak rychle bude pokračovat </w:t>
      </w:r>
      <w:r w:rsidR="007664F7">
        <w:rPr>
          <w:rFonts w:cs="Segoe UI"/>
          <w:b/>
          <w:bCs/>
          <w:i/>
          <w:iCs/>
          <w:szCs w:val="22"/>
          <w:lang w:val="cs-CZ" w:bidi="bo-CN"/>
        </w:rPr>
        <w:t>očkování</w:t>
      </w:r>
      <w:r w:rsidRPr="009D15F3">
        <w:rPr>
          <w:rFonts w:cs="Segoe UI"/>
          <w:b/>
          <w:bCs/>
          <w:i/>
          <w:iCs/>
          <w:szCs w:val="22"/>
          <w:lang w:val="cs-CZ" w:bidi="bo-CN"/>
        </w:rPr>
        <w:t xml:space="preserve"> a jak to ovlivní rozšířená omezení v mnoha zemích." Očekáváme</w:t>
      </w:r>
      <w:r w:rsidR="001C324B">
        <w:rPr>
          <w:rFonts w:cs="Segoe UI"/>
          <w:b/>
          <w:bCs/>
          <w:i/>
          <w:iCs/>
          <w:szCs w:val="22"/>
          <w:lang w:val="cs-CZ" w:bidi="bo-CN"/>
        </w:rPr>
        <w:t xml:space="preserve"> obnovení poptávky </w:t>
      </w:r>
      <w:r w:rsidR="00B13F75">
        <w:rPr>
          <w:rFonts w:cs="Segoe UI"/>
          <w:b/>
          <w:bCs/>
          <w:i/>
          <w:iCs/>
          <w:szCs w:val="22"/>
          <w:lang w:val="cs-CZ" w:bidi="bo-CN"/>
        </w:rPr>
        <w:t>v průmyslu i v segmentu spotřebního zboží</w:t>
      </w:r>
      <w:r w:rsidRPr="009D15F3">
        <w:rPr>
          <w:rFonts w:cs="Segoe UI"/>
          <w:b/>
          <w:bCs/>
          <w:i/>
          <w:iCs/>
          <w:szCs w:val="22"/>
          <w:lang w:val="cs-CZ" w:bidi="bo-CN"/>
        </w:rPr>
        <w:t xml:space="preserve">, které jsou pro naši společnost </w:t>
      </w:r>
      <w:r w:rsidR="001C324B">
        <w:rPr>
          <w:rFonts w:cs="Segoe UI"/>
          <w:b/>
          <w:bCs/>
          <w:i/>
          <w:iCs/>
          <w:szCs w:val="22"/>
          <w:lang w:val="cs-CZ" w:bidi="bo-CN"/>
        </w:rPr>
        <w:t>stěžejní</w:t>
      </w:r>
      <w:r w:rsidRPr="009D15F3">
        <w:rPr>
          <w:rFonts w:cs="Segoe UI"/>
          <w:b/>
          <w:bCs/>
          <w:i/>
          <w:iCs/>
          <w:szCs w:val="22"/>
          <w:lang w:val="cs-CZ" w:bidi="bo-CN"/>
        </w:rPr>
        <w:t>, zejména v oboru kadeřnictví</w:t>
      </w:r>
      <w:r w:rsidR="006952F7">
        <w:rPr>
          <w:rFonts w:cs="Segoe UI"/>
          <w:b/>
          <w:bCs/>
          <w:i/>
          <w:iCs/>
          <w:szCs w:val="22"/>
          <w:lang w:val="cs-CZ" w:bidi="bo-CN"/>
        </w:rPr>
        <w:t xml:space="preserve"> – segment profesionální vlasové kosmetiky.</w:t>
      </w:r>
      <w:r w:rsidRPr="009D15F3">
        <w:rPr>
          <w:rFonts w:cs="Segoe UI"/>
          <w:b/>
          <w:bCs/>
          <w:i/>
          <w:iCs/>
          <w:szCs w:val="22"/>
          <w:lang w:val="cs-CZ" w:bidi="bo-CN"/>
        </w:rPr>
        <w:t xml:space="preserve"> Zároveň věříme, že spotřebitelská poptávka se vrátí na </w:t>
      </w:r>
      <w:r w:rsidRPr="009D15F3">
        <w:rPr>
          <w:rFonts w:cs="Segoe UI"/>
          <w:b/>
          <w:bCs/>
          <w:i/>
          <w:iCs/>
          <w:szCs w:val="22"/>
          <w:lang w:val="cs-CZ" w:bidi="bo-CN"/>
        </w:rPr>
        <w:lastRenderedPageBreak/>
        <w:t xml:space="preserve">normální úroveň v těch kategoriích, které v důsledku pandemie zaznamenaly </w:t>
      </w:r>
      <w:r w:rsidR="00926480">
        <w:rPr>
          <w:rFonts w:cs="Segoe UI"/>
          <w:b/>
          <w:bCs/>
          <w:i/>
          <w:iCs/>
          <w:szCs w:val="22"/>
          <w:lang w:val="cs-CZ" w:bidi="bo-CN"/>
        </w:rPr>
        <w:t xml:space="preserve">snížení </w:t>
      </w:r>
      <w:r w:rsidRPr="009D15F3">
        <w:rPr>
          <w:rFonts w:cs="Segoe UI"/>
          <w:b/>
          <w:bCs/>
          <w:i/>
          <w:iCs/>
          <w:szCs w:val="22"/>
          <w:lang w:val="cs-CZ" w:bidi="bo-CN"/>
        </w:rPr>
        <w:t>poptávk</w:t>
      </w:r>
      <w:r w:rsidR="00DB369D">
        <w:rPr>
          <w:rFonts w:cs="Segoe UI"/>
          <w:b/>
          <w:bCs/>
          <w:i/>
          <w:iCs/>
          <w:szCs w:val="22"/>
          <w:lang w:val="cs-CZ" w:bidi="bo-CN"/>
        </w:rPr>
        <w:t>y</w:t>
      </w:r>
      <w:r w:rsidRPr="009D15F3">
        <w:rPr>
          <w:rFonts w:cs="Segoe UI"/>
          <w:b/>
          <w:bCs/>
          <w:i/>
          <w:iCs/>
          <w:szCs w:val="22"/>
          <w:lang w:val="cs-CZ" w:bidi="bo-CN"/>
        </w:rPr>
        <w:t>. Kromě toho předpokládáme, že v průběhu prvního čtvrtletí budou zrušena současná omezení na mnoha klíčových trzích a ve zbývající části roku nedojde k rozsáhlému odstávce maloobchodních a průmyslových podniků a výrobních zařízení, “</w:t>
      </w:r>
      <w:r w:rsidRPr="007664F7">
        <w:rPr>
          <w:rFonts w:cs="Segoe UI"/>
          <w:b/>
          <w:bCs/>
          <w:szCs w:val="22"/>
          <w:lang w:val="cs-CZ" w:bidi="bo-CN"/>
        </w:rPr>
        <w:t>uvedl Carsten Knobel</w:t>
      </w:r>
      <w:r w:rsidRPr="009D15F3">
        <w:rPr>
          <w:rFonts w:cs="Segoe UI"/>
          <w:b/>
          <w:bCs/>
          <w:i/>
          <w:iCs/>
          <w:szCs w:val="22"/>
          <w:lang w:val="cs-CZ" w:bidi="bo-CN"/>
        </w:rPr>
        <w:t>.</w:t>
      </w:r>
    </w:p>
    <w:p w14:paraId="5AC98F0A" w14:textId="77777777" w:rsidR="009D15F3" w:rsidRPr="007012BC" w:rsidRDefault="009D15F3" w:rsidP="0019638B">
      <w:pPr>
        <w:spacing w:after="120"/>
        <w:rPr>
          <w:rFonts w:cs="Segoe UI"/>
          <w:b/>
          <w:bCs/>
          <w:szCs w:val="22"/>
          <w:lang w:val="cs-CZ"/>
        </w:rPr>
      </w:pPr>
    </w:p>
    <w:p w14:paraId="486B1944" w14:textId="1691E11E" w:rsidR="000D03C1" w:rsidRPr="000D03C1" w:rsidRDefault="000D03C1" w:rsidP="000D03C1">
      <w:pPr>
        <w:rPr>
          <w:rFonts w:cs="Segoe UI"/>
          <w:b/>
          <w:bCs/>
          <w:szCs w:val="22"/>
          <w:lang w:val="cs-CZ" w:bidi="bo-CN"/>
        </w:rPr>
      </w:pPr>
      <w:r w:rsidRPr="000D03C1">
        <w:rPr>
          <w:rFonts w:cs="Segoe UI"/>
          <w:b/>
          <w:bCs/>
          <w:szCs w:val="22"/>
          <w:lang w:val="cs-CZ" w:bidi="bo-CN"/>
        </w:rPr>
        <w:t xml:space="preserve">Na základě těchto předpokladů společnost Henkel očekává růst tržeb a zisků ve fiskálním roce 2021. Společnost očekává organický růst tržeb o 2,0 až 5,0 </w:t>
      </w:r>
      <w:r w:rsidR="00B446C1">
        <w:rPr>
          <w:rFonts w:cs="Segoe UI"/>
          <w:b/>
          <w:bCs/>
          <w:szCs w:val="22"/>
          <w:lang w:val="cs-CZ" w:bidi="bo-CN"/>
        </w:rPr>
        <w:t>%</w:t>
      </w:r>
      <w:r w:rsidRPr="000D03C1">
        <w:rPr>
          <w:rFonts w:cs="Segoe UI"/>
          <w:b/>
          <w:bCs/>
          <w:szCs w:val="22"/>
          <w:lang w:val="cs-CZ" w:bidi="bo-CN"/>
        </w:rPr>
        <w:t xml:space="preserve"> a upravenou návratnost tržeb (marži EBIT) v rozmezí 13,5 až 14,5 </w:t>
      </w:r>
      <w:r w:rsidR="00B446C1">
        <w:rPr>
          <w:rFonts w:cs="Segoe UI"/>
          <w:b/>
          <w:bCs/>
          <w:szCs w:val="22"/>
          <w:lang w:val="cs-CZ" w:bidi="bo-CN"/>
        </w:rPr>
        <w:t>%</w:t>
      </w:r>
      <w:r w:rsidRPr="000D03C1">
        <w:rPr>
          <w:rFonts w:cs="Segoe UI"/>
          <w:b/>
          <w:bCs/>
          <w:szCs w:val="22"/>
          <w:lang w:val="cs-CZ" w:bidi="bo-CN"/>
        </w:rPr>
        <w:t xml:space="preserve">. U upraveného zisku na preferovanou akcii (EPS) při stálých směnných kurzech Henkel očekává nárůst v rozmezí 5,0 až 15,0 </w:t>
      </w:r>
      <w:r w:rsidR="00B446C1">
        <w:rPr>
          <w:rFonts w:cs="Segoe UI"/>
          <w:b/>
          <w:bCs/>
          <w:szCs w:val="22"/>
          <w:lang w:val="cs-CZ" w:bidi="bo-CN"/>
        </w:rPr>
        <w:t>%.</w:t>
      </w:r>
    </w:p>
    <w:p w14:paraId="14C37333" w14:textId="5830221B" w:rsidR="0019638B" w:rsidRDefault="0019638B" w:rsidP="0019638B">
      <w:pPr>
        <w:rPr>
          <w:rFonts w:cs="Segoe UI"/>
          <w:b/>
          <w:bCs/>
          <w:i/>
          <w:iCs/>
          <w:szCs w:val="22"/>
          <w:lang w:val="cs-CZ" w:bidi="bo-CN"/>
        </w:rPr>
      </w:pPr>
    </w:p>
    <w:p w14:paraId="5F5B5E53" w14:textId="77777777" w:rsidR="0019638B" w:rsidRPr="007012BC" w:rsidRDefault="0019638B" w:rsidP="0019638B">
      <w:pPr>
        <w:rPr>
          <w:rFonts w:cs="Segoe UI"/>
          <w:b/>
          <w:bCs/>
          <w:szCs w:val="22"/>
          <w:lang w:val="cs-CZ"/>
        </w:rPr>
      </w:pPr>
    </w:p>
    <w:p w14:paraId="4F3E7563" w14:textId="57781262" w:rsidR="0019638B" w:rsidRPr="007012BC" w:rsidRDefault="00CD2CAA" w:rsidP="0019638B">
      <w:pPr>
        <w:spacing w:after="120"/>
        <w:rPr>
          <w:rFonts w:cs="Segoe UI"/>
          <w:b/>
          <w:bCs/>
          <w:szCs w:val="22"/>
          <w:lang w:val="cs-CZ" w:eastAsia="de-DE"/>
        </w:rPr>
      </w:pPr>
      <w:r>
        <w:rPr>
          <w:rFonts w:cs="Segoe UI"/>
          <w:b/>
          <w:bCs/>
          <w:szCs w:val="22"/>
          <w:lang w:val="cs-CZ" w:bidi="bo-CN"/>
        </w:rPr>
        <w:t xml:space="preserve">Tržby </w:t>
      </w:r>
      <w:r w:rsidR="0019638B" w:rsidRPr="007012BC">
        <w:rPr>
          <w:rFonts w:cs="Segoe UI"/>
          <w:b/>
          <w:bCs/>
          <w:szCs w:val="22"/>
          <w:lang w:val="cs-CZ" w:bidi="bo-CN"/>
        </w:rPr>
        <w:t>a výnosy za f</w:t>
      </w:r>
      <w:r w:rsidR="0028101F">
        <w:rPr>
          <w:rFonts w:cs="Segoe UI"/>
          <w:b/>
          <w:bCs/>
          <w:szCs w:val="22"/>
          <w:lang w:val="cs-CZ" w:bidi="bo-CN"/>
        </w:rPr>
        <w:t>iskální</w:t>
      </w:r>
      <w:r w:rsidR="0019638B" w:rsidRPr="007012BC">
        <w:rPr>
          <w:rFonts w:cs="Segoe UI"/>
          <w:b/>
          <w:bCs/>
          <w:szCs w:val="22"/>
          <w:lang w:val="cs-CZ" w:bidi="bo-CN"/>
        </w:rPr>
        <w:t xml:space="preserve"> rok 2020 na úrovni skupiny</w:t>
      </w:r>
    </w:p>
    <w:p w14:paraId="6530DEAB" w14:textId="2D08F7DA" w:rsidR="0028101F" w:rsidRDefault="0019638B" w:rsidP="0028101F">
      <w:pPr>
        <w:rPr>
          <w:rFonts w:cs="Segoe UI"/>
          <w:szCs w:val="22"/>
          <w:lang w:val="cs-CZ" w:bidi="bo-CN"/>
        </w:rPr>
      </w:pPr>
      <w:r w:rsidRPr="007012BC">
        <w:rPr>
          <w:rFonts w:cs="Segoe UI"/>
          <w:b/>
          <w:bCs/>
          <w:szCs w:val="22"/>
          <w:lang w:val="cs-CZ" w:bidi="bo-CN"/>
        </w:rPr>
        <w:t xml:space="preserve">Obrat </w:t>
      </w:r>
      <w:r w:rsidRPr="007012BC">
        <w:rPr>
          <w:rFonts w:cs="Segoe UI"/>
          <w:szCs w:val="22"/>
          <w:lang w:val="cs-CZ" w:bidi="bo-CN"/>
        </w:rPr>
        <w:t xml:space="preserve">skupiny Henkel </w:t>
      </w:r>
      <w:r w:rsidR="0028101F">
        <w:rPr>
          <w:rFonts w:cs="Segoe UI"/>
          <w:szCs w:val="22"/>
          <w:lang w:val="cs-CZ" w:bidi="bo-CN"/>
        </w:rPr>
        <w:t>dosáhl</w:t>
      </w:r>
      <w:r w:rsidR="00F83AD5">
        <w:rPr>
          <w:rFonts w:cs="Segoe UI"/>
          <w:szCs w:val="22"/>
          <w:lang w:val="cs-CZ" w:bidi="bo-CN"/>
        </w:rPr>
        <w:t xml:space="preserve"> v roce 2020 hodnotu</w:t>
      </w:r>
      <w:r w:rsidR="0028101F" w:rsidRPr="0028101F">
        <w:rPr>
          <w:rFonts w:cs="Segoe UI"/>
          <w:szCs w:val="22"/>
          <w:lang w:val="cs-CZ" w:bidi="bo-CN"/>
        </w:rPr>
        <w:t xml:space="preserve"> 19</w:t>
      </w:r>
      <w:r w:rsidR="00076F39">
        <w:rPr>
          <w:rFonts w:cs="Segoe UI"/>
          <w:szCs w:val="22"/>
          <w:lang w:val="cs-CZ" w:bidi="bo-CN"/>
        </w:rPr>
        <w:t xml:space="preserve"> </w:t>
      </w:r>
      <w:r w:rsidR="0028101F" w:rsidRPr="0028101F">
        <w:rPr>
          <w:rFonts w:cs="Segoe UI"/>
          <w:szCs w:val="22"/>
          <w:lang w:val="cs-CZ" w:bidi="bo-CN"/>
        </w:rPr>
        <w:t>250 milionů eur</w:t>
      </w:r>
      <w:r w:rsidR="00F83AD5">
        <w:rPr>
          <w:rFonts w:cs="Segoe UI"/>
          <w:szCs w:val="22"/>
          <w:lang w:val="cs-CZ" w:bidi="bo-CN"/>
        </w:rPr>
        <w:t xml:space="preserve">, což představuje meziroční pokles o </w:t>
      </w:r>
      <w:r w:rsidR="0028101F" w:rsidRPr="0028101F">
        <w:rPr>
          <w:rFonts w:cs="Segoe UI"/>
          <w:szCs w:val="22"/>
          <w:lang w:val="cs-CZ" w:bidi="bo-CN"/>
        </w:rPr>
        <w:t xml:space="preserve">4,3 </w:t>
      </w:r>
      <w:r w:rsidR="00F83AD5">
        <w:rPr>
          <w:rFonts w:cs="Segoe UI"/>
          <w:szCs w:val="22"/>
          <w:lang w:val="cs-CZ" w:bidi="bo-CN"/>
        </w:rPr>
        <w:t>%</w:t>
      </w:r>
      <w:r w:rsidR="0028101F" w:rsidRPr="0028101F">
        <w:rPr>
          <w:rFonts w:cs="Segoe UI"/>
          <w:szCs w:val="22"/>
          <w:lang w:val="cs-CZ" w:bidi="bo-CN"/>
        </w:rPr>
        <w:t xml:space="preserve">. </w:t>
      </w:r>
      <w:r w:rsidR="00F83AD5">
        <w:rPr>
          <w:rFonts w:cs="Segoe UI"/>
          <w:szCs w:val="22"/>
          <w:lang w:val="cs-CZ" w:bidi="bo-CN"/>
        </w:rPr>
        <w:t xml:space="preserve">Růst </w:t>
      </w:r>
      <w:r w:rsidR="00F83AD5" w:rsidRPr="00F83AD5">
        <w:rPr>
          <w:rFonts w:cs="Segoe UI"/>
          <w:b/>
          <w:bCs/>
          <w:szCs w:val="22"/>
          <w:lang w:val="cs-CZ" w:bidi="bo-CN"/>
        </w:rPr>
        <w:t>organických</w:t>
      </w:r>
      <w:r w:rsidR="00F83AD5">
        <w:rPr>
          <w:rFonts w:cs="Segoe UI"/>
          <w:szCs w:val="22"/>
          <w:lang w:val="cs-CZ" w:bidi="bo-CN"/>
        </w:rPr>
        <w:t xml:space="preserve"> tržeb,</w:t>
      </w:r>
      <w:r w:rsidR="0028101F" w:rsidRPr="0028101F">
        <w:rPr>
          <w:rFonts w:cs="Segoe UI"/>
          <w:szCs w:val="22"/>
          <w:lang w:val="cs-CZ" w:bidi="bo-CN"/>
        </w:rPr>
        <w:t xml:space="preserve"> který vylučuje dopad měnových efektů a akvizic / prodejů, byl mírně negativní na</w:t>
      </w:r>
      <w:r w:rsidR="00FF5173">
        <w:rPr>
          <w:rFonts w:cs="Segoe UI"/>
          <w:szCs w:val="22"/>
          <w:lang w:val="cs-CZ" w:bidi="bo-CN"/>
        </w:rPr>
        <w:t xml:space="preserve"> úrovni </w:t>
      </w:r>
      <w:r w:rsidR="0028101F" w:rsidRPr="0028101F">
        <w:rPr>
          <w:rFonts w:cs="Segoe UI"/>
          <w:szCs w:val="22"/>
          <w:lang w:val="cs-CZ" w:bidi="bo-CN"/>
        </w:rPr>
        <w:t>0,7</w:t>
      </w:r>
      <w:r w:rsidR="00FF5173">
        <w:rPr>
          <w:rFonts w:cs="Segoe UI"/>
          <w:szCs w:val="22"/>
          <w:lang w:val="cs-CZ" w:bidi="bo-CN"/>
        </w:rPr>
        <w:t xml:space="preserve"> %</w:t>
      </w:r>
      <w:r w:rsidR="0028101F" w:rsidRPr="0028101F">
        <w:rPr>
          <w:rFonts w:cs="Segoe UI"/>
          <w:szCs w:val="22"/>
          <w:lang w:val="cs-CZ" w:bidi="bo-CN"/>
        </w:rPr>
        <w:t xml:space="preserve">. Příspěvek z akvizic a prodejů činil 0,3 </w:t>
      </w:r>
      <w:r w:rsidR="00FF5173">
        <w:rPr>
          <w:rFonts w:cs="Segoe UI"/>
          <w:szCs w:val="22"/>
          <w:lang w:val="cs-CZ" w:bidi="bo-CN"/>
        </w:rPr>
        <w:t>%</w:t>
      </w:r>
      <w:r w:rsidR="0028101F" w:rsidRPr="0028101F">
        <w:rPr>
          <w:rFonts w:cs="Segoe UI"/>
          <w:szCs w:val="22"/>
          <w:lang w:val="cs-CZ" w:bidi="bo-CN"/>
        </w:rPr>
        <w:t xml:space="preserve">. </w:t>
      </w:r>
      <w:r w:rsidR="00FF5173">
        <w:rPr>
          <w:rFonts w:cs="Segoe UI"/>
          <w:szCs w:val="22"/>
          <w:lang w:val="cs-CZ" w:bidi="bo-CN"/>
        </w:rPr>
        <w:t>Kurzový vývoj</w:t>
      </w:r>
      <w:r w:rsidR="0028101F" w:rsidRPr="0028101F">
        <w:rPr>
          <w:rFonts w:cs="Segoe UI"/>
          <w:szCs w:val="22"/>
          <w:lang w:val="cs-CZ" w:bidi="bo-CN"/>
        </w:rPr>
        <w:t xml:space="preserve"> měl negativní dopad na </w:t>
      </w:r>
      <w:r w:rsidR="0052136B" w:rsidRPr="0028101F">
        <w:rPr>
          <w:rFonts w:cs="Segoe UI"/>
          <w:szCs w:val="22"/>
          <w:lang w:val="cs-CZ" w:bidi="bo-CN"/>
        </w:rPr>
        <w:t xml:space="preserve">tržby </w:t>
      </w:r>
      <w:r w:rsidR="0052136B">
        <w:rPr>
          <w:rFonts w:cs="Segoe UI"/>
          <w:szCs w:val="22"/>
          <w:lang w:val="cs-CZ" w:bidi="bo-CN"/>
        </w:rPr>
        <w:t>ve</w:t>
      </w:r>
      <w:r w:rsidR="00FF5173">
        <w:rPr>
          <w:rFonts w:cs="Segoe UI"/>
          <w:szCs w:val="22"/>
          <w:lang w:val="cs-CZ" w:bidi="bo-CN"/>
        </w:rPr>
        <w:t xml:space="preserve"> výši </w:t>
      </w:r>
      <w:r w:rsidR="0028101F" w:rsidRPr="0028101F">
        <w:rPr>
          <w:rFonts w:cs="Segoe UI"/>
          <w:szCs w:val="22"/>
          <w:lang w:val="cs-CZ" w:bidi="bo-CN"/>
        </w:rPr>
        <w:t>3,9</w:t>
      </w:r>
      <w:r w:rsidR="00FF5173">
        <w:rPr>
          <w:rFonts w:cs="Segoe UI"/>
          <w:szCs w:val="22"/>
          <w:lang w:val="cs-CZ" w:bidi="bo-CN"/>
        </w:rPr>
        <w:t xml:space="preserve"> %</w:t>
      </w:r>
      <w:r w:rsidR="0052136B">
        <w:rPr>
          <w:rFonts w:cs="Segoe UI"/>
          <w:szCs w:val="22"/>
          <w:lang w:val="cs-CZ" w:bidi="bo-CN"/>
        </w:rPr>
        <w:t>.</w:t>
      </w:r>
    </w:p>
    <w:p w14:paraId="2CC357C9" w14:textId="77777777" w:rsidR="0028101F" w:rsidRPr="0028101F" w:rsidRDefault="0028101F" w:rsidP="0028101F">
      <w:pPr>
        <w:rPr>
          <w:rFonts w:cs="Segoe UI"/>
          <w:szCs w:val="22"/>
          <w:lang w:val="cs-CZ" w:bidi="bo-CN"/>
        </w:rPr>
      </w:pPr>
    </w:p>
    <w:p w14:paraId="6D7BB48B" w14:textId="14589E82" w:rsidR="0052136B" w:rsidRPr="0052136B" w:rsidRDefault="00704D7D" w:rsidP="0052136B">
      <w:pPr>
        <w:rPr>
          <w:rFonts w:cs="Segoe UI"/>
          <w:szCs w:val="22"/>
          <w:lang w:val="cs-CZ" w:bidi="bo-CN"/>
        </w:rPr>
      </w:pPr>
      <w:r>
        <w:rPr>
          <w:rFonts w:cs="Segoe UI"/>
          <w:szCs w:val="22"/>
          <w:lang w:val="cs-CZ" w:bidi="bo-CN"/>
        </w:rPr>
        <w:t xml:space="preserve">Z důvodu </w:t>
      </w:r>
      <w:r w:rsidR="0052136B" w:rsidRPr="0052136B">
        <w:rPr>
          <w:rFonts w:cs="Segoe UI"/>
          <w:szCs w:val="22"/>
          <w:lang w:val="cs-CZ" w:bidi="bo-CN"/>
        </w:rPr>
        <w:t>výrazné</w:t>
      </w:r>
      <w:r>
        <w:rPr>
          <w:rFonts w:cs="Segoe UI"/>
          <w:szCs w:val="22"/>
          <w:lang w:val="cs-CZ" w:bidi="bo-CN"/>
        </w:rPr>
        <w:t>ho</w:t>
      </w:r>
      <w:r w:rsidR="0052136B" w:rsidRPr="0052136B">
        <w:rPr>
          <w:rFonts w:cs="Segoe UI"/>
          <w:szCs w:val="22"/>
          <w:lang w:val="cs-CZ" w:bidi="bo-CN"/>
        </w:rPr>
        <w:t xml:space="preserve"> poklesu poptávky od klíčových průmyslových zákazníků v důsledku pandemie COVID-19 vykázala obchodní jednotka </w:t>
      </w:r>
      <w:r w:rsidR="0052136B" w:rsidRPr="00984D73">
        <w:rPr>
          <w:rFonts w:cs="Segoe UI"/>
          <w:b/>
          <w:bCs/>
          <w:szCs w:val="22"/>
          <w:lang w:val="cs-CZ" w:bidi="bo-CN"/>
        </w:rPr>
        <w:t>Adhesive Technologies</w:t>
      </w:r>
      <w:r w:rsidR="0052136B" w:rsidRPr="0052136B">
        <w:rPr>
          <w:rFonts w:cs="Segoe UI"/>
          <w:szCs w:val="22"/>
          <w:lang w:val="cs-CZ" w:bidi="bo-CN"/>
        </w:rPr>
        <w:t xml:space="preserve"> </w:t>
      </w:r>
      <w:r>
        <w:rPr>
          <w:rFonts w:cs="Segoe UI"/>
          <w:szCs w:val="22"/>
          <w:lang w:val="cs-CZ" w:bidi="bo-CN"/>
        </w:rPr>
        <w:t xml:space="preserve">záporný </w:t>
      </w:r>
      <w:r w:rsidR="00984D73" w:rsidRPr="0052136B">
        <w:rPr>
          <w:rFonts w:cs="Segoe UI"/>
          <w:szCs w:val="22"/>
          <w:lang w:val="cs-CZ" w:bidi="bo-CN"/>
        </w:rPr>
        <w:t>organický</w:t>
      </w:r>
      <w:r w:rsidR="00984D73">
        <w:rPr>
          <w:rFonts w:cs="Segoe UI"/>
          <w:szCs w:val="22"/>
          <w:lang w:val="cs-CZ" w:bidi="bo-CN"/>
        </w:rPr>
        <w:t xml:space="preserve"> </w:t>
      </w:r>
      <w:r>
        <w:rPr>
          <w:rFonts w:cs="Segoe UI"/>
          <w:szCs w:val="22"/>
          <w:lang w:val="cs-CZ" w:bidi="bo-CN"/>
        </w:rPr>
        <w:t xml:space="preserve">růst tržeb </w:t>
      </w:r>
      <w:r w:rsidR="0052136B" w:rsidRPr="0052136B">
        <w:rPr>
          <w:rFonts w:cs="Segoe UI"/>
          <w:szCs w:val="22"/>
          <w:lang w:val="cs-CZ" w:bidi="bo-CN"/>
        </w:rPr>
        <w:t>4,2</w:t>
      </w:r>
      <w:r>
        <w:rPr>
          <w:rFonts w:cs="Segoe UI"/>
          <w:szCs w:val="22"/>
          <w:lang w:val="cs-CZ" w:bidi="bo-CN"/>
        </w:rPr>
        <w:t xml:space="preserve"> %</w:t>
      </w:r>
      <w:r w:rsidR="0052136B" w:rsidRPr="0052136B">
        <w:rPr>
          <w:rFonts w:cs="Segoe UI"/>
          <w:szCs w:val="22"/>
          <w:lang w:val="cs-CZ" w:bidi="bo-CN"/>
        </w:rPr>
        <w:t>. V</w:t>
      </w:r>
      <w:r w:rsidR="00984D73">
        <w:rPr>
          <w:rFonts w:cs="Segoe UI"/>
          <w:szCs w:val="22"/>
          <w:lang w:val="cs-CZ" w:bidi="bo-CN"/>
        </w:rPr>
        <w:t xml:space="preserve"> divizi </w:t>
      </w:r>
      <w:r w:rsidR="0052136B" w:rsidRPr="00984D73">
        <w:rPr>
          <w:rFonts w:cs="Segoe UI"/>
          <w:b/>
          <w:bCs/>
          <w:szCs w:val="22"/>
          <w:lang w:val="cs-CZ" w:bidi="bo-CN"/>
        </w:rPr>
        <w:t>Beauty Care</w:t>
      </w:r>
      <w:r w:rsidR="00984D73">
        <w:rPr>
          <w:rFonts w:cs="Segoe UI"/>
          <w:szCs w:val="22"/>
          <w:lang w:val="cs-CZ" w:bidi="bo-CN"/>
        </w:rPr>
        <w:t xml:space="preserve"> se</w:t>
      </w:r>
      <w:r w:rsidR="0052136B" w:rsidRPr="0052136B">
        <w:rPr>
          <w:rFonts w:cs="Segoe UI"/>
          <w:szCs w:val="22"/>
          <w:lang w:val="cs-CZ" w:bidi="bo-CN"/>
        </w:rPr>
        <w:t xml:space="preserve"> tržby organicky </w:t>
      </w:r>
      <w:r w:rsidR="00984D73">
        <w:rPr>
          <w:rFonts w:cs="Segoe UI"/>
          <w:szCs w:val="22"/>
          <w:lang w:val="cs-CZ" w:bidi="bo-CN"/>
        </w:rPr>
        <w:t xml:space="preserve">snížily </w:t>
      </w:r>
      <w:r w:rsidR="0052136B" w:rsidRPr="0052136B">
        <w:rPr>
          <w:rFonts w:cs="Segoe UI"/>
          <w:szCs w:val="22"/>
          <w:lang w:val="cs-CZ" w:bidi="bo-CN"/>
        </w:rPr>
        <w:t>o 2,8</w:t>
      </w:r>
      <w:r w:rsidR="00984D73">
        <w:rPr>
          <w:rFonts w:cs="Segoe UI"/>
          <w:szCs w:val="22"/>
          <w:lang w:val="cs-CZ" w:bidi="bo-CN"/>
        </w:rPr>
        <w:t xml:space="preserve"> </w:t>
      </w:r>
      <w:r w:rsidR="00D520D6">
        <w:rPr>
          <w:rFonts w:cs="Segoe UI"/>
          <w:szCs w:val="22"/>
          <w:lang w:val="cs-CZ" w:bidi="bo-CN"/>
        </w:rPr>
        <w:t>%,</w:t>
      </w:r>
      <w:r w:rsidR="00D24E34">
        <w:rPr>
          <w:rFonts w:cs="Segoe UI"/>
          <w:szCs w:val="22"/>
          <w:lang w:val="cs-CZ" w:bidi="bo-CN"/>
        </w:rPr>
        <w:t xml:space="preserve"> zejména kvůli nepřiznivému vývoji v segmentu profesionální kosmetiky v mnoha klíčových regionech a trzích</w:t>
      </w:r>
      <w:r w:rsidR="009E1141">
        <w:rPr>
          <w:rFonts w:cs="Segoe UI"/>
          <w:szCs w:val="22"/>
          <w:lang w:val="cs-CZ" w:bidi="bo-CN"/>
        </w:rPr>
        <w:t>. Nepříznivý vývoj byl způsoben</w:t>
      </w:r>
      <w:r w:rsidR="00D520D6">
        <w:rPr>
          <w:rFonts w:cs="Segoe UI"/>
          <w:szCs w:val="22"/>
          <w:lang w:val="cs-CZ" w:bidi="bo-CN"/>
        </w:rPr>
        <w:t xml:space="preserve"> pandemií Covid-19, </w:t>
      </w:r>
      <w:r w:rsidR="009E1141">
        <w:rPr>
          <w:rFonts w:cs="Segoe UI"/>
          <w:szCs w:val="22"/>
          <w:lang w:val="cs-CZ" w:bidi="bo-CN"/>
        </w:rPr>
        <w:t>avšak</w:t>
      </w:r>
      <w:r w:rsidR="00D520D6">
        <w:rPr>
          <w:rFonts w:cs="Segoe UI"/>
          <w:szCs w:val="22"/>
          <w:lang w:val="cs-CZ" w:bidi="bo-CN"/>
        </w:rPr>
        <w:t xml:space="preserve"> maloobchod </w:t>
      </w:r>
      <w:r w:rsidR="009E1141">
        <w:rPr>
          <w:rFonts w:cs="Segoe UI"/>
          <w:szCs w:val="22"/>
          <w:lang w:val="cs-CZ" w:bidi="bo-CN"/>
        </w:rPr>
        <w:t xml:space="preserve">i v této době </w:t>
      </w:r>
      <w:r w:rsidR="00D520D6">
        <w:rPr>
          <w:rFonts w:cs="Segoe UI"/>
          <w:szCs w:val="22"/>
          <w:lang w:val="cs-CZ" w:bidi="bo-CN"/>
        </w:rPr>
        <w:t xml:space="preserve">zaznamenal růst. Divize </w:t>
      </w:r>
      <w:r w:rsidR="00D520D6" w:rsidRPr="00D520D6">
        <w:rPr>
          <w:rFonts w:cs="Segoe UI"/>
          <w:b/>
          <w:bCs/>
          <w:szCs w:val="22"/>
          <w:lang w:val="cs-CZ" w:bidi="bo-CN"/>
        </w:rPr>
        <w:t>Laundry</w:t>
      </w:r>
      <w:r w:rsidR="0052136B" w:rsidRPr="00D520D6">
        <w:rPr>
          <w:rFonts w:cs="Segoe UI"/>
          <w:b/>
          <w:bCs/>
          <w:szCs w:val="22"/>
          <w:lang w:val="cs-CZ" w:bidi="bo-CN"/>
        </w:rPr>
        <w:t xml:space="preserve"> &amp; Home Care</w:t>
      </w:r>
      <w:r w:rsidR="0052136B" w:rsidRPr="0052136B">
        <w:rPr>
          <w:rFonts w:cs="Segoe UI"/>
          <w:szCs w:val="22"/>
          <w:lang w:val="cs-CZ" w:bidi="bo-CN"/>
        </w:rPr>
        <w:t xml:space="preserve"> dosáhla velmi silného organického růstu tržeb o 5,6 </w:t>
      </w:r>
      <w:r w:rsidR="00D520D6">
        <w:rPr>
          <w:rFonts w:cs="Segoe UI"/>
          <w:szCs w:val="22"/>
          <w:lang w:val="cs-CZ" w:bidi="bo-CN"/>
        </w:rPr>
        <w:t>%</w:t>
      </w:r>
      <w:r w:rsidR="0052136B" w:rsidRPr="0052136B">
        <w:rPr>
          <w:rFonts w:cs="Segoe UI"/>
          <w:szCs w:val="22"/>
          <w:lang w:val="cs-CZ" w:bidi="bo-CN"/>
        </w:rPr>
        <w:t>. Tento vývoj byl tažen silnými inovacemi a zvýšenou poptávkou po hygienických výrobcích</w:t>
      </w:r>
      <w:r w:rsidR="00C31CD4">
        <w:rPr>
          <w:rFonts w:cs="Segoe UI"/>
          <w:szCs w:val="22"/>
          <w:lang w:val="cs-CZ" w:bidi="bo-CN"/>
        </w:rPr>
        <w:t>, k</w:t>
      </w:r>
      <w:r w:rsidR="00336B70">
        <w:rPr>
          <w:rFonts w:cs="Segoe UI"/>
          <w:szCs w:val="22"/>
          <w:lang w:val="cs-CZ" w:bidi="bo-CN"/>
        </w:rPr>
        <w:t xml:space="preserve">terý </w:t>
      </w:r>
      <w:r w:rsidR="0052136B" w:rsidRPr="0052136B">
        <w:rPr>
          <w:rFonts w:cs="Segoe UI"/>
          <w:szCs w:val="22"/>
          <w:lang w:val="cs-CZ" w:bidi="bo-CN"/>
        </w:rPr>
        <w:t>souvise</w:t>
      </w:r>
      <w:r w:rsidR="00336B70">
        <w:rPr>
          <w:rFonts w:cs="Segoe UI"/>
          <w:szCs w:val="22"/>
          <w:lang w:val="cs-CZ" w:bidi="bo-CN"/>
        </w:rPr>
        <w:t>l</w:t>
      </w:r>
      <w:r w:rsidR="0052136B" w:rsidRPr="0052136B">
        <w:rPr>
          <w:rFonts w:cs="Segoe UI"/>
          <w:szCs w:val="22"/>
          <w:lang w:val="cs-CZ" w:bidi="bo-CN"/>
        </w:rPr>
        <w:t xml:space="preserve"> s pandemií.</w:t>
      </w:r>
    </w:p>
    <w:p w14:paraId="2ED8C96F" w14:textId="244F840A" w:rsidR="0019638B" w:rsidRDefault="0019638B" w:rsidP="0019638B">
      <w:pPr>
        <w:rPr>
          <w:rFonts w:cs="Segoe UI"/>
          <w:szCs w:val="22"/>
          <w:lang w:val="cs-CZ" w:bidi="bo-CN"/>
        </w:rPr>
      </w:pPr>
    </w:p>
    <w:p w14:paraId="1D5981A3" w14:textId="77777777" w:rsidR="0019638B" w:rsidRPr="007012BC" w:rsidRDefault="0019638B" w:rsidP="0019638B">
      <w:pPr>
        <w:rPr>
          <w:rFonts w:cs="Segoe UI"/>
          <w:b/>
          <w:bCs/>
          <w:szCs w:val="22"/>
          <w:lang w:val="cs-CZ"/>
        </w:rPr>
      </w:pPr>
    </w:p>
    <w:p w14:paraId="0DCEFC6C" w14:textId="56AC1EE9" w:rsidR="0019638B" w:rsidRPr="007012BC" w:rsidRDefault="001961E5" w:rsidP="0019638B">
      <w:pPr>
        <w:rPr>
          <w:rFonts w:cs="Segoe UI"/>
          <w:szCs w:val="22"/>
          <w:lang w:val="cs-CZ"/>
        </w:rPr>
      </w:pPr>
      <w:r w:rsidRPr="007012BC">
        <w:rPr>
          <w:rFonts w:cs="Segoe UI"/>
          <w:b/>
          <w:bCs/>
          <w:szCs w:val="22"/>
          <w:lang w:val="cs-CZ" w:bidi="bo-CN"/>
        </w:rPr>
        <w:t>Rozvíjejíc</w:t>
      </w:r>
      <w:r w:rsidR="0045668C">
        <w:rPr>
          <w:rFonts w:cs="Segoe UI"/>
          <w:b/>
          <w:bCs/>
          <w:szCs w:val="22"/>
          <w:lang w:val="cs-CZ" w:bidi="bo-CN"/>
        </w:rPr>
        <w:t>í</w:t>
      </w:r>
      <w:r w:rsidR="0019638B" w:rsidRPr="007012BC">
        <w:rPr>
          <w:rFonts w:cs="Segoe UI"/>
          <w:b/>
          <w:bCs/>
          <w:szCs w:val="22"/>
          <w:lang w:val="cs-CZ" w:bidi="bo-CN"/>
        </w:rPr>
        <w:t xml:space="preserve"> </w:t>
      </w:r>
      <w:r w:rsidRPr="007012BC">
        <w:rPr>
          <w:rFonts w:cs="Segoe UI"/>
          <w:b/>
          <w:bCs/>
          <w:szCs w:val="22"/>
          <w:lang w:val="cs-CZ" w:bidi="bo-CN"/>
        </w:rPr>
        <w:t>se</w:t>
      </w:r>
      <w:r w:rsidR="0019638B" w:rsidRPr="007012BC">
        <w:rPr>
          <w:rFonts w:cs="Segoe UI"/>
          <w:b/>
          <w:bCs/>
          <w:szCs w:val="22"/>
          <w:lang w:val="cs-CZ" w:bidi="bo-CN"/>
        </w:rPr>
        <w:t xml:space="preserve"> trhy </w:t>
      </w:r>
      <w:r w:rsidR="0019638B" w:rsidRPr="007012BC">
        <w:rPr>
          <w:rFonts w:cs="Segoe UI"/>
          <w:szCs w:val="22"/>
          <w:lang w:val="cs-CZ" w:bidi="bo-CN"/>
        </w:rPr>
        <w:t>zaznamenal</w:t>
      </w:r>
      <w:r>
        <w:rPr>
          <w:rFonts w:cs="Segoe UI"/>
          <w:szCs w:val="22"/>
          <w:lang w:val="cs-CZ" w:bidi="bo-CN"/>
        </w:rPr>
        <w:t>y</w:t>
      </w:r>
      <w:r w:rsidR="0019638B" w:rsidRPr="007012BC">
        <w:rPr>
          <w:rFonts w:cs="Segoe UI"/>
          <w:szCs w:val="22"/>
          <w:lang w:val="cs-CZ" w:bidi="bo-CN"/>
        </w:rPr>
        <w:t xml:space="preserve"> organický r</w:t>
      </w:r>
      <w:r>
        <w:rPr>
          <w:rFonts w:cs="Segoe UI"/>
          <w:szCs w:val="22"/>
          <w:lang w:val="cs-CZ" w:bidi="bo-CN"/>
        </w:rPr>
        <w:t>ů</w:t>
      </w:r>
      <w:r w:rsidR="0019638B" w:rsidRPr="007012BC">
        <w:rPr>
          <w:rFonts w:cs="Segoe UI"/>
          <w:szCs w:val="22"/>
          <w:lang w:val="cs-CZ" w:bidi="bo-CN"/>
        </w:rPr>
        <w:t xml:space="preserve">st </w:t>
      </w:r>
      <w:r>
        <w:rPr>
          <w:rFonts w:cs="Segoe UI"/>
          <w:szCs w:val="22"/>
          <w:lang w:val="cs-CZ" w:bidi="bo-CN"/>
        </w:rPr>
        <w:t>tržeb ve výši</w:t>
      </w:r>
      <w:r w:rsidR="0019638B" w:rsidRPr="007012BC">
        <w:rPr>
          <w:rFonts w:cs="Segoe UI"/>
          <w:szCs w:val="22"/>
          <w:lang w:val="cs-CZ" w:bidi="bo-CN"/>
        </w:rPr>
        <w:t xml:space="preserve"> 3,0 %</w:t>
      </w:r>
      <w:r>
        <w:rPr>
          <w:rFonts w:cs="Segoe UI"/>
          <w:szCs w:val="22"/>
          <w:lang w:val="cs-CZ" w:bidi="bo-CN"/>
        </w:rPr>
        <w:t xml:space="preserve">. Oproti tomu </w:t>
      </w:r>
      <w:r w:rsidRPr="001961E5">
        <w:rPr>
          <w:rFonts w:cs="Segoe UI"/>
          <w:b/>
          <w:bCs/>
          <w:szCs w:val="22"/>
          <w:lang w:val="cs-CZ" w:bidi="bo-CN"/>
        </w:rPr>
        <w:t>v</w:t>
      </w:r>
      <w:r w:rsidRPr="007012BC">
        <w:rPr>
          <w:rFonts w:cs="Segoe UI"/>
          <w:b/>
          <w:bCs/>
          <w:szCs w:val="22"/>
          <w:lang w:val="cs-CZ" w:bidi="bo-CN"/>
        </w:rPr>
        <w:t>yspělé</w:t>
      </w:r>
      <w:r w:rsidR="0019638B" w:rsidRPr="007012BC">
        <w:rPr>
          <w:rFonts w:cs="Segoe UI"/>
          <w:b/>
          <w:bCs/>
          <w:szCs w:val="22"/>
          <w:lang w:val="cs-CZ" w:bidi="bo-CN"/>
        </w:rPr>
        <w:t xml:space="preserve"> trhy</w:t>
      </w:r>
      <w:r w:rsidR="0019638B" w:rsidRPr="007012BC">
        <w:rPr>
          <w:rFonts w:cs="Segoe UI"/>
          <w:szCs w:val="22"/>
          <w:lang w:val="cs-CZ" w:bidi="bo-CN"/>
        </w:rPr>
        <w:t xml:space="preserve"> vykázal</w:t>
      </w:r>
      <w:r w:rsidR="00194C5E">
        <w:rPr>
          <w:rFonts w:cs="Segoe UI"/>
          <w:szCs w:val="22"/>
          <w:lang w:val="cs-CZ" w:bidi="bo-CN"/>
        </w:rPr>
        <w:t>y</w:t>
      </w:r>
      <w:r w:rsidR="0019638B" w:rsidRPr="007012BC">
        <w:rPr>
          <w:rFonts w:cs="Segoe UI"/>
          <w:szCs w:val="22"/>
          <w:lang w:val="cs-CZ" w:bidi="bo-CN"/>
        </w:rPr>
        <w:t xml:space="preserve"> </w:t>
      </w:r>
      <w:r w:rsidRPr="007012BC">
        <w:rPr>
          <w:rFonts w:cs="Segoe UI"/>
          <w:szCs w:val="22"/>
          <w:lang w:val="cs-CZ" w:bidi="bo-CN"/>
        </w:rPr>
        <w:t>negativní</w:t>
      </w:r>
      <w:r w:rsidR="0019638B" w:rsidRPr="007012BC">
        <w:rPr>
          <w:rFonts w:cs="Segoe UI"/>
          <w:szCs w:val="22"/>
          <w:lang w:val="cs-CZ" w:bidi="bo-CN"/>
        </w:rPr>
        <w:t xml:space="preserve"> vývoj organick</w:t>
      </w:r>
      <w:r>
        <w:rPr>
          <w:rFonts w:cs="Segoe UI"/>
          <w:szCs w:val="22"/>
          <w:lang w:val="cs-CZ" w:bidi="bo-CN"/>
        </w:rPr>
        <w:t xml:space="preserve">ých tržeb </w:t>
      </w:r>
      <w:r w:rsidR="0019638B" w:rsidRPr="007012BC">
        <w:rPr>
          <w:rFonts w:cs="Segoe UI"/>
          <w:szCs w:val="22"/>
          <w:lang w:val="cs-CZ" w:bidi="bo-CN"/>
        </w:rPr>
        <w:t>na úrovni 3,2 %.</w:t>
      </w:r>
    </w:p>
    <w:p w14:paraId="58B6632C" w14:textId="77777777" w:rsidR="0019638B" w:rsidRPr="007012BC" w:rsidRDefault="0019638B" w:rsidP="0019638B">
      <w:pPr>
        <w:rPr>
          <w:rFonts w:cs="Segoe UI"/>
          <w:szCs w:val="22"/>
          <w:lang w:val="cs-CZ"/>
        </w:rPr>
      </w:pPr>
    </w:p>
    <w:p w14:paraId="680761B4" w14:textId="4478000E" w:rsidR="0019638B" w:rsidRPr="007012BC" w:rsidRDefault="0019638B" w:rsidP="0019638B">
      <w:pPr>
        <w:rPr>
          <w:rFonts w:cs="Segoe UI"/>
          <w:szCs w:val="22"/>
          <w:lang w:val="cs-CZ"/>
        </w:rPr>
      </w:pPr>
      <w:r w:rsidRPr="007012BC">
        <w:rPr>
          <w:rFonts w:cs="Segoe UI"/>
          <w:szCs w:val="22"/>
          <w:lang w:val="cs-CZ" w:bidi="bo-CN"/>
        </w:rPr>
        <w:t xml:space="preserve">Na </w:t>
      </w:r>
      <w:r w:rsidR="001961E5" w:rsidRPr="007012BC">
        <w:rPr>
          <w:rFonts w:cs="Segoe UI"/>
          <w:b/>
          <w:bCs/>
          <w:szCs w:val="22"/>
          <w:lang w:val="cs-CZ" w:bidi="bo-CN"/>
        </w:rPr>
        <w:t>západoevropských</w:t>
      </w:r>
      <w:r w:rsidRPr="007012BC">
        <w:rPr>
          <w:rFonts w:cs="Segoe UI"/>
          <w:b/>
          <w:bCs/>
          <w:szCs w:val="22"/>
          <w:lang w:val="cs-CZ" w:bidi="bo-CN"/>
        </w:rPr>
        <w:t xml:space="preserve"> tr</w:t>
      </w:r>
      <w:r w:rsidR="001961E5">
        <w:rPr>
          <w:rFonts w:cs="Segoe UI"/>
          <w:b/>
          <w:bCs/>
          <w:szCs w:val="22"/>
          <w:lang w:val="cs-CZ" w:bidi="bo-CN"/>
        </w:rPr>
        <w:t>zích</w:t>
      </w:r>
      <w:r w:rsidRPr="007012BC">
        <w:rPr>
          <w:rFonts w:cs="Segoe UI"/>
          <w:b/>
          <w:bCs/>
          <w:szCs w:val="22"/>
          <w:lang w:val="cs-CZ" w:bidi="bo-CN"/>
        </w:rPr>
        <w:t xml:space="preserve">, </w:t>
      </w:r>
      <w:r w:rsidRPr="007012BC">
        <w:rPr>
          <w:rFonts w:cs="Segoe UI"/>
          <w:szCs w:val="22"/>
          <w:lang w:val="cs-CZ" w:bidi="bo-CN"/>
        </w:rPr>
        <w:t xml:space="preserve">kde </w:t>
      </w:r>
      <w:r w:rsidR="001961E5">
        <w:rPr>
          <w:rFonts w:cs="Segoe UI"/>
          <w:szCs w:val="22"/>
          <w:lang w:val="cs-CZ" w:bidi="bo-CN"/>
        </w:rPr>
        <w:t xml:space="preserve">i nadále přetrvává </w:t>
      </w:r>
      <w:r w:rsidR="006E12A6">
        <w:rPr>
          <w:rFonts w:cs="Segoe UI"/>
          <w:szCs w:val="22"/>
          <w:lang w:val="cs-CZ" w:bidi="bo-CN"/>
        </w:rPr>
        <w:t xml:space="preserve">vysoko konkurenční prostředí, klesly organické tržby o </w:t>
      </w:r>
      <w:r w:rsidRPr="007012BC">
        <w:rPr>
          <w:rFonts w:cs="Segoe UI"/>
          <w:szCs w:val="22"/>
          <w:lang w:val="cs-CZ" w:bidi="bo-CN"/>
        </w:rPr>
        <w:t>4,4 %.</w:t>
      </w:r>
      <w:r w:rsidRPr="007012BC">
        <w:rPr>
          <w:rFonts w:cs="Segoe UI"/>
          <w:szCs w:val="22"/>
          <w:lang w:val="cs-CZ"/>
        </w:rPr>
        <w:t xml:space="preserve"> </w:t>
      </w:r>
      <w:r w:rsidR="006E12A6" w:rsidRPr="007012BC">
        <w:rPr>
          <w:rFonts w:cs="Segoe UI"/>
          <w:b/>
          <w:bCs/>
          <w:szCs w:val="22"/>
          <w:lang w:val="cs-CZ" w:bidi="bo-CN"/>
        </w:rPr>
        <w:t>Východní</w:t>
      </w:r>
      <w:r w:rsidRPr="007012BC">
        <w:rPr>
          <w:rFonts w:cs="Segoe UI"/>
          <w:b/>
          <w:bCs/>
          <w:szCs w:val="22"/>
          <w:lang w:val="cs-CZ" w:bidi="bo-CN"/>
        </w:rPr>
        <w:t xml:space="preserve"> E</w:t>
      </w:r>
      <w:r w:rsidR="006E12A6">
        <w:rPr>
          <w:rFonts w:cs="Segoe UI"/>
          <w:b/>
          <w:bCs/>
          <w:szCs w:val="22"/>
          <w:lang w:val="cs-CZ" w:bidi="bo-CN"/>
        </w:rPr>
        <w:t>v</w:t>
      </w:r>
      <w:r w:rsidRPr="007012BC">
        <w:rPr>
          <w:rFonts w:cs="Segoe UI"/>
          <w:b/>
          <w:bCs/>
          <w:szCs w:val="22"/>
          <w:lang w:val="cs-CZ" w:bidi="bo-CN"/>
        </w:rPr>
        <w:t>r</w:t>
      </w:r>
      <w:r w:rsidR="006E12A6">
        <w:rPr>
          <w:rFonts w:cs="Segoe UI"/>
          <w:b/>
          <w:bCs/>
          <w:szCs w:val="22"/>
          <w:lang w:val="cs-CZ" w:bidi="bo-CN"/>
        </w:rPr>
        <w:t>o</w:t>
      </w:r>
      <w:r w:rsidRPr="007012BC">
        <w:rPr>
          <w:rFonts w:cs="Segoe UI"/>
          <w:b/>
          <w:bCs/>
          <w:szCs w:val="22"/>
          <w:lang w:val="cs-CZ" w:bidi="bo-CN"/>
        </w:rPr>
        <w:t xml:space="preserve">pa </w:t>
      </w:r>
      <w:r w:rsidRPr="007012BC">
        <w:rPr>
          <w:rFonts w:cs="Segoe UI"/>
          <w:szCs w:val="22"/>
          <w:lang w:val="cs-CZ" w:bidi="bo-CN"/>
        </w:rPr>
        <w:t xml:space="preserve">zaznamenala </w:t>
      </w:r>
      <w:r w:rsidR="006E12A6" w:rsidRPr="007012BC">
        <w:rPr>
          <w:rFonts w:cs="Segoe UI"/>
          <w:szCs w:val="22"/>
          <w:lang w:val="cs-CZ" w:bidi="bo-CN"/>
        </w:rPr>
        <w:t>nár</w:t>
      </w:r>
      <w:r w:rsidR="006E12A6">
        <w:rPr>
          <w:rFonts w:cs="Segoe UI"/>
          <w:szCs w:val="22"/>
          <w:lang w:val="cs-CZ" w:bidi="bo-CN"/>
        </w:rPr>
        <w:t>ů</w:t>
      </w:r>
      <w:r w:rsidR="006E12A6" w:rsidRPr="007012BC">
        <w:rPr>
          <w:rFonts w:cs="Segoe UI"/>
          <w:szCs w:val="22"/>
          <w:lang w:val="cs-CZ" w:bidi="bo-CN"/>
        </w:rPr>
        <w:t>st</w:t>
      </w:r>
      <w:r w:rsidRPr="007012BC">
        <w:rPr>
          <w:rFonts w:cs="Segoe UI"/>
          <w:szCs w:val="22"/>
          <w:lang w:val="cs-CZ" w:bidi="bo-CN"/>
        </w:rPr>
        <w:t xml:space="preserve"> organick</w:t>
      </w:r>
      <w:r w:rsidR="006E12A6">
        <w:rPr>
          <w:rFonts w:cs="Segoe UI"/>
          <w:szCs w:val="22"/>
          <w:lang w:val="cs-CZ" w:bidi="bo-CN"/>
        </w:rPr>
        <w:t xml:space="preserve">ých tržeb </w:t>
      </w:r>
      <w:r w:rsidRPr="007012BC">
        <w:rPr>
          <w:rFonts w:cs="Segoe UI"/>
          <w:szCs w:val="22"/>
          <w:lang w:val="cs-CZ" w:bidi="bo-CN"/>
        </w:rPr>
        <w:t>o 7,1 %,</w:t>
      </w:r>
      <w:r w:rsidRPr="007012BC">
        <w:rPr>
          <w:rFonts w:cs="Segoe UI"/>
          <w:szCs w:val="22"/>
          <w:lang w:val="cs-CZ"/>
        </w:rPr>
        <w:t xml:space="preserve"> </w:t>
      </w:r>
      <w:r w:rsidRPr="007012BC">
        <w:rPr>
          <w:rFonts w:cs="Segoe UI"/>
          <w:szCs w:val="22"/>
          <w:lang w:val="cs-CZ" w:bidi="bo-CN"/>
        </w:rPr>
        <w:t xml:space="preserve">v </w:t>
      </w:r>
      <w:r w:rsidR="006E12A6" w:rsidRPr="007012BC">
        <w:rPr>
          <w:rFonts w:cs="Segoe UI"/>
          <w:b/>
          <w:bCs/>
          <w:szCs w:val="22"/>
          <w:lang w:val="cs-CZ" w:bidi="bo-CN"/>
        </w:rPr>
        <w:t>Africe</w:t>
      </w:r>
      <w:r w:rsidRPr="007012BC">
        <w:rPr>
          <w:rFonts w:cs="Segoe UI"/>
          <w:b/>
          <w:bCs/>
          <w:szCs w:val="22"/>
          <w:lang w:val="cs-CZ" w:bidi="bo-CN"/>
        </w:rPr>
        <w:t xml:space="preserve"> a na </w:t>
      </w:r>
      <w:r w:rsidR="006E12A6" w:rsidRPr="007012BC">
        <w:rPr>
          <w:rFonts w:cs="Segoe UI"/>
          <w:b/>
          <w:bCs/>
          <w:szCs w:val="22"/>
          <w:lang w:val="cs-CZ" w:bidi="bo-CN"/>
        </w:rPr>
        <w:t>Středním</w:t>
      </w:r>
      <w:r w:rsidRPr="007012BC">
        <w:rPr>
          <w:rFonts w:cs="Segoe UI"/>
          <w:b/>
          <w:bCs/>
          <w:szCs w:val="22"/>
          <w:lang w:val="cs-CZ" w:bidi="bo-CN"/>
        </w:rPr>
        <w:t xml:space="preserve"> </w:t>
      </w:r>
      <w:r w:rsidR="00F21781" w:rsidRPr="007012BC">
        <w:rPr>
          <w:rFonts w:cs="Segoe UI"/>
          <w:b/>
          <w:bCs/>
          <w:szCs w:val="22"/>
          <w:lang w:val="cs-CZ" w:bidi="bo-CN"/>
        </w:rPr>
        <w:t>východě</w:t>
      </w:r>
      <w:r w:rsidRPr="007012BC">
        <w:rPr>
          <w:rFonts w:cs="Segoe UI"/>
          <w:szCs w:val="22"/>
          <w:lang w:val="cs-CZ" w:bidi="bo-CN"/>
        </w:rPr>
        <w:t xml:space="preserve"> s</w:t>
      </w:r>
      <w:r w:rsidR="006E12A6">
        <w:rPr>
          <w:rFonts w:cs="Segoe UI"/>
          <w:szCs w:val="22"/>
          <w:lang w:val="cs-CZ" w:bidi="bo-CN"/>
        </w:rPr>
        <w:t xml:space="preserve">e tržby organicky zvýšily </w:t>
      </w:r>
      <w:r w:rsidRPr="007012BC">
        <w:rPr>
          <w:rFonts w:cs="Segoe UI"/>
          <w:szCs w:val="22"/>
          <w:lang w:val="cs-CZ" w:bidi="bo-CN"/>
        </w:rPr>
        <w:t>o 7</w:t>
      </w:r>
      <w:r w:rsidR="007D5153">
        <w:rPr>
          <w:rFonts w:cs="Segoe UI"/>
          <w:szCs w:val="22"/>
          <w:lang w:val="cs-CZ" w:bidi="bo-CN"/>
        </w:rPr>
        <w:t>,</w:t>
      </w:r>
      <w:r w:rsidRPr="007012BC">
        <w:rPr>
          <w:rFonts w:cs="Segoe UI"/>
          <w:szCs w:val="22"/>
          <w:lang w:val="cs-CZ" w:bidi="bo-CN"/>
        </w:rPr>
        <w:t>0 %.</w:t>
      </w:r>
      <w:r w:rsidRPr="007012BC">
        <w:rPr>
          <w:rFonts w:cs="Segoe UI"/>
          <w:szCs w:val="22"/>
          <w:lang w:val="cs-CZ"/>
        </w:rPr>
        <w:t xml:space="preserve"> </w:t>
      </w:r>
      <w:r w:rsidRPr="007012BC">
        <w:rPr>
          <w:rFonts w:cs="Segoe UI"/>
          <w:szCs w:val="22"/>
          <w:lang w:val="cs-CZ" w:bidi="bo-CN"/>
        </w:rPr>
        <w:t>Na</w:t>
      </w:r>
      <w:r w:rsidRPr="007012BC">
        <w:rPr>
          <w:rFonts w:cs="Segoe UI"/>
          <w:b/>
          <w:bCs/>
          <w:szCs w:val="22"/>
          <w:lang w:val="cs-CZ" w:bidi="bo-CN"/>
        </w:rPr>
        <w:t xml:space="preserve"> severoamerických tr</w:t>
      </w:r>
      <w:r w:rsidR="006E12A6">
        <w:rPr>
          <w:rFonts w:cs="Segoe UI"/>
          <w:b/>
          <w:bCs/>
          <w:szCs w:val="22"/>
          <w:lang w:val="cs-CZ" w:bidi="bo-CN"/>
        </w:rPr>
        <w:t>zích</w:t>
      </w:r>
      <w:r w:rsidRPr="007012BC">
        <w:rPr>
          <w:rFonts w:cs="Segoe UI"/>
          <w:b/>
          <w:bCs/>
          <w:szCs w:val="22"/>
          <w:lang w:val="cs-CZ" w:bidi="bo-CN"/>
        </w:rPr>
        <w:t xml:space="preserve"> </w:t>
      </w:r>
      <w:r w:rsidRPr="007012BC">
        <w:rPr>
          <w:rFonts w:cs="Segoe UI"/>
          <w:szCs w:val="22"/>
          <w:lang w:val="cs-CZ" w:bidi="bo-CN"/>
        </w:rPr>
        <w:t>b</w:t>
      </w:r>
      <w:r w:rsidR="006E12A6">
        <w:rPr>
          <w:rFonts w:cs="Segoe UI"/>
          <w:szCs w:val="22"/>
          <w:lang w:val="cs-CZ" w:bidi="bo-CN"/>
        </w:rPr>
        <w:t>y</w:t>
      </w:r>
      <w:r w:rsidRPr="007012BC">
        <w:rPr>
          <w:rFonts w:cs="Segoe UI"/>
          <w:szCs w:val="22"/>
          <w:lang w:val="cs-CZ" w:bidi="bo-CN"/>
        </w:rPr>
        <w:t xml:space="preserve">l vývoj </w:t>
      </w:r>
      <w:r w:rsidR="006E12A6">
        <w:rPr>
          <w:rFonts w:cs="Segoe UI"/>
          <w:szCs w:val="22"/>
          <w:lang w:val="cs-CZ" w:bidi="bo-CN"/>
        </w:rPr>
        <w:t>organických tržeb</w:t>
      </w:r>
      <w:r w:rsidRPr="007012BC">
        <w:rPr>
          <w:rFonts w:cs="Segoe UI"/>
          <w:szCs w:val="22"/>
          <w:lang w:val="cs-CZ" w:bidi="bo-CN"/>
        </w:rPr>
        <w:t xml:space="preserve"> záporný na úrovni 2,2 %.</w:t>
      </w:r>
      <w:r w:rsidRPr="007012BC">
        <w:rPr>
          <w:rFonts w:cs="Segoe UI"/>
          <w:szCs w:val="22"/>
          <w:lang w:val="cs-CZ"/>
        </w:rPr>
        <w:t xml:space="preserve"> </w:t>
      </w:r>
      <w:r w:rsidRPr="007012BC">
        <w:rPr>
          <w:rFonts w:cs="Segoe UI"/>
          <w:szCs w:val="22"/>
          <w:lang w:val="cs-CZ" w:bidi="bo-CN"/>
        </w:rPr>
        <w:t>V </w:t>
      </w:r>
      <w:r w:rsidR="006E12A6" w:rsidRPr="007012BC">
        <w:rPr>
          <w:rFonts w:cs="Segoe UI"/>
          <w:b/>
          <w:bCs/>
          <w:szCs w:val="22"/>
          <w:lang w:val="cs-CZ" w:bidi="bo-CN"/>
        </w:rPr>
        <w:t>Latinské</w:t>
      </w:r>
      <w:r w:rsidRPr="007012BC">
        <w:rPr>
          <w:rFonts w:cs="Segoe UI"/>
          <w:b/>
          <w:bCs/>
          <w:szCs w:val="22"/>
          <w:lang w:val="cs-CZ" w:bidi="bo-CN"/>
        </w:rPr>
        <w:t xml:space="preserve"> </w:t>
      </w:r>
      <w:r w:rsidR="006E12A6" w:rsidRPr="007012BC">
        <w:rPr>
          <w:rFonts w:cs="Segoe UI"/>
          <w:b/>
          <w:bCs/>
          <w:szCs w:val="22"/>
          <w:lang w:val="cs-CZ" w:bidi="bo-CN"/>
        </w:rPr>
        <w:t>Americe</w:t>
      </w:r>
      <w:r w:rsidRPr="007012BC">
        <w:rPr>
          <w:rFonts w:cs="Segoe UI"/>
          <w:szCs w:val="22"/>
          <w:lang w:val="cs-CZ" w:bidi="bo-CN"/>
        </w:rPr>
        <w:t xml:space="preserve"> s</w:t>
      </w:r>
      <w:r w:rsidR="006E12A6">
        <w:rPr>
          <w:rFonts w:cs="Segoe UI"/>
          <w:szCs w:val="22"/>
          <w:lang w:val="cs-CZ" w:bidi="bo-CN"/>
        </w:rPr>
        <w:t>e</w:t>
      </w:r>
      <w:r w:rsidRPr="007012BC">
        <w:rPr>
          <w:rFonts w:cs="Segoe UI"/>
          <w:szCs w:val="22"/>
          <w:lang w:val="cs-CZ" w:bidi="bo-CN"/>
        </w:rPr>
        <w:t xml:space="preserve"> </w:t>
      </w:r>
      <w:r w:rsidR="00A70366">
        <w:rPr>
          <w:rFonts w:cs="Segoe UI"/>
          <w:szCs w:val="22"/>
          <w:lang w:val="cs-CZ" w:bidi="bo-CN"/>
        </w:rPr>
        <w:t>organické tržby mírně snížily</w:t>
      </w:r>
      <w:r w:rsidRPr="007012BC">
        <w:rPr>
          <w:rFonts w:cs="Segoe UI"/>
          <w:szCs w:val="22"/>
          <w:lang w:val="cs-CZ" w:bidi="bo-CN"/>
        </w:rPr>
        <w:t xml:space="preserve"> o 0,5 %.</w:t>
      </w:r>
      <w:r w:rsidRPr="007012BC">
        <w:rPr>
          <w:rFonts w:cs="Segoe UI"/>
          <w:szCs w:val="22"/>
          <w:lang w:val="cs-CZ"/>
        </w:rPr>
        <w:t xml:space="preserve"> </w:t>
      </w:r>
      <w:r w:rsidRPr="007012BC">
        <w:rPr>
          <w:rFonts w:cs="Segoe UI"/>
          <w:szCs w:val="22"/>
          <w:lang w:val="cs-CZ" w:bidi="bo-CN"/>
        </w:rPr>
        <w:t>V</w:t>
      </w:r>
      <w:r w:rsidR="00A70366">
        <w:rPr>
          <w:rFonts w:cs="Segoe UI"/>
          <w:szCs w:val="22"/>
          <w:lang w:val="cs-CZ" w:bidi="bo-CN"/>
        </w:rPr>
        <w:t> </w:t>
      </w:r>
      <w:r w:rsidR="00A70366">
        <w:rPr>
          <w:rFonts w:cs="Segoe UI"/>
          <w:b/>
          <w:bCs/>
          <w:szCs w:val="22"/>
          <w:lang w:val="cs-CZ" w:bidi="bo-CN"/>
        </w:rPr>
        <w:t>asijsko-pacifickém</w:t>
      </w:r>
      <w:r w:rsidRPr="007012BC">
        <w:rPr>
          <w:rFonts w:cs="Segoe UI"/>
          <w:b/>
          <w:bCs/>
          <w:szCs w:val="22"/>
          <w:lang w:val="cs-CZ" w:bidi="bo-CN"/>
        </w:rPr>
        <w:t xml:space="preserve"> </w:t>
      </w:r>
      <w:r w:rsidRPr="007012BC">
        <w:rPr>
          <w:rFonts w:cs="Segoe UI"/>
          <w:szCs w:val="22"/>
          <w:lang w:val="cs-CZ" w:bidi="bo-CN"/>
        </w:rPr>
        <w:t>regi</w:t>
      </w:r>
      <w:r w:rsidR="00A70366">
        <w:rPr>
          <w:rFonts w:cs="Segoe UI"/>
          <w:szCs w:val="22"/>
          <w:lang w:val="cs-CZ" w:bidi="bo-CN"/>
        </w:rPr>
        <w:t>onu</w:t>
      </w:r>
      <w:r w:rsidRPr="007012BC">
        <w:rPr>
          <w:rFonts w:cs="Segoe UI"/>
          <w:szCs w:val="22"/>
          <w:lang w:val="cs-CZ" w:bidi="bo-CN"/>
        </w:rPr>
        <w:t xml:space="preserve"> </w:t>
      </w:r>
      <w:r w:rsidR="00A70366">
        <w:rPr>
          <w:rFonts w:cs="Segoe UI"/>
          <w:szCs w:val="22"/>
          <w:lang w:val="cs-CZ" w:bidi="bo-CN"/>
        </w:rPr>
        <w:t>tržby</w:t>
      </w:r>
      <w:r w:rsidRPr="007012BC">
        <w:rPr>
          <w:rFonts w:cs="Segoe UI"/>
          <w:szCs w:val="22"/>
          <w:lang w:val="cs-CZ" w:bidi="bo-CN"/>
        </w:rPr>
        <w:t xml:space="preserve"> organicky klesl</w:t>
      </w:r>
      <w:r w:rsidR="00A70366">
        <w:rPr>
          <w:rFonts w:cs="Segoe UI"/>
          <w:szCs w:val="22"/>
          <w:lang w:val="cs-CZ" w:bidi="bo-CN"/>
        </w:rPr>
        <w:t>y</w:t>
      </w:r>
      <w:r w:rsidRPr="007012BC">
        <w:rPr>
          <w:rFonts w:cs="Segoe UI"/>
          <w:szCs w:val="22"/>
          <w:lang w:val="cs-CZ" w:bidi="bo-CN"/>
        </w:rPr>
        <w:t xml:space="preserve"> o 1,6 %.</w:t>
      </w:r>
    </w:p>
    <w:p w14:paraId="7E3C249B" w14:textId="77777777" w:rsidR="0019638B" w:rsidRPr="007012BC" w:rsidRDefault="0019638B" w:rsidP="0019638B">
      <w:pPr>
        <w:rPr>
          <w:rFonts w:cs="Segoe UI"/>
          <w:b/>
          <w:bCs/>
          <w:szCs w:val="22"/>
          <w:lang w:val="cs-CZ"/>
        </w:rPr>
      </w:pPr>
    </w:p>
    <w:p w14:paraId="645555ED" w14:textId="4AA6F758" w:rsidR="0019638B" w:rsidRPr="007012BC" w:rsidRDefault="0019638B" w:rsidP="0019638B">
      <w:pPr>
        <w:rPr>
          <w:rFonts w:cs="Segoe UI"/>
          <w:szCs w:val="22"/>
          <w:lang w:val="cs-CZ"/>
        </w:rPr>
      </w:pPr>
      <w:r w:rsidRPr="007012BC">
        <w:rPr>
          <w:rFonts w:cs="Segoe UI"/>
          <w:b/>
          <w:bCs/>
          <w:szCs w:val="22"/>
          <w:lang w:val="cs-CZ" w:bidi="bo-CN"/>
        </w:rPr>
        <w:t>Upravený p</w:t>
      </w:r>
      <w:r w:rsidR="00D5693E">
        <w:rPr>
          <w:rFonts w:cs="Segoe UI"/>
          <w:b/>
          <w:bCs/>
          <w:szCs w:val="22"/>
          <w:lang w:val="cs-CZ" w:bidi="bo-CN"/>
        </w:rPr>
        <w:t>rovozní</w:t>
      </w:r>
      <w:r w:rsidRPr="007012BC">
        <w:rPr>
          <w:rFonts w:cs="Segoe UI"/>
          <w:b/>
          <w:bCs/>
          <w:szCs w:val="22"/>
          <w:lang w:val="cs-CZ" w:bidi="bo-CN"/>
        </w:rPr>
        <w:t xml:space="preserve"> zisk (upravený zisk EBIT) </w:t>
      </w:r>
      <w:r w:rsidR="00BA5314" w:rsidRPr="007012BC">
        <w:rPr>
          <w:rFonts w:cs="Segoe UI"/>
          <w:szCs w:val="22"/>
          <w:lang w:val="cs-CZ" w:bidi="bo-CN"/>
        </w:rPr>
        <w:t>dosáhl</w:t>
      </w:r>
      <w:r w:rsidRPr="007012BC">
        <w:rPr>
          <w:rFonts w:cs="Segoe UI"/>
          <w:szCs w:val="22"/>
          <w:lang w:val="cs-CZ" w:bidi="bo-CN"/>
        </w:rPr>
        <w:t xml:space="preserve"> v ro</w:t>
      </w:r>
      <w:r w:rsidR="00BA5314">
        <w:rPr>
          <w:rFonts w:cs="Segoe UI"/>
          <w:szCs w:val="22"/>
          <w:lang w:val="cs-CZ" w:bidi="bo-CN"/>
        </w:rPr>
        <w:t>ce</w:t>
      </w:r>
      <w:r w:rsidRPr="007012BC">
        <w:rPr>
          <w:rFonts w:cs="Segoe UI"/>
          <w:szCs w:val="22"/>
          <w:lang w:val="cs-CZ" w:bidi="bo-CN"/>
        </w:rPr>
        <w:t xml:space="preserve"> 2020 hodnot</w:t>
      </w:r>
      <w:r w:rsidR="00BA5314">
        <w:rPr>
          <w:rFonts w:cs="Segoe UI"/>
          <w:szCs w:val="22"/>
          <w:lang w:val="cs-CZ" w:bidi="bo-CN"/>
        </w:rPr>
        <w:t>y</w:t>
      </w:r>
      <w:r w:rsidRPr="007012BC">
        <w:rPr>
          <w:rFonts w:cs="Segoe UI"/>
          <w:szCs w:val="22"/>
          <w:lang w:val="cs-CZ" w:bidi="bo-CN"/>
        </w:rPr>
        <w:t xml:space="preserve"> 2 579 mil. eur v porovnaní s 3 220 mil. eur v</w:t>
      </w:r>
      <w:r w:rsidR="00BA5314">
        <w:rPr>
          <w:rFonts w:cs="Segoe UI"/>
          <w:szCs w:val="22"/>
          <w:lang w:val="cs-CZ" w:bidi="bo-CN"/>
        </w:rPr>
        <w:t>e fiskálním roce</w:t>
      </w:r>
      <w:r w:rsidRPr="007012BC">
        <w:rPr>
          <w:rFonts w:cs="Segoe UI"/>
          <w:szCs w:val="22"/>
          <w:lang w:val="cs-CZ" w:bidi="bo-CN"/>
        </w:rPr>
        <w:t xml:space="preserve"> 2019 (-19,9 %).</w:t>
      </w:r>
      <w:r w:rsidRPr="007012BC">
        <w:rPr>
          <w:rFonts w:cs="Segoe UI"/>
          <w:b/>
          <w:bCs/>
          <w:szCs w:val="22"/>
          <w:lang w:val="cs-CZ" w:bidi="bo-CN"/>
        </w:rPr>
        <w:t xml:space="preserve"> </w:t>
      </w:r>
    </w:p>
    <w:p w14:paraId="38CE5C9C" w14:textId="77777777" w:rsidR="0019638B" w:rsidRPr="00693158" w:rsidRDefault="0019638B" w:rsidP="0019638B">
      <w:pPr>
        <w:rPr>
          <w:rFonts w:cs="Segoe UI"/>
          <w:szCs w:val="22"/>
          <w:lang w:val="cs-CZ"/>
        </w:rPr>
      </w:pPr>
    </w:p>
    <w:p w14:paraId="5FC39BA5" w14:textId="0DFAAFB9" w:rsidR="0019638B" w:rsidRPr="007012BC" w:rsidRDefault="0019638B" w:rsidP="0019638B">
      <w:pPr>
        <w:rPr>
          <w:rFonts w:cs="Segoe UI"/>
          <w:szCs w:val="22"/>
          <w:lang w:val="cs-CZ"/>
        </w:rPr>
      </w:pPr>
      <w:r w:rsidRPr="007012BC">
        <w:rPr>
          <w:rFonts w:cs="Segoe UI"/>
          <w:b/>
          <w:bCs/>
          <w:szCs w:val="22"/>
          <w:lang w:val="cs-CZ" w:bidi="bo-CN"/>
        </w:rPr>
        <w:t xml:space="preserve">Upravená </w:t>
      </w:r>
      <w:r w:rsidR="00C92D5C">
        <w:rPr>
          <w:rFonts w:cs="Segoe UI"/>
          <w:b/>
          <w:bCs/>
          <w:szCs w:val="22"/>
          <w:lang w:val="cs-CZ" w:bidi="bo-CN"/>
        </w:rPr>
        <w:t>návratnost tržeb</w:t>
      </w:r>
      <w:r w:rsidRPr="007012BC">
        <w:rPr>
          <w:rFonts w:cs="Segoe UI"/>
          <w:b/>
          <w:bCs/>
          <w:szCs w:val="22"/>
          <w:lang w:val="cs-CZ" w:bidi="bo-CN"/>
        </w:rPr>
        <w:t xml:space="preserve"> (upravená marž</w:t>
      </w:r>
      <w:r w:rsidR="00C92D5C">
        <w:rPr>
          <w:rFonts w:cs="Segoe UI"/>
          <w:b/>
          <w:bCs/>
          <w:szCs w:val="22"/>
          <w:lang w:val="cs-CZ" w:bidi="bo-CN"/>
        </w:rPr>
        <w:t>e</w:t>
      </w:r>
      <w:r w:rsidRPr="007012BC">
        <w:rPr>
          <w:rFonts w:cs="Segoe UI"/>
          <w:b/>
          <w:bCs/>
          <w:szCs w:val="22"/>
          <w:lang w:val="cs-CZ" w:bidi="bo-CN"/>
        </w:rPr>
        <w:t xml:space="preserve"> EBIT)</w:t>
      </w:r>
      <w:r w:rsidRPr="007012BC">
        <w:rPr>
          <w:rFonts w:cs="Segoe UI"/>
          <w:szCs w:val="22"/>
          <w:lang w:val="cs-CZ" w:bidi="bo-CN"/>
        </w:rPr>
        <w:t xml:space="preserve"> </w:t>
      </w:r>
      <w:r w:rsidR="00C92D5C" w:rsidRPr="007012BC">
        <w:rPr>
          <w:rFonts w:cs="Segoe UI"/>
          <w:szCs w:val="22"/>
          <w:lang w:val="cs-CZ" w:bidi="bo-CN"/>
        </w:rPr>
        <w:t>dosáhla</w:t>
      </w:r>
      <w:r w:rsidRPr="007012BC">
        <w:rPr>
          <w:rFonts w:cs="Segoe UI"/>
          <w:szCs w:val="22"/>
          <w:lang w:val="cs-CZ" w:bidi="bo-CN"/>
        </w:rPr>
        <w:t xml:space="preserve"> 13,4 %, ted</w:t>
      </w:r>
      <w:r w:rsidR="00C92D5C">
        <w:rPr>
          <w:rFonts w:cs="Segoe UI"/>
          <w:szCs w:val="22"/>
          <w:lang w:val="cs-CZ" w:bidi="bo-CN"/>
        </w:rPr>
        <w:t>y</w:t>
      </w:r>
      <w:r w:rsidRPr="007012BC">
        <w:rPr>
          <w:rFonts w:cs="Segoe UI"/>
          <w:szCs w:val="22"/>
          <w:lang w:val="cs-CZ" w:bidi="bo-CN"/>
        </w:rPr>
        <w:t xml:space="preserve"> </w:t>
      </w:r>
      <w:r w:rsidR="00C92D5C" w:rsidRPr="007012BC">
        <w:rPr>
          <w:rFonts w:cs="Segoe UI"/>
          <w:szCs w:val="22"/>
          <w:lang w:val="cs-CZ" w:bidi="bo-CN"/>
        </w:rPr>
        <w:t>meziročně</w:t>
      </w:r>
      <w:r w:rsidRPr="007012BC">
        <w:rPr>
          <w:rFonts w:cs="Segoe UI"/>
          <w:szCs w:val="22"/>
          <w:lang w:val="cs-CZ" w:bidi="bo-CN"/>
        </w:rPr>
        <w:t xml:space="preserve"> zaostala o </w:t>
      </w:r>
      <w:r w:rsidR="00053CB0" w:rsidRPr="007012BC">
        <w:rPr>
          <w:rFonts w:cs="Segoe UI"/>
          <w:szCs w:val="22"/>
          <w:lang w:val="cs-CZ" w:bidi="bo-CN"/>
        </w:rPr>
        <w:t>2,6</w:t>
      </w:r>
      <w:r w:rsidR="00F21781">
        <w:rPr>
          <w:rFonts w:cs="Segoe UI"/>
          <w:szCs w:val="22"/>
          <w:lang w:val="cs-CZ" w:bidi="bo-CN"/>
        </w:rPr>
        <w:t xml:space="preserve"> </w:t>
      </w:r>
      <w:r w:rsidR="00053CB0" w:rsidRPr="007012BC">
        <w:rPr>
          <w:rFonts w:cs="Segoe UI"/>
          <w:szCs w:val="22"/>
          <w:lang w:val="cs-CZ" w:bidi="bo-CN"/>
        </w:rPr>
        <w:t>procentního</w:t>
      </w:r>
      <w:r w:rsidRPr="007012BC">
        <w:rPr>
          <w:rFonts w:cs="Segoe UI"/>
          <w:szCs w:val="22"/>
          <w:lang w:val="cs-CZ" w:bidi="bo-CN"/>
        </w:rPr>
        <w:t xml:space="preserve"> bodu.</w:t>
      </w:r>
      <w:r w:rsidRPr="007012BC">
        <w:rPr>
          <w:rFonts w:cs="Segoe UI"/>
          <w:szCs w:val="22"/>
          <w:lang w:val="cs-CZ"/>
        </w:rPr>
        <w:t xml:space="preserve"> </w:t>
      </w:r>
      <w:r w:rsidRPr="007012BC">
        <w:rPr>
          <w:rFonts w:cs="Segoe UI"/>
          <w:szCs w:val="22"/>
          <w:lang w:val="cs-CZ" w:bidi="bo-CN"/>
        </w:rPr>
        <w:t xml:space="preserve">Uvedené </w:t>
      </w:r>
      <w:r w:rsidR="00053CB0" w:rsidRPr="007012BC">
        <w:rPr>
          <w:rFonts w:cs="Segoe UI"/>
          <w:szCs w:val="22"/>
          <w:lang w:val="cs-CZ" w:bidi="bo-CN"/>
        </w:rPr>
        <w:t>snížení</w:t>
      </w:r>
      <w:r w:rsidRPr="007012BC">
        <w:rPr>
          <w:rFonts w:cs="Segoe UI"/>
          <w:szCs w:val="22"/>
          <w:lang w:val="cs-CZ" w:bidi="bo-CN"/>
        </w:rPr>
        <w:t xml:space="preserve"> b</w:t>
      </w:r>
      <w:r w:rsidR="00053CB0">
        <w:rPr>
          <w:rFonts w:cs="Segoe UI"/>
          <w:szCs w:val="22"/>
          <w:lang w:val="cs-CZ" w:bidi="bo-CN"/>
        </w:rPr>
        <w:t>ylo způsobené</w:t>
      </w:r>
      <w:r w:rsidRPr="007012BC">
        <w:rPr>
          <w:rFonts w:cs="Segoe UI"/>
          <w:szCs w:val="22"/>
          <w:lang w:val="cs-CZ" w:bidi="bo-CN"/>
        </w:rPr>
        <w:t xml:space="preserve"> </w:t>
      </w:r>
      <w:r w:rsidR="00053CB0">
        <w:rPr>
          <w:rFonts w:cs="Segoe UI"/>
          <w:szCs w:val="22"/>
          <w:lang w:val="cs-CZ" w:bidi="bo-CN"/>
        </w:rPr>
        <w:t>i</w:t>
      </w:r>
      <w:r w:rsidRPr="007012BC">
        <w:rPr>
          <w:rFonts w:cs="Segoe UI"/>
          <w:szCs w:val="22"/>
          <w:lang w:val="cs-CZ" w:bidi="bo-CN"/>
        </w:rPr>
        <w:t xml:space="preserve"> vyššími </w:t>
      </w:r>
      <w:r w:rsidR="00053CB0" w:rsidRPr="007012BC">
        <w:rPr>
          <w:rFonts w:cs="Segoe UI"/>
          <w:szCs w:val="22"/>
          <w:lang w:val="cs-CZ" w:bidi="bo-CN"/>
        </w:rPr>
        <w:t>investicemi</w:t>
      </w:r>
      <w:r w:rsidRPr="007012BC">
        <w:rPr>
          <w:rFonts w:cs="Segoe UI"/>
          <w:szCs w:val="22"/>
          <w:lang w:val="cs-CZ" w:bidi="bo-CN"/>
        </w:rPr>
        <w:t xml:space="preserve"> do marketingu</w:t>
      </w:r>
      <w:r w:rsidR="00053CB0">
        <w:rPr>
          <w:rFonts w:cs="Segoe UI"/>
          <w:szCs w:val="22"/>
          <w:lang w:val="cs-CZ" w:bidi="bo-CN"/>
        </w:rPr>
        <w:t xml:space="preserve">, </w:t>
      </w:r>
      <w:r w:rsidRPr="007012BC">
        <w:rPr>
          <w:rFonts w:cs="Segoe UI"/>
          <w:szCs w:val="22"/>
          <w:lang w:val="cs-CZ" w:bidi="bo-CN"/>
        </w:rPr>
        <w:t xml:space="preserve">reklamy a do </w:t>
      </w:r>
      <w:r w:rsidR="00053CB0" w:rsidRPr="007012BC">
        <w:rPr>
          <w:rFonts w:cs="Segoe UI"/>
          <w:szCs w:val="22"/>
          <w:lang w:val="cs-CZ" w:bidi="bo-CN"/>
        </w:rPr>
        <w:t>digitalizac</w:t>
      </w:r>
      <w:r w:rsidR="00F21781">
        <w:rPr>
          <w:rFonts w:cs="Segoe UI"/>
          <w:szCs w:val="22"/>
          <w:lang w:val="cs-CZ" w:bidi="bo-CN"/>
        </w:rPr>
        <w:t>e</w:t>
      </w:r>
      <w:r w:rsidRPr="007012BC">
        <w:rPr>
          <w:rFonts w:cs="Segoe UI"/>
          <w:szCs w:val="22"/>
          <w:lang w:val="cs-CZ" w:bidi="bo-CN"/>
        </w:rPr>
        <w:t xml:space="preserve"> a IT. </w:t>
      </w:r>
    </w:p>
    <w:p w14:paraId="6E36F403" w14:textId="77777777" w:rsidR="0019638B" w:rsidRPr="007012BC" w:rsidRDefault="0019638B" w:rsidP="0019638B">
      <w:pPr>
        <w:rPr>
          <w:rFonts w:cs="Segoe UI"/>
          <w:szCs w:val="22"/>
          <w:lang w:val="cs-CZ"/>
        </w:rPr>
      </w:pPr>
    </w:p>
    <w:p w14:paraId="4D3C0695" w14:textId="4A20F9E1" w:rsidR="0019638B" w:rsidRPr="007012BC" w:rsidRDefault="0019638B" w:rsidP="0019638B">
      <w:pPr>
        <w:rPr>
          <w:rFonts w:cs="Segoe UI"/>
          <w:szCs w:val="22"/>
          <w:lang w:val="cs-CZ"/>
        </w:rPr>
      </w:pPr>
      <w:r w:rsidRPr="007012BC">
        <w:rPr>
          <w:rFonts w:cs="Segoe UI"/>
          <w:b/>
          <w:bCs/>
          <w:szCs w:val="22"/>
          <w:lang w:val="cs-CZ" w:bidi="bo-CN"/>
        </w:rPr>
        <w:t xml:space="preserve">Upravený výnos na </w:t>
      </w:r>
      <w:r w:rsidR="00D36AB3" w:rsidRPr="007012BC">
        <w:rPr>
          <w:rFonts w:cs="Segoe UI"/>
          <w:b/>
          <w:bCs/>
          <w:szCs w:val="22"/>
          <w:lang w:val="cs-CZ" w:bidi="bo-CN"/>
        </w:rPr>
        <w:t>prioritní</w:t>
      </w:r>
      <w:r w:rsidRPr="007012BC">
        <w:rPr>
          <w:rFonts w:cs="Segoe UI"/>
          <w:b/>
          <w:bCs/>
          <w:szCs w:val="22"/>
          <w:lang w:val="cs-CZ" w:bidi="bo-CN"/>
        </w:rPr>
        <w:t xml:space="preserve"> </w:t>
      </w:r>
      <w:r w:rsidR="00D36AB3" w:rsidRPr="007012BC">
        <w:rPr>
          <w:rFonts w:cs="Segoe UI"/>
          <w:b/>
          <w:bCs/>
          <w:szCs w:val="22"/>
          <w:lang w:val="cs-CZ" w:bidi="bo-CN"/>
        </w:rPr>
        <w:t>akci</w:t>
      </w:r>
      <w:r w:rsidR="00D36AB3">
        <w:rPr>
          <w:rFonts w:cs="Segoe UI"/>
          <w:b/>
          <w:bCs/>
          <w:szCs w:val="22"/>
          <w:lang w:val="cs-CZ" w:bidi="bo-CN"/>
        </w:rPr>
        <w:t>e</w:t>
      </w:r>
      <w:r w:rsidRPr="007012BC">
        <w:rPr>
          <w:rFonts w:cs="Segoe UI"/>
          <w:b/>
          <w:bCs/>
          <w:szCs w:val="22"/>
          <w:lang w:val="cs-CZ" w:bidi="bo-CN"/>
        </w:rPr>
        <w:t xml:space="preserve"> </w:t>
      </w:r>
      <w:r w:rsidRPr="007012BC">
        <w:rPr>
          <w:rFonts w:cs="Segoe UI"/>
          <w:szCs w:val="22"/>
          <w:lang w:val="cs-CZ" w:bidi="bo-CN"/>
        </w:rPr>
        <w:t>s</w:t>
      </w:r>
      <w:r w:rsidR="00D36AB3">
        <w:rPr>
          <w:rFonts w:cs="Segoe UI"/>
          <w:szCs w:val="22"/>
          <w:lang w:val="cs-CZ" w:bidi="bo-CN"/>
        </w:rPr>
        <w:t>e snížil</w:t>
      </w:r>
      <w:r w:rsidRPr="007012BC">
        <w:rPr>
          <w:rFonts w:cs="Segoe UI"/>
          <w:szCs w:val="22"/>
          <w:lang w:val="cs-CZ" w:bidi="bo-CN"/>
        </w:rPr>
        <w:t xml:space="preserve"> o 21,5 % z 5,43 eura </w:t>
      </w:r>
      <w:r w:rsidR="00D36AB3">
        <w:rPr>
          <w:rFonts w:cs="Segoe UI"/>
          <w:szCs w:val="22"/>
          <w:lang w:val="cs-CZ" w:bidi="bo-CN"/>
        </w:rPr>
        <w:t xml:space="preserve">ve fiskální roce </w:t>
      </w:r>
      <w:r w:rsidRPr="007012BC">
        <w:rPr>
          <w:rFonts w:cs="Segoe UI"/>
          <w:szCs w:val="22"/>
          <w:lang w:val="cs-CZ" w:bidi="bo-CN"/>
        </w:rPr>
        <w:t>2019 na 4,26 eura v ro</w:t>
      </w:r>
      <w:r w:rsidR="00A6128F">
        <w:rPr>
          <w:rFonts w:cs="Segoe UI"/>
          <w:szCs w:val="22"/>
          <w:lang w:val="cs-CZ" w:bidi="bo-CN"/>
        </w:rPr>
        <w:t>ce</w:t>
      </w:r>
      <w:r w:rsidRPr="007012BC">
        <w:rPr>
          <w:rFonts w:cs="Segoe UI"/>
          <w:szCs w:val="22"/>
          <w:lang w:val="cs-CZ" w:bidi="bo-CN"/>
        </w:rPr>
        <w:t xml:space="preserve"> 2020.</w:t>
      </w:r>
      <w:r w:rsidRPr="007012BC">
        <w:rPr>
          <w:rFonts w:cs="Segoe UI"/>
          <w:szCs w:val="22"/>
          <w:lang w:val="cs-CZ"/>
        </w:rPr>
        <w:t xml:space="preserve"> </w:t>
      </w:r>
      <w:r w:rsidR="00A6128F">
        <w:rPr>
          <w:rFonts w:cs="Segoe UI"/>
          <w:szCs w:val="22"/>
          <w:lang w:val="cs-CZ"/>
        </w:rPr>
        <w:t>Při neměnných kurzových sazbách klesl upravený výnos na prioritní akcii o</w:t>
      </w:r>
      <w:r w:rsidRPr="007012BC">
        <w:rPr>
          <w:rFonts w:cs="Segoe UI"/>
          <w:szCs w:val="22"/>
          <w:lang w:val="cs-CZ" w:bidi="bo-CN"/>
        </w:rPr>
        <w:t> 17,9 %.</w:t>
      </w:r>
    </w:p>
    <w:p w14:paraId="12D566C3" w14:textId="77777777" w:rsidR="0019638B" w:rsidRPr="007012BC" w:rsidRDefault="0019638B" w:rsidP="0019638B">
      <w:pPr>
        <w:rPr>
          <w:rFonts w:cs="Segoe UI"/>
          <w:szCs w:val="22"/>
          <w:lang w:val="cs-CZ"/>
        </w:rPr>
      </w:pPr>
    </w:p>
    <w:p w14:paraId="1FD3F825" w14:textId="6D561A5F" w:rsidR="0019638B" w:rsidRPr="007012BC" w:rsidRDefault="00187D37" w:rsidP="0019638B">
      <w:pPr>
        <w:rPr>
          <w:rFonts w:cs="Segoe UI"/>
          <w:szCs w:val="22"/>
          <w:lang w:val="cs-CZ"/>
        </w:rPr>
      </w:pPr>
      <w:r w:rsidRPr="007012BC">
        <w:rPr>
          <w:rFonts w:cs="Segoe UI"/>
          <w:b/>
          <w:bCs/>
          <w:szCs w:val="22"/>
          <w:lang w:val="cs-CZ" w:bidi="bo-CN"/>
        </w:rPr>
        <w:t>Po</w:t>
      </w:r>
      <w:r>
        <w:rPr>
          <w:rFonts w:cs="Segoe UI"/>
          <w:b/>
          <w:bCs/>
          <w:szCs w:val="22"/>
          <w:lang w:val="cs-CZ" w:bidi="bo-CN"/>
        </w:rPr>
        <w:t>měr</w:t>
      </w:r>
      <w:r w:rsidR="0019638B" w:rsidRPr="007012BC">
        <w:rPr>
          <w:rFonts w:cs="Segoe UI"/>
          <w:b/>
          <w:bCs/>
          <w:szCs w:val="22"/>
          <w:lang w:val="cs-CZ" w:bidi="bo-CN"/>
        </w:rPr>
        <w:t xml:space="preserve"> čistého </w:t>
      </w:r>
      <w:r w:rsidR="00AA3D9B">
        <w:rPr>
          <w:rFonts w:cs="Segoe UI"/>
          <w:b/>
          <w:bCs/>
          <w:szCs w:val="22"/>
          <w:lang w:val="cs-CZ" w:bidi="bo-CN"/>
        </w:rPr>
        <w:t>pracovního</w:t>
      </w:r>
      <w:r w:rsidR="0019638B" w:rsidRPr="007012BC">
        <w:rPr>
          <w:rFonts w:cs="Segoe UI"/>
          <w:b/>
          <w:bCs/>
          <w:szCs w:val="22"/>
          <w:lang w:val="cs-CZ" w:bidi="bo-CN"/>
        </w:rPr>
        <w:t xml:space="preserve"> kapitálu </w:t>
      </w:r>
      <w:r w:rsidR="0019638B" w:rsidRPr="007012BC">
        <w:rPr>
          <w:rFonts w:cs="Segoe UI"/>
          <w:szCs w:val="22"/>
          <w:lang w:val="cs-CZ" w:bidi="bo-CN"/>
        </w:rPr>
        <w:t>k</w:t>
      </w:r>
      <w:r w:rsidR="00AA3D9B">
        <w:rPr>
          <w:rFonts w:cs="Segoe UI"/>
          <w:szCs w:val="22"/>
          <w:lang w:val="cs-CZ" w:bidi="bo-CN"/>
        </w:rPr>
        <w:t> tržbám se</w:t>
      </w:r>
      <w:r w:rsidR="0019638B" w:rsidRPr="007012BC">
        <w:rPr>
          <w:rFonts w:cs="Segoe UI"/>
          <w:szCs w:val="22"/>
          <w:lang w:val="cs-CZ" w:bidi="bo-CN"/>
        </w:rPr>
        <w:t xml:space="preserve"> </w:t>
      </w:r>
      <w:r w:rsidR="00AA3D9B" w:rsidRPr="007012BC">
        <w:rPr>
          <w:rFonts w:cs="Segoe UI"/>
          <w:szCs w:val="22"/>
          <w:lang w:val="cs-CZ" w:bidi="bo-CN"/>
        </w:rPr>
        <w:t>výrazně</w:t>
      </w:r>
      <w:r w:rsidR="0019638B" w:rsidRPr="007012BC">
        <w:rPr>
          <w:rFonts w:cs="Segoe UI"/>
          <w:szCs w:val="22"/>
          <w:lang w:val="cs-CZ" w:bidi="bo-CN"/>
        </w:rPr>
        <w:t xml:space="preserve"> zlepšil na úroveň 0,7 % v porovnaní s 3,9 % v</w:t>
      </w:r>
      <w:r w:rsidR="00AA3D9B">
        <w:rPr>
          <w:rFonts w:cs="Segoe UI"/>
          <w:szCs w:val="22"/>
          <w:lang w:val="cs-CZ" w:bidi="bo-CN"/>
        </w:rPr>
        <w:t> předcházejícím roce</w:t>
      </w:r>
      <w:r w:rsidR="0019638B" w:rsidRPr="007012BC">
        <w:rPr>
          <w:rFonts w:cs="Segoe UI"/>
          <w:szCs w:val="22"/>
          <w:lang w:val="cs-CZ" w:bidi="bo-CN"/>
        </w:rPr>
        <w:t>.</w:t>
      </w:r>
    </w:p>
    <w:p w14:paraId="21E36ADA" w14:textId="77777777" w:rsidR="0019638B" w:rsidRPr="007012BC" w:rsidRDefault="0019638B" w:rsidP="0019638B">
      <w:pPr>
        <w:rPr>
          <w:rFonts w:cs="Segoe UI"/>
          <w:szCs w:val="22"/>
          <w:lang w:val="cs-CZ"/>
        </w:rPr>
      </w:pPr>
    </w:p>
    <w:p w14:paraId="2C86E4A5" w14:textId="07D392DF" w:rsidR="0019638B" w:rsidRPr="007012BC" w:rsidRDefault="00593E43" w:rsidP="0019638B">
      <w:pPr>
        <w:autoSpaceDE w:val="0"/>
        <w:autoSpaceDN w:val="0"/>
        <w:adjustRightInd w:val="0"/>
        <w:rPr>
          <w:rFonts w:cs="Segoe UI"/>
          <w:szCs w:val="22"/>
          <w:lang w:val="cs-CZ"/>
        </w:rPr>
      </w:pPr>
      <w:r w:rsidRPr="007012BC">
        <w:rPr>
          <w:rFonts w:cs="Segoe UI"/>
          <w:b/>
          <w:szCs w:val="22"/>
          <w:lang w:val="cs-CZ" w:bidi="bo-CN"/>
        </w:rPr>
        <w:t>Volný</w:t>
      </w:r>
      <w:r w:rsidR="0019638B" w:rsidRPr="007012BC">
        <w:rPr>
          <w:rFonts w:cs="Segoe UI"/>
          <w:b/>
          <w:szCs w:val="22"/>
          <w:lang w:val="cs-CZ" w:bidi="bo-CN"/>
        </w:rPr>
        <w:t xml:space="preserve"> cash flow </w:t>
      </w:r>
      <w:r w:rsidR="0019638B" w:rsidRPr="007012BC">
        <w:rPr>
          <w:rFonts w:cs="Segoe UI"/>
          <w:bCs/>
          <w:szCs w:val="22"/>
          <w:lang w:val="cs-CZ" w:bidi="bo-CN"/>
        </w:rPr>
        <w:t>z</w:t>
      </w:r>
      <w:r>
        <w:rPr>
          <w:rFonts w:cs="Segoe UI"/>
          <w:bCs/>
          <w:szCs w:val="22"/>
          <w:lang w:val="cs-CZ" w:bidi="bo-CN"/>
        </w:rPr>
        <w:t>ů</w:t>
      </w:r>
      <w:r w:rsidR="0019638B" w:rsidRPr="007012BC">
        <w:rPr>
          <w:rFonts w:cs="Segoe UI"/>
          <w:bCs/>
          <w:szCs w:val="22"/>
          <w:lang w:val="cs-CZ" w:bidi="bo-CN"/>
        </w:rPr>
        <w:t>stal ve</w:t>
      </w:r>
      <w:r>
        <w:rPr>
          <w:rFonts w:cs="Segoe UI"/>
          <w:bCs/>
          <w:szCs w:val="22"/>
          <w:lang w:val="cs-CZ" w:bidi="bo-CN"/>
        </w:rPr>
        <w:t>l</w:t>
      </w:r>
      <w:r w:rsidR="0019638B" w:rsidRPr="007012BC">
        <w:rPr>
          <w:rFonts w:cs="Segoe UI"/>
          <w:bCs/>
          <w:szCs w:val="22"/>
          <w:lang w:val="cs-CZ" w:bidi="bo-CN"/>
        </w:rPr>
        <w:t>mi silný</w:t>
      </w:r>
      <w:r w:rsidR="005D7D88">
        <w:rPr>
          <w:rFonts w:cs="Segoe UI"/>
          <w:bCs/>
          <w:szCs w:val="22"/>
          <w:lang w:val="cs-CZ" w:bidi="bo-CN"/>
        </w:rPr>
        <w:t>. D</w:t>
      </w:r>
      <w:r w:rsidR="0019638B" w:rsidRPr="007012BC">
        <w:rPr>
          <w:rFonts w:cs="Segoe UI"/>
          <w:szCs w:val="22"/>
          <w:lang w:val="cs-CZ" w:bidi="bo-CN"/>
        </w:rPr>
        <w:t>os</w:t>
      </w:r>
      <w:r w:rsidR="005D7D88">
        <w:rPr>
          <w:rFonts w:cs="Segoe UI"/>
          <w:szCs w:val="22"/>
          <w:lang w:val="cs-CZ" w:bidi="bo-CN"/>
        </w:rPr>
        <w:t>áhl výše</w:t>
      </w:r>
      <w:r w:rsidR="0019638B" w:rsidRPr="007012BC">
        <w:rPr>
          <w:rFonts w:cs="Segoe UI"/>
          <w:szCs w:val="22"/>
          <w:lang w:val="cs-CZ" w:bidi="bo-CN"/>
        </w:rPr>
        <w:t xml:space="preserve"> 2 338 mil. eur a </w:t>
      </w:r>
      <w:r w:rsidR="005D7D88">
        <w:rPr>
          <w:rFonts w:cs="Segoe UI"/>
          <w:szCs w:val="22"/>
          <w:lang w:val="cs-CZ" w:bidi="bo-CN"/>
        </w:rPr>
        <w:t xml:space="preserve">skoro se </w:t>
      </w:r>
      <w:r w:rsidR="0019638B" w:rsidRPr="007012BC">
        <w:rPr>
          <w:rFonts w:cs="Segoe UI"/>
          <w:szCs w:val="22"/>
          <w:lang w:val="cs-CZ" w:bidi="bo-CN"/>
        </w:rPr>
        <w:t xml:space="preserve">vyrovnal </w:t>
      </w:r>
      <w:r w:rsidR="005D7D88">
        <w:rPr>
          <w:rFonts w:cs="Segoe UI"/>
          <w:szCs w:val="22"/>
          <w:lang w:val="cs-CZ" w:bidi="bo-CN"/>
        </w:rPr>
        <w:t>své</w:t>
      </w:r>
      <w:r w:rsidR="0019638B" w:rsidRPr="007012BC">
        <w:rPr>
          <w:rFonts w:cs="Segoe UI"/>
          <w:szCs w:val="22"/>
          <w:lang w:val="cs-CZ" w:bidi="bo-CN"/>
        </w:rPr>
        <w:t xml:space="preserve"> </w:t>
      </w:r>
      <w:r w:rsidR="005D7D88" w:rsidRPr="007012BC">
        <w:rPr>
          <w:rFonts w:cs="Segoe UI"/>
          <w:szCs w:val="22"/>
          <w:lang w:val="cs-CZ" w:bidi="bo-CN"/>
        </w:rPr>
        <w:t>hodnotě</w:t>
      </w:r>
      <w:r w:rsidR="0019638B" w:rsidRPr="007012BC">
        <w:rPr>
          <w:rFonts w:cs="Segoe UI"/>
          <w:szCs w:val="22"/>
          <w:lang w:val="cs-CZ" w:bidi="bo-CN"/>
        </w:rPr>
        <w:t xml:space="preserve"> z</w:t>
      </w:r>
      <w:r w:rsidR="005D7D88">
        <w:rPr>
          <w:rFonts w:cs="Segoe UI"/>
          <w:szCs w:val="22"/>
          <w:lang w:val="cs-CZ" w:bidi="bo-CN"/>
        </w:rPr>
        <w:t> předcházejícího roku</w:t>
      </w:r>
      <w:r w:rsidR="0019638B" w:rsidRPr="007012BC">
        <w:rPr>
          <w:rFonts w:cs="Segoe UI"/>
          <w:szCs w:val="22"/>
          <w:lang w:val="cs-CZ" w:bidi="bo-CN"/>
        </w:rPr>
        <w:t xml:space="preserve"> (2019: 2 471 mil. eur).</w:t>
      </w:r>
    </w:p>
    <w:p w14:paraId="4DFE514D" w14:textId="77777777" w:rsidR="0019638B" w:rsidRPr="007012BC" w:rsidRDefault="0019638B" w:rsidP="0019638B">
      <w:pPr>
        <w:rPr>
          <w:rFonts w:cs="Segoe UI"/>
          <w:szCs w:val="22"/>
          <w:lang w:val="cs-CZ"/>
        </w:rPr>
      </w:pPr>
    </w:p>
    <w:p w14:paraId="3081DC21" w14:textId="768C4E62" w:rsidR="0019638B" w:rsidRPr="007012BC" w:rsidRDefault="0019638B" w:rsidP="0019638B">
      <w:pPr>
        <w:rPr>
          <w:rFonts w:cs="Segoe UI"/>
          <w:szCs w:val="22"/>
          <w:lang w:val="cs-CZ"/>
        </w:rPr>
      </w:pPr>
      <w:r w:rsidRPr="007012BC">
        <w:rPr>
          <w:rFonts w:cs="Segoe UI"/>
          <w:b/>
          <w:bCs/>
          <w:szCs w:val="22"/>
          <w:lang w:val="cs-CZ" w:bidi="bo-CN"/>
        </w:rPr>
        <w:t xml:space="preserve">Čistá </w:t>
      </w:r>
      <w:r w:rsidR="001441A1" w:rsidRPr="007012BC">
        <w:rPr>
          <w:rFonts w:cs="Segoe UI"/>
          <w:b/>
          <w:bCs/>
          <w:szCs w:val="22"/>
          <w:lang w:val="cs-CZ" w:bidi="bo-CN"/>
        </w:rPr>
        <w:t>finanční</w:t>
      </w:r>
      <w:r w:rsidRPr="007012BC">
        <w:rPr>
          <w:rFonts w:cs="Segoe UI"/>
          <w:b/>
          <w:bCs/>
          <w:szCs w:val="22"/>
          <w:lang w:val="cs-CZ" w:bidi="bo-CN"/>
        </w:rPr>
        <w:t xml:space="preserve"> </w:t>
      </w:r>
      <w:r w:rsidR="001441A1" w:rsidRPr="007012BC">
        <w:rPr>
          <w:rFonts w:cs="Segoe UI"/>
          <w:b/>
          <w:bCs/>
          <w:szCs w:val="22"/>
          <w:lang w:val="cs-CZ" w:bidi="bo-CN"/>
        </w:rPr>
        <w:t>pozice</w:t>
      </w:r>
      <w:r w:rsidRPr="007012BC">
        <w:rPr>
          <w:rFonts w:cs="Segoe UI"/>
          <w:szCs w:val="22"/>
          <w:lang w:val="cs-CZ" w:bidi="bo-CN"/>
        </w:rPr>
        <w:t xml:space="preserve"> </w:t>
      </w:r>
      <w:r w:rsidR="001441A1" w:rsidRPr="007012BC">
        <w:rPr>
          <w:rFonts w:cs="Segoe UI"/>
          <w:szCs w:val="22"/>
          <w:lang w:val="cs-CZ" w:bidi="bo-CN"/>
        </w:rPr>
        <w:t>společnosti</w:t>
      </w:r>
      <w:r w:rsidRPr="007012BC">
        <w:rPr>
          <w:rFonts w:cs="Segoe UI"/>
          <w:szCs w:val="22"/>
          <w:lang w:val="cs-CZ" w:bidi="bo-CN"/>
        </w:rPr>
        <w:t xml:space="preserve"> Henkel </w:t>
      </w:r>
      <w:r w:rsidR="001441A1" w:rsidRPr="007012BC">
        <w:rPr>
          <w:rFonts w:cs="Segoe UI"/>
          <w:szCs w:val="22"/>
          <w:lang w:val="cs-CZ" w:bidi="bo-CN"/>
        </w:rPr>
        <w:t>se</w:t>
      </w:r>
      <w:r w:rsidRPr="007012BC">
        <w:rPr>
          <w:rFonts w:cs="Segoe UI"/>
          <w:szCs w:val="22"/>
          <w:lang w:val="cs-CZ" w:bidi="bo-CN"/>
        </w:rPr>
        <w:t xml:space="preserve"> </w:t>
      </w:r>
      <w:r w:rsidR="001441A1" w:rsidRPr="007012BC">
        <w:rPr>
          <w:rFonts w:cs="Segoe UI"/>
          <w:szCs w:val="22"/>
          <w:lang w:val="cs-CZ" w:bidi="bo-CN"/>
        </w:rPr>
        <w:t>výrazně</w:t>
      </w:r>
      <w:r w:rsidRPr="007012BC">
        <w:rPr>
          <w:rFonts w:cs="Segoe UI"/>
          <w:szCs w:val="22"/>
          <w:lang w:val="cs-CZ" w:bidi="bo-CN"/>
        </w:rPr>
        <w:t xml:space="preserve"> zlepšila a k 31.</w:t>
      </w:r>
      <w:r w:rsidR="001441A1">
        <w:rPr>
          <w:rFonts w:cs="Segoe UI"/>
          <w:szCs w:val="22"/>
          <w:lang w:val="cs-CZ" w:bidi="bo-CN"/>
        </w:rPr>
        <w:t>prosinci</w:t>
      </w:r>
      <w:r w:rsidRPr="007012BC">
        <w:rPr>
          <w:rFonts w:cs="Segoe UI"/>
          <w:szCs w:val="22"/>
          <w:lang w:val="cs-CZ" w:bidi="bo-CN"/>
        </w:rPr>
        <w:t xml:space="preserve"> 2020 </w:t>
      </w:r>
      <w:r w:rsidR="001441A1" w:rsidRPr="007012BC">
        <w:rPr>
          <w:rFonts w:cs="Segoe UI"/>
          <w:szCs w:val="22"/>
          <w:lang w:val="cs-CZ" w:bidi="bo-CN"/>
        </w:rPr>
        <w:t>představovala</w:t>
      </w:r>
      <w:r w:rsidRPr="007012BC">
        <w:rPr>
          <w:rFonts w:cs="Segoe UI"/>
          <w:szCs w:val="22"/>
          <w:lang w:val="cs-CZ" w:bidi="bo-CN"/>
        </w:rPr>
        <w:t xml:space="preserve"> -888 mil. eur (k 31. </w:t>
      </w:r>
      <w:r w:rsidR="001441A1">
        <w:rPr>
          <w:rFonts w:cs="Segoe UI"/>
          <w:szCs w:val="22"/>
          <w:lang w:val="cs-CZ" w:bidi="bo-CN"/>
        </w:rPr>
        <w:t xml:space="preserve">prosinci </w:t>
      </w:r>
      <w:r w:rsidRPr="007012BC">
        <w:rPr>
          <w:rFonts w:cs="Segoe UI"/>
          <w:szCs w:val="22"/>
          <w:lang w:val="cs-CZ" w:bidi="bo-CN"/>
        </w:rPr>
        <w:t xml:space="preserve">2019: </w:t>
      </w:r>
      <w:r w:rsidR="001441A1">
        <w:rPr>
          <w:rFonts w:cs="Segoe UI"/>
          <w:szCs w:val="22"/>
          <w:lang w:val="cs-CZ" w:bidi="bo-CN"/>
        </w:rPr>
        <w:t xml:space="preserve"> </w:t>
      </w:r>
      <w:r w:rsidRPr="007012BC">
        <w:rPr>
          <w:rFonts w:cs="Segoe UI"/>
          <w:szCs w:val="22"/>
          <w:lang w:val="cs-CZ" w:bidi="bo-CN"/>
        </w:rPr>
        <w:t>-2 047 mil. eur).</w:t>
      </w:r>
    </w:p>
    <w:p w14:paraId="00E699B6" w14:textId="08DE2E88" w:rsidR="0019638B" w:rsidRDefault="0019638B" w:rsidP="0019638B">
      <w:pPr>
        <w:rPr>
          <w:rFonts w:cs="Segoe UI"/>
          <w:szCs w:val="22"/>
          <w:lang w:val="cs-CZ"/>
        </w:rPr>
      </w:pPr>
    </w:p>
    <w:p w14:paraId="30C3181C" w14:textId="0CC60A4B" w:rsidR="00FA307B" w:rsidRPr="00FA307B" w:rsidRDefault="00FA307B" w:rsidP="00FA307B">
      <w:pPr>
        <w:rPr>
          <w:rFonts w:cs="Segoe UI"/>
          <w:szCs w:val="22"/>
          <w:lang w:val="cs-CZ" w:bidi="bo-CN"/>
        </w:rPr>
      </w:pPr>
      <w:r w:rsidRPr="00FA307B">
        <w:rPr>
          <w:rFonts w:cs="Segoe UI"/>
          <w:szCs w:val="22"/>
          <w:lang w:val="cs-CZ" w:bidi="bo-CN"/>
        </w:rPr>
        <w:t>Představenstvo, dozorčí rada a výbor akcionářů navrhnou na výroční valné hromadě 16. dubna 2021 stejnou</w:t>
      </w:r>
      <w:r>
        <w:rPr>
          <w:rFonts w:cs="Segoe UI"/>
          <w:szCs w:val="22"/>
          <w:lang w:val="cs-CZ" w:bidi="bo-CN"/>
        </w:rPr>
        <w:t xml:space="preserve"> výši</w:t>
      </w:r>
      <w:r w:rsidRPr="00FA307B">
        <w:rPr>
          <w:rFonts w:cs="Segoe UI"/>
          <w:szCs w:val="22"/>
          <w:lang w:val="cs-CZ" w:bidi="bo-CN"/>
        </w:rPr>
        <w:t xml:space="preserve"> </w:t>
      </w:r>
      <w:r w:rsidRPr="00FA307B">
        <w:rPr>
          <w:rFonts w:cs="Segoe UI"/>
          <w:b/>
          <w:bCs/>
          <w:szCs w:val="22"/>
          <w:lang w:val="cs-CZ" w:bidi="bo-CN"/>
        </w:rPr>
        <w:t>dividend</w:t>
      </w:r>
      <w:r>
        <w:rPr>
          <w:rFonts w:cs="Segoe UI"/>
          <w:b/>
          <w:bCs/>
          <w:szCs w:val="22"/>
          <w:lang w:val="cs-CZ" w:bidi="bo-CN"/>
        </w:rPr>
        <w:t>y</w:t>
      </w:r>
      <w:r w:rsidRPr="00FA307B">
        <w:rPr>
          <w:rFonts w:cs="Segoe UI"/>
          <w:szCs w:val="22"/>
          <w:lang w:val="cs-CZ" w:bidi="bo-CN"/>
        </w:rPr>
        <w:t xml:space="preserve"> jako v předchozím roce, a to 1,85 eur za prioritní akcii a 1,83 eur </w:t>
      </w:r>
      <w:r w:rsidRPr="00F657CA">
        <w:rPr>
          <w:rFonts w:cs="Segoe UI"/>
          <w:szCs w:val="22"/>
          <w:lang w:val="cs-CZ" w:bidi="bo-CN"/>
        </w:rPr>
        <w:t xml:space="preserve">za kmenovou akcii. </w:t>
      </w:r>
      <w:r w:rsidR="00637A0D" w:rsidRPr="00F657CA">
        <w:rPr>
          <w:rFonts w:cs="Segoe UI"/>
          <w:szCs w:val="22"/>
          <w:lang w:val="cs-CZ" w:bidi="bo-CN"/>
        </w:rPr>
        <w:t>Podíl vyplacených dividend představuje</w:t>
      </w:r>
      <w:r w:rsidRPr="00F657CA">
        <w:rPr>
          <w:rFonts w:cs="Segoe UI"/>
          <w:szCs w:val="22"/>
          <w:lang w:val="cs-CZ" w:bidi="bo-CN"/>
        </w:rPr>
        <w:t xml:space="preserve"> 43,7</w:t>
      </w:r>
      <w:r w:rsidR="00637A0D" w:rsidRPr="00F657CA">
        <w:rPr>
          <w:rFonts w:cs="Segoe UI"/>
          <w:szCs w:val="22"/>
          <w:lang w:val="cs-CZ" w:bidi="bo-CN"/>
        </w:rPr>
        <w:t xml:space="preserve"> %</w:t>
      </w:r>
      <w:r w:rsidR="00A61983" w:rsidRPr="00F657CA">
        <w:rPr>
          <w:rFonts w:cs="Segoe UI"/>
          <w:szCs w:val="22"/>
          <w:lang w:val="cs-CZ" w:bidi="bo-CN"/>
        </w:rPr>
        <w:t xml:space="preserve"> a </w:t>
      </w:r>
      <w:r w:rsidR="00DB6725" w:rsidRPr="00F657CA">
        <w:rPr>
          <w:rFonts w:cs="Segoe UI"/>
          <w:szCs w:val="22"/>
          <w:lang w:val="cs-CZ" w:bidi="bo-CN"/>
        </w:rPr>
        <w:t>převyšuje</w:t>
      </w:r>
      <w:r w:rsidRPr="00F657CA">
        <w:rPr>
          <w:rFonts w:cs="Segoe UI"/>
          <w:szCs w:val="22"/>
          <w:lang w:val="cs-CZ" w:bidi="bo-CN"/>
        </w:rPr>
        <w:t xml:space="preserve"> </w:t>
      </w:r>
      <w:r w:rsidR="00A61983" w:rsidRPr="00F657CA">
        <w:rPr>
          <w:rFonts w:cs="Segoe UI"/>
          <w:szCs w:val="22"/>
          <w:lang w:val="cs-CZ" w:bidi="bo-CN"/>
        </w:rPr>
        <w:t>tak</w:t>
      </w:r>
      <w:r w:rsidRPr="00F657CA">
        <w:rPr>
          <w:rFonts w:cs="Segoe UI"/>
          <w:szCs w:val="22"/>
          <w:lang w:val="cs-CZ" w:bidi="bo-CN"/>
        </w:rPr>
        <w:t xml:space="preserve"> cílový rozsah 30 až 40 </w:t>
      </w:r>
      <w:r w:rsidR="00DB6725" w:rsidRPr="00F657CA">
        <w:rPr>
          <w:rFonts w:cs="Segoe UI"/>
          <w:szCs w:val="22"/>
          <w:lang w:val="cs-CZ" w:bidi="bo-CN"/>
        </w:rPr>
        <w:t>%</w:t>
      </w:r>
      <w:r w:rsidR="00A61983" w:rsidRPr="00F657CA">
        <w:rPr>
          <w:rFonts w:cs="Segoe UI"/>
          <w:szCs w:val="22"/>
          <w:lang w:val="cs-CZ" w:bidi="bo-CN"/>
        </w:rPr>
        <w:t>, přičemž</w:t>
      </w:r>
      <w:r w:rsidR="00DB6725" w:rsidRPr="00F657CA">
        <w:rPr>
          <w:rFonts w:cs="Segoe UI"/>
          <w:szCs w:val="22"/>
          <w:lang w:val="cs-CZ" w:bidi="bo-CN"/>
        </w:rPr>
        <w:t xml:space="preserve"> </w:t>
      </w:r>
      <w:r w:rsidRPr="00F657CA">
        <w:rPr>
          <w:rFonts w:cs="Segoe UI"/>
          <w:szCs w:val="22"/>
          <w:lang w:val="cs-CZ" w:bidi="bo-CN"/>
        </w:rPr>
        <w:t>odráží zvláštní povahu zátěže vý</w:t>
      </w:r>
      <w:r w:rsidR="003F0ADF" w:rsidRPr="00F657CA">
        <w:rPr>
          <w:rFonts w:cs="Segoe UI"/>
          <w:szCs w:val="22"/>
          <w:lang w:val="cs-CZ" w:bidi="bo-CN"/>
        </w:rPr>
        <w:t>nosů</w:t>
      </w:r>
      <w:r w:rsidRPr="00F657CA">
        <w:rPr>
          <w:rFonts w:cs="Segoe UI"/>
          <w:szCs w:val="22"/>
          <w:lang w:val="cs-CZ" w:bidi="bo-CN"/>
        </w:rPr>
        <w:t xml:space="preserve"> způsobené pandemií COVID-19.</w:t>
      </w:r>
      <w:r w:rsidRPr="00FA307B">
        <w:rPr>
          <w:rFonts w:cs="Segoe UI"/>
          <w:szCs w:val="22"/>
          <w:lang w:val="cs-CZ" w:bidi="bo-CN"/>
        </w:rPr>
        <w:t xml:space="preserve"> </w:t>
      </w:r>
      <w:r w:rsidR="00CC7F51">
        <w:rPr>
          <w:rFonts w:cs="Segoe UI"/>
          <w:szCs w:val="22"/>
          <w:lang w:val="cs-CZ" w:bidi="bo-CN"/>
        </w:rPr>
        <w:t xml:space="preserve">Výplata dividend </w:t>
      </w:r>
      <w:r w:rsidRPr="00FA307B">
        <w:rPr>
          <w:rFonts w:cs="Segoe UI"/>
          <w:szCs w:val="22"/>
          <w:lang w:val="cs-CZ" w:bidi="bo-CN"/>
        </w:rPr>
        <w:t>je možná v neposlední řadě díky silné finanční základně a nízkému čistému finančnímu dluhu skupiny Henkel. Do budoucna se dividendová politika společnosti Henkel nezmění.</w:t>
      </w:r>
    </w:p>
    <w:p w14:paraId="4EABCB1B" w14:textId="2F9BB163" w:rsidR="00FA307B" w:rsidRDefault="00FA307B" w:rsidP="0019638B">
      <w:pPr>
        <w:rPr>
          <w:rFonts w:cs="Segoe UI"/>
          <w:szCs w:val="22"/>
          <w:lang w:val="cs-CZ"/>
        </w:rPr>
      </w:pPr>
    </w:p>
    <w:p w14:paraId="02F0EFFF" w14:textId="77777777" w:rsidR="00FA307B" w:rsidRPr="007012BC" w:rsidRDefault="00FA307B" w:rsidP="0019638B">
      <w:pPr>
        <w:rPr>
          <w:rFonts w:cs="Segoe UI"/>
          <w:szCs w:val="22"/>
          <w:lang w:val="cs-CZ"/>
        </w:rPr>
      </w:pPr>
    </w:p>
    <w:p w14:paraId="014C1E49" w14:textId="77777777" w:rsidR="0019638B" w:rsidRPr="007012BC" w:rsidRDefault="0019638B" w:rsidP="0019638B">
      <w:pPr>
        <w:spacing w:after="120"/>
        <w:rPr>
          <w:rFonts w:cs="Segoe UI"/>
          <w:b/>
          <w:bCs/>
          <w:szCs w:val="22"/>
          <w:lang w:val="cs-CZ" w:eastAsia="de-DE"/>
        </w:rPr>
      </w:pPr>
    </w:p>
    <w:p w14:paraId="60328CBA" w14:textId="31DAEA0D" w:rsidR="0019638B" w:rsidRPr="007012BC" w:rsidRDefault="0019638B" w:rsidP="0019638B">
      <w:pPr>
        <w:pageBreakBefore/>
        <w:spacing w:after="120"/>
        <w:rPr>
          <w:rFonts w:cs="Segoe UI"/>
          <w:b/>
          <w:bCs/>
          <w:szCs w:val="22"/>
          <w:lang w:val="cs-CZ" w:eastAsia="de-DE"/>
        </w:rPr>
      </w:pPr>
      <w:r w:rsidRPr="007012BC">
        <w:rPr>
          <w:rFonts w:cs="Segoe UI"/>
          <w:b/>
          <w:bCs/>
          <w:szCs w:val="22"/>
          <w:lang w:val="cs-CZ" w:eastAsia="de-DE" w:bidi="bo-CN"/>
        </w:rPr>
        <w:lastRenderedPageBreak/>
        <w:t>Výsledky obchodn</w:t>
      </w:r>
      <w:r w:rsidR="005A366C">
        <w:rPr>
          <w:rFonts w:cs="Segoe UI"/>
          <w:b/>
          <w:bCs/>
          <w:szCs w:val="22"/>
          <w:lang w:val="cs-CZ" w:eastAsia="de-DE" w:bidi="bo-CN"/>
        </w:rPr>
        <w:t>ích divizí za fiskální rok</w:t>
      </w:r>
      <w:r w:rsidRPr="007012BC">
        <w:rPr>
          <w:rFonts w:cs="Segoe UI"/>
          <w:b/>
          <w:bCs/>
          <w:szCs w:val="22"/>
          <w:lang w:val="cs-CZ" w:eastAsia="de-DE" w:bidi="bo-CN"/>
        </w:rPr>
        <w:t xml:space="preserve"> 2020</w:t>
      </w:r>
    </w:p>
    <w:p w14:paraId="3545D722" w14:textId="4D743B1D" w:rsidR="0009276A" w:rsidRPr="0009276A" w:rsidRDefault="006B5DAE" w:rsidP="0009276A">
      <w:pPr>
        <w:rPr>
          <w:rFonts w:cs="Segoe UI"/>
          <w:szCs w:val="22"/>
          <w:lang w:val="cs-CZ" w:bidi="bo-CN"/>
        </w:rPr>
      </w:pPr>
      <w:r>
        <w:rPr>
          <w:rFonts w:cs="Segoe UI"/>
          <w:b/>
          <w:bCs/>
          <w:szCs w:val="22"/>
          <w:lang w:val="cs-CZ" w:bidi="bo-CN"/>
        </w:rPr>
        <w:t>Tržby</w:t>
      </w:r>
      <w:r w:rsidR="0019638B" w:rsidRPr="007012BC">
        <w:rPr>
          <w:rFonts w:cs="Segoe UI"/>
          <w:b/>
          <w:bCs/>
          <w:szCs w:val="22"/>
          <w:lang w:val="cs-CZ" w:bidi="bo-CN"/>
        </w:rPr>
        <w:t xml:space="preserve"> </w:t>
      </w:r>
      <w:r w:rsidR="005A366C" w:rsidRPr="007012BC">
        <w:rPr>
          <w:rFonts w:cs="Segoe UI"/>
          <w:szCs w:val="22"/>
          <w:lang w:val="cs-CZ" w:bidi="bo-CN"/>
        </w:rPr>
        <w:t>diviz</w:t>
      </w:r>
      <w:r w:rsidR="005A366C">
        <w:rPr>
          <w:rFonts w:cs="Segoe UI"/>
          <w:szCs w:val="22"/>
          <w:lang w:val="cs-CZ" w:bidi="bo-CN"/>
        </w:rPr>
        <w:t>e</w:t>
      </w:r>
      <w:r w:rsidR="0019638B" w:rsidRPr="007012BC">
        <w:rPr>
          <w:rFonts w:cs="Segoe UI"/>
          <w:szCs w:val="22"/>
          <w:lang w:val="cs-CZ" w:bidi="bo-CN"/>
        </w:rPr>
        <w:t xml:space="preserve"> </w:t>
      </w:r>
      <w:r w:rsidR="0019638B" w:rsidRPr="007012BC">
        <w:rPr>
          <w:rFonts w:cs="Segoe UI"/>
          <w:b/>
          <w:bCs/>
          <w:szCs w:val="22"/>
          <w:lang w:val="cs-CZ" w:bidi="bo-CN"/>
        </w:rPr>
        <w:t xml:space="preserve">Adhesive Technologies </w:t>
      </w:r>
      <w:r w:rsidRPr="006B5DAE">
        <w:rPr>
          <w:rFonts w:cs="Segoe UI"/>
          <w:szCs w:val="22"/>
          <w:lang w:val="cs-CZ" w:bidi="bo-CN"/>
        </w:rPr>
        <w:t>ve fiskálním roce</w:t>
      </w:r>
      <w:r w:rsidR="0009276A" w:rsidRPr="0009276A">
        <w:rPr>
          <w:rFonts w:cs="Segoe UI"/>
          <w:szCs w:val="22"/>
          <w:lang w:val="cs-CZ" w:bidi="bo-CN"/>
        </w:rPr>
        <w:t xml:space="preserve"> 2020 byly nominálně </w:t>
      </w:r>
      <w:r>
        <w:rPr>
          <w:rFonts w:cs="Segoe UI"/>
          <w:szCs w:val="22"/>
          <w:lang w:val="cs-CZ" w:bidi="bo-CN"/>
        </w:rPr>
        <w:t xml:space="preserve">o </w:t>
      </w:r>
      <w:r w:rsidR="0009276A" w:rsidRPr="0009276A">
        <w:rPr>
          <w:rFonts w:cs="Segoe UI"/>
          <w:szCs w:val="22"/>
          <w:lang w:val="cs-CZ" w:bidi="bo-CN"/>
        </w:rPr>
        <w:t>8,2</w:t>
      </w:r>
      <w:r>
        <w:rPr>
          <w:rFonts w:cs="Segoe UI"/>
          <w:szCs w:val="22"/>
          <w:lang w:val="cs-CZ" w:bidi="bo-CN"/>
        </w:rPr>
        <w:t xml:space="preserve"> % nižší</w:t>
      </w:r>
      <w:r w:rsidR="00F077B3">
        <w:rPr>
          <w:rFonts w:cs="Segoe UI"/>
          <w:szCs w:val="22"/>
          <w:lang w:val="cs-CZ" w:bidi="bo-CN"/>
        </w:rPr>
        <w:t xml:space="preserve"> v porovnání s předcházejícím rokem</w:t>
      </w:r>
      <w:r w:rsidR="0009276A" w:rsidRPr="0009276A">
        <w:rPr>
          <w:rFonts w:cs="Segoe UI"/>
          <w:szCs w:val="22"/>
          <w:lang w:val="cs-CZ" w:bidi="bo-CN"/>
        </w:rPr>
        <w:t xml:space="preserve"> a dosáhly 8 684 milionů eur. </w:t>
      </w:r>
      <w:r w:rsidR="0009276A" w:rsidRPr="00F077B3">
        <w:rPr>
          <w:rFonts w:cs="Segoe UI"/>
          <w:b/>
          <w:bCs/>
          <w:szCs w:val="22"/>
          <w:lang w:val="cs-CZ" w:bidi="bo-CN"/>
        </w:rPr>
        <w:t xml:space="preserve">Organicky </w:t>
      </w:r>
      <w:r w:rsidR="00F077B3">
        <w:rPr>
          <w:rFonts w:cs="Segoe UI"/>
          <w:szCs w:val="22"/>
          <w:lang w:val="cs-CZ" w:bidi="bo-CN"/>
        </w:rPr>
        <w:t xml:space="preserve">tržby klesly o </w:t>
      </w:r>
      <w:r w:rsidR="0009276A" w:rsidRPr="0009276A">
        <w:rPr>
          <w:rFonts w:cs="Segoe UI"/>
          <w:szCs w:val="22"/>
          <w:lang w:val="cs-CZ" w:bidi="bo-CN"/>
        </w:rPr>
        <w:t xml:space="preserve">4,2 </w:t>
      </w:r>
      <w:r w:rsidR="00F077B3">
        <w:rPr>
          <w:rFonts w:cs="Segoe UI"/>
          <w:szCs w:val="22"/>
          <w:lang w:val="cs-CZ" w:bidi="bo-CN"/>
        </w:rPr>
        <w:t>%</w:t>
      </w:r>
      <w:r w:rsidR="0009276A" w:rsidRPr="0009276A">
        <w:rPr>
          <w:rFonts w:cs="Segoe UI"/>
          <w:szCs w:val="22"/>
          <w:lang w:val="cs-CZ" w:bidi="bo-CN"/>
        </w:rPr>
        <w:t>. Zejména první polovina roku byl</w:t>
      </w:r>
      <w:r w:rsidR="005D26ED">
        <w:rPr>
          <w:rFonts w:cs="Segoe UI"/>
          <w:szCs w:val="22"/>
          <w:lang w:val="cs-CZ" w:bidi="bo-CN"/>
        </w:rPr>
        <w:t>y</w:t>
      </w:r>
      <w:r w:rsidR="0009276A" w:rsidRPr="0009276A">
        <w:rPr>
          <w:rFonts w:cs="Segoe UI"/>
          <w:szCs w:val="22"/>
          <w:lang w:val="cs-CZ" w:bidi="bo-CN"/>
        </w:rPr>
        <w:t xml:space="preserve"> silně ovlivněn</w:t>
      </w:r>
      <w:r w:rsidR="005D26ED">
        <w:rPr>
          <w:rFonts w:cs="Segoe UI"/>
          <w:szCs w:val="22"/>
          <w:lang w:val="cs-CZ" w:bidi="bo-CN"/>
        </w:rPr>
        <w:t xml:space="preserve">y </w:t>
      </w:r>
      <w:r w:rsidR="0009276A" w:rsidRPr="0009276A">
        <w:rPr>
          <w:rFonts w:cs="Segoe UI"/>
          <w:szCs w:val="22"/>
          <w:lang w:val="cs-CZ" w:bidi="bo-CN"/>
        </w:rPr>
        <w:t xml:space="preserve">pandemií COVID-19. Ve druhé polovině roku však došlo k oživení poptávky ve všech obchodních segmentech a regionech. </w:t>
      </w:r>
      <w:r w:rsidR="0009276A" w:rsidRPr="0076010E">
        <w:rPr>
          <w:rFonts w:cs="Segoe UI"/>
          <w:b/>
          <w:bCs/>
          <w:szCs w:val="22"/>
          <w:lang w:val="cs-CZ" w:bidi="bo-CN"/>
        </w:rPr>
        <w:t>Upravený provozní zisk</w:t>
      </w:r>
      <w:r w:rsidR="0009276A" w:rsidRPr="0009276A">
        <w:rPr>
          <w:rFonts w:cs="Segoe UI"/>
          <w:szCs w:val="22"/>
          <w:lang w:val="cs-CZ" w:bidi="bo-CN"/>
        </w:rPr>
        <w:t xml:space="preserve"> dosáhl 1 320 mil</w:t>
      </w:r>
      <w:r w:rsidR="008350D9">
        <w:rPr>
          <w:rFonts w:cs="Segoe UI"/>
          <w:szCs w:val="22"/>
          <w:lang w:val="cs-CZ" w:bidi="bo-CN"/>
        </w:rPr>
        <w:t>. eur</w:t>
      </w:r>
      <w:r w:rsidR="0009276A" w:rsidRPr="0009276A">
        <w:rPr>
          <w:rFonts w:cs="Segoe UI"/>
          <w:szCs w:val="22"/>
          <w:lang w:val="cs-CZ" w:bidi="bo-CN"/>
        </w:rPr>
        <w:t xml:space="preserve"> (předchozí rok: 1 712 mil</w:t>
      </w:r>
      <w:r w:rsidR="008350D9">
        <w:rPr>
          <w:rFonts w:cs="Segoe UI"/>
          <w:szCs w:val="22"/>
          <w:lang w:val="cs-CZ" w:bidi="bo-CN"/>
        </w:rPr>
        <w:t>. eur</w:t>
      </w:r>
      <w:r w:rsidR="0009276A" w:rsidRPr="0009276A">
        <w:rPr>
          <w:rFonts w:cs="Segoe UI"/>
          <w:szCs w:val="22"/>
          <w:lang w:val="cs-CZ" w:bidi="bo-CN"/>
        </w:rPr>
        <w:t xml:space="preserve">). </w:t>
      </w:r>
      <w:r w:rsidR="0009276A" w:rsidRPr="0076010E">
        <w:rPr>
          <w:rFonts w:cs="Segoe UI"/>
          <w:b/>
          <w:bCs/>
          <w:szCs w:val="22"/>
          <w:lang w:val="cs-CZ" w:bidi="bo-CN"/>
        </w:rPr>
        <w:t>Upravená návratnost tržeb</w:t>
      </w:r>
      <w:r w:rsidR="0009276A" w:rsidRPr="0009276A">
        <w:rPr>
          <w:rFonts w:cs="Segoe UI"/>
          <w:szCs w:val="22"/>
          <w:lang w:val="cs-CZ" w:bidi="bo-CN"/>
        </w:rPr>
        <w:t xml:space="preserve"> byla na úrovni 15,2</w:t>
      </w:r>
      <w:r w:rsidR="009B5909">
        <w:rPr>
          <w:rFonts w:cs="Segoe UI"/>
          <w:szCs w:val="22"/>
          <w:lang w:val="cs-CZ" w:bidi="bo-CN"/>
        </w:rPr>
        <w:t xml:space="preserve"> %, což je </w:t>
      </w:r>
      <w:r w:rsidR="0009276A" w:rsidRPr="0009276A">
        <w:rPr>
          <w:rFonts w:cs="Segoe UI"/>
          <w:szCs w:val="22"/>
          <w:lang w:val="cs-CZ" w:bidi="bo-CN"/>
        </w:rPr>
        <w:t>pod úrovní roku 2019. Pokles marže byl způsoben zejména výrazně nižším objemem prodeje v důsledku pandemie</w:t>
      </w:r>
    </w:p>
    <w:p w14:paraId="0CA3E7F2" w14:textId="77777777" w:rsidR="005A366C" w:rsidRDefault="005A366C" w:rsidP="0019638B">
      <w:pPr>
        <w:rPr>
          <w:rFonts w:cs="Segoe UI"/>
          <w:szCs w:val="22"/>
          <w:lang w:val="cs-CZ" w:bidi="bo-CN"/>
        </w:rPr>
      </w:pPr>
    </w:p>
    <w:p w14:paraId="78D43F44" w14:textId="6303BC17" w:rsidR="00324575" w:rsidRPr="00324575" w:rsidRDefault="0019638B" w:rsidP="00324575">
      <w:pPr>
        <w:rPr>
          <w:rFonts w:cs="Segoe UI"/>
          <w:szCs w:val="22"/>
          <w:lang w:val="cs-CZ" w:bidi="bo-CN"/>
        </w:rPr>
      </w:pPr>
      <w:r w:rsidRPr="007012BC">
        <w:rPr>
          <w:rFonts w:cs="Segoe UI"/>
          <w:b/>
          <w:bCs/>
          <w:szCs w:val="22"/>
          <w:lang w:val="cs-CZ" w:bidi="bo-CN"/>
        </w:rPr>
        <w:t>Organický</w:t>
      </w:r>
      <w:r w:rsidRPr="007012BC">
        <w:rPr>
          <w:rFonts w:cs="Segoe UI"/>
          <w:szCs w:val="22"/>
          <w:lang w:val="cs-CZ" w:bidi="bo-CN"/>
        </w:rPr>
        <w:t xml:space="preserve"> vývoj </w:t>
      </w:r>
      <w:r w:rsidR="005B66BB">
        <w:rPr>
          <w:rFonts w:cs="Segoe UI"/>
          <w:b/>
          <w:bCs/>
          <w:szCs w:val="22"/>
          <w:lang w:val="cs-CZ" w:bidi="bo-CN"/>
        </w:rPr>
        <w:t>tržeb</w:t>
      </w:r>
      <w:r w:rsidRPr="007012BC">
        <w:rPr>
          <w:rFonts w:cs="Segoe UI"/>
          <w:szCs w:val="22"/>
          <w:lang w:val="cs-CZ" w:bidi="bo-CN"/>
        </w:rPr>
        <w:t xml:space="preserve"> </w:t>
      </w:r>
      <w:r w:rsidR="005B66BB" w:rsidRPr="007012BC">
        <w:rPr>
          <w:rFonts w:cs="Segoe UI"/>
          <w:szCs w:val="22"/>
          <w:lang w:val="cs-CZ" w:bidi="bo-CN"/>
        </w:rPr>
        <w:t>divize</w:t>
      </w:r>
      <w:r w:rsidRPr="007012BC">
        <w:rPr>
          <w:rFonts w:cs="Segoe UI"/>
          <w:szCs w:val="22"/>
          <w:lang w:val="cs-CZ" w:bidi="bo-CN"/>
        </w:rPr>
        <w:t xml:space="preserve"> </w:t>
      </w:r>
      <w:r w:rsidRPr="007012BC">
        <w:rPr>
          <w:rFonts w:cs="Segoe UI"/>
          <w:b/>
          <w:bCs/>
          <w:szCs w:val="22"/>
          <w:lang w:val="cs-CZ" w:bidi="bo-CN"/>
        </w:rPr>
        <w:t>Beauty Care</w:t>
      </w:r>
      <w:r w:rsidRPr="007012BC">
        <w:rPr>
          <w:rFonts w:cs="Segoe UI"/>
          <w:szCs w:val="22"/>
          <w:lang w:val="cs-CZ" w:bidi="bo-CN"/>
        </w:rPr>
        <w:t xml:space="preserve"> </w:t>
      </w:r>
      <w:r w:rsidR="005B66BB">
        <w:rPr>
          <w:rFonts w:cs="Segoe UI"/>
          <w:szCs w:val="22"/>
          <w:lang w:val="cs-CZ" w:bidi="bo-CN"/>
        </w:rPr>
        <w:t>ve fiskálním ro</w:t>
      </w:r>
      <w:r w:rsidR="008350D9">
        <w:rPr>
          <w:rFonts w:cs="Segoe UI"/>
          <w:szCs w:val="22"/>
          <w:lang w:val="cs-CZ" w:bidi="bo-CN"/>
        </w:rPr>
        <w:t>ce</w:t>
      </w:r>
      <w:r w:rsidR="005B66BB">
        <w:rPr>
          <w:rFonts w:cs="Segoe UI"/>
          <w:szCs w:val="22"/>
          <w:lang w:val="cs-CZ" w:bidi="bo-CN"/>
        </w:rPr>
        <w:t xml:space="preserve"> 2</w:t>
      </w:r>
      <w:r w:rsidRPr="007012BC">
        <w:rPr>
          <w:rFonts w:cs="Segoe UI"/>
          <w:szCs w:val="22"/>
          <w:lang w:val="cs-CZ" w:bidi="bo-CN"/>
        </w:rPr>
        <w:t xml:space="preserve">020 </w:t>
      </w:r>
      <w:r w:rsidR="005B66BB" w:rsidRPr="007012BC">
        <w:rPr>
          <w:rFonts w:cs="Segoe UI"/>
          <w:szCs w:val="22"/>
          <w:lang w:val="cs-CZ" w:bidi="bo-CN"/>
        </w:rPr>
        <w:t>představoval</w:t>
      </w:r>
      <w:r w:rsidRPr="007012BC">
        <w:rPr>
          <w:rFonts w:cs="Segoe UI"/>
          <w:szCs w:val="22"/>
          <w:lang w:val="cs-CZ" w:bidi="bo-CN"/>
        </w:rPr>
        <w:t xml:space="preserve"> -2,8 %.</w:t>
      </w:r>
      <w:r w:rsidRPr="007012BC">
        <w:rPr>
          <w:rFonts w:cs="Segoe UI"/>
          <w:szCs w:val="22"/>
          <w:lang w:val="cs-CZ"/>
        </w:rPr>
        <w:t xml:space="preserve"> </w:t>
      </w:r>
      <w:r w:rsidR="00324575" w:rsidRPr="00324575">
        <w:rPr>
          <w:rFonts w:cs="Segoe UI"/>
          <w:szCs w:val="22"/>
          <w:lang w:val="cs-CZ" w:bidi="bo-CN"/>
        </w:rPr>
        <w:t xml:space="preserve">Nominálně </w:t>
      </w:r>
      <w:r w:rsidR="00324575">
        <w:rPr>
          <w:rFonts w:cs="Segoe UI"/>
          <w:szCs w:val="22"/>
          <w:lang w:val="cs-CZ" w:bidi="bo-CN"/>
        </w:rPr>
        <w:t>se</w:t>
      </w:r>
      <w:r w:rsidR="00324575" w:rsidRPr="00324575">
        <w:rPr>
          <w:rFonts w:cs="Segoe UI"/>
          <w:szCs w:val="22"/>
          <w:lang w:val="cs-CZ" w:bidi="bo-CN"/>
        </w:rPr>
        <w:t xml:space="preserve"> tržby</w:t>
      </w:r>
      <w:r w:rsidR="00D93E1D">
        <w:rPr>
          <w:rFonts w:cs="Segoe UI"/>
          <w:szCs w:val="22"/>
          <w:lang w:val="cs-CZ" w:bidi="bo-CN"/>
        </w:rPr>
        <w:t xml:space="preserve"> meziročně snížily o </w:t>
      </w:r>
      <w:r w:rsidR="00324575" w:rsidRPr="00324575">
        <w:rPr>
          <w:rFonts w:cs="Segoe UI"/>
          <w:szCs w:val="22"/>
          <w:lang w:val="cs-CZ" w:bidi="bo-CN"/>
        </w:rPr>
        <w:t xml:space="preserve">3,2 </w:t>
      </w:r>
      <w:r w:rsidR="00D93E1D">
        <w:rPr>
          <w:rFonts w:cs="Segoe UI"/>
          <w:szCs w:val="22"/>
          <w:lang w:val="cs-CZ" w:bidi="bo-CN"/>
        </w:rPr>
        <w:t xml:space="preserve">% </w:t>
      </w:r>
      <w:r w:rsidR="00324575" w:rsidRPr="00324575">
        <w:rPr>
          <w:rFonts w:cs="Segoe UI"/>
          <w:szCs w:val="22"/>
          <w:lang w:val="cs-CZ" w:bidi="bo-CN"/>
        </w:rPr>
        <w:t>a dosáhly</w:t>
      </w:r>
      <w:r w:rsidR="00D93E1D">
        <w:rPr>
          <w:rFonts w:cs="Segoe UI"/>
          <w:szCs w:val="22"/>
          <w:lang w:val="cs-CZ" w:bidi="bo-CN"/>
        </w:rPr>
        <w:t xml:space="preserve"> úrovně</w:t>
      </w:r>
      <w:r w:rsidR="00324575" w:rsidRPr="00324575">
        <w:rPr>
          <w:rFonts w:cs="Segoe UI"/>
          <w:szCs w:val="22"/>
          <w:lang w:val="cs-CZ" w:bidi="bo-CN"/>
        </w:rPr>
        <w:t xml:space="preserve"> 3 752 milionů eur. Tento vývoj </w:t>
      </w:r>
      <w:r w:rsidR="00D60863">
        <w:rPr>
          <w:rFonts w:cs="Segoe UI"/>
          <w:szCs w:val="22"/>
          <w:lang w:val="cs-CZ" w:bidi="bo-CN"/>
        </w:rPr>
        <w:t>byl</w:t>
      </w:r>
      <w:r w:rsidR="00324575" w:rsidRPr="00324575">
        <w:rPr>
          <w:rFonts w:cs="Segoe UI"/>
          <w:szCs w:val="22"/>
          <w:lang w:val="cs-CZ" w:bidi="bo-CN"/>
        </w:rPr>
        <w:t xml:space="preserve"> způsoben zejména negativními dopady pandemie COVID-19 na </w:t>
      </w:r>
      <w:r w:rsidR="00D93E1D">
        <w:rPr>
          <w:rFonts w:cs="Segoe UI"/>
          <w:szCs w:val="22"/>
          <w:lang w:val="cs-CZ" w:bidi="bo-CN"/>
        </w:rPr>
        <w:t>segment profesionální vlasové kosmetik</w:t>
      </w:r>
      <w:r w:rsidR="004E319B">
        <w:rPr>
          <w:rFonts w:cs="Segoe UI"/>
          <w:szCs w:val="22"/>
          <w:lang w:val="cs-CZ" w:bidi="bo-CN"/>
        </w:rPr>
        <w:t>y. M</w:t>
      </w:r>
      <w:r w:rsidR="00324575" w:rsidRPr="00324575">
        <w:rPr>
          <w:rFonts w:cs="Segoe UI"/>
          <w:szCs w:val="22"/>
          <w:lang w:val="cs-CZ" w:bidi="bo-CN"/>
        </w:rPr>
        <w:t>aloobchod</w:t>
      </w:r>
      <w:r w:rsidR="004E319B">
        <w:rPr>
          <w:rFonts w:cs="Segoe UI"/>
          <w:szCs w:val="22"/>
          <w:lang w:val="cs-CZ" w:bidi="bo-CN"/>
        </w:rPr>
        <w:t xml:space="preserve"> ovšem</w:t>
      </w:r>
      <w:r w:rsidR="00324575" w:rsidRPr="00324575">
        <w:rPr>
          <w:rFonts w:cs="Segoe UI"/>
          <w:szCs w:val="22"/>
          <w:lang w:val="cs-CZ" w:bidi="bo-CN"/>
        </w:rPr>
        <w:t xml:space="preserve"> dosáhl celkov</w:t>
      </w:r>
      <w:r w:rsidR="004E319B">
        <w:rPr>
          <w:rFonts w:cs="Segoe UI"/>
          <w:szCs w:val="22"/>
          <w:lang w:val="cs-CZ" w:bidi="bo-CN"/>
        </w:rPr>
        <w:t>ě d</w:t>
      </w:r>
      <w:r w:rsidR="00324575" w:rsidRPr="00324575">
        <w:rPr>
          <w:rFonts w:cs="Segoe UI"/>
          <w:szCs w:val="22"/>
          <w:lang w:val="cs-CZ" w:bidi="bo-CN"/>
        </w:rPr>
        <w:t>obrého</w:t>
      </w:r>
      <w:r w:rsidR="00DD41B6">
        <w:rPr>
          <w:rFonts w:cs="Segoe UI"/>
          <w:szCs w:val="22"/>
          <w:lang w:val="cs-CZ" w:bidi="bo-CN"/>
        </w:rPr>
        <w:t xml:space="preserve"> vývoje organických tržeb</w:t>
      </w:r>
      <w:r w:rsidR="00324575" w:rsidRPr="00324575">
        <w:rPr>
          <w:rFonts w:cs="Segoe UI"/>
          <w:szCs w:val="22"/>
          <w:lang w:val="cs-CZ" w:bidi="bo-CN"/>
        </w:rPr>
        <w:t xml:space="preserve">. </w:t>
      </w:r>
      <w:r w:rsidR="00324575" w:rsidRPr="00DD41B6">
        <w:rPr>
          <w:rFonts w:cs="Segoe UI"/>
          <w:b/>
          <w:bCs/>
          <w:szCs w:val="22"/>
          <w:lang w:val="cs-CZ" w:bidi="bo-CN"/>
        </w:rPr>
        <w:t>Upravený provozní zisk</w:t>
      </w:r>
      <w:r w:rsidR="00324575" w:rsidRPr="00324575">
        <w:rPr>
          <w:rFonts w:cs="Segoe UI"/>
          <w:szCs w:val="22"/>
          <w:lang w:val="cs-CZ" w:bidi="bo-CN"/>
        </w:rPr>
        <w:t xml:space="preserve"> dosáhl 377 milionů eur (předchozí rok: 519 milionů eur). </w:t>
      </w:r>
      <w:r w:rsidR="00324575" w:rsidRPr="000365C5">
        <w:rPr>
          <w:rFonts w:cs="Segoe UI"/>
          <w:b/>
          <w:bCs/>
          <w:szCs w:val="22"/>
          <w:lang w:val="cs-CZ" w:bidi="bo-CN"/>
        </w:rPr>
        <w:t>Upravená návratnost tržeb</w:t>
      </w:r>
      <w:r w:rsidR="00324575" w:rsidRPr="00324575">
        <w:rPr>
          <w:rFonts w:cs="Segoe UI"/>
          <w:szCs w:val="22"/>
          <w:lang w:val="cs-CZ" w:bidi="bo-CN"/>
        </w:rPr>
        <w:t xml:space="preserve"> dosáhla 10,0 </w:t>
      </w:r>
      <w:r w:rsidR="000365C5">
        <w:rPr>
          <w:rFonts w:cs="Segoe UI"/>
          <w:szCs w:val="22"/>
          <w:lang w:val="cs-CZ" w:bidi="bo-CN"/>
        </w:rPr>
        <w:t>% a byla</w:t>
      </w:r>
      <w:r w:rsidR="00324575" w:rsidRPr="00324575">
        <w:rPr>
          <w:rFonts w:cs="Segoe UI"/>
          <w:szCs w:val="22"/>
          <w:lang w:val="cs-CZ" w:bidi="bo-CN"/>
        </w:rPr>
        <w:t xml:space="preserve"> ovlivněna klesajícím objemem prodeje v</w:t>
      </w:r>
      <w:r w:rsidR="000365C5">
        <w:rPr>
          <w:rFonts w:cs="Segoe UI"/>
          <w:szCs w:val="22"/>
          <w:lang w:val="cs-CZ" w:bidi="bo-CN"/>
        </w:rPr>
        <w:t> segmentu profesionální vlasové kosmetiky</w:t>
      </w:r>
      <w:r w:rsidR="00324575" w:rsidRPr="00324575">
        <w:rPr>
          <w:rFonts w:cs="Segoe UI"/>
          <w:szCs w:val="22"/>
          <w:lang w:val="cs-CZ" w:bidi="bo-CN"/>
        </w:rPr>
        <w:t xml:space="preserve"> a vyššími investicemi do marketingu a reklamy, stejně jako do digit</w:t>
      </w:r>
      <w:r w:rsidR="00D60863">
        <w:rPr>
          <w:rFonts w:cs="Segoe UI"/>
          <w:szCs w:val="22"/>
          <w:lang w:val="cs-CZ" w:bidi="bo-CN"/>
        </w:rPr>
        <w:t>alizace</w:t>
      </w:r>
      <w:r w:rsidR="00324575" w:rsidRPr="00324575">
        <w:rPr>
          <w:rFonts w:cs="Segoe UI"/>
          <w:szCs w:val="22"/>
          <w:lang w:val="cs-CZ" w:bidi="bo-CN"/>
        </w:rPr>
        <w:t xml:space="preserve"> a IT.</w:t>
      </w:r>
    </w:p>
    <w:p w14:paraId="32FE4098" w14:textId="77777777" w:rsidR="00324575" w:rsidRDefault="00324575" w:rsidP="0019638B">
      <w:pPr>
        <w:rPr>
          <w:rFonts w:cs="Segoe UI"/>
          <w:szCs w:val="22"/>
          <w:lang w:val="cs-CZ"/>
        </w:rPr>
      </w:pPr>
    </w:p>
    <w:p w14:paraId="18A4B0FA" w14:textId="622412B2" w:rsidR="006561C5" w:rsidRPr="006561C5" w:rsidRDefault="0019638B" w:rsidP="006561C5">
      <w:pPr>
        <w:rPr>
          <w:rFonts w:cs="Segoe UI"/>
          <w:bCs/>
          <w:szCs w:val="22"/>
          <w:lang w:val="cs-CZ" w:bidi="bo-CN"/>
        </w:rPr>
      </w:pPr>
      <w:r w:rsidRPr="007012BC">
        <w:rPr>
          <w:rFonts w:cs="Segoe UI"/>
          <w:b/>
          <w:bCs/>
          <w:szCs w:val="22"/>
          <w:lang w:val="cs-CZ" w:bidi="bo-CN"/>
        </w:rPr>
        <w:t>Organick</w:t>
      </w:r>
      <w:r w:rsidR="00452207">
        <w:rPr>
          <w:rFonts w:cs="Segoe UI"/>
          <w:b/>
          <w:bCs/>
          <w:szCs w:val="22"/>
          <w:lang w:val="cs-CZ" w:bidi="bo-CN"/>
        </w:rPr>
        <w:t xml:space="preserve">é </w:t>
      </w:r>
      <w:r w:rsidR="00D60863">
        <w:rPr>
          <w:rFonts w:cs="Segoe UI"/>
          <w:b/>
          <w:bCs/>
          <w:szCs w:val="22"/>
          <w:lang w:val="cs-CZ" w:bidi="bo-CN"/>
        </w:rPr>
        <w:t>tržby</w:t>
      </w:r>
      <w:r w:rsidR="0047710B">
        <w:rPr>
          <w:rFonts w:cs="Segoe UI"/>
          <w:b/>
          <w:bCs/>
          <w:szCs w:val="22"/>
          <w:lang w:val="cs-CZ" w:bidi="bo-CN"/>
        </w:rPr>
        <w:t xml:space="preserve"> obchodní divize</w:t>
      </w:r>
      <w:r w:rsidRPr="007012BC">
        <w:rPr>
          <w:rFonts w:cs="Segoe UI"/>
          <w:szCs w:val="22"/>
          <w:lang w:val="cs-CZ" w:bidi="bo-CN"/>
        </w:rPr>
        <w:t xml:space="preserve"> </w:t>
      </w:r>
      <w:r w:rsidRPr="007012BC">
        <w:rPr>
          <w:rFonts w:cs="Segoe UI"/>
          <w:b/>
          <w:bCs/>
          <w:szCs w:val="22"/>
          <w:lang w:val="cs-CZ" w:bidi="bo-CN"/>
        </w:rPr>
        <w:t xml:space="preserve">Laundry &amp; Home Care </w:t>
      </w:r>
      <w:r w:rsidR="0047710B" w:rsidRPr="007012BC">
        <w:rPr>
          <w:rFonts w:cs="Segoe UI"/>
          <w:szCs w:val="22"/>
          <w:lang w:val="cs-CZ" w:bidi="bo-CN"/>
        </w:rPr>
        <w:t>vzrostl</w:t>
      </w:r>
      <w:r w:rsidR="00D60863">
        <w:rPr>
          <w:rFonts w:cs="Segoe UI"/>
          <w:szCs w:val="22"/>
          <w:lang w:val="cs-CZ" w:bidi="bo-CN"/>
        </w:rPr>
        <w:t>y</w:t>
      </w:r>
      <w:r w:rsidR="0047710B">
        <w:rPr>
          <w:rFonts w:cs="Segoe UI"/>
          <w:szCs w:val="22"/>
          <w:lang w:val="cs-CZ" w:bidi="bo-CN"/>
        </w:rPr>
        <w:t xml:space="preserve"> ve fiskálním roce</w:t>
      </w:r>
      <w:r w:rsidRPr="007012BC">
        <w:rPr>
          <w:rFonts w:cs="Segoe UI"/>
          <w:szCs w:val="22"/>
          <w:lang w:val="cs-CZ" w:bidi="bo-CN"/>
        </w:rPr>
        <w:t xml:space="preserve"> 2020 </w:t>
      </w:r>
      <w:r w:rsidRPr="006561C5">
        <w:rPr>
          <w:rFonts w:cs="Segoe UI"/>
          <w:bCs/>
          <w:szCs w:val="22"/>
          <w:lang w:val="cs-CZ" w:bidi="bo-CN"/>
        </w:rPr>
        <w:t xml:space="preserve">o 5,6 %. </w:t>
      </w:r>
      <w:r w:rsidR="0047710B" w:rsidRPr="006561C5">
        <w:rPr>
          <w:rFonts w:cs="Segoe UI"/>
          <w:bCs/>
          <w:szCs w:val="22"/>
          <w:lang w:val="cs-CZ" w:bidi="bo-CN"/>
        </w:rPr>
        <w:t>Nominálně</w:t>
      </w:r>
      <w:r w:rsidRPr="006561C5">
        <w:rPr>
          <w:rFonts w:cs="Segoe UI"/>
          <w:bCs/>
          <w:szCs w:val="22"/>
          <w:lang w:val="cs-CZ" w:bidi="bo-CN"/>
        </w:rPr>
        <w:t xml:space="preserve"> s</w:t>
      </w:r>
      <w:r w:rsidR="0047710B" w:rsidRPr="006561C5">
        <w:rPr>
          <w:rFonts w:cs="Segoe UI"/>
          <w:bCs/>
          <w:szCs w:val="22"/>
          <w:lang w:val="cs-CZ" w:bidi="bo-CN"/>
        </w:rPr>
        <w:t>e tržby zvýšily o</w:t>
      </w:r>
      <w:r w:rsidRPr="006561C5">
        <w:rPr>
          <w:rFonts w:cs="Segoe UI"/>
          <w:bCs/>
          <w:szCs w:val="22"/>
          <w:lang w:val="cs-CZ" w:bidi="bo-CN"/>
        </w:rPr>
        <w:t xml:space="preserve"> 0,7 % na 6 704 mil. eur. </w:t>
      </w:r>
      <w:r w:rsidR="006561C5" w:rsidRPr="006561C5">
        <w:rPr>
          <w:rFonts w:cs="Segoe UI"/>
          <w:b/>
          <w:szCs w:val="22"/>
          <w:lang w:val="cs-CZ" w:bidi="bo-CN"/>
        </w:rPr>
        <w:t>Upravený provozní zisk</w:t>
      </w:r>
      <w:r w:rsidR="006561C5" w:rsidRPr="006561C5">
        <w:rPr>
          <w:rFonts w:cs="Segoe UI"/>
          <w:bCs/>
          <w:szCs w:val="22"/>
          <w:lang w:val="cs-CZ" w:bidi="bo-CN"/>
        </w:rPr>
        <w:t xml:space="preserve"> dosáhl 1 004 milionů eur. (</w:t>
      </w:r>
      <w:r w:rsidR="006561C5">
        <w:rPr>
          <w:rFonts w:cs="Segoe UI"/>
          <w:bCs/>
          <w:szCs w:val="22"/>
          <w:lang w:val="cs-CZ" w:bidi="bo-CN"/>
        </w:rPr>
        <w:t>p</w:t>
      </w:r>
      <w:r w:rsidR="006561C5" w:rsidRPr="006561C5">
        <w:rPr>
          <w:rFonts w:cs="Segoe UI"/>
          <w:bCs/>
          <w:szCs w:val="22"/>
          <w:lang w:val="cs-CZ" w:bidi="bo-CN"/>
        </w:rPr>
        <w:t xml:space="preserve">ředchozí rok: 1 096 milionů </w:t>
      </w:r>
      <w:r w:rsidR="006561C5">
        <w:rPr>
          <w:rFonts w:cs="Segoe UI"/>
          <w:bCs/>
          <w:szCs w:val="22"/>
          <w:lang w:val="cs-CZ" w:bidi="bo-CN"/>
        </w:rPr>
        <w:t>eur</w:t>
      </w:r>
      <w:r w:rsidR="006561C5" w:rsidRPr="006561C5">
        <w:rPr>
          <w:rFonts w:cs="Segoe UI"/>
          <w:bCs/>
          <w:szCs w:val="22"/>
          <w:lang w:val="cs-CZ" w:bidi="bo-CN"/>
        </w:rPr>
        <w:t xml:space="preserve">). </w:t>
      </w:r>
      <w:r w:rsidR="006561C5" w:rsidRPr="006561C5">
        <w:rPr>
          <w:rFonts w:cs="Segoe UI"/>
          <w:b/>
          <w:szCs w:val="22"/>
          <w:lang w:val="cs-CZ" w:bidi="bo-CN"/>
        </w:rPr>
        <w:t>Upravená návratnost tržeb</w:t>
      </w:r>
      <w:r w:rsidR="006561C5" w:rsidRPr="006561C5">
        <w:rPr>
          <w:rFonts w:cs="Segoe UI"/>
          <w:bCs/>
          <w:szCs w:val="22"/>
          <w:lang w:val="cs-CZ" w:bidi="bo-CN"/>
        </w:rPr>
        <w:t xml:space="preserve"> byla na úrovni 15,0 </w:t>
      </w:r>
      <w:r w:rsidR="005017C2">
        <w:rPr>
          <w:rFonts w:cs="Segoe UI"/>
          <w:bCs/>
          <w:szCs w:val="22"/>
          <w:lang w:val="cs-CZ" w:bidi="bo-CN"/>
        </w:rPr>
        <w:t>% a zaostala za úrovní v roce 2019</w:t>
      </w:r>
      <w:r w:rsidR="006561C5" w:rsidRPr="006561C5">
        <w:rPr>
          <w:rFonts w:cs="Segoe UI"/>
          <w:bCs/>
          <w:szCs w:val="22"/>
          <w:lang w:val="cs-CZ" w:bidi="bo-CN"/>
        </w:rPr>
        <w:t xml:space="preserve">, zejména kvůli vyšším investicím do marketingu a reklamy, stejně jako do </w:t>
      </w:r>
      <w:r w:rsidR="00D60863" w:rsidRPr="006561C5">
        <w:rPr>
          <w:rFonts w:cs="Segoe UI"/>
          <w:bCs/>
          <w:szCs w:val="22"/>
          <w:lang w:val="cs-CZ" w:bidi="bo-CN"/>
        </w:rPr>
        <w:t>digit</w:t>
      </w:r>
      <w:r w:rsidR="00D60863">
        <w:rPr>
          <w:rFonts w:cs="Segoe UI"/>
          <w:bCs/>
          <w:szCs w:val="22"/>
          <w:lang w:val="cs-CZ" w:bidi="bo-CN"/>
        </w:rPr>
        <w:t>alizace</w:t>
      </w:r>
      <w:r w:rsidR="006561C5" w:rsidRPr="006561C5">
        <w:rPr>
          <w:rFonts w:cs="Segoe UI"/>
          <w:bCs/>
          <w:szCs w:val="22"/>
          <w:lang w:val="cs-CZ" w:bidi="bo-CN"/>
        </w:rPr>
        <w:t xml:space="preserve"> a IT.</w:t>
      </w:r>
    </w:p>
    <w:p w14:paraId="094BA788" w14:textId="77777777" w:rsidR="0047710B" w:rsidRDefault="0047710B" w:rsidP="0019638B">
      <w:pPr>
        <w:rPr>
          <w:rFonts w:cs="Segoe UI"/>
          <w:szCs w:val="22"/>
          <w:lang w:val="cs-CZ"/>
        </w:rPr>
      </w:pPr>
    </w:p>
    <w:p w14:paraId="0C433AEE" w14:textId="77777777" w:rsidR="0019638B" w:rsidRPr="007012BC" w:rsidRDefault="0019638B" w:rsidP="0019638B">
      <w:pPr>
        <w:rPr>
          <w:rFonts w:cs="Segoe UI"/>
          <w:b/>
          <w:szCs w:val="22"/>
          <w:lang w:val="cs-CZ"/>
        </w:rPr>
      </w:pPr>
    </w:p>
    <w:p w14:paraId="0A387629" w14:textId="40217F5C" w:rsidR="0019638B" w:rsidRPr="007012BC" w:rsidRDefault="0019638B" w:rsidP="0019638B">
      <w:pPr>
        <w:spacing w:after="120"/>
        <w:rPr>
          <w:rFonts w:cs="Segoe UI"/>
          <w:szCs w:val="22"/>
          <w:lang w:val="cs-CZ"/>
        </w:rPr>
      </w:pPr>
      <w:r w:rsidRPr="007012BC">
        <w:rPr>
          <w:rFonts w:cs="Segoe UI"/>
          <w:b/>
          <w:szCs w:val="22"/>
          <w:lang w:val="cs-CZ" w:bidi="bo-CN"/>
        </w:rPr>
        <w:t>Agenda „</w:t>
      </w:r>
      <w:r w:rsidR="005017C2" w:rsidRPr="007012BC">
        <w:rPr>
          <w:rFonts w:cs="Segoe UI"/>
          <w:b/>
          <w:szCs w:val="22"/>
          <w:lang w:val="cs-CZ" w:bidi="bo-CN"/>
        </w:rPr>
        <w:t>Smysluplný</w:t>
      </w:r>
      <w:r w:rsidRPr="007012BC">
        <w:rPr>
          <w:rFonts w:cs="Segoe UI"/>
          <w:b/>
          <w:szCs w:val="22"/>
          <w:lang w:val="cs-CZ" w:bidi="bo-CN"/>
        </w:rPr>
        <w:t xml:space="preserve"> r</w:t>
      </w:r>
      <w:r w:rsidR="00FD08B8">
        <w:rPr>
          <w:rFonts w:cs="Segoe UI"/>
          <w:b/>
          <w:szCs w:val="22"/>
          <w:lang w:val="cs-CZ" w:bidi="bo-CN"/>
        </w:rPr>
        <w:t>ůst</w:t>
      </w:r>
      <w:r w:rsidRPr="007012BC">
        <w:rPr>
          <w:rFonts w:cs="Segoe UI"/>
          <w:b/>
          <w:szCs w:val="22"/>
          <w:lang w:val="cs-CZ" w:bidi="bo-CN"/>
        </w:rPr>
        <w:t>“:</w:t>
      </w:r>
      <w:r w:rsidRPr="007012BC">
        <w:rPr>
          <w:rFonts w:cs="Segoe UI"/>
          <w:b/>
          <w:szCs w:val="22"/>
          <w:lang w:val="cs-CZ"/>
        </w:rPr>
        <w:t xml:space="preserve"> </w:t>
      </w:r>
      <w:r w:rsidRPr="007012BC">
        <w:rPr>
          <w:rFonts w:cs="Segoe UI"/>
          <w:b/>
          <w:szCs w:val="22"/>
          <w:lang w:val="cs-CZ" w:bidi="bo-CN"/>
        </w:rPr>
        <w:t>silný impulz</w:t>
      </w:r>
      <w:r w:rsidRPr="007012BC">
        <w:rPr>
          <w:rFonts w:cs="Segoe UI"/>
          <w:b/>
          <w:szCs w:val="22"/>
          <w:lang w:val="cs-CZ"/>
        </w:rPr>
        <w:t xml:space="preserve"> </w:t>
      </w:r>
    </w:p>
    <w:p w14:paraId="701AB1B5" w14:textId="5B872638" w:rsidR="00FD08B8" w:rsidRDefault="00FD08B8" w:rsidP="0019638B">
      <w:pPr>
        <w:autoSpaceDE w:val="0"/>
        <w:autoSpaceDN w:val="0"/>
        <w:adjustRightInd w:val="0"/>
        <w:rPr>
          <w:rFonts w:cs="Segoe UI"/>
          <w:szCs w:val="22"/>
          <w:lang w:val="cs-CZ" w:bidi="bo-CN"/>
        </w:rPr>
      </w:pPr>
      <w:r w:rsidRPr="00FD08B8">
        <w:rPr>
          <w:rFonts w:cs="Segoe UI"/>
          <w:szCs w:val="22"/>
          <w:lang w:val="cs-CZ" w:bidi="bo-CN"/>
        </w:rPr>
        <w:t xml:space="preserve">Na začátku března 2020 představila společnost Henkel </w:t>
      </w:r>
      <w:r>
        <w:rPr>
          <w:rFonts w:cs="Segoe UI"/>
          <w:szCs w:val="22"/>
          <w:lang w:val="cs-CZ" w:bidi="bo-CN"/>
        </w:rPr>
        <w:t>svou agendu pro růst</w:t>
      </w:r>
      <w:r w:rsidRPr="00FD08B8">
        <w:rPr>
          <w:rFonts w:cs="Segoe UI"/>
          <w:szCs w:val="22"/>
          <w:lang w:val="cs-CZ" w:bidi="bo-CN"/>
        </w:rPr>
        <w:t xml:space="preserve"> společnosti</w:t>
      </w:r>
      <w:r>
        <w:rPr>
          <w:rFonts w:cs="Segoe UI"/>
          <w:szCs w:val="22"/>
          <w:lang w:val="cs-CZ" w:bidi="bo-CN"/>
        </w:rPr>
        <w:t xml:space="preserve"> na </w:t>
      </w:r>
      <w:r w:rsidRPr="00FD08B8">
        <w:rPr>
          <w:rFonts w:cs="Segoe UI"/>
          <w:szCs w:val="22"/>
          <w:lang w:val="cs-CZ" w:bidi="bo-CN"/>
        </w:rPr>
        <w:t>nadcházející roky, kter</w:t>
      </w:r>
      <w:r>
        <w:rPr>
          <w:rFonts w:cs="Segoe UI"/>
          <w:szCs w:val="22"/>
          <w:lang w:val="cs-CZ" w:bidi="bo-CN"/>
        </w:rPr>
        <w:t>á</w:t>
      </w:r>
      <w:r w:rsidRPr="00FD08B8">
        <w:rPr>
          <w:rFonts w:cs="Segoe UI"/>
          <w:szCs w:val="22"/>
          <w:lang w:val="cs-CZ" w:bidi="bo-CN"/>
        </w:rPr>
        <w:t xml:space="preserve"> se zaměřuje na: formování vítězného portfolia, posilování konkurenční výhody, zejména v oblast</w:t>
      </w:r>
      <w:r w:rsidR="00977BC2">
        <w:rPr>
          <w:rFonts w:cs="Segoe UI"/>
          <w:szCs w:val="22"/>
          <w:lang w:val="cs-CZ" w:bidi="bo-CN"/>
        </w:rPr>
        <w:t>i</w:t>
      </w:r>
      <w:r w:rsidRPr="00FD08B8">
        <w:rPr>
          <w:rFonts w:cs="Segoe UI"/>
          <w:szCs w:val="22"/>
          <w:lang w:val="cs-CZ" w:bidi="bo-CN"/>
        </w:rPr>
        <w:t xml:space="preserve"> inovací, udržitelnosti a digitalizace, vytváření provozních modelů připravených na budoucnost a také vytváření silné kultury</w:t>
      </w:r>
      <w:r w:rsidR="00977BC2">
        <w:rPr>
          <w:rFonts w:cs="Segoe UI"/>
          <w:szCs w:val="22"/>
          <w:lang w:val="cs-CZ" w:bidi="bo-CN"/>
        </w:rPr>
        <w:t xml:space="preserve"> spolupráce</w:t>
      </w:r>
      <w:r w:rsidRPr="00FD08B8">
        <w:rPr>
          <w:rFonts w:cs="Segoe UI"/>
          <w:szCs w:val="22"/>
          <w:lang w:val="cs-CZ" w:bidi="bo-CN"/>
        </w:rPr>
        <w:t xml:space="preserve">. </w:t>
      </w:r>
      <w:r w:rsidRPr="00977BC2">
        <w:rPr>
          <w:rFonts w:cs="Segoe UI"/>
          <w:i/>
          <w:iCs/>
          <w:szCs w:val="22"/>
          <w:lang w:val="cs-CZ" w:bidi="bo-CN"/>
        </w:rPr>
        <w:t xml:space="preserve">„Tento strategický rámec nám pomůže </w:t>
      </w:r>
      <w:r w:rsidR="003500C0">
        <w:rPr>
          <w:rFonts w:cs="Segoe UI"/>
          <w:i/>
          <w:iCs/>
          <w:szCs w:val="22"/>
          <w:lang w:val="cs-CZ" w:bidi="bo-CN"/>
        </w:rPr>
        <w:t>k úspěšnému rozvoji společnosti</w:t>
      </w:r>
      <w:r w:rsidRPr="00977BC2">
        <w:rPr>
          <w:rFonts w:cs="Segoe UI"/>
          <w:i/>
          <w:iCs/>
          <w:szCs w:val="22"/>
          <w:lang w:val="cs-CZ" w:bidi="bo-CN"/>
        </w:rPr>
        <w:t xml:space="preserve"> Henkel s jasným zaměřením na </w:t>
      </w:r>
      <w:r w:rsidR="003500C0">
        <w:rPr>
          <w:rFonts w:cs="Segoe UI"/>
          <w:i/>
          <w:iCs/>
          <w:szCs w:val="22"/>
          <w:lang w:val="cs-CZ" w:bidi="bo-CN"/>
        </w:rPr>
        <w:t>smysluplný</w:t>
      </w:r>
      <w:r w:rsidRPr="00977BC2">
        <w:rPr>
          <w:rFonts w:cs="Segoe UI"/>
          <w:i/>
          <w:iCs/>
          <w:szCs w:val="22"/>
          <w:lang w:val="cs-CZ" w:bidi="bo-CN"/>
        </w:rPr>
        <w:t xml:space="preserve"> růst. </w:t>
      </w:r>
      <w:r w:rsidR="00454E46">
        <w:rPr>
          <w:rFonts w:cs="Segoe UI"/>
          <w:i/>
          <w:iCs/>
          <w:szCs w:val="22"/>
          <w:lang w:val="cs-CZ" w:bidi="bo-CN"/>
        </w:rPr>
        <w:t>I p</w:t>
      </w:r>
      <w:r w:rsidRPr="00977BC2">
        <w:rPr>
          <w:rFonts w:cs="Segoe UI"/>
          <w:i/>
          <w:iCs/>
          <w:szCs w:val="22"/>
          <w:lang w:val="cs-CZ" w:bidi="bo-CN"/>
        </w:rPr>
        <w:t>řes naše zaměření na krizov</w:t>
      </w:r>
      <w:r w:rsidR="00EF251A">
        <w:rPr>
          <w:rFonts w:cs="Segoe UI"/>
          <w:i/>
          <w:iCs/>
          <w:szCs w:val="22"/>
          <w:lang w:val="cs-CZ" w:bidi="bo-CN"/>
        </w:rPr>
        <w:t>á</w:t>
      </w:r>
      <w:r w:rsidRPr="00977BC2">
        <w:rPr>
          <w:rFonts w:cs="Segoe UI"/>
          <w:i/>
          <w:iCs/>
          <w:szCs w:val="22"/>
          <w:lang w:val="cs-CZ" w:bidi="bo-CN"/>
        </w:rPr>
        <w:t xml:space="preserve"> řízení v roce 2020 se nám podařilo zahájit a </w:t>
      </w:r>
      <w:r w:rsidR="00454E46">
        <w:rPr>
          <w:rFonts w:cs="Segoe UI"/>
          <w:i/>
          <w:iCs/>
          <w:szCs w:val="22"/>
          <w:lang w:val="cs-CZ" w:bidi="bo-CN"/>
        </w:rPr>
        <w:t>začít s</w:t>
      </w:r>
      <w:r w:rsidRPr="00977BC2">
        <w:rPr>
          <w:rFonts w:cs="Segoe UI"/>
          <w:i/>
          <w:iCs/>
          <w:szCs w:val="22"/>
          <w:lang w:val="cs-CZ" w:bidi="bo-CN"/>
        </w:rPr>
        <w:t xml:space="preserve"> implementac</w:t>
      </w:r>
      <w:r w:rsidR="00454E46">
        <w:rPr>
          <w:rFonts w:cs="Segoe UI"/>
          <w:i/>
          <w:iCs/>
          <w:szCs w:val="22"/>
          <w:lang w:val="cs-CZ" w:bidi="bo-CN"/>
        </w:rPr>
        <w:t>í</w:t>
      </w:r>
      <w:r w:rsidRPr="00977BC2">
        <w:rPr>
          <w:rFonts w:cs="Segoe UI"/>
          <w:i/>
          <w:iCs/>
          <w:szCs w:val="22"/>
          <w:lang w:val="cs-CZ" w:bidi="bo-CN"/>
        </w:rPr>
        <w:t xml:space="preserve"> naší agendy</w:t>
      </w:r>
      <w:r w:rsidR="00454E46">
        <w:rPr>
          <w:rFonts w:cs="Segoe UI"/>
          <w:i/>
          <w:iCs/>
          <w:szCs w:val="22"/>
          <w:lang w:val="cs-CZ" w:bidi="bo-CN"/>
        </w:rPr>
        <w:t xml:space="preserve"> pro růst společnosti</w:t>
      </w:r>
      <w:r w:rsidRPr="00977BC2">
        <w:rPr>
          <w:rFonts w:cs="Segoe UI"/>
          <w:i/>
          <w:iCs/>
          <w:szCs w:val="22"/>
          <w:lang w:val="cs-CZ" w:bidi="bo-CN"/>
        </w:rPr>
        <w:t>. Jsme plně odhodláni dosáhnout dalšího pokroku</w:t>
      </w:r>
      <w:r w:rsidR="00454E46">
        <w:rPr>
          <w:rFonts w:cs="Segoe UI"/>
          <w:i/>
          <w:iCs/>
          <w:szCs w:val="22"/>
          <w:lang w:val="cs-CZ" w:bidi="bo-CN"/>
        </w:rPr>
        <w:t xml:space="preserve"> i</w:t>
      </w:r>
      <w:r w:rsidRPr="00977BC2">
        <w:rPr>
          <w:rFonts w:cs="Segoe UI"/>
          <w:i/>
          <w:iCs/>
          <w:szCs w:val="22"/>
          <w:lang w:val="cs-CZ" w:bidi="bo-CN"/>
        </w:rPr>
        <w:t xml:space="preserve"> v roce 2021 a </w:t>
      </w:r>
      <w:r w:rsidR="00EF251A">
        <w:rPr>
          <w:rFonts w:cs="Segoe UI"/>
          <w:i/>
          <w:iCs/>
          <w:szCs w:val="22"/>
          <w:lang w:val="cs-CZ" w:bidi="bo-CN"/>
        </w:rPr>
        <w:t xml:space="preserve">v </w:t>
      </w:r>
      <w:r w:rsidRPr="00977BC2">
        <w:rPr>
          <w:rFonts w:cs="Segoe UI"/>
          <w:i/>
          <w:iCs/>
          <w:szCs w:val="22"/>
          <w:lang w:val="cs-CZ" w:bidi="bo-CN"/>
        </w:rPr>
        <w:t>následujících letech, “</w:t>
      </w:r>
      <w:r w:rsidRPr="00FD08B8">
        <w:rPr>
          <w:rFonts w:cs="Segoe UI"/>
          <w:szCs w:val="22"/>
          <w:lang w:val="cs-CZ" w:bidi="bo-CN"/>
        </w:rPr>
        <w:t>uvedl Carsten Knobel.</w:t>
      </w:r>
    </w:p>
    <w:p w14:paraId="4A505597" w14:textId="77777777" w:rsidR="00FD08B8" w:rsidRPr="00FD08B8" w:rsidRDefault="00FD08B8" w:rsidP="0019638B">
      <w:pPr>
        <w:autoSpaceDE w:val="0"/>
        <w:autoSpaceDN w:val="0"/>
        <w:adjustRightInd w:val="0"/>
        <w:rPr>
          <w:rFonts w:cs="Segoe UI"/>
          <w:szCs w:val="22"/>
          <w:lang w:val="cs-CZ" w:bidi="bo-CN"/>
        </w:rPr>
      </w:pPr>
    </w:p>
    <w:p w14:paraId="00E3A32A" w14:textId="420D8004" w:rsidR="00454E46" w:rsidRPr="00A9242B" w:rsidRDefault="00A9242B" w:rsidP="0019638B">
      <w:pPr>
        <w:autoSpaceDE w:val="0"/>
        <w:autoSpaceDN w:val="0"/>
        <w:adjustRightInd w:val="0"/>
        <w:rPr>
          <w:rFonts w:cs="Segoe UI"/>
          <w:bCs/>
          <w:szCs w:val="22"/>
          <w:lang w:val="cs-CZ" w:bidi="bo-CN"/>
        </w:rPr>
      </w:pPr>
      <w:r w:rsidRPr="00A9242B">
        <w:rPr>
          <w:rFonts w:cs="Segoe UI"/>
          <w:bCs/>
          <w:szCs w:val="22"/>
          <w:lang w:val="cs-CZ" w:bidi="bo-CN"/>
        </w:rPr>
        <w:t xml:space="preserve">Klíčovým prvkem budoucího směřování společnosti Henkel je </w:t>
      </w:r>
      <w:r w:rsidRPr="00942F78">
        <w:rPr>
          <w:rFonts w:cs="Segoe UI"/>
          <w:b/>
          <w:szCs w:val="22"/>
          <w:lang w:val="cs-CZ" w:bidi="bo-CN"/>
        </w:rPr>
        <w:t>aktivní správa portfolia</w:t>
      </w:r>
      <w:r w:rsidRPr="00A9242B">
        <w:rPr>
          <w:rFonts w:cs="Segoe UI"/>
          <w:bCs/>
          <w:szCs w:val="22"/>
          <w:lang w:val="cs-CZ" w:bidi="bo-CN"/>
        </w:rPr>
        <w:t xml:space="preserve">. Společnost Henkel identifikovala značky a kategorie </w:t>
      </w:r>
      <w:r w:rsidR="00942F78">
        <w:rPr>
          <w:rFonts w:cs="Segoe UI"/>
          <w:bCs/>
          <w:szCs w:val="22"/>
          <w:lang w:val="cs-CZ" w:bidi="bo-CN"/>
        </w:rPr>
        <w:t xml:space="preserve">produktů </w:t>
      </w:r>
      <w:r w:rsidRPr="00A9242B">
        <w:rPr>
          <w:rFonts w:cs="Segoe UI"/>
          <w:bCs/>
          <w:szCs w:val="22"/>
          <w:lang w:val="cs-CZ" w:bidi="bo-CN"/>
        </w:rPr>
        <w:t xml:space="preserve">s celkovým objemem prodeje </w:t>
      </w:r>
      <w:r w:rsidRPr="00A9242B">
        <w:rPr>
          <w:rFonts w:cs="Segoe UI"/>
          <w:bCs/>
          <w:szCs w:val="22"/>
          <w:lang w:val="cs-CZ" w:bidi="bo-CN"/>
        </w:rPr>
        <w:lastRenderedPageBreak/>
        <w:t>přesahujícím jednu miliardu eur, a to převážně ve spotřebitelských</w:t>
      </w:r>
      <w:r w:rsidR="00942F78">
        <w:rPr>
          <w:rFonts w:cs="Segoe UI"/>
          <w:bCs/>
          <w:szCs w:val="22"/>
          <w:lang w:val="cs-CZ" w:bidi="bo-CN"/>
        </w:rPr>
        <w:t xml:space="preserve"> segmentech</w:t>
      </w:r>
      <w:r w:rsidRPr="00A9242B">
        <w:rPr>
          <w:rFonts w:cs="Segoe UI"/>
          <w:bCs/>
          <w:szCs w:val="22"/>
          <w:lang w:val="cs-CZ" w:bidi="bo-CN"/>
        </w:rPr>
        <w:t xml:space="preserve">, z nichž </w:t>
      </w:r>
      <w:r w:rsidR="002E1299">
        <w:rPr>
          <w:rFonts w:cs="Segoe UI"/>
          <w:bCs/>
          <w:szCs w:val="22"/>
          <w:lang w:val="cs-CZ" w:bidi="bo-CN"/>
        </w:rPr>
        <w:t>s</w:t>
      </w:r>
      <w:r w:rsidRPr="00A9242B">
        <w:rPr>
          <w:rFonts w:cs="Segoe UI"/>
          <w:bCs/>
          <w:szCs w:val="22"/>
          <w:lang w:val="cs-CZ" w:bidi="bo-CN"/>
        </w:rPr>
        <w:t xml:space="preserve">e zhruba 50 </w:t>
      </w:r>
      <w:r w:rsidR="00942F78">
        <w:rPr>
          <w:rFonts w:cs="Segoe UI"/>
          <w:bCs/>
          <w:szCs w:val="22"/>
          <w:lang w:val="cs-CZ" w:bidi="bo-CN"/>
        </w:rPr>
        <w:t>%</w:t>
      </w:r>
      <w:r w:rsidRPr="00A9242B">
        <w:rPr>
          <w:rFonts w:cs="Segoe UI"/>
          <w:bCs/>
          <w:szCs w:val="22"/>
          <w:lang w:val="cs-CZ" w:bidi="bo-CN"/>
        </w:rPr>
        <w:t xml:space="preserve"> </w:t>
      </w:r>
      <w:r w:rsidR="002E1299">
        <w:rPr>
          <w:rFonts w:cs="Segoe UI"/>
          <w:bCs/>
          <w:szCs w:val="22"/>
          <w:lang w:val="cs-CZ" w:bidi="bo-CN"/>
        </w:rPr>
        <w:t>plánuje do roku 2021 prodat nebo zrušit jejich výrob</w:t>
      </w:r>
      <w:r w:rsidR="00EF251A">
        <w:rPr>
          <w:rFonts w:cs="Segoe UI"/>
          <w:bCs/>
          <w:szCs w:val="22"/>
          <w:lang w:val="cs-CZ" w:bidi="bo-CN"/>
        </w:rPr>
        <w:t>a</w:t>
      </w:r>
      <w:r w:rsidRPr="00A9242B">
        <w:rPr>
          <w:rFonts w:cs="Segoe UI"/>
          <w:bCs/>
          <w:szCs w:val="22"/>
          <w:lang w:val="cs-CZ" w:bidi="bo-CN"/>
        </w:rPr>
        <w:t xml:space="preserve">. Očekává se, že zbývající značky a </w:t>
      </w:r>
      <w:r w:rsidR="00B52B61">
        <w:rPr>
          <w:rFonts w:cs="Segoe UI"/>
          <w:bCs/>
          <w:szCs w:val="22"/>
          <w:lang w:val="cs-CZ" w:bidi="bo-CN"/>
        </w:rPr>
        <w:t>obchodní segmenty</w:t>
      </w:r>
      <w:r w:rsidRPr="00A9242B">
        <w:rPr>
          <w:rFonts w:cs="Segoe UI"/>
          <w:bCs/>
          <w:szCs w:val="22"/>
          <w:lang w:val="cs-CZ" w:bidi="bo-CN"/>
        </w:rPr>
        <w:t xml:space="preserve"> budou vykazovat udržiteln</w:t>
      </w:r>
      <w:r w:rsidR="00B52B61">
        <w:rPr>
          <w:rFonts w:cs="Segoe UI"/>
          <w:bCs/>
          <w:szCs w:val="22"/>
          <w:lang w:val="cs-CZ" w:bidi="bo-CN"/>
        </w:rPr>
        <w:t>é zlepšení</w:t>
      </w:r>
      <w:r w:rsidRPr="00A9242B">
        <w:rPr>
          <w:rFonts w:cs="Segoe UI"/>
          <w:bCs/>
          <w:szCs w:val="22"/>
          <w:lang w:val="cs-CZ" w:bidi="bo-CN"/>
        </w:rPr>
        <w:t xml:space="preserve"> výkon</w:t>
      </w:r>
      <w:r w:rsidR="00B52B61">
        <w:rPr>
          <w:rFonts w:cs="Segoe UI"/>
          <w:bCs/>
          <w:szCs w:val="22"/>
          <w:lang w:val="cs-CZ" w:bidi="bo-CN"/>
        </w:rPr>
        <w:t>u</w:t>
      </w:r>
      <w:r w:rsidRPr="00A9242B">
        <w:rPr>
          <w:rFonts w:cs="Segoe UI"/>
          <w:bCs/>
          <w:szCs w:val="22"/>
          <w:lang w:val="cs-CZ" w:bidi="bo-CN"/>
        </w:rPr>
        <w:t xml:space="preserve">. V roce 2020 se již 60 </w:t>
      </w:r>
      <w:r w:rsidR="00B52B61">
        <w:rPr>
          <w:rFonts w:cs="Segoe UI"/>
          <w:bCs/>
          <w:szCs w:val="22"/>
          <w:lang w:val="cs-CZ" w:bidi="bo-CN"/>
        </w:rPr>
        <w:t>%</w:t>
      </w:r>
      <w:r w:rsidRPr="00A9242B">
        <w:rPr>
          <w:rFonts w:cs="Segoe UI"/>
          <w:bCs/>
          <w:szCs w:val="22"/>
          <w:lang w:val="cs-CZ" w:bidi="bo-CN"/>
        </w:rPr>
        <w:t xml:space="preserve"> příjmové základny těchto značek a </w:t>
      </w:r>
      <w:r w:rsidR="00DF2D3E">
        <w:rPr>
          <w:rFonts w:cs="Segoe UI"/>
          <w:bCs/>
          <w:szCs w:val="22"/>
          <w:lang w:val="cs-CZ" w:bidi="bo-CN"/>
        </w:rPr>
        <w:t xml:space="preserve">obchodních </w:t>
      </w:r>
      <w:r w:rsidR="00EF251A">
        <w:rPr>
          <w:rFonts w:cs="Segoe UI"/>
          <w:bCs/>
          <w:szCs w:val="22"/>
          <w:lang w:val="cs-CZ" w:bidi="bo-CN"/>
        </w:rPr>
        <w:t>segmentů</w:t>
      </w:r>
      <w:r w:rsidRPr="00A9242B">
        <w:rPr>
          <w:rFonts w:cs="Segoe UI"/>
          <w:bCs/>
          <w:szCs w:val="22"/>
          <w:lang w:val="cs-CZ" w:bidi="bo-CN"/>
        </w:rPr>
        <w:t xml:space="preserve"> zlepšilo.</w:t>
      </w:r>
    </w:p>
    <w:p w14:paraId="23E9070C" w14:textId="77777777" w:rsidR="00454E46" w:rsidRDefault="00454E46" w:rsidP="0019638B">
      <w:pPr>
        <w:autoSpaceDE w:val="0"/>
        <w:autoSpaceDN w:val="0"/>
        <w:adjustRightInd w:val="0"/>
        <w:rPr>
          <w:rFonts w:cs="Segoe UI"/>
          <w:bCs/>
          <w:szCs w:val="22"/>
          <w:lang w:val="cs-CZ" w:bidi="bo-CN"/>
        </w:rPr>
      </w:pPr>
    </w:p>
    <w:p w14:paraId="49971556" w14:textId="06459F37" w:rsidR="0019638B" w:rsidRPr="004549FC" w:rsidRDefault="004549FC" w:rsidP="0019638B">
      <w:pPr>
        <w:autoSpaceDE w:val="0"/>
        <w:autoSpaceDN w:val="0"/>
        <w:adjustRightInd w:val="0"/>
        <w:rPr>
          <w:rFonts w:cs="Segoe UI"/>
          <w:bCs/>
          <w:szCs w:val="22"/>
          <w:lang w:val="cs-CZ" w:bidi="bo-CN"/>
        </w:rPr>
      </w:pPr>
      <w:r w:rsidRPr="004549FC">
        <w:rPr>
          <w:rFonts w:cs="Segoe UI"/>
          <w:bCs/>
          <w:szCs w:val="22"/>
          <w:lang w:val="cs-CZ" w:bidi="bo-CN"/>
        </w:rPr>
        <w:t xml:space="preserve">Navzdory nejistotám </w:t>
      </w:r>
      <w:r>
        <w:rPr>
          <w:rFonts w:cs="Segoe UI"/>
          <w:bCs/>
          <w:szCs w:val="22"/>
          <w:lang w:val="cs-CZ" w:bidi="bo-CN"/>
        </w:rPr>
        <w:t xml:space="preserve">na </w:t>
      </w:r>
      <w:r w:rsidRPr="004549FC">
        <w:rPr>
          <w:rFonts w:cs="Segoe UI"/>
          <w:bCs/>
          <w:szCs w:val="22"/>
          <w:lang w:val="cs-CZ" w:bidi="bo-CN"/>
        </w:rPr>
        <w:t>trhu v roce 2020</w:t>
      </w:r>
      <w:r>
        <w:rPr>
          <w:rFonts w:cs="Segoe UI"/>
          <w:bCs/>
          <w:szCs w:val="22"/>
          <w:lang w:val="cs-CZ" w:bidi="bo-CN"/>
        </w:rPr>
        <w:t xml:space="preserve"> podepsala</w:t>
      </w:r>
      <w:r w:rsidRPr="004549FC">
        <w:rPr>
          <w:rFonts w:cs="Segoe UI"/>
          <w:bCs/>
          <w:szCs w:val="22"/>
          <w:lang w:val="cs-CZ" w:bidi="bo-CN"/>
        </w:rPr>
        <w:t xml:space="preserve"> již</w:t>
      </w:r>
      <w:r>
        <w:rPr>
          <w:rFonts w:cs="Segoe UI"/>
          <w:bCs/>
          <w:szCs w:val="22"/>
          <w:lang w:val="cs-CZ" w:bidi="bo-CN"/>
        </w:rPr>
        <w:t xml:space="preserve"> společnost</w:t>
      </w:r>
      <w:r w:rsidRPr="004549FC">
        <w:rPr>
          <w:rFonts w:cs="Segoe UI"/>
          <w:bCs/>
          <w:szCs w:val="22"/>
          <w:lang w:val="cs-CZ" w:bidi="bo-CN"/>
        </w:rPr>
        <w:t xml:space="preserve"> Henkel </w:t>
      </w:r>
      <w:r>
        <w:rPr>
          <w:rFonts w:cs="Segoe UI"/>
          <w:bCs/>
          <w:szCs w:val="22"/>
          <w:lang w:val="cs-CZ" w:bidi="bo-CN"/>
        </w:rPr>
        <w:t>smlouvy</w:t>
      </w:r>
      <w:r w:rsidRPr="004549FC">
        <w:rPr>
          <w:rFonts w:cs="Segoe UI"/>
          <w:bCs/>
          <w:szCs w:val="22"/>
          <w:lang w:val="cs-CZ" w:bidi="bo-CN"/>
        </w:rPr>
        <w:t xml:space="preserve"> o prodeji, </w:t>
      </w:r>
      <w:r w:rsidRPr="00FD2E15">
        <w:rPr>
          <w:rFonts w:cs="Segoe UI"/>
          <w:bCs/>
          <w:szCs w:val="22"/>
          <w:lang w:val="cs-CZ" w:bidi="bo-CN"/>
        </w:rPr>
        <w:t>dokonč</w:t>
      </w:r>
      <w:r w:rsidR="00EC682F" w:rsidRPr="00FD2E15">
        <w:rPr>
          <w:rFonts w:cs="Segoe UI"/>
          <w:bCs/>
          <w:szCs w:val="22"/>
          <w:lang w:val="cs-CZ" w:bidi="bo-CN"/>
        </w:rPr>
        <w:t>ení</w:t>
      </w:r>
      <w:r w:rsidRPr="00FD2E15">
        <w:rPr>
          <w:rFonts w:cs="Segoe UI"/>
          <w:bCs/>
          <w:szCs w:val="22"/>
          <w:lang w:val="cs-CZ" w:bidi="bo-CN"/>
        </w:rPr>
        <w:t xml:space="preserve"> prodeje nebo ukončení podnikání s ročním objemem prodeje více než 100 milionů eur. V souvislosti s aktivní správou portfolia společnosti Henkel byly v roce 2020 zaúčtovány poplatky ve výši přibližně 300 milionů </w:t>
      </w:r>
      <w:r w:rsidR="00E66C49" w:rsidRPr="00FD2E15">
        <w:rPr>
          <w:rFonts w:cs="Segoe UI"/>
          <w:bCs/>
          <w:szCs w:val="22"/>
          <w:lang w:val="cs-CZ" w:bidi="bo-CN"/>
        </w:rPr>
        <w:t>eur</w:t>
      </w:r>
      <w:r w:rsidRPr="00FD2E15">
        <w:rPr>
          <w:rFonts w:cs="Segoe UI"/>
          <w:bCs/>
          <w:szCs w:val="22"/>
          <w:lang w:val="cs-CZ" w:bidi="bo-CN"/>
        </w:rPr>
        <w:t>, a to kvůli ztrát</w:t>
      </w:r>
      <w:r w:rsidRPr="00FD2E15">
        <w:rPr>
          <w:rFonts w:cs="Segoe UI"/>
          <w:bCs/>
          <w:szCs w:val="22"/>
          <w:lang w:val="cs-CZ" w:bidi="bo-CN"/>
        </w:rPr>
        <w:t>ě</w:t>
      </w:r>
      <w:r w:rsidRPr="00FD2E15">
        <w:rPr>
          <w:rFonts w:cs="Segoe UI"/>
          <w:bCs/>
          <w:szCs w:val="22"/>
          <w:lang w:val="cs-CZ" w:bidi="bo-CN"/>
        </w:rPr>
        <w:t xml:space="preserve"> ze snížení hodnoty nepeněžních </w:t>
      </w:r>
      <w:r w:rsidR="00D40E47" w:rsidRPr="00FD2E15">
        <w:rPr>
          <w:rFonts w:cs="Segoe UI"/>
          <w:bCs/>
          <w:szCs w:val="22"/>
          <w:lang w:val="cs-CZ" w:bidi="bo-CN"/>
        </w:rPr>
        <w:t xml:space="preserve">podnikatelských </w:t>
      </w:r>
      <w:r w:rsidRPr="00FD2E15">
        <w:rPr>
          <w:rFonts w:cs="Segoe UI"/>
          <w:bCs/>
          <w:szCs w:val="22"/>
          <w:lang w:val="cs-CZ" w:bidi="bo-CN"/>
        </w:rPr>
        <w:t>aktiv</w:t>
      </w:r>
      <w:r w:rsidRPr="00FD2E15">
        <w:rPr>
          <w:rFonts w:cs="Segoe UI"/>
          <w:bCs/>
          <w:szCs w:val="22"/>
          <w:lang w:val="cs-CZ" w:bidi="bo-CN"/>
        </w:rPr>
        <w:t>, které mají být prodány nebo ukončeny.</w:t>
      </w:r>
    </w:p>
    <w:p w14:paraId="70A970D3" w14:textId="77777777" w:rsidR="00DF2D3E" w:rsidRPr="007012BC" w:rsidRDefault="00DF2D3E" w:rsidP="0019638B">
      <w:pPr>
        <w:autoSpaceDE w:val="0"/>
        <w:autoSpaceDN w:val="0"/>
        <w:adjustRightInd w:val="0"/>
        <w:rPr>
          <w:rFonts w:cs="Segoe UI"/>
          <w:bCs/>
          <w:szCs w:val="22"/>
          <w:lang w:val="cs-CZ"/>
        </w:rPr>
      </w:pPr>
    </w:p>
    <w:p w14:paraId="43F9AD65" w14:textId="7EF085BC" w:rsidR="0019638B" w:rsidRPr="0072585D" w:rsidRDefault="0072585D" w:rsidP="0019638B">
      <w:pPr>
        <w:autoSpaceDE w:val="0"/>
        <w:autoSpaceDN w:val="0"/>
        <w:adjustRightInd w:val="0"/>
        <w:rPr>
          <w:rFonts w:cs="Segoe UI"/>
          <w:bCs/>
          <w:szCs w:val="22"/>
          <w:lang w:val="cs-CZ" w:bidi="bo-CN"/>
        </w:rPr>
      </w:pPr>
      <w:r>
        <w:rPr>
          <w:rFonts w:cs="Segoe UI"/>
          <w:bCs/>
          <w:szCs w:val="22"/>
          <w:lang w:val="cs-CZ" w:bidi="bo-CN"/>
        </w:rPr>
        <w:t xml:space="preserve">Společnost </w:t>
      </w:r>
      <w:r w:rsidRPr="0072585D">
        <w:rPr>
          <w:rFonts w:cs="Segoe UI"/>
          <w:bCs/>
          <w:szCs w:val="22"/>
          <w:lang w:val="cs-CZ" w:bidi="bo-CN"/>
        </w:rPr>
        <w:t>Henkel zároveň posílil</w:t>
      </w:r>
      <w:r>
        <w:rPr>
          <w:rFonts w:cs="Segoe UI"/>
          <w:bCs/>
          <w:szCs w:val="22"/>
          <w:lang w:val="cs-CZ" w:bidi="bo-CN"/>
        </w:rPr>
        <w:t>a</w:t>
      </w:r>
      <w:r w:rsidRPr="0072585D">
        <w:rPr>
          <w:rFonts w:cs="Segoe UI"/>
          <w:bCs/>
          <w:szCs w:val="22"/>
          <w:lang w:val="cs-CZ" w:bidi="bo-CN"/>
        </w:rPr>
        <w:t xml:space="preserve"> své portfolio prostřednictvím </w:t>
      </w:r>
      <w:r w:rsidRPr="0072585D">
        <w:rPr>
          <w:rFonts w:cs="Segoe UI"/>
          <w:b/>
          <w:szCs w:val="22"/>
          <w:lang w:val="cs-CZ" w:bidi="bo-CN"/>
        </w:rPr>
        <w:t>fúzí a akvizic</w:t>
      </w:r>
      <w:r w:rsidRPr="0072585D">
        <w:rPr>
          <w:rFonts w:cs="Segoe UI"/>
          <w:bCs/>
          <w:szCs w:val="22"/>
          <w:lang w:val="cs-CZ" w:bidi="bo-CN"/>
        </w:rPr>
        <w:t>, čímž využil</w:t>
      </w:r>
      <w:r>
        <w:rPr>
          <w:rFonts w:cs="Segoe UI"/>
          <w:bCs/>
          <w:szCs w:val="22"/>
          <w:lang w:val="cs-CZ" w:bidi="bo-CN"/>
        </w:rPr>
        <w:t>a</w:t>
      </w:r>
      <w:r w:rsidRPr="0072585D">
        <w:rPr>
          <w:rFonts w:cs="Segoe UI"/>
          <w:bCs/>
          <w:szCs w:val="22"/>
          <w:lang w:val="cs-CZ" w:bidi="bo-CN"/>
        </w:rPr>
        <w:t xml:space="preserve"> svou silnou rozvahu. V roce 2020 společnost Henkel souhlasila a uzavřela dvě akvizice </w:t>
      </w:r>
      <w:r w:rsidR="00867D5C">
        <w:rPr>
          <w:rFonts w:cs="Segoe UI"/>
          <w:bCs/>
          <w:szCs w:val="22"/>
          <w:lang w:val="cs-CZ" w:bidi="bo-CN"/>
        </w:rPr>
        <w:t>v rámci svých</w:t>
      </w:r>
      <w:r w:rsidR="003D16A5">
        <w:rPr>
          <w:rFonts w:cs="Segoe UI"/>
          <w:bCs/>
          <w:szCs w:val="22"/>
          <w:lang w:val="cs-CZ" w:bidi="bo-CN"/>
        </w:rPr>
        <w:t xml:space="preserve"> obchodních divizí</w:t>
      </w:r>
      <w:r w:rsidR="003D16A5" w:rsidRPr="003D16A5">
        <w:rPr>
          <w:rFonts w:cs="Segoe UI"/>
          <w:bCs/>
          <w:szCs w:val="22"/>
          <w:lang w:val="cs-CZ" w:bidi="bo-CN"/>
        </w:rPr>
        <w:t xml:space="preserve"> </w:t>
      </w:r>
      <w:r w:rsidR="003D16A5" w:rsidRPr="007012BC">
        <w:rPr>
          <w:rFonts w:cs="Segoe UI"/>
          <w:bCs/>
          <w:szCs w:val="22"/>
          <w:lang w:val="cs-CZ" w:bidi="bo-CN"/>
        </w:rPr>
        <w:t>Beauty Care a Adhesive Technologies</w:t>
      </w:r>
      <w:r w:rsidR="003D16A5">
        <w:rPr>
          <w:rFonts w:cs="Segoe UI"/>
          <w:bCs/>
          <w:szCs w:val="22"/>
          <w:lang w:val="cs-CZ" w:bidi="bo-CN"/>
        </w:rPr>
        <w:t>, jejichž celková kupní cena představovala přibližně 500 mil. eur.</w:t>
      </w:r>
    </w:p>
    <w:p w14:paraId="47155A5D" w14:textId="77777777" w:rsidR="00F262F5" w:rsidRPr="007012BC" w:rsidRDefault="00F262F5" w:rsidP="0019638B">
      <w:pPr>
        <w:autoSpaceDE w:val="0"/>
        <w:autoSpaceDN w:val="0"/>
        <w:adjustRightInd w:val="0"/>
        <w:rPr>
          <w:rFonts w:cs="Segoe UI"/>
          <w:bCs/>
          <w:szCs w:val="22"/>
          <w:lang w:val="cs-CZ"/>
        </w:rPr>
      </w:pPr>
    </w:p>
    <w:p w14:paraId="5D60644B" w14:textId="0941B4FF" w:rsidR="009A005B" w:rsidRPr="009A005B" w:rsidRDefault="009A005B" w:rsidP="009A005B">
      <w:pPr>
        <w:autoSpaceDE w:val="0"/>
        <w:autoSpaceDN w:val="0"/>
        <w:adjustRightInd w:val="0"/>
        <w:rPr>
          <w:rFonts w:cs="Segoe UI"/>
          <w:bCs/>
          <w:szCs w:val="22"/>
          <w:lang w:val="cs-CZ" w:bidi="bo-CN"/>
        </w:rPr>
      </w:pPr>
      <w:r w:rsidRPr="009A005B">
        <w:rPr>
          <w:rFonts w:cs="Segoe UI"/>
          <w:bCs/>
          <w:szCs w:val="22"/>
          <w:lang w:val="cs-CZ" w:bidi="bo-CN"/>
        </w:rPr>
        <w:t xml:space="preserve">Aby společnost Henkel dále posílila svoji konkurenční výhodu, zrychluje </w:t>
      </w:r>
      <w:r>
        <w:rPr>
          <w:rFonts w:cs="Segoe UI"/>
          <w:bCs/>
          <w:szCs w:val="22"/>
          <w:lang w:val="cs-CZ" w:bidi="bo-CN"/>
        </w:rPr>
        <w:t>vývoj přínosných</w:t>
      </w:r>
      <w:r w:rsidRPr="009A005B">
        <w:rPr>
          <w:rFonts w:cs="Segoe UI"/>
          <w:bCs/>
          <w:szCs w:val="22"/>
          <w:lang w:val="cs-CZ" w:bidi="bo-CN"/>
        </w:rPr>
        <w:t xml:space="preserve"> </w:t>
      </w:r>
      <w:r w:rsidRPr="009A005B">
        <w:rPr>
          <w:rFonts w:cs="Segoe UI"/>
          <w:b/>
          <w:szCs w:val="22"/>
          <w:lang w:val="cs-CZ" w:bidi="bo-CN"/>
        </w:rPr>
        <w:t>inovací</w:t>
      </w:r>
      <w:r w:rsidRPr="009A005B">
        <w:rPr>
          <w:rFonts w:cs="Segoe UI"/>
          <w:bCs/>
          <w:szCs w:val="22"/>
          <w:lang w:val="cs-CZ" w:bidi="bo-CN"/>
        </w:rPr>
        <w:t xml:space="preserve">, posiluje </w:t>
      </w:r>
      <w:r w:rsidRPr="003A4E06">
        <w:rPr>
          <w:rFonts w:cs="Segoe UI"/>
          <w:b/>
          <w:szCs w:val="22"/>
          <w:lang w:val="cs-CZ" w:bidi="bo-CN"/>
        </w:rPr>
        <w:t>udržitelnost</w:t>
      </w:r>
      <w:r w:rsidRPr="009A005B">
        <w:rPr>
          <w:rFonts w:cs="Segoe UI"/>
          <w:bCs/>
          <w:szCs w:val="22"/>
          <w:lang w:val="cs-CZ" w:bidi="bo-CN"/>
        </w:rPr>
        <w:t xml:space="preserve"> jako odlišující </w:t>
      </w:r>
      <w:r w:rsidR="00BB132D">
        <w:rPr>
          <w:rFonts w:cs="Segoe UI"/>
          <w:bCs/>
          <w:szCs w:val="22"/>
          <w:lang w:val="cs-CZ" w:bidi="bo-CN"/>
        </w:rPr>
        <w:t xml:space="preserve">se </w:t>
      </w:r>
      <w:r w:rsidRPr="009A005B">
        <w:rPr>
          <w:rFonts w:cs="Segoe UI"/>
          <w:bCs/>
          <w:szCs w:val="22"/>
          <w:lang w:val="cs-CZ" w:bidi="bo-CN"/>
        </w:rPr>
        <w:t>faktor</w:t>
      </w:r>
      <w:r w:rsidR="003A4E06">
        <w:rPr>
          <w:rFonts w:cs="Segoe UI"/>
          <w:bCs/>
          <w:szCs w:val="22"/>
          <w:lang w:val="cs-CZ" w:bidi="bo-CN"/>
        </w:rPr>
        <w:t xml:space="preserve"> od konkurence</w:t>
      </w:r>
      <w:r w:rsidRPr="009A005B">
        <w:rPr>
          <w:rFonts w:cs="Segoe UI"/>
          <w:bCs/>
          <w:szCs w:val="22"/>
          <w:lang w:val="cs-CZ" w:bidi="bo-CN"/>
        </w:rPr>
        <w:t xml:space="preserve"> a podporuje </w:t>
      </w:r>
      <w:r w:rsidRPr="003A4E06">
        <w:rPr>
          <w:rFonts w:cs="Segoe UI"/>
          <w:b/>
          <w:szCs w:val="22"/>
          <w:lang w:val="cs-CZ" w:bidi="bo-CN"/>
        </w:rPr>
        <w:t xml:space="preserve">digitální </w:t>
      </w:r>
      <w:r w:rsidRPr="009A005B">
        <w:rPr>
          <w:rFonts w:cs="Segoe UI"/>
          <w:bCs/>
          <w:szCs w:val="22"/>
          <w:lang w:val="cs-CZ" w:bidi="bo-CN"/>
        </w:rPr>
        <w:t>transformaci společnosti.</w:t>
      </w:r>
    </w:p>
    <w:p w14:paraId="612B02F3" w14:textId="0B140447" w:rsidR="0019638B" w:rsidRDefault="0019638B" w:rsidP="0019638B">
      <w:pPr>
        <w:autoSpaceDE w:val="0"/>
        <w:autoSpaceDN w:val="0"/>
        <w:adjustRightInd w:val="0"/>
        <w:rPr>
          <w:rFonts w:cs="Segoe UI"/>
          <w:bCs/>
          <w:szCs w:val="22"/>
          <w:lang w:val="cs-CZ" w:bidi="bo-CN"/>
        </w:rPr>
      </w:pPr>
    </w:p>
    <w:p w14:paraId="6B8AF239" w14:textId="37C72C93" w:rsidR="00AC0AE5" w:rsidRPr="00AC0AE5" w:rsidRDefault="00AC0AE5" w:rsidP="00AC0AE5">
      <w:pPr>
        <w:autoSpaceDE w:val="0"/>
        <w:autoSpaceDN w:val="0"/>
        <w:adjustRightInd w:val="0"/>
        <w:rPr>
          <w:rFonts w:cs="Segoe UI"/>
          <w:bCs/>
          <w:szCs w:val="22"/>
          <w:lang w:val="cs-CZ" w:bidi="bo-CN"/>
        </w:rPr>
      </w:pPr>
      <w:r w:rsidRPr="00AC0AE5">
        <w:rPr>
          <w:rFonts w:cs="Segoe UI"/>
          <w:bCs/>
          <w:szCs w:val="22"/>
          <w:lang w:val="cs-CZ" w:bidi="bo-CN"/>
        </w:rPr>
        <w:t xml:space="preserve">V roce 2020 společnost Henkel zvýšila </w:t>
      </w:r>
      <w:r>
        <w:rPr>
          <w:rFonts w:cs="Segoe UI"/>
          <w:bCs/>
          <w:szCs w:val="22"/>
          <w:lang w:val="cs-CZ" w:bidi="bo-CN"/>
        </w:rPr>
        <w:t xml:space="preserve">své </w:t>
      </w:r>
      <w:r w:rsidRPr="00AC0AE5">
        <w:rPr>
          <w:rFonts w:cs="Segoe UI"/>
          <w:b/>
          <w:szCs w:val="22"/>
          <w:lang w:val="cs-CZ" w:bidi="bo-CN"/>
        </w:rPr>
        <w:t>investice</w:t>
      </w:r>
      <w:r w:rsidRPr="00AC0AE5">
        <w:rPr>
          <w:rFonts w:cs="Segoe UI"/>
          <w:bCs/>
          <w:szCs w:val="22"/>
          <w:lang w:val="cs-CZ" w:bidi="bo-CN"/>
        </w:rPr>
        <w:t xml:space="preserve"> o přibližně 200 mi</w:t>
      </w:r>
      <w:r>
        <w:rPr>
          <w:rFonts w:cs="Segoe UI"/>
          <w:bCs/>
          <w:szCs w:val="22"/>
          <w:lang w:val="cs-CZ" w:bidi="bo-CN"/>
        </w:rPr>
        <w:t>l.</w:t>
      </w:r>
      <w:r w:rsidRPr="00AC0AE5">
        <w:rPr>
          <w:rFonts w:cs="Segoe UI"/>
          <w:bCs/>
          <w:szCs w:val="22"/>
          <w:lang w:val="cs-CZ" w:bidi="bo-CN"/>
        </w:rPr>
        <w:t xml:space="preserve"> </w:t>
      </w:r>
      <w:r>
        <w:rPr>
          <w:rFonts w:cs="Segoe UI"/>
          <w:bCs/>
          <w:szCs w:val="22"/>
          <w:lang w:val="cs-CZ" w:bidi="bo-CN"/>
        </w:rPr>
        <w:t>eur</w:t>
      </w:r>
      <w:r w:rsidRPr="00AC0AE5">
        <w:rPr>
          <w:rFonts w:cs="Segoe UI"/>
          <w:bCs/>
          <w:szCs w:val="22"/>
          <w:lang w:val="cs-CZ" w:bidi="bo-CN"/>
        </w:rPr>
        <w:t xml:space="preserve"> ve srovnání s rokem 2019 (350 mil</w:t>
      </w:r>
      <w:r>
        <w:rPr>
          <w:rFonts w:cs="Segoe UI"/>
          <w:bCs/>
          <w:szCs w:val="22"/>
          <w:lang w:val="cs-CZ" w:bidi="bo-CN"/>
        </w:rPr>
        <w:t>. eur</w:t>
      </w:r>
      <w:r w:rsidRPr="00AC0AE5">
        <w:rPr>
          <w:rFonts w:cs="Segoe UI"/>
          <w:bCs/>
          <w:szCs w:val="22"/>
          <w:lang w:val="cs-CZ" w:bidi="bo-CN"/>
        </w:rPr>
        <w:t xml:space="preserve"> ve srovnání s rokem 2018), aby posílila své značky, technologie a inovace a urychlila digitální transformaci společnosti. </w:t>
      </w:r>
      <w:r w:rsidR="00B868B3">
        <w:rPr>
          <w:rFonts w:cs="Segoe UI"/>
          <w:bCs/>
          <w:szCs w:val="22"/>
          <w:lang w:val="cs-CZ" w:bidi="bo-CN"/>
        </w:rPr>
        <w:t>Zvýšení i</w:t>
      </w:r>
      <w:r w:rsidRPr="00AC0AE5">
        <w:rPr>
          <w:rFonts w:cs="Segoe UI"/>
          <w:bCs/>
          <w:szCs w:val="22"/>
          <w:lang w:val="cs-CZ" w:bidi="bo-CN"/>
        </w:rPr>
        <w:t xml:space="preserve">nvestic ukazují první hmatatelné výsledky: </w:t>
      </w:r>
      <w:r w:rsidR="0006053D">
        <w:rPr>
          <w:rFonts w:cs="Segoe UI"/>
          <w:bCs/>
          <w:szCs w:val="22"/>
          <w:lang w:val="cs-CZ" w:bidi="bo-CN"/>
        </w:rPr>
        <w:t xml:space="preserve">Společnost </w:t>
      </w:r>
      <w:r w:rsidRPr="00AC0AE5">
        <w:rPr>
          <w:rFonts w:cs="Segoe UI"/>
          <w:bCs/>
          <w:szCs w:val="22"/>
          <w:lang w:val="cs-CZ" w:bidi="bo-CN"/>
        </w:rPr>
        <w:t>Henkel dokázala zvýšit podíly na trhu na mnoha klíčových trzích a</w:t>
      </w:r>
      <w:r w:rsidR="00BB132D">
        <w:rPr>
          <w:rFonts w:cs="Segoe UI"/>
          <w:bCs/>
          <w:szCs w:val="22"/>
          <w:lang w:val="cs-CZ" w:bidi="bo-CN"/>
        </w:rPr>
        <w:t xml:space="preserve"> v mnoha</w:t>
      </w:r>
      <w:r w:rsidRPr="00AC0AE5">
        <w:rPr>
          <w:rFonts w:cs="Segoe UI"/>
          <w:bCs/>
          <w:szCs w:val="22"/>
          <w:lang w:val="cs-CZ" w:bidi="bo-CN"/>
        </w:rPr>
        <w:t xml:space="preserve"> kategoriích. </w:t>
      </w:r>
      <w:r w:rsidR="0006053D">
        <w:rPr>
          <w:rFonts w:cs="Segoe UI"/>
          <w:bCs/>
          <w:szCs w:val="22"/>
          <w:lang w:val="cs-CZ" w:bidi="bo-CN"/>
        </w:rPr>
        <w:t>Zároveň</w:t>
      </w:r>
      <w:r w:rsidRPr="00AC0AE5">
        <w:rPr>
          <w:rFonts w:cs="Segoe UI"/>
          <w:bCs/>
          <w:szCs w:val="22"/>
          <w:lang w:val="cs-CZ" w:bidi="bo-CN"/>
        </w:rPr>
        <w:t xml:space="preserve"> také dále urychlila své inovační procesy a </w:t>
      </w:r>
      <w:r w:rsidR="00541ECC">
        <w:rPr>
          <w:rFonts w:cs="Segoe UI"/>
          <w:bCs/>
          <w:szCs w:val="22"/>
          <w:lang w:val="cs-CZ" w:bidi="bo-CN"/>
        </w:rPr>
        <w:t>uvádění</w:t>
      </w:r>
      <w:r w:rsidRPr="00AC0AE5">
        <w:rPr>
          <w:rFonts w:cs="Segoe UI"/>
          <w:bCs/>
          <w:szCs w:val="22"/>
          <w:lang w:val="cs-CZ" w:bidi="bo-CN"/>
        </w:rPr>
        <w:t xml:space="preserve"> nových produktů</w:t>
      </w:r>
      <w:r w:rsidR="00541ECC">
        <w:rPr>
          <w:rFonts w:cs="Segoe UI"/>
          <w:bCs/>
          <w:szCs w:val="22"/>
          <w:lang w:val="cs-CZ" w:bidi="bo-CN"/>
        </w:rPr>
        <w:t xml:space="preserve"> na trh</w:t>
      </w:r>
      <w:r w:rsidRPr="00AC0AE5">
        <w:rPr>
          <w:rFonts w:cs="Segoe UI"/>
          <w:bCs/>
          <w:szCs w:val="22"/>
          <w:lang w:val="cs-CZ" w:bidi="bo-CN"/>
        </w:rPr>
        <w:t xml:space="preserve">. To pomohlo například rychle reagovat na silný nárůst poptávky po hygienických, dezinfekčních a čisticích prostředcích </w:t>
      </w:r>
      <w:r w:rsidR="00365536">
        <w:rPr>
          <w:rFonts w:cs="Segoe UI"/>
          <w:bCs/>
          <w:szCs w:val="22"/>
          <w:lang w:val="cs-CZ" w:bidi="bo-CN"/>
        </w:rPr>
        <w:t>použitím</w:t>
      </w:r>
      <w:r w:rsidRPr="00AC0AE5">
        <w:rPr>
          <w:rFonts w:cs="Segoe UI"/>
          <w:bCs/>
          <w:szCs w:val="22"/>
          <w:lang w:val="cs-CZ" w:bidi="bo-CN"/>
        </w:rPr>
        <w:t xml:space="preserve"> „zrychlených inovací“. Důraz byl kladen na klíčové trendy, jako je hygiena, více přírodních a udržitelných produktů a </w:t>
      </w:r>
      <w:r w:rsidR="00365536">
        <w:rPr>
          <w:rFonts w:cs="Segoe UI"/>
          <w:bCs/>
          <w:szCs w:val="22"/>
          <w:lang w:val="cs-CZ" w:bidi="bo-CN"/>
        </w:rPr>
        <w:t xml:space="preserve">pohodlnější </w:t>
      </w:r>
      <w:r w:rsidR="00BB132D">
        <w:rPr>
          <w:rFonts w:cs="Segoe UI"/>
          <w:bCs/>
          <w:szCs w:val="22"/>
          <w:lang w:val="cs-CZ" w:bidi="bo-CN"/>
        </w:rPr>
        <w:t>používání</w:t>
      </w:r>
      <w:r w:rsidRPr="00AC0AE5">
        <w:rPr>
          <w:rFonts w:cs="Segoe UI"/>
          <w:bCs/>
          <w:szCs w:val="22"/>
          <w:lang w:val="cs-CZ" w:bidi="bo-CN"/>
        </w:rPr>
        <w:t>.</w:t>
      </w:r>
    </w:p>
    <w:p w14:paraId="0B2A75AC" w14:textId="1D854052" w:rsidR="0019638B" w:rsidRDefault="0019638B" w:rsidP="0019638B">
      <w:pPr>
        <w:autoSpaceDE w:val="0"/>
        <w:autoSpaceDN w:val="0"/>
        <w:adjustRightInd w:val="0"/>
        <w:rPr>
          <w:rFonts w:cs="Segoe UI"/>
          <w:bCs/>
          <w:szCs w:val="22"/>
          <w:lang w:val="cs-CZ"/>
        </w:rPr>
      </w:pPr>
    </w:p>
    <w:p w14:paraId="1C01407D" w14:textId="3980B103" w:rsidR="00365536" w:rsidRPr="00867670" w:rsidRDefault="00867670" w:rsidP="0019638B">
      <w:pPr>
        <w:autoSpaceDE w:val="0"/>
        <w:autoSpaceDN w:val="0"/>
        <w:adjustRightInd w:val="0"/>
        <w:rPr>
          <w:rFonts w:cs="Segoe UI"/>
          <w:bCs/>
          <w:szCs w:val="22"/>
          <w:lang w:val="cs-CZ"/>
        </w:rPr>
      </w:pPr>
      <w:r w:rsidRPr="00867670">
        <w:rPr>
          <w:rFonts w:cs="Segoe UI"/>
          <w:bCs/>
          <w:szCs w:val="22"/>
          <w:lang w:val="cs-CZ" w:bidi="bo-CN"/>
        </w:rPr>
        <w:t xml:space="preserve">Za účelem urychlení </w:t>
      </w:r>
      <w:r w:rsidRPr="00867670">
        <w:rPr>
          <w:rFonts w:cs="Segoe UI"/>
          <w:b/>
          <w:szCs w:val="22"/>
          <w:lang w:val="cs-CZ" w:bidi="bo-CN"/>
        </w:rPr>
        <w:t>inovací</w:t>
      </w:r>
      <w:r w:rsidRPr="00867670">
        <w:rPr>
          <w:rFonts w:cs="Segoe UI"/>
          <w:bCs/>
          <w:szCs w:val="22"/>
          <w:lang w:val="cs-CZ" w:bidi="bo-CN"/>
        </w:rPr>
        <w:t xml:space="preserve"> a vývoje </w:t>
      </w:r>
      <w:r w:rsidRPr="00867670">
        <w:rPr>
          <w:rFonts w:cs="Segoe UI"/>
          <w:b/>
          <w:szCs w:val="22"/>
          <w:lang w:val="cs-CZ" w:bidi="bo-CN"/>
        </w:rPr>
        <w:t>nových obchodních modelů</w:t>
      </w:r>
      <w:r w:rsidRPr="00867670">
        <w:rPr>
          <w:rFonts w:cs="Segoe UI"/>
          <w:bCs/>
          <w:szCs w:val="22"/>
          <w:lang w:val="cs-CZ" w:bidi="bo-CN"/>
        </w:rPr>
        <w:t xml:space="preserve"> vytvořily spotřebitelské obchodní jednotky Beauty Care a Laundry &amp; Home Care interní týmy</w:t>
      </w:r>
      <w:r w:rsidR="00CC1D82">
        <w:rPr>
          <w:rFonts w:cs="Segoe UI"/>
          <w:bCs/>
          <w:szCs w:val="22"/>
          <w:lang w:val="cs-CZ" w:bidi="bo-CN"/>
        </w:rPr>
        <w:t xml:space="preserve"> podnikatelských</w:t>
      </w:r>
      <w:r w:rsidRPr="00867670">
        <w:rPr>
          <w:rFonts w:cs="Segoe UI"/>
          <w:bCs/>
          <w:szCs w:val="22"/>
          <w:lang w:val="cs-CZ" w:bidi="bo-CN"/>
        </w:rPr>
        <w:t xml:space="preserve"> inkubátorů kombinující agilní pracovní přístupy s </w:t>
      </w:r>
      <w:r w:rsidR="00CC1D82">
        <w:rPr>
          <w:rFonts w:cs="Segoe UI"/>
          <w:bCs/>
          <w:szCs w:val="22"/>
          <w:lang w:val="cs-CZ" w:bidi="bo-CN"/>
        </w:rPr>
        <w:t>velikostí</w:t>
      </w:r>
      <w:r w:rsidRPr="00867670">
        <w:rPr>
          <w:rFonts w:cs="Segoe UI"/>
          <w:bCs/>
          <w:szCs w:val="22"/>
          <w:lang w:val="cs-CZ" w:bidi="bo-CN"/>
        </w:rPr>
        <w:t xml:space="preserve"> a </w:t>
      </w:r>
      <w:r w:rsidR="00CC1D82">
        <w:rPr>
          <w:rFonts w:cs="Segoe UI"/>
          <w:bCs/>
          <w:szCs w:val="22"/>
          <w:lang w:val="cs-CZ" w:bidi="bo-CN"/>
        </w:rPr>
        <w:t xml:space="preserve">poznatky </w:t>
      </w:r>
      <w:r w:rsidRPr="00867670">
        <w:rPr>
          <w:rFonts w:cs="Segoe UI"/>
          <w:bCs/>
          <w:szCs w:val="22"/>
          <w:lang w:val="cs-CZ" w:bidi="bo-CN"/>
        </w:rPr>
        <w:t xml:space="preserve">globální společnosti: „Fritz Beauty Lab“, inspirovaná </w:t>
      </w:r>
      <w:r w:rsidR="00831B22">
        <w:rPr>
          <w:rFonts w:cs="Segoe UI"/>
          <w:bCs/>
          <w:szCs w:val="22"/>
          <w:lang w:val="cs-CZ" w:bidi="bo-CN"/>
        </w:rPr>
        <w:t>z</w:t>
      </w:r>
      <w:r w:rsidRPr="00867670">
        <w:rPr>
          <w:rFonts w:cs="Segoe UI"/>
          <w:bCs/>
          <w:szCs w:val="22"/>
          <w:lang w:val="cs-CZ" w:bidi="bo-CN"/>
        </w:rPr>
        <w:t xml:space="preserve">akladatel společnosti </w:t>
      </w:r>
      <w:r w:rsidRPr="00774C2A">
        <w:rPr>
          <w:rFonts w:cs="Segoe UI"/>
          <w:bCs/>
          <w:szCs w:val="22"/>
          <w:lang w:val="cs-CZ" w:bidi="bo-CN"/>
        </w:rPr>
        <w:t>Fritz</w:t>
      </w:r>
      <w:r w:rsidR="00890C1A" w:rsidRPr="00774C2A">
        <w:rPr>
          <w:rFonts w:cs="Segoe UI"/>
          <w:bCs/>
          <w:szCs w:val="22"/>
          <w:lang w:val="cs-CZ" w:bidi="bo-CN"/>
        </w:rPr>
        <w:t>em</w:t>
      </w:r>
      <w:r w:rsidRPr="00774C2A">
        <w:rPr>
          <w:rFonts w:cs="Segoe UI"/>
          <w:bCs/>
          <w:szCs w:val="22"/>
          <w:lang w:val="cs-CZ" w:bidi="bo-CN"/>
        </w:rPr>
        <w:t xml:space="preserve"> Henkel</w:t>
      </w:r>
      <w:r w:rsidR="00890C1A" w:rsidRPr="00774C2A">
        <w:rPr>
          <w:rFonts w:cs="Segoe UI"/>
          <w:bCs/>
          <w:szCs w:val="22"/>
          <w:lang w:val="cs-CZ" w:bidi="bo-CN"/>
        </w:rPr>
        <w:t>em</w:t>
      </w:r>
      <w:r w:rsidRPr="00867670">
        <w:rPr>
          <w:rFonts w:cs="Segoe UI"/>
          <w:bCs/>
          <w:szCs w:val="22"/>
          <w:lang w:val="cs-CZ" w:bidi="bo-CN"/>
        </w:rPr>
        <w:t xml:space="preserve"> si klade za cíl identifikovat oblasti s růstovým potenciálem pro stávající značky nebo s bílými místy a vy</w:t>
      </w:r>
      <w:r w:rsidR="00831B22">
        <w:rPr>
          <w:rFonts w:cs="Segoe UI"/>
          <w:bCs/>
          <w:szCs w:val="22"/>
          <w:lang w:val="cs-CZ" w:bidi="bo-CN"/>
        </w:rPr>
        <w:t>budovat</w:t>
      </w:r>
      <w:r w:rsidRPr="00867670">
        <w:rPr>
          <w:rFonts w:cs="Segoe UI"/>
          <w:bCs/>
          <w:szCs w:val="22"/>
          <w:lang w:val="cs-CZ" w:bidi="bo-CN"/>
        </w:rPr>
        <w:t xml:space="preserve"> zcela nové značky. </w:t>
      </w:r>
      <w:r w:rsidR="00831B22">
        <w:rPr>
          <w:rFonts w:cs="Segoe UI"/>
          <w:bCs/>
          <w:szCs w:val="22"/>
          <w:lang w:val="cs-CZ" w:bidi="bo-CN"/>
        </w:rPr>
        <w:t>Divize</w:t>
      </w:r>
      <w:r w:rsidRPr="00867670">
        <w:rPr>
          <w:rFonts w:cs="Segoe UI"/>
          <w:bCs/>
          <w:szCs w:val="22"/>
          <w:lang w:val="cs-CZ" w:bidi="bo-CN"/>
        </w:rPr>
        <w:t xml:space="preserve"> Laundry &amp; Home Care zahájila provoz nové myšlenky</w:t>
      </w:r>
      <w:r w:rsidR="00650195">
        <w:rPr>
          <w:rFonts w:cs="Segoe UI"/>
          <w:bCs/>
          <w:szCs w:val="22"/>
          <w:lang w:val="cs-CZ" w:bidi="bo-CN"/>
        </w:rPr>
        <w:t xml:space="preserve"> díky</w:t>
      </w:r>
      <w:r w:rsidR="00791DA5">
        <w:rPr>
          <w:rFonts w:cs="Segoe UI"/>
          <w:bCs/>
          <w:szCs w:val="22"/>
          <w:lang w:val="cs-CZ" w:bidi="bo-CN"/>
        </w:rPr>
        <w:t xml:space="preserve"> znač</w:t>
      </w:r>
      <w:r w:rsidR="00650195">
        <w:rPr>
          <w:rFonts w:cs="Segoe UI"/>
          <w:bCs/>
          <w:szCs w:val="22"/>
          <w:lang w:val="cs-CZ" w:bidi="bo-CN"/>
        </w:rPr>
        <w:t>ce</w:t>
      </w:r>
      <w:r w:rsidR="00791DA5">
        <w:rPr>
          <w:rFonts w:cs="Segoe UI"/>
          <w:bCs/>
          <w:szCs w:val="22"/>
          <w:lang w:val="cs-CZ" w:bidi="bo-CN"/>
        </w:rPr>
        <w:t xml:space="preserve"> Love Nature</w:t>
      </w:r>
      <w:r w:rsidR="00650195">
        <w:rPr>
          <w:rFonts w:cs="Segoe UI"/>
          <w:bCs/>
          <w:szCs w:val="22"/>
          <w:lang w:val="cs-CZ" w:bidi="bo-CN"/>
        </w:rPr>
        <w:t xml:space="preserve">, </w:t>
      </w:r>
      <w:r w:rsidR="00791DA5">
        <w:rPr>
          <w:rFonts w:cs="Segoe UI"/>
          <w:bCs/>
          <w:szCs w:val="22"/>
          <w:lang w:val="cs-CZ" w:bidi="bo-CN"/>
        </w:rPr>
        <w:t>která se zaměřuje na hledání trvale udržitelných řešen</w:t>
      </w:r>
      <w:r w:rsidR="00C24F89">
        <w:rPr>
          <w:rFonts w:cs="Segoe UI"/>
          <w:bCs/>
          <w:szCs w:val="22"/>
          <w:lang w:val="cs-CZ" w:bidi="bo-CN"/>
        </w:rPr>
        <w:t>í v kategorii pracích produktů a čistících produktů pro domácnost.</w:t>
      </w:r>
      <w:r w:rsidRPr="00867670">
        <w:rPr>
          <w:rFonts w:cs="Segoe UI"/>
          <w:bCs/>
          <w:szCs w:val="22"/>
          <w:lang w:val="cs-CZ" w:bidi="bo-CN"/>
        </w:rPr>
        <w:t xml:space="preserve"> V</w:t>
      </w:r>
      <w:r w:rsidR="00C24F89">
        <w:rPr>
          <w:rFonts w:cs="Segoe UI"/>
          <w:bCs/>
          <w:szCs w:val="22"/>
          <w:lang w:val="cs-CZ" w:bidi="bo-CN"/>
        </w:rPr>
        <w:t> rámci divize Adhesive Technologies</w:t>
      </w:r>
      <w:r w:rsidRPr="00867670">
        <w:rPr>
          <w:rFonts w:cs="Segoe UI"/>
          <w:bCs/>
          <w:szCs w:val="22"/>
          <w:lang w:val="cs-CZ" w:bidi="bo-CN"/>
        </w:rPr>
        <w:t xml:space="preserve"> pokračoval</w:t>
      </w:r>
      <w:r w:rsidR="00C24F89">
        <w:rPr>
          <w:rFonts w:cs="Segoe UI"/>
          <w:bCs/>
          <w:szCs w:val="22"/>
          <w:lang w:val="cs-CZ" w:bidi="bo-CN"/>
        </w:rPr>
        <w:t>a společnost Henkel</w:t>
      </w:r>
      <w:r w:rsidRPr="00867670">
        <w:rPr>
          <w:rFonts w:cs="Segoe UI"/>
          <w:bCs/>
          <w:szCs w:val="22"/>
          <w:lang w:val="cs-CZ" w:bidi="bo-CN"/>
        </w:rPr>
        <w:t xml:space="preserve"> v investicích do svého nejmodernějšího inovačního centra v </w:t>
      </w:r>
      <w:r w:rsidRPr="00867670">
        <w:rPr>
          <w:rFonts w:cs="Segoe UI"/>
          <w:bCs/>
          <w:szCs w:val="22"/>
          <w:lang w:val="cs-CZ" w:bidi="bo-CN"/>
        </w:rPr>
        <w:lastRenderedPageBreak/>
        <w:t>Düsseldorfu. Středisko, které představuje celkovou investici 130 milionů eur</w:t>
      </w:r>
      <w:r w:rsidR="009C2AA9">
        <w:rPr>
          <w:rFonts w:cs="Segoe UI"/>
          <w:bCs/>
          <w:szCs w:val="22"/>
          <w:lang w:val="cs-CZ" w:bidi="bo-CN"/>
        </w:rPr>
        <w:t xml:space="preserve"> </w:t>
      </w:r>
      <w:r w:rsidRPr="00867670">
        <w:rPr>
          <w:rFonts w:cs="Segoe UI"/>
          <w:bCs/>
          <w:szCs w:val="22"/>
          <w:lang w:val="cs-CZ" w:bidi="bo-CN"/>
        </w:rPr>
        <w:t>se blíží dokončení a zprovozněno bude v první polovině roku 2021.</w:t>
      </w:r>
    </w:p>
    <w:p w14:paraId="4C98A490" w14:textId="43F619DE" w:rsidR="00365536" w:rsidRDefault="00365536" w:rsidP="0019638B">
      <w:pPr>
        <w:autoSpaceDE w:val="0"/>
        <w:autoSpaceDN w:val="0"/>
        <w:adjustRightInd w:val="0"/>
        <w:rPr>
          <w:rFonts w:cs="Segoe UI"/>
          <w:bCs/>
          <w:szCs w:val="22"/>
          <w:lang w:val="cs-CZ"/>
        </w:rPr>
      </w:pPr>
    </w:p>
    <w:p w14:paraId="5492B053" w14:textId="4F3101C7" w:rsidR="00B90EDD" w:rsidRPr="00B90EDD" w:rsidRDefault="00B90EDD" w:rsidP="00B90EDD">
      <w:pPr>
        <w:rPr>
          <w:rFonts w:cs="Segoe UI"/>
          <w:bCs/>
          <w:szCs w:val="22"/>
          <w:lang w:val="cs-CZ" w:bidi="bo-CN"/>
        </w:rPr>
      </w:pPr>
      <w:r w:rsidRPr="00B90EDD">
        <w:rPr>
          <w:rFonts w:cs="Segoe UI"/>
          <w:b/>
          <w:szCs w:val="22"/>
          <w:lang w:val="cs-CZ" w:bidi="bo-CN"/>
        </w:rPr>
        <w:t>Udržitelnost</w:t>
      </w:r>
      <w:r w:rsidRPr="00B90EDD">
        <w:rPr>
          <w:rFonts w:cs="Segoe UI"/>
          <w:bCs/>
          <w:szCs w:val="22"/>
          <w:lang w:val="cs-CZ" w:bidi="bo-CN"/>
        </w:rPr>
        <w:t xml:space="preserve"> je jednou z </w:t>
      </w:r>
      <w:r>
        <w:rPr>
          <w:rFonts w:cs="Segoe UI"/>
          <w:bCs/>
          <w:szCs w:val="22"/>
          <w:lang w:val="cs-CZ" w:bidi="bo-CN"/>
        </w:rPr>
        <w:t>nejsilnějších</w:t>
      </w:r>
      <w:r w:rsidRPr="00B90EDD">
        <w:rPr>
          <w:rFonts w:cs="Segoe UI"/>
          <w:bCs/>
          <w:szCs w:val="22"/>
          <w:lang w:val="cs-CZ" w:bidi="bo-CN"/>
        </w:rPr>
        <w:t xml:space="preserve"> silných stránek společnosti Henkel. Společnost </w:t>
      </w:r>
      <w:r w:rsidR="00AA7ACF">
        <w:rPr>
          <w:rFonts w:cs="Segoe UI"/>
          <w:bCs/>
          <w:szCs w:val="22"/>
          <w:lang w:val="cs-CZ" w:bidi="bo-CN"/>
        </w:rPr>
        <w:t>je v této oblasti leader</w:t>
      </w:r>
      <w:r w:rsidRPr="00B90EDD">
        <w:rPr>
          <w:rFonts w:cs="Segoe UI"/>
          <w:bCs/>
          <w:szCs w:val="22"/>
          <w:lang w:val="cs-CZ" w:bidi="bo-CN"/>
        </w:rPr>
        <w:t xml:space="preserve">, </w:t>
      </w:r>
      <w:r w:rsidR="00AA7ACF">
        <w:rPr>
          <w:rFonts w:cs="Segoe UI"/>
          <w:bCs/>
          <w:szCs w:val="22"/>
          <w:lang w:val="cs-CZ" w:bidi="bo-CN"/>
        </w:rPr>
        <w:t>což</w:t>
      </w:r>
      <w:r w:rsidRPr="00B90EDD">
        <w:rPr>
          <w:rFonts w:cs="Segoe UI"/>
          <w:bCs/>
          <w:szCs w:val="22"/>
          <w:lang w:val="cs-CZ" w:bidi="bo-CN"/>
        </w:rPr>
        <w:t xml:space="preserve"> potvrz</w:t>
      </w:r>
      <w:r w:rsidR="00AA7ACF">
        <w:rPr>
          <w:rFonts w:cs="Segoe UI"/>
          <w:bCs/>
          <w:szCs w:val="22"/>
          <w:lang w:val="cs-CZ" w:bidi="bo-CN"/>
        </w:rPr>
        <w:t xml:space="preserve">uje </w:t>
      </w:r>
      <w:r w:rsidR="00F017DC" w:rsidRPr="00B90EDD">
        <w:rPr>
          <w:rFonts w:cs="Segoe UI"/>
          <w:bCs/>
          <w:szCs w:val="22"/>
          <w:lang w:val="cs-CZ" w:bidi="bo-CN"/>
        </w:rPr>
        <w:t>pravideln</w:t>
      </w:r>
      <w:r w:rsidR="00F017DC">
        <w:rPr>
          <w:rFonts w:cs="Segoe UI"/>
          <w:bCs/>
          <w:szCs w:val="22"/>
          <w:lang w:val="cs-CZ" w:bidi="bo-CN"/>
        </w:rPr>
        <w:t>é umístění na předních místech</w:t>
      </w:r>
      <w:r w:rsidR="00F017DC" w:rsidRPr="00B90EDD">
        <w:rPr>
          <w:rFonts w:cs="Segoe UI"/>
          <w:bCs/>
          <w:szCs w:val="22"/>
          <w:lang w:val="cs-CZ" w:bidi="bo-CN"/>
        </w:rPr>
        <w:t xml:space="preserve"> </w:t>
      </w:r>
      <w:r w:rsidRPr="00B90EDD">
        <w:rPr>
          <w:rFonts w:cs="Segoe UI"/>
          <w:bCs/>
          <w:szCs w:val="22"/>
          <w:lang w:val="cs-CZ" w:bidi="bo-CN"/>
        </w:rPr>
        <w:t>v</w:t>
      </w:r>
      <w:r w:rsidR="00C62594">
        <w:rPr>
          <w:rFonts w:cs="Segoe UI"/>
          <w:bCs/>
          <w:szCs w:val="22"/>
          <w:lang w:val="cs-CZ" w:bidi="bo-CN"/>
        </w:rPr>
        <w:t xml:space="preserve"> renomovaných </w:t>
      </w:r>
      <w:r w:rsidRPr="00B90EDD">
        <w:rPr>
          <w:rFonts w:cs="Segoe UI"/>
          <w:bCs/>
          <w:szCs w:val="22"/>
          <w:lang w:val="cs-CZ" w:bidi="bo-CN"/>
        </w:rPr>
        <w:t>hodnoceních a žebříčcích</w:t>
      </w:r>
      <w:r w:rsidR="00C62594">
        <w:rPr>
          <w:rFonts w:cs="Segoe UI"/>
          <w:bCs/>
          <w:szCs w:val="22"/>
          <w:lang w:val="cs-CZ" w:bidi="bo-CN"/>
        </w:rPr>
        <w:t xml:space="preserve"> udržitelnosti</w:t>
      </w:r>
      <w:r w:rsidRPr="00B90EDD">
        <w:rPr>
          <w:rFonts w:cs="Segoe UI"/>
          <w:bCs/>
          <w:szCs w:val="22"/>
          <w:lang w:val="cs-CZ" w:bidi="bo-CN"/>
        </w:rPr>
        <w:t xml:space="preserve">. V návaznosti na tento silný </w:t>
      </w:r>
      <w:r w:rsidR="00351E85">
        <w:rPr>
          <w:rFonts w:cs="Segoe UI"/>
          <w:bCs/>
          <w:szCs w:val="22"/>
          <w:lang w:val="cs-CZ" w:bidi="bo-CN"/>
        </w:rPr>
        <w:t xml:space="preserve">výkon </w:t>
      </w:r>
      <w:r w:rsidRPr="00B90EDD">
        <w:rPr>
          <w:rFonts w:cs="Segoe UI"/>
          <w:bCs/>
          <w:szCs w:val="22"/>
          <w:lang w:val="cs-CZ" w:bidi="bo-CN"/>
        </w:rPr>
        <w:t>si Henkel klade za cíl využít udržitelnost</w:t>
      </w:r>
      <w:r w:rsidR="00351E85">
        <w:rPr>
          <w:rFonts w:cs="Segoe UI"/>
          <w:bCs/>
          <w:szCs w:val="22"/>
          <w:lang w:val="cs-CZ" w:bidi="bo-CN"/>
        </w:rPr>
        <w:t xml:space="preserve"> také</w:t>
      </w:r>
      <w:r w:rsidRPr="00B90EDD">
        <w:rPr>
          <w:rFonts w:cs="Segoe UI"/>
          <w:bCs/>
          <w:szCs w:val="22"/>
          <w:lang w:val="cs-CZ" w:bidi="bo-CN"/>
        </w:rPr>
        <w:t xml:space="preserve"> jako konkurenční</w:t>
      </w:r>
      <w:r w:rsidR="00621472">
        <w:rPr>
          <w:rFonts w:cs="Segoe UI"/>
          <w:bCs/>
          <w:szCs w:val="22"/>
          <w:lang w:val="cs-CZ" w:bidi="bo-CN"/>
        </w:rPr>
        <w:t>ho</w:t>
      </w:r>
      <w:r w:rsidRPr="00B90EDD">
        <w:rPr>
          <w:rFonts w:cs="Segoe UI"/>
          <w:bCs/>
          <w:szCs w:val="22"/>
          <w:lang w:val="cs-CZ" w:bidi="bo-CN"/>
        </w:rPr>
        <w:t xml:space="preserve"> odlišitel</w:t>
      </w:r>
      <w:r w:rsidR="00621472">
        <w:rPr>
          <w:rFonts w:cs="Segoe UI"/>
          <w:bCs/>
          <w:szCs w:val="22"/>
          <w:lang w:val="cs-CZ" w:bidi="bo-CN"/>
        </w:rPr>
        <w:t>e</w:t>
      </w:r>
      <w:r w:rsidRPr="00B90EDD">
        <w:rPr>
          <w:rFonts w:cs="Segoe UI"/>
          <w:bCs/>
          <w:szCs w:val="22"/>
          <w:lang w:val="cs-CZ" w:bidi="bo-CN"/>
        </w:rPr>
        <w:t xml:space="preserve">. V roce 2020 společnost Henkel úspěšně pokračovala v integraci udržitelnosti do všech svých obchodních aktivit a řízení pokroku v celém hodnotovém řetězci. Společnost Henkel uvedla na trh nové produkty zaměřené na rostoucí očekávání spotřebitelů ohledně přírodních a udržitelných produktů, jako jsou </w:t>
      </w:r>
      <w:r w:rsidR="00F54D16">
        <w:rPr>
          <w:rFonts w:cs="Segoe UI"/>
          <w:bCs/>
          <w:szCs w:val="22"/>
          <w:lang w:val="cs-CZ" w:bidi="bo-CN"/>
        </w:rPr>
        <w:t>tuhé šampóny</w:t>
      </w:r>
      <w:r w:rsidRPr="00B90EDD">
        <w:rPr>
          <w:rFonts w:cs="Segoe UI"/>
          <w:bCs/>
          <w:szCs w:val="22"/>
          <w:lang w:val="cs-CZ" w:bidi="bo-CN"/>
        </w:rPr>
        <w:t xml:space="preserve"> </w:t>
      </w:r>
      <w:r w:rsidR="00F54D16">
        <w:rPr>
          <w:rFonts w:cs="Segoe UI"/>
          <w:bCs/>
          <w:szCs w:val="22"/>
          <w:lang w:val="cs-CZ" w:bidi="bo-CN"/>
        </w:rPr>
        <w:t xml:space="preserve">divize </w:t>
      </w:r>
      <w:r w:rsidR="00F54D16" w:rsidRPr="00B90EDD">
        <w:rPr>
          <w:rFonts w:cs="Segoe UI"/>
          <w:bCs/>
          <w:szCs w:val="22"/>
          <w:lang w:val="cs-CZ" w:bidi="bo-CN"/>
        </w:rPr>
        <w:t>Beauty</w:t>
      </w:r>
      <w:r w:rsidRPr="00B90EDD">
        <w:rPr>
          <w:rFonts w:cs="Segoe UI"/>
          <w:bCs/>
          <w:szCs w:val="22"/>
          <w:lang w:val="cs-CZ" w:bidi="bo-CN"/>
        </w:rPr>
        <w:t xml:space="preserve"> Care </w:t>
      </w:r>
      <w:r w:rsidR="00F54D16">
        <w:rPr>
          <w:rFonts w:cs="Segoe UI"/>
          <w:bCs/>
          <w:szCs w:val="22"/>
          <w:lang w:val="cs-CZ" w:bidi="bo-CN"/>
        </w:rPr>
        <w:t xml:space="preserve">prodávané pod značkou </w:t>
      </w:r>
      <w:r w:rsidRPr="00B90EDD">
        <w:rPr>
          <w:rFonts w:cs="Segoe UI"/>
          <w:bCs/>
          <w:szCs w:val="22"/>
          <w:lang w:val="cs-CZ" w:bidi="bo-CN"/>
        </w:rPr>
        <w:t xml:space="preserve">Nature Box a N.A.E. </w:t>
      </w:r>
      <w:r w:rsidR="00DA527A">
        <w:rPr>
          <w:rFonts w:cs="Segoe UI"/>
          <w:bCs/>
          <w:szCs w:val="22"/>
          <w:lang w:val="cs-CZ" w:bidi="bo-CN"/>
        </w:rPr>
        <w:t xml:space="preserve">Divize </w:t>
      </w:r>
      <w:r w:rsidR="00DA527A" w:rsidRPr="007012BC">
        <w:rPr>
          <w:rFonts w:cs="Segoe UI"/>
          <w:bCs/>
          <w:szCs w:val="22"/>
          <w:lang w:val="cs-CZ" w:bidi="bo-CN"/>
        </w:rPr>
        <w:t>Laundry &amp; Home Care</w:t>
      </w:r>
      <w:r w:rsidRPr="00B90EDD">
        <w:rPr>
          <w:rFonts w:cs="Segoe UI"/>
          <w:bCs/>
          <w:szCs w:val="22"/>
          <w:lang w:val="cs-CZ" w:bidi="bo-CN"/>
        </w:rPr>
        <w:t xml:space="preserve"> </w:t>
      </w:r>
      <w:r w:rsidR="004E66A3">
        <w:rPr>
          <w:rFonts w:cs="Segoe UI"/>
          <w:bCs/>
          <w:szCs w:val="22"/>
          <w:lang w:val="cs-CZ" w:bidi="bo-CN"/>
        </w:rPr>
        <w:t>rozšířila portf</w:t>
      </w:r>
      <w:r w:rsidR="00C02437">
        <w:rPr>
          <w:rFonts w:cs="Segoe UI"/>
          <w:bCs/>
          <w:szCs w:val="22"/>
          <w:lang w:val="cs-CZ" w:bidi="bo-CN"/>
        </w:rPr>
        <w:t>o</w:t>
      </w:r>
      <w:r w:rsidR="004E66A3">
        <w:rPr>
          <w:rFonts w:cs="Segoe UI"/>
          <w:bCs/>
          <w:szCs w:val="22"/>
          <w:lang w:val="cs-CZ" w:bidi="bo-CN"/>
        </w:rPr>
        <w:t>lio svých výrobků pod</w:t>
      </w:r>
      <w:r w:rsidR="000F18CA">
        <w:rPr>
          <w:rFonts w:cs="Segoe UI"/>
          <w:bCs/>
          <w:szCs w:val="22"/>
          <w:lang w:val="cs-CZ" w:bidi="bo-CN"/>
        </w:rPr>
        <w:t xml:space="preserve"> </w:t>
      </w:r>
      <w:r w:rsidR="004E66A3">
        <w:rPr>
          <w:rFonts w:cs="Segoe UI"/>
          <w:bCs/>
          <w:szCs w:val="22"/>
          <w:lang w:val="cs-CZ" w:bidi="bo-CN"/>
        </w:rPr>
        <w:t>značkou Pro Nature</w:t>
      </w:r>
      <w:r w:rsidRPr="00B90EDD">
        <w:rPr>
          <w:rFonts w:cs="Segoe UI"/>
          <w:bCs/>
          <w:szCs w:val="22"/>
          <w:lang w:val="cs-CZ" w:bidi="bo-CN"/>
        </w:rPr>
        <w:t xml:space="preserve"> a úspěšně </w:t>
      </w:r>
      <w:r w:rsidR="00C02437">
        <w:rPr>
          <w:rFonts w:cs="Segoe UI"/>
          <w:bCs/>
          <w:szCs w:val="22"/>
          <w:lang w:val="cs-CZ" w:bidi="bo-CN"/>
        </w:rPr>
        <w:t xml:space="preserve">na </w:t>
      </w:r>
      <w:r w:rsidR="000F18CA">
        <w:rPr>
          <w:rFonts w:cs="Segoe UI"/>
          <w:bCs/>
          <w:szCs w:val="22"/>
          <w:lang w:val="cs-CZ" w:bidi="bo-CN"/>
        </w:rPr>
        <w:t>trh uved</w:t>
      </w:r>
      <w:r w:rsidR="00C02437">
        <w:rPr>
          <w:rFonts w:cs="Segoe UI"/>
          <w:bCs/>
          <w:szCs w:val="22"/>
          <w:lang w:val="cs-CZ" w:bidi="bo-CN"/>
        </w:rPr>
        <w:t>la</w:t>
      </w:r>
      <w:r w:rsidR="000F18CA">
        <w:rPr>
          <w:rFonts w:cs="Segoe UI"/>
          <w:bCs/>
          <w:szCs w:val="22"/>
          <w:lang w:val="cs-CZ" w:bidi="bo-CN"/>
        </w:rPr>
        <w:t xml:space="preserve"> nov</w:t>
      </w:r>
      <w:r w:rsidR="00C02437">
        <w:rPr>
          <w:rFonts w:cs="Segoe UI"/>
          <w:bCs/>
          <w:szCs w:val="22"/>
          <w:lang w:val="cs-CZ" w:bidi="bo-CN"/>
        </w:rPr>
        <w:t>ou</w:t>
      </w:r>
      <w:r w:rsidRPr="00B90EDD">
        <w:rPr>
          <w:rFonts w:cs="Segoe UI"/>
          <w:bCs/>
          <w:szCs w:val="22"/>
          <w:lang w:val="cs-CZ" w:bidi="bo-CN"/>
        </w:rPr>
        <w:t xml:space="preserve"> udržiteln</w:t>
      </w:r>
      <w:r w:rsidR="00C02437">
        <w:rPr>
          <w:rFonts w:cs="Segoe UI"/>
          <w:bCs/>
          <w:szCs w:val="22"/>
          <w:lang w:val="cs-CZ" w:bidi="bo-CN"/>
        </w:rPr>
        <w:t>ou</w:t>
      </w:r>
      <w:r w:rsidRPr="00B90EDD">
        <w:rPr>
          <w:rFonts w:cs="Segoe UI"/>
          <w:bCs/>
          <w:szCs w:val="22"/>
          <w:lang w:val="cs-CZ" w:bidi="bo-CN"/>
        </w:rPr>
        <w:t xml:space="preserve"> značk</w:t>
      </w:r>
      <w:r w:rsidR="00C02437">
        <w:rPr>
          <w:rFonts w:cs="Segoe UI"/>
          <w:bCs/>
          <w:szCs w:val="22"/>
          <w:lang w:val="cs-CZ" w:bidi="bo-CN"/>
        </w:rPr>
        <w:t>u</w:t>
      </w:r>
      <w:r w:rsidRPr="00B90EDD">
        <w:rPr>
          <w:rFonts w:cs="Segoe UI"/>
          <w:bCs/>
          <w:szCs w:val="22"/>
          <w:lang w:val="cs-CZ" w:bidi="bo-CN"/>
        </w:rPr>
        <w:t xml:space="preserve"> Love Nature. </w:t>
      </w:r>
      <w:r w:rsidR="002F0C8B">
        <w:rPr>
          <w:rFonts w:cs="Segoe UI"/>
          <w:bCs/>
          <w:szCs w:val="22"/>
          <w:lang w:val="cs-CZ" w:bidi="bo-CN"/>
        </w:rPr>
        <w:t xml:space="preserve">Divize </w:t>
      </w:r>
      <w:r w:rsidRPr="00B90EDD">
        <w:rPr>
          <w:rFonts w:cs="Segoe UI"/>
          <w:bCs/>
          <w:szCs w:val="22"/>
          <w:lang w:val="cs-CZ" w:bidi="bo-CN"/>
        </w:rPr>
        <w:t>Adhesive Technologies</w:t>
      </w:r>
      <w:r w:rsidR="00752C83">
        <w:rPr>
          <w:rFonts w:cs="Segoe UI"/>
          <w:bCs/>
          <w:szCs w:val="22"/>
          <w:lang w:val="cs-CZ" w:bidi="bo-CN"/>
        </w:rPr>
        <w:t xml:space="preserve"> vyvinula v rámci značky Loctite novou technologii, která umožňuje nahradit polyetylen v</w:t>
      </w:r>
      <w:r w:rsidR="00593197">
        <w:rPr>
          <w:rFonts w:cs="Segoe UI"/>
          <w:bCs/>
          <w:szCs w:val="22"/>
          <w:lang w:val="cs-CZ" w:bidi="bo-CN"/>
        </w:rPr>
        <w:t> </w:t>
      </w:r>
      <w:r w:rsidR="00752C83">
        <w:rPr>
          <w:rFonts w:cs="Segoe UI"/>
          <w:bCs/>
          <w:szCs w:val="22"/>
          <w:lang w:val="cs-CZ" w:bidi="bo-CN"/>
        </w:rPr>
        <w:t>potravinářsk</w:t>
      </w:r>
      <w:r w:rsidR="00593197">
        <w:rPr>
          <w:rFonts w:cs="Segoe UI"/>
          <w:bCs/>
          <w:szCs w:val="22"/>
          <w:lang w:val="cs-CZ" w:bidi="bo-CN"/>
        </w:rPr>
        <w:t>ých a nepotravinářských obalech papírem.</w:t>
      </w:r>
      <w:r w:rsidRPr="00B90EDD">
        <w:rPr>
          <w:rFonts w:cs="Segoe UI"/>
          <w:bCs/>
          <w:szCs w:val="22"/>
          <w:lang w:val="cs-CZ" w:bidi="bo-CN"/>
        </w:rPr>
        <w:t xml:space="preserve"> Kromě inovací pro udržitelnější produkty společnost Henkel uzavřela smlouvu o nákupu </w:t>
      </w:r>
      <w:r w:rsidR="009A2C6B">
        <w:rPr>
          <w:rFonts w:cs="Segoe UI"/>
          <w:bCs/>
          <w:szCs w:val="22"/>
          <w:lang w:val="cs-CZ" w:bidi="bo-CN"/>
        </w:rPr>
        <w:t>elektrické</w:t>
      </w:r>
      <w:r w:rsidRPr="00B90EDD">
        <w:rPr>
          <w:rFonts w:cs="Segoe UI"/>
          <w:bCs/>
          <w:szCs w:val="22"/>
          <w:lang w:val="cs-CZ" w:bidi="bo-CN"/>
        </w:rPr>
        <w:t xml:space="preserve"> energie </w:t>
      </w:r>
      <w:r w:rsidR="009A2C6B">
        <w:rPr>
          <w:rFonts w:cs="Segoe UI"/>
          <w:bCs/>
          <w:szCs w:val="22"/>
          <w:lang w:val="cs-CZ" w:bidi="bo-CN"/>
        </w:rPr>
        <w:t xml:space="preserve">vyrobené z </w:t>
      </w:r>
      <w:r w:rsidRPr="00B90EDD">
        <w:rPr>
          <w:rFonts w:cs="Segoe UI"/>
          <w:bCs/>
          <w:szCs w:val="22"/>
          <w:lang w:val="cs-CZ" w:bidi="bo-CN"/>
        </w:rPr>
        <w:t>obnovitelných zdrojů, která pokryje energetickou poptávku všech závodů Henkel v Severní Americe. Henkel byl</w:t>
      </w:r>
      <w:r w:rsidR="00EF7B82">
        <w:rPr>
          <w:rFonts w:cs="Segoe UI"/>
          <w:bCs/>
          <w:szCs w:val="22"/>
          <w:lang w:val="cs-CZ" w:bidi="bo-CN"/>
        </w:rPr>
        <w:t xml:space="preserve"> také</w:t>
      </w:r>
      <w:r w:rsidRPr="00B90EDD">
        <w:rPr>
          <w:rFonts w:cs="Segoe UI"/>
          <w:bCs/>
          <w:szCs w:val="22"/>
          <w:lang w:val="cs-CZ" w:bidi="bo-CN"/>
        </w:rPr>
        <w:t xml:space="preserve"> první společností, která vydala dluhopis na snížení plastového odpadu v </w:t>
      </w:r>
      <w:r w:rsidR="009A660A">
        <w:rPr>
          <w:rFonts w:cs="Segoe UI"/>
          <w:bCs/>
          <w:szCs w:val="22"/>
          <w:lang w:val="cs-CZ" w:bidi="bo-CN"/>
        </w:rPr>
        <w:t>hodnotě</w:t>
      </w:r>
      <w:r w:rsidRPr="00B90EDD">
        <w:rPr>
          <w:rFonts w:cs="Segoe UI"/>
          <w:bCs/>
          <w:szCs w:val="22"/>
          <w:lang w:val="cs-CZ" w:bidi="bo-CN"/>
        </w:rPr>
        <w:t xml:space="preserve"> přibližně 100 milionů eur</w:t>
      </w:r>
      <w:r w:rsidR="005F23CC">
        <w:rPr>
          <w:rFonts w:cs="Segoe UI"/>
          <w:bCs/>
          <w:szCs w:val="22"/>
          <w:lang w:val="cs-CZ" w:bidi="bo-CN"/>
        </w:rPr>
        <w:t xml:space="preserve">. A to </w:t>
      </w:r>
      <w:r w:rsidRPr="00B90EDD">
        <w:rPr>
          <w:rFonts w:cs="Segoe UI"/>
          <w:bCs/>
          <w:szCs w:val="22"/>
          <w:lang w:val="cs-CZ" w:bidi="bo-CN"/>
        </w:rPr>
        <w:t xml:space="preserve">na financování opatření </w:t>
      </w:r>
      <w:r w:rsidR="009A660A">
        <w:rPr>
          <w:rFonts w:cs="Segoe UI"/>
          <w:bCs/>
          <w:szCs w:val="22"/>
          <w:lang w:val="cs-CZ" w:bidi="bo-CN"/>
        </w:rPr>
        <w:t xml:space="preserve">zaměřených </w:t>
      </w:r>
      <w:r w:rsidRPr="00B90EDD">
        <w:rPr>
          <w:rFonts w:cs="Segoe UI"/>
          <w:bCs/>
          <w:szCs w:val="22"/>
          <w:lang w:val="cs-CZ" w:bidi="bo-CN"/>
        </w:rPr>
        <w:t xml:space="preserve">na snížení plastového odpadu v celém hodnotovém řetězci. </w:t>
      </w:r>
      <w:r w:rsidR="00695025">
        <w:rPr>
          <w:rFonts w:cs="Segoe UI"/>
          <w:bCs/>
          <w:szCs w:val="22"/>
          <w:lang w:val="cs-CZ" w:bidi="bo-CN"/>
        </w:rPr>
        <w:t>Dluhopis</w:t>
      </w:r>
      <w:r w:rsidRPr="00B90EDD">
        <w:rPr>
          <w:rFonts w:cs="Segoe UI"/>
          <w:bCs/>
          <w:szCs w:val="22"/>
          <w:lang w:val="cs-CZ" w:bidi="bo-CN"/>
        </w:rPr>
        <w:t xml:space="preserve"> podtrhuje závazek společnosti Henkel podporovat oběhové hospodářství a snižov</w:t>
      </w:r>
      <w:r w:rsidR="00695025">
        <w:rPr>
          <w:rFonts w:cs="Segoe UI"/>
          <w:bCs/>
          <w:szCs w:val="22"/>
          <w:lang w:val="cs-CZ" w:bidi="bo-CN"/>
        </w:rPr>
        <w:t>at</w:t>
      </w:r>
      <w:r w:rsidRPr="00B90EDD">
        <w:rPr>
          <w:rFonts w:cs="Segoe UI"/>
          <w:bCs/>
          <w:szCs w:val="22"/>
          <w:lang w:val="cs-CZ" w:bidi="bo-CN"/>
        </w:rPr>
        <w:t xml:space="preserve"> množství plastového odpadu</w:t>
      </w:r>
      <w:r w:rsidR="00695025">
        <w:rPr>
          <w:rFonts w:cs="Segoe UI"/>
          <w:bCs/>
          <w:szCs w:val="22"/>
          <w:lang w:val="cs-CZ" w:bidi="bo-CN"/>
        </w:rPr>
        <w:t xml:space="preserve"> a zároveň</w:t>
      </w:r>
      <w:r w:rsidR="000B246D">
        <w:rPr>
          <w:rFonts w:cs="Segoe UI"/>
          <w:bCs/>
          <w:szCs w:val="22"/>
          <w:lang w:val="cs-CZ" w:bidi="bo-CN"/>
        </w:rPr>
        <w:t xml:space="preserve"> posilňovat </w:t>
      </w:r>
      <w:r w:rsidRPr="00B90EDD">
        <w:rPr>
          <w:rFonts w:cs="Segoe UI"/>
          <w:bCs/>
          <w:szCs w:val="22"/>
          <w:lang w:val="cs-CZ" w:bidi="bo-CN"/>
        </w:rPr>
        <w:t>udržitelné financování.</w:t>
      </w:r>
    </w:p>
    <w:p w14:paraId="3AF79276" w14:textId="270E9F3A" w:rsidR="000B246D" w:rsidRDefault="000B246D" w:rsidP="0019638B">
      <w:pPr>
        <w:rPr>
          <w:rFonts w:cs="Segoe UI"/>
          <w:b/>
          <w:szCs w:val="22"/>
          <w:lang w:val="cs-CZ"/>
        </w:rPr>
      </w:pPr>
    </w:p>
    <w:p w14:paraId="48801B5C" w14:textId="4FB18AA1" w:rsidR="00035EB5" w:rsidRPr="00035EB5" w:rsidRDefault="00035EB5" w:rsidP="00035EB5">
      <w:pPr>
        <w:rPr>
          <w:rFonts w:cs="Segoe UI"/>
          <w:bCs/>
          <w:szCs w:val="22"/>
          <w:lang w:val="cs-CZ" w:bidi="bo-CN"/>
        </w:rPr>
      </w:pPr>
      <w:r>
        <w:rPr>
          <w:rFonts w:cs="Segoe UI"/>
          <w:bCs/>
          <w:szCs w:val="22"/>
          <w:lang w:val="cs-CZ" w:bidi="bo-CN"/>
        </w:rPr>
        <w:t xml:space="preserve">Společnost </w:t>
      </w:r>
      <w:r w:rsidRPr="00035EB5">
        <w:rPr>
          <w:rFonts w:cs="Segoe UI"/>
          <w:bCs/>
          <w:szCs w:val="22"/>
          <w:lang w:val="cs-CZ" w:bidi="bo-CN"/>
        </w:rPr>
        <w:t>Henkel sleduje cíl</w:t>
      </w:r>
      <w:r>
        <w:rPr>
          <w:rFonts w:cs="Segoe UI"/>
          <w:bCs/>
          <w:szCs w:val="22"/>
          <w:lang w:val="cs-CZ" w:bidi="bo-CN"/>
        </w:rPr>
        <w:t>, kterým je</w:t>
      </w:r>
      <w:r w:rsidR="001235A6">
        <w:rPr>
          <w:rFonts w:cs="Segoe UI"/>
          <w:bCs/>
          <w:szCs w:val="22"/>
          <w:lang w:val="cs-CZ" w:bidi="bo-CN"/>
        </w:rPr>
        <w:t xml:space="preserve"> od roku 2010 do roku 2030 </w:t>
      </w:r>
      <w:r w:rsidRPr="00035EB5">
        <w:rPr>
          <w:rFonts w:cs="Segoe UI"/>
          <w:bCs/>
          <w:szCs w:val="22"/>
          <w:lang w:val="cs-CZ" w:bidi="bo-CN"/>
        </w:rPr>
        <w:t xml:space="preserve">ztrojnásobení </w:t>
      </w:r>
      <w:r w:rsidRPr="001235A6">
        <w:rPr>
          <w:rFonts w:cs="Segoe UI"/>
          <w:b/>
          <w:szCs w:val="22"/>
          <w:lang w:val="cs-CZ" w:bidi="bo-CN"/>
        </w:rPr>
        <w:t>hodnoty svých provozů, produktů a služeb</w:t>
      </w:r>
      <w:r w:rsidRPr="00035EB5">
        <w:rPr>
          <w:rFonts w:cs="Segoe UI"/>
          <w:bCs/>
          <w:szCs w:val="22"/>
          <w:lang w:val="cs-CZ" w:bidi="bo-CN"/>
        </w:rPr>
        <w:t xml:space="preserve"> ve vztahu k je</w:t>
      </w:r>
      <w:r w:rsidR="001235A6">
        <w:rPr>
          <w:rFonts w:cs="Segoe UI"/>
          <w:bCs/>
          <w:szCs w:val="22"/>
          <w:lang w:val="cs-CZ" w:bidi="bo-CN"/>
        </w:rPr>
        <w:t>jich</w:t>
      </w:r>
      <w:r w:rsidRPr="00035EB5">
        <w:rPr>
          <w:rFonts w:cs="Segoe UI"/>
          <w:bCs/>
          <w:szCs w:val="22"/>
          <w:lang w:val="cs-CZ" w:bidi="bo-CN"/>
        </w:rPr>
        <w:t xml:space="preserve"> ekologické stopě</w:t>
      </w:r>
      <w:r w:rsidR="001235A6">
        <w:rPr>
          <w:rFonts w:cs="Segoe UI"/>
          <w:bCs/>
          <w:szCs w:val="22"/>
          <w:lang w:val="cs-CZ" w:bidi="bo-CN"/>
        </w:rPr>
        <w:t>.</w:t>
      </w:r>
      <w:r w:rsidRPr="00035EB5">
        <w:rPr>
          <w:rFonts w:cs="Segoe UI"/>
          <w:bCs/>
          <w:szCs w:val="22"/>
          <w:lang w:val="cs-CZ" w:bidi="bo-CN"/>
        </w:rPr>
        <w:t xml:space="preserve"> Na cestě k tomuto dlouhodobému cíli si Henkel definoval střednědobé cíle pro rok 2020. Společnost dokázala dosáhnout stanovených cílů ve většině dimenzí. Celkově společnost Henkel v roce 2020 zlepšila účinnost zdrojů o 64 </w:t>
      </w:r>
      <w:r w:rsidR="001235A6">
        <w:rPr>
          <w:rFonts w:cs="Segoe UI"/>
          <w:bCs/>
          <w:szCs w:val="22"/>
          <w:lang w:val="cs-CZ" w:bidi="bo-CN"/>
        </w:rPr>
        <w:t>%</w:t>
      </w:r>
      <w:r w:rsidRPr="00035EB5">
        <w:rPr>
          <w:rFonts w:cs="Segoe UI"/>
          <w:bCs/>
          <w:szCs w:val="22"/>
          <w:lang w:val="cs-CZ" w:bidi="bo-CN"/>
        </w:rPr>
        <w:t xml:space="preserve"> ve srovnání s rokem 2010.</w:t>
      </w:r>
    </w:p>
    <w:p w14:paraId="76079025" w14:textId="77777777" w:rsidR="000B246D" w:rsidRPr="007012BC" w:rsidRDefault="000B246D" w:rsidP="0019638B">
      <w:pPr>
        <w:rPr>
          <w:rFonts w:cs="Segoe UI"/>
          <w:b/>
          <w:szCs w:val="22"/>
          <w:lang w:val="cs-CZ"/>
        </w:rPr>
      </w:pPr>
    </w:p>
    <w:p w14:paraId="2AF8F783" w14:textId="0E8D9C43" w:rsidR="00722C99" w:rsidRPr="00722C99" w:rsidRDefault="00722C99" w:rsidP="00722C99">
      <w:pPr>
        <w:rPr>
          <w:rFonts w:cs="Segoe UI"/>
          <w:szCs w:val="22"/>
          <w:lang w:val="cs-CZ" w:eastAsia="de-DE" w:bidi="bo-CN"/>
        </w:rPr>
      </w:pPr>
      <w:bookmarkStart w:id="3" w:name="_Hlk63409035"/>
      <w:r w:rsidRPr="00722C99">
        <w:rPr>
          <w:rFonts w:cs="Segoe UI"/>
          <w:szCs w:val="22"/>
          <w:lang w:val="cs-CZ" w:eastAsia="de-DE" w:bidi="bo-CN"/>
        </w:rPr>
        <w:t xml:space="preserve">Vedle inovací a udržitelnosti je dalším klíčovým faktorem při posilování konkurenční výhody společnosti Henkel </w:t>
      </w:r>
      <w:r w:rsidR="00843AFF" w:rsidRPr="00BF34F2">
        <w:rPr>
          <w:rFonts w:cs="Segoe UI"/>
          <w:b/>
          <w:bCs/>
          <w:szCs w:val="22"/>
          <w:lang w:val="cs-CZ" w:eastAsia="de-DE" w:bidi="bo-CN"/>
        </w:rPr>
        <w:t>digitální</w:t>
      </w:r>
      <w:r w:rsidR="00843AFF">
        <w:rPr>
          <w:rFonts w:cs="Segoe UI"/>
          <w:szCs w:val="22"/>
          <w:lang w:val="cs-CZ" w:eastAsia="de-DE" w:bidi="bo-CN"/>
        </w:rPr>
        <w:t xml:space="preserve"> transformace</w:t>
      </w:r>
      <w:r w:rsidR="00434C6C">
        <w:rPr>
          <w:rFonts w:cs="Segoe UI"/>
          <w:szCs w:val="22"/>
          <w:lang w:val="cs-CZ" w:eastAsia="de-DE" w:bidi="bo-CN"/>
        </w:rPr>
        <w:t xml:space="preserve">, která má vytvářet hodnotu pro zákazníky a spotřebitele v rámci všech obchodních </w:t>
      </w:r>
      <w:r w:rsidR="00695A78">
        <w:rPr>
          <w:rFonts w:cs="Segoe UI"/>
          <w:szCs w:val="22"/>
          <w:lang w:val="cs-CZ" w:eastAsia="de-DE" w:bidi="bo-CN"/>
        </w:rPr>
        <w:t>divizí.</w:t>
      </w:r>
      <w:r w:rsidRPr="00722C99">
        <w:rPr>
          <w:rFonts w:cs="Segoe UI"/>
          <w:szCs w:val="22"/>
          <w:lang w:val="cs-CZ" w:eastAsia="de-DE" w:bidi="bo-CN"/>
        </w:rPr>
        <w:t xml:space="preserve"> Aby tento proces umožnil a urychlil, vytvořil Henkel v roce 2020 novou jednotku Henkel dx, která </w:t>
      </w:r>
      <w:r w:rsidR="00254EC6">
        <w:rPr>
          <w:rFonts w:cs="Segoe UI"/>
          <w:szCs w:val="22"/>
          <w:lang w:val="cs-CZ" w:eastAsia="de-DE" w:bidi="bo-CN"/>
        </w:rPr>
        <w:t>spojuje</w:t>
      </w:r>
      <w:r w:rsidRPr="00722C99">
        <w:rPr>
          <w:rFonts w:cs="Segoe UI"/>
          <w:szCs w:val="22"/>
          <w:lang w:val="cs-CZ" w:eastAsia="de-DE" w:bidi="bo-CN"/>
        </w:rPr>
        <w:t xml:space="preserve"> digit</w:t>
      </w:r>
      <w:r w:rsidR="00254EC6">
        <w:rPr>
          <w:rFonts w:cs="Segoe UI"/>
          <w:szCs w:val="22"/>
          <w:lang w:val="cs-CZ" w:eastAsia="de-DE" w:bidi="bo-CN"/>
        </w:rPr>
        <w:t>alizac</w:t>
      </w:r>
      <w:r w:rsidR="004E7A55">
        <w:rPr>
          <w:rFonts w:cs="Segoe UI"/>
          <w:szCs w:val="22"/>
          <w:lang w:val="cs-CZ" w:eastAsia="de-DE" w:bidi="bo-CN"/>
        </w:rPr>
        <w:t>i</w:t>
      </w:r>
      <w:r w:rsidRPr="00722C99">
        <w:rPr>
          <w:rFonts w:cs="Segoe UI"/>
          <w:szCs w:val="22"/>
          <w:lang w:val="cs-CZ" w:eastAsia="de-DE" w:bidi="bo-CN"/>
        </w:rPr>
        <w:t xml:space="preserve">, řízení </w:t>
      </w:r>
      <w:r w:rsidR="00254EC6" w:rsidRPr="00722C99">
        <w:rPr>
          <w:rFonts w:cs="Segoe UI"/>
          <w:szCs w:val="22"/>
          <w:lang w:val="cs-CZ" w:eastAsia="de-DE" w:bidi="bo-CN"/>
        </w:rPr>
        <w:t>obchodní</w:t>
      </w:r>
      <w:r w:rsidR="00254EC6">
        <w:rPr>
          <w:rFonts w:cs="Segoe UI"/>
          <w:szCs w:val="22"/>
          <w:lang w:val="cs-CZ" w:eastAsia="de-DE" w:bidi="bo-CN"/>
        </w:rPr>
        <w:t>ch</w:t>
      </w:r>
      <w:r w:rsidR="00254EC6" w:rsidRPr="00722C99">
        <w:rPr>
          <w:rFonts w:cs="Segoe UI"/>
          <w:szCs w:val="22"/>
          <w:lang w:val="cs-CZ" w:eastAsia="de-DE" w:bidi="bo-CN"/>
        </w:rPr>
        <w:t xml:space="preserve"> </w:t>
      </w:r>
      <w:r w:rsidRPr="00722C99">
        <w:rPr>
          <w:rFonts w:cs="Segoe UI"/>
          <w:szCs w:val="22"/>
          <w:lang w:val="cs-CZ" w:eastAsia="de-DE" w:bidi="bo-CN"/>
        </w:rPr>
        <w:t xml:space="preserve">procesů a IT </w:t>
      </w:r>
      <w:r w:rsidR="0023692A">
        <w:rPr>
          <w:rFonts w:cs="Segoe UI"/>
          <w:szCs w:val="22"/>
          <w:lang w:val="cs-CZ" w:eastAsia="de-DE" w:bidi="bo-CN"/>
        </w:rPr>
        <w:t>do</w:t>
      </w:r>
      <w:r w:rsidRPr="00722C99">
        <w:rPr>
          <w:rFonts w:cs="Segoe UI"/>
          <w:szCs w:val="22"/>
          <w:lang w:val="cs-CZ" w:eastAsia="de-DE" w:bidi="bo-CN"/>
        </w:rPr>
        <w:t xml:space="preserve"> jedné globální organizac</w:t>
      </w:r>
      <w:r w:rsidR="0023692A">
        <w:rPr>
          <w:rFonts w:cs="Segoe UI"/>
          <w:szCs w:val="22"/>
          <w:lang w:val="cs-CZ" w:eastAsia="de-DE" w:bidi="bo-CN"/>
        </w:rPr>
        <w:t>e</w:t>
      </w:r>
      <w:r w:rsidRPr="00722C99">
        <w:rPr>
          <w:rFonts w:cs="Segoe UI"/>
          <w:szCs w:val="22"/>
          <w:lang w:val="cs-CZ" w:eastAsia="de-DE" w:bidi="bo-CN"/>
        </w:rPr>
        <w:t xml:space="preserve">. </w:t>
      </w:r>
      <w:r w:rsidR="0023692A">
        <w:rPr>
          <w:rFonts w:cs="Segoe UI"/>
          <w:szCs w:val="22"/>
          <w:lang w:val="cs-CZ" w:eastAsia="de-DE" w:bidi="bo-CN"/>
        </w:rPr>
        <w:t>Nová jednotka</w:t>
      </w:r>
      <w:r w:rsidRPr="00722C99">
        <w:rPr>
          <w:rFonts w:cs="Segoe UI"/>
          <w:szCs w:val="22"/>
          <w:lang w:val="cs-CZ" w:eastAsia="de-DE" w:bidi="bo-CN"/>
        </w:rPr>
        <w:t xml:space="preserve"> Henkel dx otevřela sv</w:t>
      </w:r>
      <w:r w:rsidR="00AB7C10">
        <w:rPr>
          <w:rFonts w:cs="Segoe UI"/>
          <w:szCs w:val="22"/>
          <w:lang w:val="cs-CZ" w:eastAsia="de-DE" w:bidi="bo-CN"/>
        </w:rPr>
        <w:t>oje</w:t>
      </w:r>
      <w:r w:rsidRPr="00722C99">
        <w:rPr>
          <w:rFonts w:cs="Segoe UI"/>
          <w:szCs w:val="22"/>
          <w:lang w:val="cs-CZ" w:eastAsia="de-DE" w:bidi="bo-CN"/>
        </w:rPr>
        <w:t xml:space="preserve"> první inovační </w:t>
      </w:r>
      <w:r w:rsidR="00AB7C10">
        <w:rPr>
          <w:rFonts w:cs="Segoe UI"/>
          <w:szCs w:val="22"/>
          <w:lang w:val="cs-CZ" w:eastAsia="de-DE" w:bidi="bo-CN"/>
        </w:rPr>
        <w:t>centrum</w:t>
      </w:r>
      <w:r w:rsidRPr="00722C99">
        <w:rPr>
          <w:rFonts w:cs="Segoe UI"/>
          <w:szCs w:val="22"/>
          <w:lang w:val="cs-CZ" w:eastAsia="de-DE" w:bidi="bo-CN"/>
        </w:rPr>
        <w:t xml:space="preserve"> v Berlíně a v budoucnu plánuje rozšířit svou globální síť o další </w:t>
      </w:r>
      <w:r w:rsidR="000B5696">
        <w:rPr>
          <w:rFonts w:cs="Segoe UI"/>
          <w:szCs w:val="22"/>
          <w:lang w:val="cs-CZ" w:eastAsia="de-DE" w:bidi="bo-CN"/>
        </w:rPr>
        <w:t>podobná centra</w:t>
      </w:r>
      <w:r w:rsidRPr="00722C99">
        <w:rPr>
          <w:rFonts w:cs="Segoe UI"/>
          <w:szCs w:val="22"/>
          <w:lang w:val="cs-CZ" w:eastAsia="de-DE" w:bidi="bo-CN"/>
        </w:rPr>
        <w:t xml:space="preserve">. V průběhu roku 2020 se podíl prodeje napříč digitálními kanály podstatně zvýšil, z čehož </w:t>
      </w:r>
      <w:r w:rsidR="00E601BA">
        <w:rPr>
          <w:rFonts w:cs="Segoe UI"/>
          <w:szCs w:val="22"/>
          <w:lang w:val="cs-CZ" w:eastAsia="de-DE" w:bidi="bo-CN"/>
        </w:rPr>
        <w:t>profitovaly</w:t>
      </w:r>
      <w:r w:rsidRPr="00722C99">
        <w:rPr>
          <w:rFonts w:cs="Segoe UI"/>
          <w:szCs w:val="22"/>
          <w:lang w:val="cs-CZ" w:eastAsia="de-DE" w:bidi="bo-CN"/>
        </w:rPr>
        <w:t xml:space="preserve"> všechny obchodní </w:t>
      </w:r>
      <w:r w:rsidR="00E601BA">
        <w:rPr>
          <w:rFonts w:cs="Segoe UI"/>
          <w:szCs w:val="22"/>
          <w:lang w:val="cs-CZ" w:eastAsia="de-DE" w:bidi="bo-CN"/>
        </w:rPr>
        <w:t>divize</w:t>
      </w:r>
      <w:r w:rsidRPr="00722C99">
        <w:rPr>
          <w:rFonts w:cs="Segoe UI"/>
          <w:szCs w:val="22"/>
          <w:lang w:val="cs-CZ" w:eastAsia="de-DE" w:bidi="bo-CN"/>
        </w:rPr>
        <w:t xml:space="preserve">. Celkově se digitální prodej ve společnosti Henkel zvýšil přibližně o 20 </w:t>
      </w:r>
      <w:r w:rsidR="00E601BA">
        <w:rPr>
          <w:rFonts w:cs="Segoe UI"/>
          <w:szCs w:val="22"/>
          <w:lang w:val="cs-CZ" w:eastAsia="de-DE" w:bidi="bo-CN"/>
        </w:rPr>
        <w:t>%</w:t>
      </w:r>
      <w:r w:rsidRPr="00722C99">
        <w:rPr>
          <w:rFonts w:cs="Segoe UI"/>
          <w:szCs w:val="22"/>
          <w:lang w:val="cs-CZ" w:eastAsia="de-DE" w:bidi="bo-CN"/>
        </w:rPr>
        <w:t xml:space="preserve">, přičemž </w:t>
      </w:r>
      <w:r w:rsidR="004201B7">
        <w:rPr>
          <w:rFonts w:cs="Segoe UI"/>
          <w:szCs w:val="22"/>
          <w:lang w:val="cs-CZ" w:eastAsia="de-DE" w:bidi="bo-CN"/>
        </w:rPr>
        <w:t xml:space="preserve">společný příspěvek </w:t>
      </w:r>
      <w:r w:rsidR="003945A9">
        <w:rPr>
          <w:rFonts w:cs="Segoe UI"/>
          <w:szCs w:val="22"/>
          <w:lang w:val="cs-CZ" w:eastAsia="de-DE" w:bidi="bo-CN"/>
        </w:rPr>
        <w:t>spotřebitelských</w:t>
      </w:r>
      <w:r w:rsidR="004201B7">
        <w:rPr>
          <w:rFonts w:cs="Segoe UI"/>
          <w:szCs w:val="22"/>
          <w:lang w:val="cs-CZ" w:eastAsia="de-DE" w:bidi="bo-CN"/>
        </w:rPr>
        <w:t xml:space="preserve"> divizí</w:t>
      </w:r>
      <w:r w:rsidRPr="00722C99">
        <w:rPr>
          <w:rFonts w:cs="Segoe UI"/>
          <w:szCs w:val="22"/>
          <w:lang w:val="cs-CZ" w:eastAsia="de-DE" w:bidi="bo-CN"/>
        </w:rPr>
        <w:t xml:space="preserve"> </w:t>
      </w:r>
      <w:r w:rsidR="003945A9">
        <w:rPr>
          <w:rFonts w:cs="Segoe UI"/>
          <w:szCs w:val="22"/>
          <w:lang w:val="cs-CZ" w:eastAsia="de-DE" w:bidi="bo-CN"/>
        </w:rPr>
        <w:t>k</w:t>
      </w:r>
      <w:r w:rsidRPr="00722C99">
        <w:rPr>
          <w:rFonts w:cs="Segoe UI"/>
          <w:szCs w:val="22"/>
          <w:lang w:val="cs-CZ" w:eastAsia="de-DE" w:bidi="bo-CN"/>
        </w:rPr>
        <w:t xml:space="preserve"> růstu </w:t>
      </w:r>
      <w:r w:rsidR="003945A9">
        <w:rPr>
          <w:rFonts w:cs="Segoe UI"/>
          <w:szCs w:val="22"/>
          <w:lang w:val="cs-CZ" w:eastAsia="de-DE" w:bidi="bo-CN"/>
        </w:rPr>
        <w:t xml:space="preserve">představoval více </w:t>
      </w:r>
      <w:r w:rsidR="003945A9">
        <w:rPr>
          <w:rFonts w:cs="Segoe UI"/>
          <w:szCs w:val="22"/>
          <w:lang w:val="cs-CZ" w:eastAsia="de-DE" w:bidi="bo-CN"/>
        </w:rPr>
        <w:lastRenderedPageBreak/>
        <w:t xml:space="preserve">než </w:t>
      </w:r>
      <w:r w:rsidRPr="00722C99">
        <w:rPr>
          <w:rFonts w:cs="Segoe UI"/>
          <w:szCs w:val="22"/>
          <w:lang w:val="cs-CZ" w:eastAsia="de-DE" w:bidi="bo-CN"/>
        </w:rPr>
        <w:t xml:space="preserve">60 </w:t>
      </w:r>
      <w:r w:rsidR="003945A9">
        <w:rPr>
          <w:rFonts w:cs="Segoe UI"/>
          <w:szCs w:val="22"/>
          <w:lang w:val="cs-CZ" w:eastAsia="de-DE" w:bidi="bo-CN"/>
        </w:rPr>
        <w:t>%</w:t>
      </w:r>
      <w:r w:rsidRPr="00722C99">
        <w:rPr>
          <w:rFonts w:cs="Segoe UI"/>
          <w:szCs w:val="22"/>
          <w:lang w:val="cs-CZ" w:eastAsia="de-DE" w:bidi="bo-CN"/>
        </w:rPr>
        <w:t xml:space="preserve">. </w:t>
      </w:r>
      <w:r w:rsidR="003945A9">
        <w:rPr>
          <w:rFonts w:cs="Segoe UI"/>
          <w:szCs w:val="22"/>
          <w:lang w:val="cs-CZ" w:eastAsia="de-DE" w:bidi="bo-CN"/>
        </w:rPr>
        <w:t>Na úrovni skupiny</w:t>
      </w:r>
      <w:r w:rsidR="002901F2">
        <w:rPr>
          <w:rFonts w:cs="Segoe UI"/>
          <w:szCs w:val="22"/>
          <w:lang w:val="cs-CZ" w:eastAsia="de-DE" w:bidi="bo-CN"/>
        </w:rPr>
        <w:t xml:space="preserve"> se podíl tržeb z </w:t>
      </w:r>
      <w:r w:rsidRPr="00722C99">
        <w:rPr>
          <w:rFonts w:cs="Segoe UI"/>
          <w:szCs w:val="22"/>
          <w:lang w:val="cs-CZ" w:eastAsia="de-DE" w:bidi="bo-CN"/>
        </w:rPr>
        <w:t>digitální</w:t>
      </w:r>
      <w:r w:rsidR="002901F2">
        <w:rPr>
          <w:rFonts w:cs="Segoe UI"/>
          <w:szCs w:val="22"/>
          <w:lang w:val="cs-CZ" w:eastAsia="de-DE" w:bidi="bo-CN"/>
        </w:rPr>
        <w:t>ch kanálu na celkových tržbách dále zvýšil a to na 15 %</w:t>
      </w:r>
      <w:r w:rsidRPr="00722C99">
        <w:rPr>
          <w:rFonts w:cs="Segoe UI"/>
          <w:szCs w:val="22"/>
          <w:lang w:val="cs-CZ" w:eastAsia="de-DE" w:bidi="bo-CN"/>
        </w:rPr>
        <w:t>.</w:t>
      </w:r>
    </w:p>
    <w:p w14:paraId="1737A394" w14:textId="14BF93E6" w:rsidR="0019638B" w:rsidRDefault="0019638B" w:rsidP="0019638B">
      <w:pPr>
        <w:rPr>
          <w:rFonts w:cs="Segoe UI"/>
          <w:bCs/>
          <w:szCs w:val="22"/>
          <w:lang w:val="cs-CZ" w:bidi="bo-CN"/>
        </w:rPr>
      </w:pPr>
    </w:p>
    <w:bookmarkEnd w:id="3"/>
    <w:p w14:paraId="47C0736E" w14:textId="4AAC80B4" w:rsidR="006C70EA" w:rsidRPr="006C70EA" w:rsidRDefault="00732293" w:rsidP="006C70EA">
      <w:pPr>
        <w:rPr>
          <w:rFonts w:cs="Segoe UI"/>
          <w:szCs w:val="22"/>
          <w:lang w:val="cs-CZ" w:eastAsia="de-DE" w:bidi="bo-CN"/>
        </w:rPr>
      </w:pPr>
      <w:r>
        <w:rPr>
          <w:rFonts w:cs="Segoe UI"/>
          <w:szCs w:val="22"/>
          <w:lang w:val="cs-CZ" w:eastAsia="de-DE" w:bidi="bo-CN"/>
        </w:rPr>
        <w:t>Důležitým</w:t>
      </w:r>
      <w:r w:rsidR="00B74229">
        <w:rPr>
          <w:rFonts w:cs="Segoe UI"/>
          <w:szCs w:val="22"/>
          <w:lang w:val="cs-CZ" w:eastAsia="de-DE" w:bidi="bo-CN"/>
        </w:rPr>
        <w:t xml:space="preserve">i prvky strategického rámce společnosti Henkel jsou adaptivní a rychlé </w:t>
      </w:r>
      <w:r w:rsidR="00B74229" w:rsidRPr="00B74229">
        <w:rPr>
          <w:rFonts w:cs="Segoe UI"/>
          <w:b/>
          <w:bCs/>
          <w:szCs w:val="22"/>
          <w:lang w:val="cs-CZ" w:eastAsia="de-DE" w:bidi="bo-CN"/>
        </w:rPr>
        <w:t>obchodní modely</w:t>
      </w:r>
      <w:r w:rsidR="00B74229">
        <w:rPr>
          <w:rFonts w:cs="Segoe UI"/>
          <w:szCs w:val="22"/>
          <w:lang w:val="cs-CZ" w:eastAsia="de-DE" w:bidi="bo-CN"/>
        </w:rPr>
        <w:t xml:space="preserve"> připravené na budoucnost.</w:t>
      </w:r>
      <w:r w:rsidR="001B379E">
        <w:rPr>
          <w:rFonts w:cs="Segoe UI"/>
          <w:szCs w:val="22"/>
          <w:lang w:val="cs-CZ" w:eastAsia="de-DE" w:bidi="bo-CN"/>
        </w:rPr>
        <w:t xml:space="preserve"> </w:t>
      </w:r>
      <w:r w:rsidR="006C70EA" w:rsidRPr="006C70EA">
        <w:rPr>
          <w:rFonts w:cs="Segoe UI"/>
          <w:szCs w:val="22"/>
          <w:lang w:val="cs-CZ" w:eastAsia="de-DE" w:bidi="bo-CN"/>
        </w:rPr>
        <w:t xml:space="preserve">Aby </w:t>
      </w:r>
      <w:r w:rsidR="001B379E">
        <w:rPr>
          <w:rFonts w:cs="Segoe UI"/>
          <w:szCs w:val="22"/>
          <w:lang w:val="cs-CZ" w:eastAsia="de-DE" w:bidi="bo-CN"/>
        </w:rPr>
        <w:t xml:space="preserve">se toto </w:t>
      </w:r>
      <w:r w:rsidR="009C7A51">
        <w:rPr>
          <w:rFonts w:cs="Segoe UI"/>
          <w:szCs w:val="22"/>
          <w:lang w:val="cs-CZ" w:eastAsia="de-DE" w:bidi="bo-CN"/>
        </w:rPr>
        <w:t xml:space="preserve">společnosti </w:t>
      </w:r>
      <w:r w:rsidR="001B379E">
        <w:rPr>
          <w:rFonts w:cs="Segoe UI"/>
          <w:szCs w:val="22"/>
          <w:lang w:val="cs-CZ" w:eastAsia="de-DE" w:bidi="bo-CN"/>
        </w:rPr>
        <w:t>podařilo zabezpečit a zlepši</w:t>
      </w:r>
      <w:r w:rsidR="009C7A51">
        <w:rPr>
          <w:rFonts w:cs="Segoe UI"/>
          <w:szCs w:val="22"/>
          <w:lang w:val="cs-CZ" w:eastAsia="de-DE" w:bidi="bo-CN"/>
        </w:rPr>
        <w:t>t</w:t>
      </w:r>
      <w:r w:rsidR="001B379E">
        <w:rPr>
          <w:rFonts w:cs="Segoe UI"/>
          <w:szCs w:val="22"/>
          <w:lang w:val="cs-CZ" w:eastAsia="de-DE" w:bidi="bo-CN"/>
        </w:rPr>
        <w:t xml:space="preserve"> si tak svou konkurenceschopnost a </w:t>
      </w:r>
      <w:r w:rsidR="006C70EA" w:rsidRPr="006C70EA">
        <w:rPr>
          <w:rFonts w:cs="Segoe UI"/>
          <w:szCs w:val="22"/>
          <w:lang w:val="cs-CZ" w:eastAsia="de-DE" w:bidi="bo-CN"/>
        </w:rPr>
        <w:t xml:space="preserve">efektivitu, neustále </w:t>
      </w:r>
      <w:r w:rsidR="009C7A51">
        <w:rPr>
          <w:rFonts w:cs="Segoe UI"/>
          <w:szCs w:val="22"/>
          <w:lang w:val="cs-CZ" w:eastAsia="de-DE" w:bidi="bo-CN"/>
        </w:rPr>
        <w:t xml:space="preserve">se </w:t>
      </w:r>
      <w:r w:rsidR="006C70EA" w:rsidRPr="006C70EA">
        <w:rPr>
          <w:rFonts w:cs="Segoe UI"/>
          <w:szCs w:val="22"/>
          <w:lang w:val="cs-CZ" w:eastAsia="de-DE" w:bidi="bo-CN"/>
        </w:rPr>
        <w:t>přizpůsobuje a přetváří</w:t>
      </w:r>
      <w:r w:rsidR="001B379E">
        <w:rPr>
          <w:rFonts w:cs="Segoe UI"/>
          <w:szCs w:val="22"/>
          <w:lang w:val="cs-CZ" w:eastAsia="de-DE" w:bidi="bo-CN"/>
        </w:rPr>
        <w:t xml:space="preserve"> své</w:t>
      </w:r>
      <w:r w:rsidR="006C70EA" w:rsidRPr="006C70EA">
        <w:rPr>
          <w:rFonts w:cs="Segoe UI"/>
          <w:szCs w:val="22"/>
          <w:lang w:val="cs-CZ" w:eastAsia="de-DE" w:bidi="bo-CN"/>
        </w:rPr>
        <w:t xml:space="preserve"> procesy a struktury </w:t>
      </w:r>
      <w:r w:rsidR="00CF5B5C">
        <w:rPr>
          <w:rFonts w:cs="Segoe UI"/>
          <w:szCs w:val="22"/>
          <w:lang w:val="cs-CZ" w:eastAsia="de-DE" w:bidi="bo-CN"/>
        </w:rPr>
        <w:t>napříč celou</w:t>
      </w:r>
      <w:r w:rsidR="006C70EA" w:rsidRPr="006C70EA">
        <w:rPr>
          <w:rFonts w:cs="Segoe UI"/>
          <w:szCs w:val="22"/>
          <w:lang w:val="cs-CZ" w:eastAsia="de-DE" w:bidi="bo-CN"/>
        </w:rPr>
        <w:t xml:space="preserve"> společnost</w:t>
      </w:r>
      <w:r w:rsidR="00CF5B5C">
        <w:rPr>
          <w:rFonts w:cs="Segoe UI"/>
          <w:szCs w:val="22"/>
          <w:lang w:val="cs-CZ" w:eastAsia="de-DE" w:bidi="bo-CN"/>
        </w:rPr>
        <w:t>í</w:t>
      </w:r>
      <w:r w:rsidR="006C70EA" w:rsidRPr="006C70EA">
        <w:rPr>
          <w:rFonts w:cs="Segoe UI"/>
          <w:szCs w:val="22"/>
          <w:lang w:val="cs-CZ" w:eastAsia="de-DE" w:bidi="bo-CN"/>
        </w:rPr>
        <w:t xml:space="preserve">. </w:t>
      </w:r>
      <w:r w:rsidR="00C81DD3">
        <w:rPr>
          <w:rFonts w:cs="Segoe UI"/>
          <w:szCs w:val="22"/>
          <w:lang w:val="cs-CZ" w:eastAsia="de-DE" w:bidi="bo-CN"/>
        </w:rPr>
        <w:t xml:space="preserve">Henkel se současně snaží zavádět nové business modely, přiblížit se </w:t>
      </w:r>
      <w:r w:rsidR="00477679">
        <w:rPr>
          <w:rFonts w:cs="Segoe UI"/>
          <w:szCs w:val="22"/>
          <w:lang w:val="cs-CZ" w:eastAsia="de-DE" w:bidi="bo-CN"/>
        </w:rPr>
        <w:t>ke svým zákazníkům a spotřebitelů</w:t>
      </w:r>
      <w:r w:rsidR="003566FA">
        <w:rPr>
          <w:rFonts w:cs="Segoe UI"/>
          <w:szCs w:val="22"/>
          <w:lang w:val="cs-CZ" w:eastAsia="de-DE" w:bidi="bo-CN"/>
        </w:rPr>
        <w:t>m</w:t>
      </w:r>
      <w:r w:rsidR="00477679">
        <w:rPr>
          <w:rFonts w:cs="Segoe UI"/>
          <w:szCs w:val="22"/>
          <w:lang w:val="cs-CZ" w:eastAsia="de-DE" w:bidi="bo-CN"/>
        </w:rPr>
        <w:t xml:space="preserve"> prostřednictvím rychlejších rozhodovacích </w:t>
      </w:r>
      <w:r w:rsidR="000558DB">
        <w:rPr>
          <w:rFonts w:cs="Segoe UI"/>
          <w:szCs w:val="22"/>
          <w:lang w:val="cs-CZ" w:eastAsia="de-DE" w:bidi="bo-CN"/>
        </w:rPr>
        <w:t>procesů a nadále zvyšovat svou efektivitu.</w:t>
      </w:r>
      <w:r w:rsidR="00CF1124">
        <w:rPr>
          <w:rFonts w:cs="Segoe UI"/>
          <w:szCs w:val="22"/>
          <w:lang w:val="cs-CZ" w:eastAsia="de-DE" w:bidi="bo-CN"/>
        </w:rPr>
        <w:t xml:space="preserve"> </w:t>
      </w:r>
      <w:r w:rsidR="006C70EA" w:rsidRPr="006C70EA">
        <w:rPr>
          <w:rFonts w:cs="Segoe UI"/>
          <w:szCs w:val="22"/>
          <w:lang w:val="cs-CZ" w:eastAsia="de-DE" w:bidi="bo-CN"/>
        </w:rPr>
        <w:t>Díky zavedení nových organizačních struktur v</w:t>
      </w:r>
      <w:r w:rsidR="00CF1124">
        <w:rPr>
          <w:rFonts w:cs="Segoe UI"/>
          <w:szCs w:val="22"/>
          <w:lang w:val="cs-CZ" w:eastAsia="de-DE" w:bidi="bo-CN"/>
        </w:rPr>
        <w:t> rámci divize</w:t>
      </w:r>
      <w:r w:rsidR="006C70EA" w:rsidRPr="006C70EA">
        <w:rPr>
          <w:rFonts w:cs="Segoe UI"/>
          <w:szCs w:val="22"/>
          <w:lang w:val="cs-CZ" w:eastAsia="de-DE" w:bidi="bo-CN"/>
        </w:rPr>
        <w:t xml:space="preserve"> Adhesive Technologies v roce 2020 se společnosti Henkel podařilo ještě lépe oslovit a obsluhovat konkrétní zákaznické segmenty a trhy. V obchodních </w:t>
      </w:r>
      <w:r w:rsidR="00CF1124">
        <w:rPr>
          <w:rFonts w:cs="Segoe UI"/>
          <w:szCs w:val="22"/>
          <w:lang w:val="cs-CZ" w:eastAsia="de-DE" w:bidi="bo-CN"/>
        </w:rPr>
        <w:t>divizích</w:t>
      </w:r>
      <w:r w:rsidR="006C70EA" w:rsidRPr="006C70EA">
        <w:rPr>
          <w:rFonts w:cs="Segoe UI"/>
          <w:szCs w:val="22"/>
          <w:lang w:val="cs-CZ" w:eastAsia="de-DE" w:bidi="bo-CN"/>
        </w:rPr>
        <w:t xml:space="preserve"> Beauty Care a Laundry &amp; Home Care </w:t>
      </w:r>
      <w:r w:rsidR="00CF1124">
        <w:rPr>
          <w:rFonts w:cs="Segoe UI"/>
          <w:szCs w:val="22"/>
          <w:lang w:val="cs-CZ" w:eastAsia="de-DE" w:bidi="bo-CN"/>
        </w:rPr>
        <w:t>zavedla</w:t>
      </w:r>
      <w:r w:rsidR="006C70EA" w:rsidRPr="006C70EA">
        <w:rPr>
          <w:rFonts w:cs="Segoe UI"/>
          <w:szCs w:val="22"/>
          <w:lang w:val="cs-CZ" w:eastAsia="de-DE" w:bidi="bo-CN"/>
        </w:rPr>
        <w:t xml:space="preserve"> společnost Henkel další organizační změny, které umožnily silnější regionální zaměření a </w:t>
      </w:r>
      <w:r w:rsidR="00D55239">
        <w:rPr>
          <w:rFonts w:cs="Segoe UI"/>
          <w:szCs w:val="22"/>
          <w:lang w:val="cs-CZ" w:eastAsia="de-DE" w:bidi="bo-CN"/>
        </w:rPr>
        <w:t xml:space="preserve">přiblížení </w:t>
      </w:r>
      <w:r w:rsidR="004F3F62">
        <w:rPr>
          <w:rFonts w:cs="Segoe UI"/>
          <w:szCs w:val="22"/>
          <w:lang w:val="cs-CZ" w:eastAsia="de-DE" w:bidi="bo-CN"/>
        </w:rPr>
        <w:t>se</w:t>
      </w:r>
      <w:r w:rsidR="006C70EA" w:rsidRPr="006C70EA">
        <w:rPr>
          <w:rFonts w:cs="Segoe UI"/>
          <w:szCs w:val="22"/>
          <w:lang w:val="cs-CZ" w:eastAsia="de-DE" w:bidi="bo-CN"/>
        </w:rPr>
        <w:t xml:space="preserve"> zákazníků a spotřebitelů.</w:t>
      </w:r>
    </w:p>
    <w:p w14:paraId="670A53E9" w14:textId="12420B55" w:rsidR="00AC4BBB" w:rsidRDefault="00AC4BBB" w:rsidP="0019638B">
      <w:pPr>
        <w:rPr>
          <w:rFonts w:cs="Segoe UI"/>
          <w:szCs w:val="22"/>
          <w:lang w:val="cs-CZ" w:bidi="bo-CN"/>
        </w:rPr>
      </w:pPr>
    </w:p>
    <w:p w14:paraId="64945488" w14:textId="354E5457" w:rsidR="00AC4BBB" w:rsidRPr="00AC4BBB" w:rsidRDefault="008B5289" w:rsidP="00AC4BBB">
      <w:pPr>
        <w:rPr>
          <w:rFonts w:cs="Segoe UI"/>
          <w:szCs w:val="22"/>
          <w:lang w:val="cs-CZ" w:eastAsia="de-DE" w:bidi="bo-CN"/>
        </w:rPr>
      </w:pPr>
      <w:r>
        <w:rPr>
          <w:rFonts w:cs="Segoe UI"/>
          <w:szCs w:val="22"/>
          <w:lang w:val="cs-CZ" w:eastAsia="de-DE" w:bidi="bo-CN"/>
        </w:rPr>
        <w:t xml:space="preserve">V centru agendy „Smysluplný růst“ je další rozvoj firemní kultury a zrychlení </w:t>
      </w:r>
      <w:r w:rsidRPr="008D0227">
        <w:rPr>
          <w:rFonts w:cs="Segoe UI"/>
          <w:b/>
          <w:bCs/>
          <w:szCs w:val="22"/>
          <w:lang w:val="cs-CZ" w:eastAsia="de-DE" w:bidi="bo-CN"/>
        </w:rPr>
        <w:t>kulturní transformace</w:t>
      </w:r>
      <w:r w:rsidR="008D0227">
        <w:rPr>
          <w:rFonts w:cs="Segoe UI"/>
          <w:szCs w:val="22"/>
          <w:lang w:val="cs-CZ" w:eastAsia="de-DE" w:bidi="bo-CN"/>
        </w:rPr>
        <w:t xml:space="preserve"> v rámci společnosti Henkel</w:t>
      </w:r>
      <w:r w:rsidR="00AC4BBB" w:rsidRPr="00AC4BBB">
        <w:rPr>
          <w:rFonts w:cs="Segoe UI"/>
          <w:szCs w:val="22"/>
          <w:lang w:val="cs-CZ" w:eastAsia="de-DE" w:bidi="bo-CN"/>
        </w:rPr>
        <w:t>. Cílem společnosti je podporovat kulturu spolupráce</w:t>
      </w:r>
      <w:r w:rsidR="00373693">
        <w:rPr>
          <w:rFonts w:cs="Segoe UI"/>
          <w:szCs w:val="22"/>
          <w:lang w:val="cs-CZ" w:eastAsia="de-DE" w:bidi="bo-CN"/>
        </w:rPr>
        <w:t xml:space="preserve">, jejímž středobodem jsou angažovaní zaměstnanci a </w:t>
      </w:r>
      <w:r w:rsidR="00B6645A">
        <w:rPr>
          <w:rFonts w:cs="Segoe UI"/>
          <w:szCs w:val="22"/>
          <w:lang w:val="cs-CZ" w:eastAsia="de-DE" w:bidi="bo-CN"/>
        </w:rPr>
        <w:t>lídři.</w:t>
      </w:r>
      <w:r w:rsidR="00B6645A" w:rsidRPr="00AC4BBB">
        <w:rPr>
          <w:rFonts w:cs="Segoe UI"/>
          <w:szCs w:val="22"/>
          <w:lang w:val="cs-CZ" w:eastAsia="de-DE" w:bidi="bo-CN"/>
        </w:rPr>
        <w:t xml:space="preserve"> V</w:t>
      </w:r>
      <w:r w:rsidR="00AC4BBB" w:rsidRPr="00AC4BBB">
        <w:rPr>
          <w:rFonts w:cs="Segoe UI"/>
          <w:szCs w:val="22"/>
          <w:lang w:val="cs-CZ" w:eastAsia="de-DE" w:bidi="bo-CN"/>
        </w:rPr>
        <w:t xml:space="preserve"> roce 2020 zahájila společnost Henkel řadu opatření </w:t>
      </w:r>
      <w:r w:rsidR="00354962">
        <w:rPr>
          <w:rFonts w:cs="Segoe UI"/>
          <w:szCs w:val="22"/>
          <w:lang w:val="cs-CZ" w:eastAsia="de-DE" w:bidi="bo-CN"/>
        </w:rPr>
        <w:t>pro</w:t>
      </w:r>
      <w:r w:rsidR="00AC4BBB" w:rsidRPr="00AC4BBB">
        <w:rPr>
          <w:rFonts w:cs="Segoe UI"/>
          <w:szCs w:val="22"/>
          <w:lang w:val="cs-CZ" w:eastAsia="de-DE" w:bidi="bo-CN"/>
        </w:rPr>
        <w:t xml:space="preserve"> rozvoj kultury spolupráce a zvyšování kvalifikace </w:t>
      </w:r>
      <w:r w:rsidR="00354962">
        <w:rPr>
          <w:rFonts w:cs="Segoe UI"/>
          <w:szCs w:val="22"/>
          <w:lang w:val="cs-CZ" w:eastAsia="de-DE" w:bidi="bo-CN"/>
        </w:rPr>
        <w:t xml:space="preserve">svých </w:t>
      </w:r>
      <w:r w:rsidR="00AC4BBB" w:rsidRPr="00AC4BBB">
        <w:rPr>
          <w:rFonts w:cs="Segoe UI"/>
          <w:szCs w:val="22"/>
          <w:lang w:val="cs-CZ" w:eastAsia="de-DE" w:bidi="bo-CN"/>
        </w:rPr>
        <w:t xml:space="preserve">zaměstnanců </w:t>
      </w:r>
      <w:r w:rsidR="006319FD">
        <w:rPr>
          <w:rFonts w:cs="Segoe UI"/>
          <w:szCs w:val="22"/>
          <w:lang w:val="cs-CZ" w:eastAsia="de-DE" w:bidi="bo-CN"/>
        </w:rPr>
        <w:t xml:space="preserve">za účelem budování </w:t>
      </w:r>
      <w:r w:rsidR="004F3F62">
        <w:rPr>
          <w:rFonts w:cs="Segoe UI"/>
          <w:szCs w:val="22"/>
          <w:lang w:val="cs-CZ" w:eastAsia="de-DE" w:bidi="bo-CN"/>
        </w:rPr>
        <w:t xml:space="preserve">jejich </w:t>
      </w:r>
      <w:r w:rsidR="00D952D0">
        <w:rPr>
          <w:rFonts w:cs="Segoe UI"/>
          <w:szCs w:val="22"/>
          <w:lang w:val="cs-CZ" w:eastAsia="de-DE" w:bidi="bo-CN"/>
        </w:rPr>
        <w:t xml:space="preserve">nových </w:t>
      </w:r>
      <w:r w:rsidR="00AC4BBB" w:rsidRPr="00AC4BBB">
        <w:rPr>
          <w:rFonts w:cs="Segoe UI"/>
          <w:szCs w:val="22"/>
          <w:lang w:val="cs-CZ" w:eastAsia="de-DE" w:bidi="bo-CN"/>
        </w:rPr>
        <w:t>schopnost</w:t>
      </w:r>
      <w:r w:rsidR="006319FD">
        <w:rPr>
          <w:rFonts w:cs="Segoe UI"/>
          <w:szCs w:val="22"/>
          <w:lang w:val="cs-CZ" w:eastAsia="de-DE" w:bidi="bo-CN"/>
        </w:rPr>
        <w:t>í</w:t>
      </w:r>
      <w:r w:rsidR="00D952D0">
        <w:rPr>
          <w:rFonts w:cs="Segoe UI"/>
          <w:szCs w:val="22"/>
          <w:lang w:val="cs-CZ" w:eastAsia="de-DE" w:bidi="bo-CN"/>
        </w:rPr>
        <w:t xml:space="preserve"> a </w:t>
      </w:r>
      <w:r w:rsidR="00EA789E">
        <w:rPr>
          <w:rFonts w:cs="Segoe UI"/>
          <w:szCs w:val="22"/>
          <w:lang w:val="cs-CZ" w:eastAsia="de-DE" w:bidi="bo-CN"/>
        </w:rPr>
        <w:t>rozvoje,</w:t>
      </w:r>
      <w:r w:rsidR="009048D4">
        <w:rPr>
          <w:rFonts w:cs="Segoe UI"/>
          <w:szCs w:val="22"/>
          <w:lang w:val="cs-CZ" w:eastAsia="de-DE" w:bidi="bo-CN"/>
        </w:rPr>
        <w:t xml:space="preserve"> a to</w:t>
      </w:r>
      <w:r w:rsidR="001D1E9B">
        <w:rPr>
          <w:rFonts w:cs="Segoe UI"/>
          <w:szCs w:val="22"/>
          <w:lang w:val="cs-CZ" w:eastAsia="de-DE" w:bidi="bo-CN"/>
        </w:rPr>
        <w:t xml:space="preserve"> jak v </w:t>
      </w:r>
      <w:r w:rsidR="00EA789E">
        <w:rPr>
          <w:rFonts w:cs="Segoe UI"/>
          <w:szCs w:val="22"/>
          <w:lang w:val="cs-CZ" w:eastAsia="de-DE" w:bidi="bo-CN"/>
        </w:rPr>
        <w:t>osobním,</w:t>
      </w:r>
      <w:r w:rsidR="001D1E9B">
        <w:rPr>
          <w:rFonts w:cs="Segoe UI"/>
          <w:szCs w:val="22"/>
          <w:lang w:val="cs-CZ" w:eastAsia="de-DE" w:bidi="bo-CN"/>
        </w:rPr>
        <w:t xml:space="preserve"> tak </w:t>
      </w:r>
      <w:r w:rsidR="00293942">
        <w:rPr>
          <w:rFonts w:cs="Segoe UI"/>
          <w:szCs w:val="22"/>
          <w:lang w:val="cs-CZ" w:eastAsia="de-DE" w:bidi="bo-CN"/>
        </w:rPr>
        <w:t>i profesionálním</w:t>
      </w:r>
      <w:r w:rsidR="001D1E9B">
        <w:rPr>
          <w:rFonts w:cs="Segoe UI"/>
          <w:szCs w:val="22"/>
          <w:lang w:val="cs-CZ" w:eastAsia="de-DE" w:bidi="bo-CN"/>
        </w:rPr>
        <w:t xml:space="preserve"> životě</w:t>
      </w:r>
      <w:r w:rsidR="00AC4BBB" w:rsidRPr="00AC4BBB">
        <w:rPr>
          <w:rFonts w:cs="Segoe UI"/>
          <w:szCs w:val="22"/>
          <w:lang w:val="cs-CZ" w:eastAsia="de-DE" w:bidi="bo-CN"/>
        </w:rPr>
        <w:t xml:space="preserve">. Společnost Henkel </w:t>
      </w:r>
      <w:r w:rsidR="00293942">
        <w:rPr>
          <w:rFonts w:cs="Segoe UI"/>
          <w:szCs w:val="22"/>
          <w:lang w:val="cs-CZ" w:eastAsia="de-DE" w:bidi="bo-CN"/>
        </w:rPr>
        <w:t>uskutečnila</w:t>
      </w:r>
      <w:r w:rsidR="00AC4BBB" w:rsidRPr="00AC4BBB">
        <w:rPr>
          <w:rFonts w:cs="Segoe UI"/>
          <w:szCs w:val="22"/>
          <w:lang w:val="cs-CZ" w:eastAsia="de-DE" w:bidi="bo-CN"/>
        </w:rPr>
        <w:t xml:space="preserve"> globální průzkum</w:t>
      </w:r>
      <w:r w:rsidR="00293942">
        <w:rPr>
          <w:rFonts w:cs="Segoe UI"/>
          <w:szCs w:val="22"/>
          <w:lang w:val="cs-CZ" w:eastAsia="de-DE" w:bidi="bo-CN"/>
        </w:rPr>
        <w:t xml:space="preserve"> </w:t>
      </w:r>
      <w:r w:rsidR="00293942" w:rsidRPr="007012BC">
        <w:rPr>
          <w:rFonts w:cs="Segoe UI"/>
          <w:i/>
          <w:iCs/>
          <w:szCs w:val="22"/>
          <w:lang w:val="cs-CZ" w:eastAsia="de-DE" w:bidi="bo-CN"/>
        </w:rPr>
        <w:t>Organizational Health Survey</w:t>
      </w:r>
      <w:r w:rsidR="00293942">
        <w:rPr>
          <w:rFonts w:cs="Segoe UI"/>
          <w:i/>
          <w:iCs/>
          <w:szCs w:val="22"/>
          <w:lang w:val="cs-CZ" w:eastAsia="de-DE" w:bidi="bo-CN"/>
        </w:rPr>
        <w:t xml:space="preserve">, </w:t>
      </w:r>
      <w:r w:rsidR="00293942" w:rsidRPr="00051C16">
        <w:rPr>
          <w:rFonts w:cs="Segoe UI"/>
          <w:szCs w:val="22"/>
          <w:lang w:val="cs-CZ" w:eastAsia="de-DE" w:bidi="bo-CN"/>
        </w:rPr>
        <w:t>jehož cílem bylo</w:t>
      </w:r>
      <w:r w:rsidR="00AC4BBB" w:rsidRPr="00AC4BBB">
        <w:rPr>
          <w:rFonts w:cs="Segoe UI"/>
          <w:szCs w:val="22"/>
          <w:lang w:val="cs-CZ" w:eastAsia="de-DE" w:bidi="bo-CN"/>
        </w:rPr>
        <w:t xml:space="preserve"> identifikovat silné stránky a oblasti</w:t>
      </w:r>
      <w:r w:rsidR="00007CC8">
        <w:rPr>
          <w:rFonts w:cs="Segoe UI"/>
          <w:szCs w:val="22"/>
          <w:lang w:val="cs-CZ" w:eastAsia="de-DE" w:bidi="bo-CN"/>
        </w:rPr>
        <w:t>, které je možné zlepšovat a navrhnout tak možnosti kulturní transformace</w:t>
      </w:r>
      <w:r w:rsidR="00AC4BBB" w:rsidRPr="00AC4BBB">
        <w:rPr>
          <w:rFonts w:cs="Segoe UI"/>
          <w:szCs w:val="22"/>
          <w:lang w:val="cs-CZ" w:eastAsia="de-DE" w:bidi="bo-CN"/>
        </w:rPr>
        <w:t>.</w:t>
      </w:r>
      <w:r w:rsidR="00717B20">
        <w:rPr>
          <w:rFonts w:cs="Segoe UI"/>
          <w:szCs w:val="22"/>
          <w:lang w:val="cs-CZ" w:eastAsia="de-DE" w:bidi="bo-CN"/>
        </w:rPr>
        <w:t xml:space="preserve"> </w:t>
      </w:r>
      <w:r w:rsidR="00AC4BBB" w:rsidRPr="00AC4BBB">
        <w:rPr>
          <w:rFonts w:cs="Segoe UI"/>
          <w:szCs w:val="22"/>
          <w:lang w:val="cs-CZ" w:eastAsia="de-DE" w:bidi="bo-CN"/>
        </w:rPr>
        <w:t xml:space="preserve">Úsilí neustále se přizpůsobovat a rozvíjet </w:t>
      </w:r>
      <w:r w:rsidR="00007CC8">
        <w:rPr>
          <w:rFonts w:cs="Segoe UI"/>
          <w:szCs w:val="22"/>
          <w:lang w:val="cs-CZ" w:eastAsia="de-DE" w:bidi="bo-CN"/>
        </w:rPr>
        <w:t>firemní</w:t>
      </w:r>
      <w:r w:rsidR="00AC4BBB" w:rsidRPr="00AC4BBB">
        <w:rPr>
          <w:rFonts w:cs="Segoe UI"/>
          <w:szCs w:val="22"/>
          <w:lang w:val="cs-CZ" w:eastAsia="de-DE" w:bidi="bo-CN"/>
        </w:rPr>
        <w:t xml:space="preserve"> kulturu a zůstat atraktivním zaměstnavatelem se také odrazilo ve výrazném zlepšení </w:t>
      </w:r>
      <w:r w:rsidR="00717B20">
        <w:rPr>
          <w:rFonts w:cs="Segoe UI"/>
          <w:szCs w:val="22"/>
          <w:lang w:val="cs-CZ" w:eastAsia="de-DE" w:bidi="bo-CN"/>
        </w:rPr>
        <w:t xml:space="preserve">umístění v </w:t>
      </w:r>
      <w:r w:rsidR="00AC4BBB" w:rsidRPr="00AC4BBB">
        <w:rPr>
          <w:rFonts w:cs="Segoe UI"/>
          <w:szCs w:val="22"/>
          <w:lang w:val="cs-CZ" w:eastAsia="de-DE" w:bidi="bo-CN"/>
        </w:rPr>
        <w:t>klíčových hodnocení</w:t>
      </w:r>
      <w:r w:rsidR="006D5A91">
        <w:rPr>
          <w:rFonts w:cs="Segoe UI"/>
          <w:szCs w:val="22"/>
          <w:lang w:val="cs-CZ" w:eastAsia="de-DE" w:bidi="bo-CN"/>
        </w:rPr>
        <w:t xml:space="preserve">, které srovnávají </w:t>
      </w:r>
      <w:r w:rsidR="00717B20">
        <w:rPr>
          <w:rFonts w:cs="Segoe UI"/>
          <w:szCs w:val="22"/>
          <w:lang w:val="cs-CZ" w:eastAsia="de-DE" w:bidi="bo-CN"/>
        </w:rPr>
        <w:t xml:space="preserve">reputace </w:t>
      </w:r>
      <w:r w:rsidR="00AC4BBB" w:rsidRPr="00AC4BBB">
        <w:rPr>
          <w:rFonts w:cs="Segoe UI"/>
          <w:szCs w:val="22"/>
          <w:lang w:val="cs-CZ" w:eastAsia="de-DE" w:bidi="bo-CN"/>
        </w:rPr>
        <w:t>zaměstnavatelů.</w:t>
      </w:r>
    </w:p>
    <w:p w14:paraId="584B1A26" w14:textId="77777777" w:rsidR="00D55239" w:rsidRPr="007012BC" w:rsidRDefault="00D55239" w:rsidP="0019638B">
      <w:pPr>
        <w:rPr>
          <w:rFonts w:cs="Segoe UI"/>
          <w:szCs w:val="22"/>
          <w:lang w:val="cs-CZ" w:eastAsia="de-DE"/>
        </w:rPr>
      </w:pPr>
    </w:p>
    <w:p w14:paraId="07C27504" w14:textId="47E3A389" w:rsidR="00B97ADC" w:rsidRPr="00B97ADC" w:rsidRDefault="00B97ADC" w:rsidP="00B97ADC">
      <w:pPr>
        <w:rPr>
          <w:rFonts w:cs="Segoe UI"/>
          <w:i/>
          <w:iCs/>
          <w:szCs w:val="22"/>
          <w:lang w:val="cs-CZ" w:eastAsia="de-DE" w:bidi="bo-CN"/>
        </w:rPr>
      </w:pPr>
      <w:r w:rsidRPr="00B97ADC">
        <w:rPr>
          <w:rFonts w:cs="Segoe UI"/>
          <w:i/>
          <w:iCs/>
          <w:szCs w:val="22"/>
          <w:lang w:val="cs-CZ" w:eastAsia="de-DE" w:bidi="bo-CN"/>
        </w:rPr>
        <w:t xml:space="preserve">"Jsem hrdý na pokrok, kterého jsme dosáhli při provádění naší strategické </w:t>
      </w:r>
      <w:r w:rsidR="00466854" w:rsidRPr="00B97ADC">
        <w:rPr>
          <w:rFonts w:cs="Segoe UI"/>
          <w:i/>
          <w:iCs/>
          <w:szCs w:val="22"/>
          <w:lang w:val="cs-CZ" w:eastAsia="de-DE" w:bidi="bo-CN"/>
        </w:rPr>
        <w:t>agendy,</w:t>
      </w:r>
      <w:r w:rsidRPr="00B97ADC">
        <w:rPr>
          <w:rFonts w:cs="Segoe UI"/>
          <w:i/>
          <w:iCs/>
          <w:szCs w:val="22"/>
          <w:lang w:val="cs-CZ" w:eastAsia="de-DE" w:bidi="bo-CN"/>
        </w:rPr>
        <w:t xml:space="preserve"> </w:t>
      </w:r>
      <w:r w:rsidR="00466854">
        <w:rPr>
          <w:rFonts w:cs="Segoe UI"/>
          <w:i/>
          <w:iCs/>
          <w:szCs w:val="22"/>
          <w:lang w:val="cs-CZ" w:eastAsia="de-DE" w:bidi="bo-CN"/>
        </w:rPr>
        <w:t>a to i</w:t>
      </w:r>
      <w:r w:rsidR="00960751">
        <w:rPr>
          <w:rFonts w:cs="Segoe UI"/>
          <w:i/>
          <w:iCs/>
          <w:szCs w:val="22"/>
          <w:lang w:val="cs-CZ" w:eastAsia="de-DE" w:bidi="bo-CN"/>
        </w:rPr>
        <w:t xml:space="preserve"> během řešení </w:t>
      </w:r>
      <w:r w:rsidR="00805C61">
        <w:rPr>
          <w:rFonts w:cs="Segoe UI"/>
          <w:i/>
          <w:iCs/>
          <w:szCs w:val="22"/>
          <w:lang w:val="cs-CZ" w:eastAsia="de-DE" w:bidi="bo-CN"/>
        </w:rPr>
        <w:t>současné</w:t>
      </w:r>
      <w:r w:rsidRPr="00B97ADC">
        <w:rPr>
          <w:rFonts w:cs="Segoe UI"/>
          <w:i/>
          <w:iCs/>
          <w:szCs w:val="22"/>
          <w:lang w:val="cs-CZ" w:eastAsia="de-DE" w:bidi="bo-CN"/>
        </w:rPr>
        <w:t xml:space="preserve"> globální pandemie." Jsem ohromen odolností našeho podnikání, která nám umožnila dosáhnout </w:t>
      </w:r>
      <w:r w:rsidR="00466854">
        <w:rPr>
          <w:rFonts w:cs="Segoe UI"/>
          <w:i/>
          <w:iCs/>
          <w:szCs w:val="22"/>
          <w:lang w:val="cs-CZ" w:eastAsia="de-DE" w:bidi="bo-CN"/>
        </w:rPr>
        <w:t>přesvědčivých podnikatelských výsledků</w:t>
      </w:r>
      <w:r w:rsidRPr="00B97ADC">
        <w:rPr>
          <w:rFonts w:cs="Segoe UI"/>
          <w:i/>
          <w:iCs/>
          <w:szCs w:val="22"/>
          <w:lang w:val="cs-CZ" w:eastAsia="de-DE" w:bidi="bo-CN"/>
        </w:rPr>
        <w:t xml:space="preserve"> a dále posílit naši finanční základnu. Ale nejdůležitější pocit je vděčnost a upřímný respekt </w:t>
      </w:r>
      <w:r w:rsidR="00182759">
        <w:rPr>
          <w:rFonts w:cs="Segoe UI"/>
          <w:i/>
          <w:iCs/>
          <w:szCs w:val="22"/>
          <w:lang w:val="cs-CZ" w:eastAsia="de-DE" w:bidi="bo-CN"/>
        </w:rPr>
        <w:t>vůči našim</w:t>
      </w:r>
      <w:r w:rsidRPr="00B97ADC">
        <w:rPr>
          <w:rFonts w:cs="Segoe UI"/>
          <w:i/>
          <w:iCs/>
          <w:szCs w:val="22"/>
          <w:lang w:val="cs-CZ" w:eastAsia="de-DE" w:bidi="bo-CN"/>
        </w:rPr>
        <w:t xml:space="preserve"> zaměstnancům. </w:t>
      </w:r>
      <w:r w:rsidR="00182759">
        <w:rPr>
          <w:rFonts w:cs="Segoe UI"/>
          <w:i/>
          <w:iCs/>
          <w:szCs w:val="22"/>
          <w:lang w:val="cs-CZ" w:eastAsia="de-DE" w:bidi="bo-CN"/>
        </w:rPr>
        <w:t>Jejich v</w:t>
      </w:r>
      <w:r w:rsidRPr="00B97ADC">
        <w:rPr>
          <w:rFonts w:cs="Segoe UI"/>
          <w:i/>
          <w:iCs/>
          <w:szCs w:val="22"/>
          <w:lang w:val="cs-CZ" w:eastAsia="de-DE" w:bidi="bo-CN"/>
        </w:rPr>
        <w:t>ýkon, spolupráce a pozitivní přístup, který v roce 2020</w:t>
      </w:r>
      <w:r w:rsidR="005F759E" w:rsidRPr="005F759E">
        <w:rPr>
          <w:rFonts w:cs="Segoe UI"/>
          <w:i/>
          <w:iCs/>
          <w:szCs w:val="22"/>
          <w:lang w:val="cs-CZ" w:eastAsia="de-DE" w:bidi="bo-CN"/>
        </w:rPr>
        <w:t xml:space="preserve"> </w:t>
      </w:r>
      <w:r w:rsidR="005F759E" w:rsidRPr="00B97ADC">
        <w:rPr>
          <w:rFonts w:cs="Segoe UI"/>
          <w:i/>
          <w:iCs/>
          <w:szCs w:val="22"/>
          <w:lang w:val="cs-CZ" w:eastAsia="de-DE" w:bidi="bo-CN"/>
        </w:rPr>
        <w:t>projevili</w:t>
      </w:r>
      <w:r w:rsidRPr="00B97ADC">
        <w:rPr>
          <w:rFonts w:cs="Segoe UI"/>
          <w:i/>
          <w:iCs/>
          <w:szCs w:val="22"/>
          <w:lang w:val="cs-CZ" w:eastAsia="de-DE" w:bidi="bo-CN"/>
        </w:rPr>
        <w:t xml:space="preserve">, </w:t>
      </w:r>
      <w:r w:rsidR="005F759E">
        <w:rPr>
          <w:rFonts w:cs="Segoe UI"/>
          <w:i/>
          <w:iCs/>
          <w:szCs w:val="22"/>
          <w:lang w:val="cs-CZ" w:eastAsia="de-DE" w:bidi="bo-CN"/>
        </w:rPr>
        <w:t>se mě hluboko dotkl a jsou pro mě inspirací</w:t>
      </w:r>
      <w:r w:rsidRPr="00B97ADC">
        <w:rPr>
          <w:rFonts w:cs="Segoe UI"/>
          <w:i/>
          <w:iCs/>
          <w:szCs w:val="22"/>
          <w:lang w:val="cs-CZ" w:eastAsia="de-DE" w:bidi="bo-CN"/>
        </w:rPr>
        <w:t>. Rád bych jim všem poděkoval za neocenitelný přínos v tomto skutečně výjimečném roce, “</w:t>
      </w:r>
      <w:r w:rsidRPr="00B97ADC">
        <w:rPr>
          <w:rFonts w:cs="Segoe UI"/>
          <w:szCs w:val="22"/>
          <w:lang w:val="cs-CZ" w:eastAsia="de-DE" w:bidi="bo-CN"/>
        </w:rPr>
        <w:t>shrnul Carsten Knobel</w:t>
      </w:r>
      <w:r w:rsidRPr="00B97ADC">
        <w:rPr>
          <w:rFonts w:cs="Segoe UI"/>
          <w:i/>
          <w:iCs/>
          <w:szCs w:val="22"/>
          <w:lang w:val="cs-CZ" w:eastAsia="de-DE" w:bidi="bo-CN"/>
        </w:rPr>
        <w:t>.</w:t>
      </w:r>
    </w:p>
    <w:p w14:paraId="1D368D6F" w14:textId="77777777" w:rsidR="0019638B" w:rsidRPr="007012BC" w:rsidRDefault="0019638B" w:rsidP="0019638B">
      <w:pPr>
        <w:rPr>
          <w:rFonts w:cs="Segoe UI"/>
          <w:szCs w:val="22"/>
          <w:lang w:val="cs-CZ" w:eastAsia="de-DE"/>
        </w:rPr>
      </w:pPr>
    </w:p>
    <w:p w14:paraId="65D22AE6" w14:textId="77777777" w:rsidR="00717B20" w:rsidRDefault="00717B20" w:rsidP="0019638B">
      <w:pPr>
        <w:rPr>
          <w:rFonts w:cs="Segoe UI"/>
          <w:szCs w:val="22"/>
          <w:lang w:val="cs-CZ" w:eastAsia="de-DE" w:bidi="bo-CN"/>
        </w:rPr>
      </w:pPr>
    </w:p>
    <w:p w14:paraId="758312F7" w14:textId="77777777" w:rsidR="0019638B" w:rsidRPr="007012BC" w:rsidRDefault="0019638B" w:rsidP="0019638B">
      <w:pPr>
        <w:rPr>
          <w:rFonts w:cs="Segoe UI"/>
          <w:szCs w:val="22"/>
          <w:lang w:val="cs-CZ" w:eastAsia="de-DE"/>
        </w:rPr>
      </w:pPr>
    </w:p>
    <w:p w14:paraId="407B8D69" w14:textId="77777777" w:rsidR="0019638B" w:rsidRPr="007012BC" w:rsidRDefault="0019638B" w:rsidP="0019638B">
      <w:pPr>
        <w:rPr>
          <w:rFonts w:cs="Segoe UI"/>
          <w:szCs w:val="22"/>
          <w:lang w:val="cs-CZ" w:eastAsia="de-DE"/>
        </w:rPr>
      </w:pPr>
      <w:r w:rsidRPr="007012BC">
        <w:rPr>
          <w:rFonts w:cs="Segoe UI"/>
          <w:szCs w:val="22"/>
          <w:lang w:val="cs-CZ" w:eastAsia="de-DE"/>
        </w:rPr>
        <w:br w:type="page"/>
      </w:r>
    </w:p>
    <w:p w14:paraId="5EECBC66" w14:textId="77777777" w:rsidR="0019638B" w:rsidRPr="00237054" w:rsidRDefault="0019638B" w:rsidP="0019638B">
      <w:pPr>
        <w:spacing w:after="150" w:line="259" w:lineRule="auto"/>
        <w:ind w:left="7955" w:right="-507"/>
        <w:jc w:val="left"/>
        <w:rPr>
          <w:lang w:val="sk-SK"/>
        </w:rPr>
      </w:pPr>
      <w:r w:rsidRPr="00237054">
        <w:rPr>
          <w:noProof/>
          <w:lang w:val="sk-SK"/>
        </w:rPr>
        <w:lastRenderedPageBreak/>
        <w:drawing>
          <wp:anchor distT="0" distB="0" distL="114300" distR="114300" simplePos="0" relativeHeight="251658240" behindDoc="0" locked="0" layoutInCell="1" allowOverlap="1" wp14:anchorId="75952BCB" wp14:editId="4F9AD9C4">
            <wp:simplePos x="0" y="0"/>
            <wp:positionH relativeFrom="column">
              <wp:posOffset>5047709</wp:posOffset>
            </wp:positionH>
            <wp:positionV relativeFrom="paragraph">
              <wp:posOffset>-596265</wp:posOffset>
            </wp:positionV>
            <wp:extent cx="1000747" cy="585254"/>
            <wp:effectExtent l="0" t="0" r="0" b="5715"/>
            <wp:wrapNone/>
            <wp:docPr id="2502" name="Picture 2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2" name="Picture 250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0747" cy="585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048B4B" w14:textId="3538F2BF" w:rsidR="0019638B" w:rsidRPr="005F759E" w:rsidRDefault="0019638B" w:rsidP="0019638B">
      <w:pPr>
        <w:pStyle w:val="Heading1"/>
        <w:ind w:left="-77"/>
        <w:rPr>
          <w:color w:val="E1000F"/>
          <w:sz w:val="29"/>
          <w:lang w:val="cs-CZ"/>
        </w:rPr>
      </w:pPr>
      <w:r w:rsidRPr="005F759E">
        <w:rPr>
          <w:rFonts w:ascii="Calibri" w:eastAsia="Calibri" w:hAnsi="Calibri" w:cs="Calibri"/>
          <w:color w:val="E1000F"/>
          <w:sz w:val="29"/>
          <w:lang w:val="cs-CZ" w:bidi="bo-CN"/>
        </w:rPr>
        <w:t>Hlavn</w:t>
      </w:r>
      <w:r w:rsidR="005F759E" w:rsidRPr="005F759E">
        <w:rPr>
          <w:rFonts w:ascii="Calibri" w:eastAsia="Calibri" w:hAnsi="Calibri" w:cs="Calibri"/>
          <w:color w:val="E1000F"/>
          <w:sz w:val="29"/>
          <w:lang w:val="cs-CZ" w:bidi="bo-CN"/>
        </w:rPr>
        <w:t>í</w:t>
      </w:r>
      <w:r w:rsidRPr="005F759E">
        <w:rPr>
          <w:rFonts w:ascii="Calibri" w:eastAsia="Calibri" w:hAnsi="Calibri" w:cs="Calibri"/>
          <w:color w:val="E1000F"/>
          <w:sz w:val="29"/>
          <w:lang w:val="cs-CZ" w:bidi="bo-CN"/>
        </w:rPr>
        <w:t xml:space="preserve"> údaje za </w:t>
      </w:r>
      <w:r w:rsidR="005F759E" w:rsidRPr="005F759E">
        <w:rPr>
          <w:rFonts w:ascii="Calibri" w:eastAsia="Calibri" w:hAnsi="Calibri" w:cs="Calibri"/>
          <w:color w:val="E1000F"/>
          <w:sz w:val="29"/>
          <w:lang w:val="cs-CZ" w:bidi="bo-CN"/>
        </w:rPr>
        <w:t>čtvrté čtvrtletí</w:t>
      </w:r>
      <w:r w:rsidRPr="005F759E">
        <w:rPr>
          <w:rFonts w:ascii="Calibri" w:eastAsia="Calibri" w:hAnsi="Calibri" w:cs="Calibri"/>
          <w:color w:val="E1000F"/>
          <w:sz w:val="29"/>
          <w:lang w:val="cs-CZ" w:bidi="bo-CN"/>
        </w:rPr>
        <w:t xml:space="preserve"> 2020 (Q4) a za celý rok 2020 (1-12)</w:t>
      </w:r>
    </w:p>
    <w:tbl>
      <w:tblPr>
        <w:tblStyle w:val="TableGrid0"/>
        <w:tblW w:w="9031" w:type="dxa"/>
        <w:tblInd w:w="-125" w:type="dxa"/>
        <w:tblCellMar>
          <w:top w:w="23" w:type="dxa"/>
          <w:right w:w="115" w:type="dxa"/>
        </w:tblCellMar>
        <w:tblLook w:val="04A0" w:firstRow="1" w:lastRow="0" w:firstColumn="1" w:lastColumn="0" w:noHBand="0" w:noVBand="1"/>
      </w:tblPr>
      <w:tblGrid>
        <w:gridCol w:w="4401"/>
        <w:gridCol w:w="1122"/>
        <w:gridCol w:w="698"/>
        <w:gridCol w:w="1405"/>
        <w:gridCol w:w="1405"/>
      </w:tblGrid>
      <w:tr w:rsidR="0019638B" w:rsidRPr="004D7D82" w14:paraId="75F1D8B2" w14:textId="77777777" w:rsidTr="00390E2B">
        <w:trPr>
          <w:trHeight w:val="228"/>
        </w:trPr>
        <w:tc>
          <w:tcPr>
            <w:tcW w:w="4401" w:type="dxa"/>
            <w:tcBorders>
              <w:top w:val="nil"/>
              <w:left w:val="nil"/>
              <w:bottom w:val="single" w:sz="4" w:space="0" w:color="AFB4B9"/>
              <w:right w:val="nil"/>
            </w:tcBorders>
          </w:tcPr>
          <w:p w14:paraId="386087D9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FB4B9"/>
              <w:right w:val="single" w:sz="12" w:space="0" w:color="FFFFFF"/>
            </w:tcBorders>
          </w:tcPr>
          <w:p w14:paraId="6A48743C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</w:p>
        </w:tc>
        <w:tc>
          <w:tcPr>
            <w:tcW w:w="1405" w:type="dxa"/>
            <w:tcBorders>
              <w:top w:val="nil"/>
              <w:left w:val="single" w:sz="12" w:space="0" w:color="FFFFFF"/>
              <w:bottom w:val="single" w:sz="4" w:space="0" w:color="AFB4B9"/>
              <w:right w:val="single" w:sz="12" w:space="0" w:color="FFFFFF"/>
            </w:tcBorders>
          </w:tcPr>
          <w:p w14:paraId="78A00AEB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</w:p>
        </w:tc>
        <w:tc>
          <w:tcPr>
            <w:tcW w:w="1405" w:type="dxa"/>
            <w:tcBorders>
              <w:top w:val="nil"/>
              <w:left w:val="single" w:sz="12" w:space="0" w:color="FFFFFF"/>
              <w:bottom w:val="single" w:sz="4" w:space="0" w:color="AFB4B9"/>
              <w:right w:val="nil"/>
            </w:tcBorders>
          </w:tcPr>
          <w:p w14:paraId="2ECFD381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</w:p>
        </w:tc>
      </w:tr>
      <w:tr w:rsidR="0019638B" w:rsidRPr="005F759E" w14:paraId="721A114E" w14:textId="77777777" w:rsidTr="00390E2B">
        <w:trPr>
          <w:trHeight w:val="228"/>
        </w:trPr>
        <w:tc>
          <w:tcPr>
            <w:tcW w:w="4401" w:type="dxa"/>
            <w:vMerge w:val="restart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vAlign w:val="bottom"/>
          </w:tcPr>
          <w:p w14:paraId="5A1326E3" w14:textId="7F4C49FA" w:rsidR="0019638B" w:rsidRPr="005F759E" w:rsidRDefault="0019638B" w:rsidP="003F3994">
            <w:pPr>
              <w:spacing w:line="259" w:lineRule="auto"/>
              <w:ind w:left="34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b/>
                <w:sz w:val="18"/>
                <w:lang w:val="cs-CZ"/>
              </w:rPr>
              <w:t xml:space="preserve">v </w:t>
            </w:r>
            <w:r w:rsidR="005F759E" w:rsidRPr="005F759E">
              <w:rPr>
                <w:rFonts w:ascii="Calibri" w:eastAsia="Calibri" w:hAnsi="Calibri" w:cs="Calibri"/>
                <w:b/>
                <w:sz w:val="18"/>
                <w:lang w:val="cs-CZ"/>
              </w:rPr>
              <w:t>miliónech</w:t>
            </w:r>
            <w:r w:rsidRPr="005F759E">
              <w:rPr>
                <w:rFonts w:ascii="Calibri" w:eastAsia="Calibri" w:hAnsi="Calibri" w:cs="Calibri"/>
                <w:b/>
                <w:sz w:val="18"/>
                <w:lang w:val="cs-CZ"/>
              </w:rPr>
              <w:t xml:space="preserve"> eur</w:t>
            </w:r>
          </w:p>
        </w:tc>
        <w:tc>
          <w:tcPr>
            <w:tcW w:w="1820" w:type="dxa"/>
            <w:gridSpan w:val="2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</w:tcPr>
          <w:p w14:paraId="2BC7C6FB" w14:textId="594EC86B" w:rsidR="0019638B" w:rsidRPr="005F759E" w:rsidRDefault="005F759E" w:rsidP="003F3994">
            <w:pPr>
              <w:spacing w:line="259" w:lineRule="auto"/>
              <w:ind w:left="132"/>
              <w:jc w:val="center"/>
              <w:rPr>
                <w:lang w:val="cs-CZ"/>
              </w:rPr>
            </w:pPr>
            <w:r>
              <w:rPr>
                <w:rFonts w:ascii="Calibri" w:eastAsia="Calibri" w:hAnsi="Calibri" w:cs="Calibri"/>
                <w:b/>
                <w:sz w:val="18"/>
                <w:lang w:val="cs-CZ"/>
              </w:rPr>
              <w:t>Tržby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</w:tcPr>
          <w:p w14:paraId="2A294FF8" w14:textId="77777777" w:rsidR="0019638B" w:rsidRPr="005F759E" w:rsidRDefault="0019638B" w:rsidP="003F3994">
            <w:pPr>
              <w:spacing w:line="259" w:lineRule="auto"/>
              <w:ind w:left="129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b/>
                <w:sz w:val="18"/>
                <w:lang w:val="cs-CZ"/>
              </w:rPr>
              <w:t>EBIT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</w:tcPr>
          <w:p w14:paraId="0DEDAD32" w14:textId="362AA01A" w:rsidR="0019638B" w:rsidRPr="005F759E" w:rsidRDefault="005F759E" w:rsidP="003F3994">
            <w:pPr>
              <w:spacing w:line="259" w:lineRule="auto"/>
              <w:ind w:left="129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b/>
                <w:sz w:val="18"/>
                <w:lang w:val="cs-CZ"/>
              </w:rPr>
              <w:t>Marže</w:t>
            </w:r>
            <w:r w:rsidR="0019638B" w:rsidRPr="005F759E">
              <w:rPr>
                <w:rFonts w:ascii="Calibri" w:eastAsia="Calibri" w:hAnsi="Calibri" w:cs="Calibri"/>
                <w:b/>
                <w:sz w:val="18"/>
                <w:lang w:val="cs-CZ"/>
              </w:rPr>
              <w:t xml:space="preserve"> EBIT </w:t>
            </w:r>
          </w:p>
        </w:tc>
      </w:tr>
      <w:tr w:rsidR="0019638B" w:rsidRPr="005F759E" w14:paraId="045B4795" w14:textId="77777777" w:rsidTr="00390E2B">
        <w:trPr>
          <w:trHeight w:val="22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FB4B9"/>
              <w:right w:val="nil"/>
            </w:tcBorders>
          </w:tcPr>
          <w:p w14:paraId="6D16DBBD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</w:tcPr>
          <w:p w14:paraId="20F8CBFC" w14:textId="77777777" w:rsidR="0019638B" w:rsidRPr="005F759E" w:rsidRDefault="0019638B" w:rsidP="003F3994">
            <w:pPr>
              <w:spacing w:line="259" w:lineRule="auto"/>
              <w:ind w:left="356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b/>
                <w:sz w:val="18"/>
                <w:lang w:val="cs-CZ"/>
              </w:rPr>
              <w:t>Q4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</w:tcPr>
          <w:p w14:paraId="03B652CD" w14:textId="77777777" w:rsidR="0019638B" w:rsidRPr="005F759E" w:rsidRDefault="0019638B" w:rsidP="003F3994">
            <w:pPr>
              <w:spacing w:line="259" w:lineRule="auto"/>
              <w:ind w:left="86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b/>
                <w:sz w:val="18"/>
                <w:lang w:val="cs-CZ"/>
              </w:rPr>
              <w:t>1-12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</w:tcPr>
          <w:p w14:paraId="04932432" w14:textId="77777777" w:rsidR="0019638B" w:rsidRPr="005F759E" w:rsidRDefault="0019638B" w:rsidP="003F3994">
            <w:pPr>
              <w:spacing w:line="259" w:lineRule="auto"/>
              <w:ind w:left="131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b/>
                <w:sz w:val="18"/>
                <w:lang w:val="cs-CZ"/>
              </w:rPr>
              <w:t>1-12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</w:tcPr>
          <w:p w14:paraId="1BE03B9A" w14:textId="77777777" w:rsidR="0019638B" w:rsidRPr="005F759E" w:rsidRDefault="0019638B" w:rsidP="003F3994">
            <w:pPr>
              <w:spacing w:line="259" w:lineRule="auto"/>
              <w:ind w:left="131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b/>
                <w:sz w:val="18"/>
                <w:lang w:val="cs-CZ"/>
              </w:rPr>
              <w:t>1-12</w:t>
            </w:r>
          </w:p>
        </w:tc>
      </w:tr>
      <w:tr w:rsidR="0019638B" w:rsidRPr="005F759E" w14:paraId="12E5660F" w14:textId="77777777" w:rsidTr="00390E2B">
        <w:trPr>
          <w:trHeight w:val="187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</w:tcPr>
          <w:p w14:paraId="3CD5E14B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</w:tcPr>
          <w:p w14:paraId="7430BCA1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</w:tcPr>
          <w:p w14:paraId="0CC16A25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</w:tcPr>
          <w:p w14:paraId="7311D871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</w:tcPr>
          <w:p w14:paraId="0EA96070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</w:p>
        </w:tc>
      </w:tr>
      <w:tr w:rsidR="0019638B" w:rsidRPr="005F759E" w14:paraId="2FA03CBD" w14:textId="77777777" w:rsidTr="00390E2B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E7E6E6"/>
          </w:tcPr>
          <w:p w14:paraId="0588F7DD" w14:textId="77777777" w:rsidR="0019638B" w:rsidRPr="005F759E" w:rsidRDefault="0019638B" w:rsidP="003F3994">
            <w:pPr>
              <w:spacing w:line="259" w:lineRule="auto"/>
              <w:ind w:left="34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b/>
                <w:sz w:val="18"/>
                <w:lang w:val="cs-CZ"/>
              </w:rPr>
              <w:t>Adhesive Technologies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E7E6E6"/>
          </w:tcPr>
          <w:p w14:paraId="7299856A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E7E6E6"/>
          </w:tcPr>
          <w:p w14:paraId="06A03330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  <w:shd w:val="clear" w:color="auto" w:fill="E7E6E6"/>
          </w:tcPr>
          <w:p w14:paraId="4AD87FB2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E7E6E6"/>
          </w:tcPr>
          <w:p w14:paraId="6EA79F89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</w:p>
        </w:tc>
      </w:tr>
      <w:tr w:rsidR="0019638B" w:rsidRPr="005F759E" w14:paraId="5DC70FDD" w14:textId="77777777" w:rsidTr="00390E2B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3146DCC7" w14:textId="77777777" w:rsidR="0019638B" w:rsidRPr="005F759E" w:rsidRDefault="0019638B" w:rsidP="003F3994">
            <w:pPr>
              <w:spacing w:line="259" w:lineRule="auto"/>
              <w:ind w:left="34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06908807" w14:textId="77777777" w:rsidR="0019638B" w:rsidRPr="005F759E" w:rsidRDefault="0019638B" w:rsidP="003F3994">
            <w:pPr>
              <w:spacing w:line="259" w:lineRule="auto"/>
              <w:ind w:left="258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2 251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71BF1DD3" w14:textId="77777777" w:rsidR="0019638B" w:rsidRPr="005F759E" w:rsidRDefault="0019638B" w:rsidP="003F3994">
            <w:pPr>
              <w:spacing w:line="259" w:lineRule="auto"/>
              <w:ind w:left="46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8 684</w:t>
            </w:r>
          </w:p>
        </w:tc>
        <w:tc>
          <w:tcPr>
            <w:tcW w:w="1405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4BE82B14" w14:textId="77777777" w:rsidR="0019638B" w:rsidRPr="005F759E" w:rsidRDefault="0019638B" w:rsidP="003F3994">
            <w:pPr>
              <w:spacing w:line="259" w:lineRule="auto"/>
              <w:ind w:left="131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1 248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24C968D2" w14:textId="77777777" w:rsidR="0019638B" w:rsidRPr="005F759E" w:rsidRDefault="0019638B" w:rsidP="003F3994">
            <w:pPr>
              <w:spacing w:line="259" w:lineRule="auto"/>
              <w:ind w:left="130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14,4 %</w:t>
            </w:r>
          </w:p>
        </w:tc>
      </w:tr>
      <w:tr w:rsidR="0019638B" w:rsidRPr="005F759E" w14:paraId="1A89904F" w14:textId="77777777" w:rsidTr="00390E2B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38B86761" w14:textId="77777777" w:rsidR="0019638B" w:rsidRPr="005F759E" w:rsidRDefault="0019638B" w:rsidP="003F3994">
            <w:pPr>
              <w:spacing w:line="259" w:lineRule="auto"/>
              <w:ind w:left="34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1562C2C4" w14:textId="77777777" w:rsidR="0019638B" w:rsidRPr="005F759E" w:rsidRDefault="0019638B" w:rsidP="003F3994">
            <w:pPr>
              <w:spacing w:line="259" w:lineRule="auto"/>
              <w:ind w:left="258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2 335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08D69A78" w14:textId="77777777" w:rsidR="0019638B" w:rsidRPr="005F759E" w:rsidRDefault="0019638B" w:rsidP="003F3994">
            <w:pPr>
              <w:spacing w:line="259" w:lineRule="auto"/>
              <w:ind w:left="46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9 461</w:t>
            </w:r>
          </w:p>
        </w:tc>
        <w:tc>
          <w:tcPr>
            <w:tcW w:w="1405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2BF0A917" w14:textId="77777777" w:rsidR="0019638B" w:rsidRPr="005F759E" w:rsidRDefault="0019638B" w:rsidP="003F3994">
            <w:pPr>
              <w:spacing w:line="259" w:lineRule="auto"/>
              <w:ind w:left="131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1 631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4A93935F" w14:textId="77777777" w:rsidR="0019638B" w:rsidRPr="005F759E" w:rsidRDefault="0019638B" w:rsidP="003F3994">
            <w:pPr>
              <w:spacing w:line="259" w:lineRule="auto"/>
              <w:ind w:left="130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17,2 %</w:t>
            </w:r>
          </w:p>
        </w:tc>
      </w:tr>
      <w:tr w:rsidR="0019638B" w:rsidRPr="005F759E" w14:paraId="62A3B700" w14:textId="77777777" w:rsidTr="00390E2B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2A71F6A6" w14:textId="4B63ED99" w:rsidR="0019638B" w:rsidRPr="005F759E" w:rsidRDefault="0019638B" w:rsidP="003F3994">
            <w:pPr>
              <w:spacing w:line="259" w:lineRule="auto"/>
              <w:ind w:left="34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organický r</w:t>
            </w:r>
            <w:r w:rsidR="005F759E">
              <w:rPr>
                <w:rFonts w:ascii="Calibri" w:eastAsia="Calibri" w:hAnsi="Calibri" w:cs="Calibri"/>
                <w:sz w:val="18"/>
                <w:lang w:val="cs-CZ"/>
              </w:rPr>
              <w:t>ů</w:t>
            </w: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st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711010DF" w14:textId="77777777" w:rsidR="0019638B" w:rsidRPr="005F759E" w:rsidRDefault="0019638B" w:rsidP="003F3994">
            <w:pPr>
              <w:spacing w:line="259" w:lineRule="auto"/>
              <w:ind w:left="284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3,7 %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106441A9" w14:textId="77777777" w:rsidR="0019638B" w:rsidRPr="005F759E" w:rsidRDefault="0019638B" w:rsidP="003F3994">
            <w:pPr>
              <w:spacing w:line="259" w:lineRule="auto"/>
              <w:ind w:left="43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-4,2 %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7137B39A" w14:textId="77777777" w:rsidR="0019638B" w:rsidRPr="005F759E" w:rsidRDefault="0019638B" w:rsidP="003F3994">
            <w:pPr>
              <w:spacing w:line="259" w:lineRule="auto"/>
              <w:ind w:left="131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-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00F21888" w14:textId="77777777" w:rsidR="0019638B" w:rsidRPr="005F759E" w:rsidRDefault="0019638B" w:rsidP="003F3994">
            <w:pPr>
              <w:spacing w:line="259" w:lineRule="auto"/>
              <w:ind w:left="131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-</w:t>
            </w:r>
          </w:p>
        </w:tc>
      </w:tr>
      <w:tr w:rsidR="0019638B" w:rsidRPr="005F759E" w14:paraId="002934AD" w14:textId="77777777" w:rsidTr="00390E2B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3DB0718A" w14:textId="77777777" w:rsidR="0019638B" w:rsidRPr="005F759E" w:rsidRDefault="0019638B" w:rsidP="003F3994">
            <w:pPr>
              <w:spacing w:line="259" w:lineRule="auto"/>
              <w:ind w:left="34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 xml:space="preserve">2020 upravený </w:t>
            </w:r>
            <w:r w:rsidRPr="005F759E">
              <w:rPr>
                <w:rFonts w:ascii="Calibri" w:eastAsia="Calibri" w:hAnsi="Calibri" w:cs="Calibri"/>
                <w:sz w:val="18"/>
                <w:vertAlign w:val="superscript"/>
                <w:lang w:val="cs-CZ"/>
              </w:rPr>
              <w:t>1)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350087B6" w14:textId="77777777" w:rsidR="0019638B" w:rsidRPr="005F759E" w:rsidRDefault="0019638B" w:rsidP="003F3994">
            <w:pPr>
              <w:spacing w:line="259" w:lineRule="auto"/>
              <w:ind w:left="436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-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70631D04" w14:textId="77777777" w:rsidR="0019638B" w:rsidRPr="005F759E" w:rsidRDefault="0019638B" w:rsidP="003F3994">
            <w:pPr>
              <w:spacing w:line="259" w:lineRule="auto"/>
              <w:ind w:left="223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-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255D22BB" w14:textId="77777777" w:rsidR="0019638B" w:rsidRPr="005F759E" w:rsidRDefault="0019638B" w:rsidP="003F3994">
            <w:pPr>
              <w:spacing w:line="259" w:lineRule="auto"/>
              <w:ind w:left="131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1 320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010A3894" w14:textId="77777777" w:rsidR="0019638B" w:rsidRPr="005F759E" w:rsidRDefault="0019638B" w:rsidP="003F3994">
            <w:pPr>
              <w:spacing w:line="259" w:lineRule="auto"/>
              <w:ind w:left="130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15,2 %</w:t>
            </w:r>
          </w:p>
        </w:tc>
      </w:tr>
      <w:tr w:rsidR="0019638B" w:rsidRPr="005F759E" w14:paraId="43873A94" w14:textId="77777777" w:rsidTr="00390E2B">
        <w:trPr>
          <w:trHeight w:val="286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47D67916" w14:textId="77777777" w:rsidR="0019638B" w:rsidRPr="005F759E" w:rsidRDefault="0019638B" w:rsidP="003F3994">
            <w:pPr>
              <w:spacing w:line="259" w:lineRule="auto"/>
              <w:ind w:left="34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 xml:space="preserve">2019 upravený </w:t>
            </w:r>
            <w:r w:rsidRPr="005F759E">
              <w:rPr>
                <w:rFonts w:ascii="Calibri" w:eastAsia="Calibri" w:hAnsi="Calibri" w:cs="Calibri"/>
                <w:sz w:val="18"/>
                <w:vertAlign w:val="superscript"/>
                <w:lang w:val="cs-CZ"/>
              </w:rPr>
              <w:t>1)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09F014BA" w14:textId="77777777" w:rsidR="0019638B" w:rsidRPr="005F759E" w:rsidRDefault="0019638B" w:rsidP="003F3994">
            <w:pPr>
              <w:spacing w:line="259" w:lineRule="auto"/>
              <w:ind w:left="436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-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5A57D579" w14:textId="77777777" w:rsidR="0019638B" w:rsidRPr="005F759E" w:rsidRDefault="0019638B" w:rsidP="003F3994">
            <w:pPr>
              <w:spacing w:line="259" w:lineRule="auto"/>
              <w:ind w:left="223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-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76A55BBE" w14:textId="77777777" w:rsidR="0019638B" w:rsidRPr="005F759E" w:rsidRDefault="0019638B" w:rsidP="003F3994">
            <w:pPr>
              <w:spacing w:line="259" w:lineRule="auto"/>
              <w:ind w:left="131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1 712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40BD9198" w14:textId="77777777" w:rsidR="0019638B" w:rsidRPr="005F759E" w:rsidRDefault="0019638B" w:rsidP="003F3994">
            <w:pPr>
              <w:spacing w:line="259" w:lineRule="auto"/>
              <w:ind w:left="130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18,1 %</w:t>
            </w:r>
          </w:p>
        </w:tc>
      </w:tr>
      <w:tr w:rsidR="0019638B" w:rsidRPr="005F759E" w14:paraId="342DAF8D" w14:textId="77777777" w:rsidTr="00390E2B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E7E6E6"/>
          </w:tcPr>
          <w:p w14:paraId="35DF08BF" w14:textId="77777777" w:rsidR="0019638B" w:rsidRPr="005F759E" w:rsidRDefault="0019638B" w:rsidP="003F3994">
            <w:pPr>
              <w:spacing w:line="259" w:lineRule="auto"/>
              <w:ind w:left="34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b/>
                <w:sz w:val="18"/>
                <w:lang w:val="cs-CZ"/>
              </w:rPr>
              <w:t>Beauty Care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E7E6E6"/>
          </w:tcPr>
          <w:p w14:paraId="485F5E14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E7E6E6"/>
          </w:tcPr>
          <w:p w14:paraId="0DA9052D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  <w:shd w:val="clear" w:color="auto" w:fill="E7E6E6"/>
          </w:tcPr>
          <w:p w14:paraId="28385602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E7E6E6"/>
          </w:tcPr>
          <w:p w14:paraId="14484938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</w:p>
        </w:tc>
      </w:tr>
      <w:tr w:rsidR="0019638B" w:rsidRPr="005F759E" w14:paraId="570F9F5E" w14:textId="77777777" w:rsidTr="00390E2B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57B495A1" w14:textId="77777777" w:rsidR="0019638B" w:rsidRPr="005F759E" w:rsidRDefault="0019638B" w:rsidP="003F3994">
            <w:pPr>
              <w:spacing w:line="259" w:lineRule="auto"/>
              <w:ind w:left="34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45DD206C" w14:textId="77777777" w:rsidR="0019638B" w:rsidRPr="005F759E" w:rsidRDefault="0019638B" w:rsidP="003F3994">
            <w:pPr>
              <w:spacing w:line="259" w:lineRule="auto"/>
              <w:ind w:left="325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934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4F31AE65" w14:textId="77777777" w:rsidR="0019638B" w:rsidRPr="005F759E" w:rsidRDefault="0019638B" w:rsidP="003F3994">
            <w:pPr>
              <w:spacing w:line="259" w:lineRule="auto"/>
              <w:ind w:left="46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3 752</w:t>
            </w:r>
          </w:p>
        </w:tc>
        <w:tc>
          <w:tcPr>
            <w:tcW w:w="1405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3FFC2664" w14:textId="77777777" w:rsidR="0019638B" w:rsidRPr="005F759E" w:rsidRDefault="0019638B" w:rsidP="003F3994">
            <w:pPr>
              <w:spacing w:line="259" w:lineRule="auto"/>
              <w:ind w:left="129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246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4759B207" w14:textId="77777777" w:rsidR="0019638B" w:rsidRPr="005F759E" w:rsidRDefault="0019638B" w:rsidP="003F3994">
            <w:pPr>
              <w:spacing w:line="259" w:lineRule="auto"/>
              <w:ind w:left="130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6,6 %</w:t>
            </w:r>
          </w:p>
        </w:tc>
      </w:tr>
      <w:tr w:rsidR="0019638B" w:rsidRPr="005F759E" w14:paraId="14C7E0B6" w14:textId="77777777" w:rsidTr="00390E2B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0D61B769" w14:textId="77777777" w:rsidR="0019638B" w:rsidRPr="005F759E" w:rsidRDefault="0019638B" w:rsidP="003F3994">
            <w:pPr>
              <w:spacing w:line="259" w:lineRule="auto"/>
              <w:ind w:left="34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78C5FDF3" w14:textId="77777777" w:rsidR="0019638B" w:rsidRPr="005F759E" w:rsidRDefault="0019638B" w:rsidP="003F3994">
            <w:pPr>
              <w:spacing w:line="259" w:lineRule="auto"/>
              <w:ind w:left="325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944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5EAC4611" w14:textId="77777777" w:rsidR="0019638B" w:rsidRPr="005F759E" w:rsidRDefault="0019638B" w:rsidP="003F3994">
            <w:pPr>
              <w:spacing w:line="259" w:lineRule="auto"/>
              <w:ind w:left="46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3 877</w:t>
            </w:r>
          </w:p>
        </w:tc>
        <w:tc>
          <w:tcPr>
            <w:tcW w:w="1405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1208DE82" w14:textId="77777777" w:rsidR="0019638B" w:rsidRPr="005F759E" w:rsidRDefault="0019638B" w:rsidP="003F3994">
            <w:pPr>
              <w:spacing w:line="259" w:lineRule="auto"/>
              <w:ind w:left="129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418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794CDD04" w14:textId="77777777" w:rsidR="0019638B" w:rsidRPr="005F759E" w:rsidRDefault="0019638B" w:rsidP="003F3994">
            <w:pPr>
              <w:spacing w:line="259" w:lineRule="auto"/>
              <w:ind w:left="130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10,8 %</w:t>
            </w:r>
          </w:p>
        </w:tc>
      </w:tr>
      <w:tr w:rsidR="0019638B" w:rsidRPr="005F759E" w14:paraId="0513698C" w14:textId="77777777" w:rsidTr="00390E2B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53045C24" w14:textId="3FB50E48" w:rsidR="0019638B" w:rsidRPr="005F759E" w:rsidRDefault="0019638B" w:rsidP="003F3994">
            <w:pPr>
              <w:spacing w:line="259" w:lineRule="auto"/>
              <w:ind w:left="34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organický r</w:t>
            </w:r>
            <w:r w:rsidR="005F759E">
              <w:rPr>
                <w:rFonts w:ascii="Calibri" w:eastAsia="Calibri" w:hAnsi="Calibri" w:cs="Calibri"/>
                <w:sz w:val="18"/>
                <w:lang w:val="cs-CZ"/>
              </w:rPr>
              <w:t>ů</w:t>
            </w: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st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694FA97E" w14:textId="77777777" w:rsidR="0019638B" w:rsidRPr="005F759E" w:rsidRDefault="0019638B" w:rsidP="003F3994">
            <w:pPr>
              <w:spacing w:line="259" w:lineRule="auto"/>
              <w:ind w:left="284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1,4 %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30262D80" w14:textId="77777777" w:rsidR="0019638B" w:rsidRPr="005F759E" w:rsidRDefault="0019638B" w:rsidP="003F3994">
            <w:pPr>
              <w:spacing w:line="259" w:lineRule="auto"/>
              <w:ind w:left="43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-2,8 %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43AC6277" w14:textId="77777777" w:rsidR="0019638B" w:rsidRPr="005F759E" w:rsidRDefault="0019638B" w:rsidP="003F3994">
            <w:pPr>
              <w:spacing w:line="259" w:lineRule="auto"/>
              <w:ind w:left="131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-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474A3656" w14:textId="77777777" w:rsidR="0019638B" w:rsidRPr="005F759E" w:rsidRDefault="0019638B" w:rsidP="003F3994">
            <w:pPr>
              <w:spacing w:line="259" w:lineRule="auto"/>
              <w:ind w:left="131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-</w:t>
            </w:r>
          </w:p>
        </w:tc>
      </w:tr>
      <w:tr w:rsidR="0019638B" w:rsidRPr="005F759E" w14:paraId="3D45DB2F" w14:textId="77777777" w:rsidTr="00390E2B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54C4CD57" w14:textId="77777777" w:rsidR="0019638B" w:rsidRPr="005F759E" w:rsidRDefault="0019638B" w:rsidP="003F3994">
            <w:pPr>
              <w:spacing w:line="259" w:lineRule="auto"/>
              <w:ind w:left="34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2020 upravený</w:t>
            </w:r>
            <w:r w:rsidRPr="005F759E">
              <w:rPr>
                <w:rFonts w:ascii="Calibri" w:eastAsia="Calibri" w:hAnsi="Calibri" w:cs="Calibri"/>
                <w:sz w:val="18"/>
                <w:vertAlign w:val="superscript"/>
                <w:lang w:val="cs-CZ"/>
              </w:rPr>
              <w:t xml:space="preserve"> 1)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1D066643" w14:textId="77777777" w:rsidR="0019638B" w:rsidRPr="005F759E" w:rsidRDefault="0019638B" w:rsidP="003F3994">
            <w:pPr>
              <w:spacing w:line="259" w:lineRule="auto"/>
              <w:ind w:left="436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-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198DE226" w14:textId="77777777" w:rsidR="0019638B" w:rsidRPr="005F759E" w:rsidRDefault="0019638B" w:rsidP="003F3994">
            <w:pPr>
              <w:spacing w:line="259" w:lineRule="auto"/>
              <w:ind w:left="223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-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73297C0E" w14:textId="77777777" w:rsidR="0019638B" w:rsidRPr="005F759E" w:rsidRDefault="0019638B" w:rsidP="003F3994">
            <w:pPr>
              <w:spacing w:line="259" w:lineRule="auto"/>
              <w:ind w:left="129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377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19892464" w14:textId="77777777" w:rsidR="0019638B" w:rsidRPr="005F759E" w:rsidRDefault="0019638B" w:rsidP="003F3994">
            <w:pPr>
              <w:spacing w:line="259" w:lineRule="auto"/>
              <w:ind w:left="130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10,0 %</w:t>
            </w:r>
          </w:p>
        </w:tc>
      </w:tr>
      <w:tr w:rsidR="0019638B" w:rsidRPr="005F759E" w14:paraId="3A0AB7B4" w14:textId="77777777" w:rsidTr="00390E2B">
        <w:trPr>
          <w:trHeight w:val="286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3BF65F29" w14:textId="77777777" w:rsidR="0019638B" w:rsidRPr="005F759E" w:rsidRDefault="0019638B" w:rsidP="003F3994">
            <w:pPr>
              <w:spacing w:line="259" w:lineRule="auto"/>
              <w:ind w:left="34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2019 upravený</w:t>
            </w:r>
            <w:r w:rsidRPr="005F759E">
              <w:rPr>
                <w:rFonts w:ascii="Calibri" w:eastAsia="Calibri" w:hAnsi="Calibri" w:cs="Calibri"/>
                <w:sz w:val="18"/>
                <w:vertAlign w:val="superscript"/>
                <w:lang w:val="cs-CZ"/>
              </w:rPr>
              <w:t xml:space="preserve"> 1)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75AD6D80" w14:textId="77777777" w:rsidR="0019638B" w:rsidRPr="005F759E" w:rsidRDefault="0019638B" w:rsidP="003F3994">
            <w:pPr>
              <w:spacing w:line="259" w:lineRule="auto"/>
              <w:ind w:left="436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-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194EBDE4" w14:textId="77777777" w:rsidR="0019638B" w:rsidRPr="005F759E" w:rsidRDefault="0019638B" w:rsidP="003F3994">
            <w:pPr>
              <w:spacing w:line="259" w:lineRule="auto"/>
              <w:ind w:left="223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-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7CD78700" w14:textId="77777777" w:rsidR="0019638B" w:rsidRPr="005F759E" w:rsidRDefault="0019638B" w:rsidP="003F3994">
            <w:pPr>
              <w:spacing w:line="259" w:lineRule="auto"/>
              <w:ind w:left="129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519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73630D86" w14:textId="77777777" w:rsidR="0019638B" w:rsidRPr="005F759E" w:rsidRDefault="0019638B" w:rsidP="003F3994">
            <w:pPr>
              <w:spacing w:line="259" w:lineRule="auto"/>
              <w:ind w:left="130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13,4 %</w:t>
            </w:r>
          </w:p>
        </w:tc>
      </w:tr>
      <w:tr w:rsidR="0019638B" w:rsidRPr="005F759E" w14:paraId="24FAD881" w14:textId="77777777" w:rsidTr="00390E2B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E7E6E6"/>
          </w:tcPr>
          <w:p w14:paraId="48364F21" w14:textId="77777777" w:rsidR="0019638B" w:rsidRPr="005F759E" w:rsidRDefault="0019638B" w:rsidP="003F3994">
            <w:pPr>
              <w:spacing w:line="259" w:lineRule="auto"/>
              <w:ind w:left="34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b/>
                <w:sz w:val="18"/>
                <w:lang w:val="cs-CZ"/>
              </w:rPr>
              <w:t>Laundry &amp; Home Care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E7E6E6"/>
          </w:tcPr>
          <w:p w14:paraId="66867D8D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E7E6E6"/>
          </w:tcPr>
          <w:p w14:paraId="508B7EE3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  <w:shd w:val="clear" w:color="auto" w:fill="E7E6E6"/>
          </w:tcPr>
          <w:p w14:paraId="128F9D30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E7E6E6"/>
          </w:tcPr>
          <w:p w14:paraId="2A8E024C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</w:p>
        </w:tc>
      </w:tr>
      <w:tr w:rsidR="0019638B" w:rsidRPr="005F759E" w14:paraId="53A7A2AF" w14:textId="77777777" w:rsidTr="00390E2B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46509DDC" w14:textId="77777777" w:rsidR="0019638B" w:rsidRPr="005F759E" w:rsidRDefault="0019638B" w:rsidP="003F3994">
            <w:pPr>
              <w:spacing w:line="259" w:lineRule="auto"/>
              <w:ind w:left="34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1DC4E853" w14:textId="77777777" w:rsidR="0019638B" w:rsidRPr="005F759E" w:rsidRDefault="0019638B" w:rsidP="003F3994">
            <w:pPr>
              <w:spacing w:line="259" w:lineRule="auto"/>
              <w:ind w:left="258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1 551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2611851B" w14:textId="77777777" w:rsidR="0019638B" w:rsidRPr="005F759E" w:rsidRDefault="0019638B" w:rsidP="003F3994">
            <w:pPr>
              <w:spacing w:line="259" w:lineRule="auto"/>
              <w:ind w:left="46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6 704</w:t>
            </w:r>
          </w:p>
        </w:tc>
        <w:tc>
          <w:tcPr>
            <w:tcW w:w="1405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092C2531" w14:textId="77777777" w:rsidR="0019638B" w:rsidRPr="005F759E" w:rsidRDefault="0019638B" w:rsidP="003F3994">
            <w:pPr>
              <w:spacing w:line="259" w:lineRule="auto"/>
              <w:ind w:left="129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688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7D9B8E1B" w14:textId="77777777" w:rsidR="0019638B" w:rsidRPr="005F759E" w:rsidRDefault="0019638B" w:rsidP="003F3994">
            <w:pPr>
              <w:spacing w:line="259" w:lineRule="auto"/>
              <w:ind w:left="130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10,3 %</w:t>
            </w:r>
          </w:p>
        </w:tc>
      </w:tr>
      <w:tr w:rsidR="0019638B" w:rsidRPr="005F759E" w14:paraId="6E1E0BED" w14:textId="77777777" w:rsidTr="00390E2B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6118FD99" w14:textId="77777777" w:rsidR="0019638B" w:rsidRPr="005F759E" w:rsidRDefault="0019638B" w:rsidP="003F3994">
            <w:pPr>
              <w:spacing w:line="259" w:lineRule="auto"/>
              <w:ind w:left="34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16C5B140" w14:textId="77777777" w:rsidR="0019638B" w:rsidRPr="005F759E" w:rsidRDefault="0019638B" w:rsidP="003F3994">
            <w:pPr>
              <w:spacing w:line="259" w:lineRule="auto"/>
              <w:ind w:left="258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1 640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392D8F7C" w14:textId="77777777" w:rsidR="0019638B" w:rsidRPr="005F759E" w:rsidRDefault="0019638B" w:rsidP="003F3994">
            <w:pPr>
              <w:spacing w:line="259" w:lineRule="auto"/>
              <w:ind w:left="46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6 656</w:t>
            </w:r>
          </w:p>
        </w:tc>
        <w:tc>
          <w:tcPr>
            <w:tcW w:w="1405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23E65A78" w14:textId="77777777" w:rsidR="0019638B" w:rsidRPr="005F759E" w:rsidRDefault="0019638B" w:rsidP="003F3994">
            <w:pPr>
              <w:spacing w:line="259" w:lineRule="auto"/>
              <w:ind w:left="129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973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57297FF0" w14:textId="77777777" w:rsidR="0019638B" w:rsidRPr="005F759E" w:rsidRDefault="0019638B" w:rsidP="003F3994">
            <w:pPr>
              <w:spacing w:line="259" w:lineRule="auto"/>
              <w:ind w:left="130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14,6 %</w:t>
            </w:r>
          </w:p>
        </w:tc>
      </w:tr>
      <w:tr w:rsidR="0019638B" w:rsidRPr="005F759E" w14:paraId="0427B585" w14:textId="77777777" w:rsidTr="00390E2B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11BC78F7" w14:textId="142F0334" w:rsidR="0019638B" w:rsidRPr="005F759E" w:rsidRDefault="0019638B" w:rsidP="003F3994">
            <w:pPr>
              <w:spacing w:line="259" w:lineRule="auto"/>
              <w:ind w:left="34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organický r</w:t>
            </w:r>
            <w:r w:rsidR="005F759E">
              <w:rPr>
                <w:rFonts w:ascii="Calibri" w:eastAsia="Calibri" w:hAnsi="Calibri" w:cs="Calibri"/>
                <w:sz w:val="18"/>
                <w:lang w:val="cs-CZ"/>
              </w:rPr>
              <w:t>ů</w:t>
            </w: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st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06794492" w14:textId="77777777" w:rsidR="0019638B" w:rsidRPr="005F759E" w:rsidRDefault="0019638B" w:rsidP="003F3994">
            <w:pPr>
              <w:spacing w:line="259" w:lineRule="auto"/>
              <w:ind w:left="284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4,9 %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75484849" w14:textId="77777777" w:rsidR="0019638B" w:rsidRPr="005F759E" w:rsidRDefault="0019638B" w:rsidP="003F3994">
            <w:pPr>
              <w:spacing w:line="259" w:lineRule="auto"/>
              <w:ind w:left="72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5,6 %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710A2203" w14:textId="77777777" w:rsidR="0019638B" w:rsidRPr="005F759E" w:rsidRDefault="0019638B" w:rsidP="003F3994">
            <w:pPr>
              <w:spacing w:line="259" w:lineRule="auto"/>
              <w:ind w:left="131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-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2CC7B2EB" w14:textId="77777777" w:rsidR="0019638B" w:rsidRPr="005F759E" w:rsidRDefault="0019638B" w:rsidP="003F3994">
            <w:pPr>
              <w:spacing w:line="259" w:lineRule="auto"/>
              <w:ind w:left="131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-</w:t>
            </w:r>
          </w:p>
        </w:tc>
      </w:tr>
      <w:tr w:rsidR="0019638B" w:rsidRPr="005F759E" w14:paraId="496C8B1B" w14:textId="77777777" w:rsidTr="00390E2B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026B621F" w14:textId="77777777" w:rsidR="0019638B" w:rsidRPr="005F759E" w:rsidRDefault="0019638B" w:rsidP="003F3994">
            <w:pPr>
              <w:spacing w:line="259" w:lineRule="auto"/>
              <w:ind w:left="34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2020 upravený</w:t>
            </w:r>
            <w:r w:rsidRPr="005F759E">
              <w:rPr>
                <w:rFonts w:ascii="Calibri" w:eastAsia="Calibri" w:hAnsi="Calibri" w:cs="Calibri"/>
                <w:sz w:val="18"/>
                <w:vertAlign w:val="superscript"/>
                <w:lang w:val="cs-CZ"/>
              </w:rPr>
              <w:t xml:space="preserve"> 1)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6C9FF894" w14:textId="77777777" w:rsidR="0019638B" w:rsidRPr="005F759E" w:rsidRDefault="0019638B" w:rsidP="003F3994">
            <w:pPr>
              <w:spacing w:line="259" w:lineRule="auto"/>
              <w:ind w:left="436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-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5010443F" w14:textId="77777777" w:rsidR="0019638B" w:rsidRPr="005F759E" w:rsidRDefault="0019638B" w:rsidP="003F3994">
            <w:pPr>
              <w:spacing w:line="259" w:lineRule="auto"/>
              <w:ind w:left="223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-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1B1706D2" w14:textId="77777777" w:rsidR="0019638B" w:rsidRPr="005F759E" w:rsidRDefault="0019638B" w:rsidP="003F3994">
            <w:pPr>
              <w:spacing w:line="259" w:lineRule="auto"/>
              <w:ind w:left="131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1 004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5D6D6946" w14:textId="77777777" w:rsidR="0019638B" w:rsidRPr="005F759E" w:rsidRDefault="0019638B" w:rsidP="003F3994">
            <w:pPr>
              <w:spacing w:line="259" w:lineRule="auto"/>
              <w:ind w:left="130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15,0 %</w:t>
            </w:r>
          </w:p>
        </w:tc>
      </w:tr>
      <w:tr w:rsidR="0019638B" w:rsidRPr="005F759E" w14:paraId="16D5AD80" w14:textId="77777777" w:rsidTr="00390E2B">
        <w:trPr>
          <w:trHeight w:val="286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64215B21" w14:textId="77777777" w:rsidR="0019638B" w:rsidRPr="005F759E" w:rsidRDefault="0019638B" w:rsidP="003F3994">
            <w:pPr>
              <w:spacing w:line="259" w:lineRule="auto"/>
              <w:ind w:left="34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2019 upravený</w:t>
            </w:r>
            <w:r w:rsidRPr="005F759E">
              <w:rPr>
                <w:rFonts w:ascii="Calibri" w:eastAsia="Calibri" w:hAnsi="Calibri" w:cs="Calibri"/>
                <w:sz w:val="18"/>
                <w:vertAlign w:val="superscript"/>
                <w:lang w:val="cs-CZ"/>
              </w:rPr>
              <w:t xml:space="preserve"> 1)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6EB1F666" w14:textId="77777777" w:rsidR="0019638B" w:rsidRPr="005F759E" w:rsidRDefault="0019638B" w:rsidP="003F3994">
            <w:pPr>
              <w:spacing w:line="259" w:lineRule="auto"/>
              <w:ind w:left="436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-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3C469919" w14:textId="77777777" w:rsidR="0019638B" w:rsidRPr="005F759E" w:rsidRDefault="0019638B" w:rsidP="003F3994">
            <w:pPr>
              <w:spacing w:line="259" w:lineRule="auto"/>
              <w:ind w:left="223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-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7B6C193D" w14:textId="77777777" w:rsidR="0019638B" w:rsidRPr="005F759E" w:rsidRDefault="0019638B" w:rsidP="003F3994">
            <w:pPr>
              <w:spacing w:line="259" w:lineRule="auto"/>
              <w:ind w:left="131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1 096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7D112C19" w14:textId="77777777" w:rsidR="0019638B" w:rsidRPr="005F759E" w:rsidRDefault="0019638B" w:rsidP="003F3994">
            <w:pPr>
              <w:spacing w:line="259" w:lineRule="auto"/>
              <w:ind w:left="130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16,5 %</w:t>
            </w:r>
          </w:p>
        </w:tc>
      </w:tr>
      <w:tr w:rsidR="0019638B" w:rsidRPr="005F759E" w14:paraId="478D32C0" w14:textId="77777777" w:rsidTr="00390E2B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E7E6E6"/>
          </w:tcPr>
          <w:p w14:paraId="1E6DC911" w14:textId="77777777" w:rsidR="0019638B" w:rsidRPr="005F759E" w:rsidRDefault="0019638B" w:rsidP="003F3994">
            <w:pPr>
              <w:spacing w:line="259" w:lineRule="auto"/>
              <w:ind w:left="34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b/>
                <w:sz w:val="18"/>
                <w:lang w:val="cs-CZ"/>
              </w:rPr>
              <w:t>Henkel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E7E6E6"/>
          </w:tcPr>
          <w:p w14:paraId="74C7422D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E7E6E6"/>
          </w:tcPr>
          <w:p w14:paraId="1B42B09C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  <w:shd w:val="clear" w:color="auto" w:fill="E7E6E6"/>
          </w:tcPr>
          <w:p w14:paraId="687E18AD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E7E6E6"/>
          </w:tcPr>
          <w:p w14:paraId="4885940B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</w:p>
        </w:tc>
      </w:tr>
      <w:tr w:rsidR="0019638B" w:rsidRPr="005F759E" w14:paraId="176F6515" w14:textId="77777777" w:rsidTr="00390E2B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0EE0D7E7" w14:textId="77777777" w:rsidR="0019638B" w:rsidRPr="005F759E" w:rsidRDefault="0019638B" w:rsidP="003F3994">
            <w:pPr>
              <w:spacing w:line="259" w:lineRule="auto"/>
              <w:ind w:left="34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62C77ED3" w14:textId="77777777" w:rsidR="0019638B" w:rsidRPr="005F759E" w:rsidRDefault="0019638B" w:rsidP="003F3994">
            <w:pPr>
              <w:spacing w:line="259" w:lineRule="auto"/>
              <w:ind w:left="258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4 765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1A59508D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19 250</w:t>
            </w:r>
          </w:p>
        </w:tc>
        <w:tc>
          <w:tcPr>
            <w:tcW w:w="1405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6F73FA46" w14:textId="77777777" w:rsidR="0019638B" w:rsidRPr="005F759E" w:rsidRDefault="0019638B" w:rsidP="003F3994">
            <w:pPr>
              <w:spacing w:line="259" w:lineRule="auto"/>
              <w:ind w:left="131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2 019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4F555374" w14:textId="77777777" w:rsidR="0019638B" w:rsidRPr="005F759E" w:rsidRDefault="0019638B" w:rsidP="003F3994">
            <w:pPr>
              <w:spacing w:line="259" w:lineRule="auto"/>
              <w:ind w:left="130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10,5 %</w:t>
            </w:r>
          </w:p>
        </w:tc>
      </w:tr>
      <w:tr w:rsidR="0019638B" w:rsidRPr="005F759E" w14:paraId="5CCBA715" w14:textId="77777777" w:rsidTr="00390E2B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2785853C" w14:textId="77777777" w:rsidR="0019638B" w:rsidRPr="005F759E" w:rsidRDefault="0019638B" w:rsidP="003F3994">
            <w:pPr>
              <w:spacing w:line="259" w:lineRule="auto"/>
              <w:ind w:left="34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485527E3" w14:textId="77777777" w:rsidR="0019638B" w:rsidRPr="005F759E" w:rsidRDefault="0019638B" w:rsidP="003F3994">
            <w:pPr>
              <w:spacing w:line="259" w:lineRule="auto"/>
              <w:ind w:left="258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4 947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05E8082F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20 114</w:t>
            </w:r>
          </w:p>
        </w:tc>
        <w:tc>
          <w:tcPr>
            <w:tcW w:w="1405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318EA8F3" w14:textId="77777777" w:rsidR="0019638B" w:rsidRPr="005F759E" w:rsidRDefault="0019638B" w:rsidP="003F3994">
            <w:pPr>
              <w:spacing w:line="259" w:lineRule="auto"/>
              <w:ind w:left="131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2 899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48F43CC1" w14:textId="77777777" w:rsidR="0019638B" w:rsidRPr="005F759E" w:rsidRDefault="0019638B" w:rsidP="003F3994">
            <w:pPr>
              <w:spacing w:line="259" w:lineRule="auto"/>
              <w:ind w:left="130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14,4 %</w:t>
            </w:r>
          </w:p>
        </w:tc>
      </w:tr>
      <w:tr w:rsidR="0019638B" w:rsidRPr="005F759E" w14:paraId="7AEA34A1" w14:textId="77777777" w:rsidTr="00390E2B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0BD5AAD9" w14:textId="4A0A4A2B" w:rsidR="0019638B" w:rsidRPr="005F759E" w:rsidRDefault="0019638B" w:rsidP="003F3994">
            <w:pPr>
              <w:spacing w:line="259" w:lineRule="auto"/>
              <w:ind w:left="34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organický r</w:t>
            </w:r>
            <w:r w:rsidR="005F759E">
              <w:rPr>
                <w:rFonts w:ascii="Calibri" w:eastAsia="Calibri" w:hAnsi="Calibri" w:cs="Calibri"/>
                <w:sz w:val="18"/>
                <w:lang w:val="cs-CZ"/>
              </w:rPr>
              <w:t>ů</w:t>
            </w: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st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1F07EE9F" w14:textId="77777777" w:rsidR="0019638B" w:rsidRPr="005F759E" w:rsidRDefault="0019638B" w:rsidP="003F3994">
            <w:pPr>
              <w:spacing w:line="259" w:lineRule="auto"/>
              <w:ind w:left="284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3,7 %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0E5A0E8D" w14:textId="77777777" w:rsidR="0019638B" w:rsidRPr="005F759E" w:rsidRDefault="0019638B" w:rsidP="003F3994">
            <w:pPr>
              <w:spacing w:line="259" w:lineRule="auto"/>
              <w:ind w:left="43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-0,7 %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2FECE0F6" w14:textId="77777777" w:rsidR="0019638B" w:rsidRPr="005F759E" w:rsidRDefault="0019638B" w:rsidP="003F3994">
            <w:pPr>
              <w:spacing w:line="259" w:lineRule="auto"/>
              <w:ind w:left="131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-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2D7EF783" w14:textId="77777777" w:rsidR="0019638B" w:rsidRPr="005F759E" w:rsidRDefault="0019638B" w:rsidP="003F3994">
            <w:pPr>
              <w:spacing w:line="259" w:lineRule="auto"/>
              <w:ind w:left="131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-</w:t>
            </w:r>
          </w:p>
        </w:tc>
      </w:tr>
      <w:tr w:rsidR="0019638B" w:rsidRPr="005F759E" w14:paraId="6B6443E3" w14:textId="77777777" w:rsidTr="00390E2B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05F1EEBE" w14:textId="77777777" w:rsidR="0019638B" w:rsidRPr="005F759E" w:rsidRDefault="0019638B" w:rsidP="003F3994">
            <w:pPr>
              <w:spacing w:line="259" w:lineRule="auto"/>
              <w:ind w:left="34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2020 upravený</w:t>
            </w:r>
            <w:r w:rsidRPr="005F759E">
              <w:rPr>
                <w:rFonts w:ascii="Calibri" w:eastAsia="Calibri" w:hAnsi="Calibri" w:cs="Calibri"/>
                <w:sz w:val="18"/>
                <w:vertAlign w:val="superscript"/>
                <w:lang w:val="cs-CZ"/>
              </w:rPr>
              <w:t xml:space="preserve"> 1)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2D609204" w14:textId="77777777" w:rsidR="0019638B" w:rsidRPr="005F759E" w:rsidRDefault="0019638B" w:rsidP="003F3994">
            <w:pPr>
              <w:spacing w:line="259" w:lineRule="auto"/>
              <w:ind w:left="436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-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6CCE769F" w14:textId="77777777" w:rsidR="0019638B" w:rsidRPr="005F759E" w:rsidRDefault="0019638B" w:rsidP="003F3994">
            <w:pPr>
              <w:spacing w:line="259" w:lineRule="auto"/>
              <w:ind w:left="223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-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47A9A36E" w14:textId="77777777" w:rsidR="0019638B" w:rsidRPr="005F759E" w:rsidRDefault="0019638B" w:rsidP="003F3994">
            <w:pPr>
              <w:spacing w:line="259" w:lineRule="auto"/>
              <w:ind w:left="131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2 579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51EF7B91" w14:textId="77777777" w:rsidR="0019638B" w:rsidRPr="005F759E" w:rsidRDefault="0019638B" w:rsidP="003F3994">
            <w:pPr>
              <w:spacing w:line="259" w:lineRule="auto"/>
              <w:ind w:left="130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13,4 %</w:t>
            </w:r>
          </w:p>
        </w:tc>
      </w:tr>
      <w:tr w:rsidR="0019638B" w:rsidRPr="005F759E" w14:paraId="392AC18D" w14:textId="77777777" w:rsidTr="00390E2B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008D4FFC" w14:textId="77777777" w:rsidR="0019638B" w:rsidRPr="005F759E" w:rsidRDefault="0019638B" w:rsidP="003F3994">
            <w:pPr>
              <w:spacing w:line="259" w:lineRule="auto"/>
              <w:ind w:left="34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2019 upravený</w:t>
            </w:r>
            <w:r w:rsidRPr="005F759E">
              <w:rPr>
                <w:rFonts w:ascii="Calibri" w:eastAsia="Calibri" w:hAnsi="Calibri" w:cs="Calibri"/>
                <w:sz w:val="18"/>
                <w:vertAlign w:val="superscript"/>
                <w:lang w:val="cs-CZ"/>
              </w:rPr>
              <w:t xml:space="preserve"> 1)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4842150B" w14:textId="77777777" w:rsidR="0019638B" w:rsidRPr="005F759E" w:rsidRDefault="0019638B" w:rsidP="003F3994">
            <w:pPr>
              <w:spacing w:line="259" w:lineRule="auto"/>
              <w:ind w:left="436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-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2A2E1E11" w14:textId="77777777" w:rsidR="0019638B" w:rsidRPr="005F759E" w:rsidRDefault="0019638B" w:rsidP="003F3994">
            <w:pPr>
              <w:spacing w:line="259" w:lineRule="auto"/>
              <w:ind w:left="223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-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464433AA" w14:textId="77777777" w:rsidR="0019638B" w:rsidRPr="005F759E" w:rsidRDefault="0019638B" w:rsidP="003F3994">
            <w:pPr>
              <w:spacing w:line="259" w:lineRule="auto"/>
              <w:ind w:left="131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3 220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417ED128" w14:textId="77777777" w:rsidR="0019638B" w:rsidRPr="005F759E" w:rsidRDefault="0019638B" w:rsidP="003F3994">
            <w:pPr>
              <w:spacing w:line="259" w:lineRule="auto"/>
              <w:ind w:left="130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16,0 %</w:t>
            </w:r>
          </w:p>
        </w:tc>
      </w:tr>
      <w:tr w:rsidR="0019638B" w:rsidRPr="005F759E" w14:paraId="28DCA08A" w14:textId="77777777" w:rsidTr="00390E2B">
        <w:trPr>
          <w:trHeight w:val="276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385005C8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70FA8F0A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574E541D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72FDC283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0C1BFD99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</w:p>
        </w:tc>
      </w:tr>
      <w:tr w:rsidR="0019638B" w:rsidRPr="005F759E" w14:paraId="124E8B36" w14:textId="77777777" w:rsidTr="00390E2B">
        <w:trPr>
          <w:trHeight w:val="446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vAlign w:val="bottom"/>
          </w:tcPr>
          <w:p w14:paraId="33078C53" w14:textId="77777777" w:rsidR="0019638B" w:rsidRPr="005F759E" w:rsidRDefault="0019638B" w:rsidP="003F3994">
            <w:pPr>
              <w:spacing w:line="259" w:lineRule="auto"/>
              <w:ind w:left="34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b/>
                <w:sz w:val="18"/>
                <w:lang w:val="cs-CZ"/>
              </w:rPr>
              <w:t>Henkel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</w:tcPr>
          <w:p w14:paraId="439F1CDA" w14:textId="77777777" w:rsidR="0019638B" w:rsidRPr="005F759E" w:rsidRDefault="0019638B" w:rsidP="003F3994">
            <w:pPr>
              <w:spacing w:line="259" w:lineRule="auto"/>
              <w:ind w:left="299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b/>
                <w:sz w:val="18"/>
                <w:lang w:val="cs-CZ"/>
              </w:rPr>
              <w:t>1-12</w:t>
            </w:r>
          </w:p>
          <w:p w14:paraId="4A22A2B9" w14:textId="77777777" w:rsidR="0019638B" w:rsidRPr="005F759E" w:rsidRDefault="0019638B" w:rsidP="003F3994">
            <w:pPr>
              <w:spacing w:line="259" w:lineRule="auto"/>
              <w:ind w:left="280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b/>
                <w:sz w:val="18"/>
                <w:lang w:val="cs-CZ"/>
              </w:rPr>
              <w:t>2019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</w:tcPr>
          <w:p w14:paraId="2DC970A5" w14:textId="77777777" w:rsidR="0019638B" w:rsidRPr="005F759E" w:rsidRDefault="0019638B" w:rsidP="003F3994">
            <w:pPr>
              <w:spacing w:line="259" w:lineRule="auto"/>
              <w:ind w:left="86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b/>
                <w:sz w:val="18"/>
                <w:lang w:val="cs-CZ"/>
              </w:rPr>
              <w:t>1-12</w:t>
            </w:r>
          </w:p>
          <w:p w14:paraId="23F330D3" w14:textId="77777777" w:rsidR="0019638B" w:rsidRPr="005F759E" w:rsidRDefault="0019638B" w:rsidP="003F3994">
            <w:pPr>
              <w:spacing w:line="259" w:lineRule="auto"/>
              <w:ind w:left="67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b/>
                <w:sz w:val="18"/>
                <w:lang w:val="cs-CZ"/>
              </w:rPr>
              <w:t>2020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  <w:vAlign w:val="bottom"/>
          </w:tcPr>
          <w:p w14:paraId="43A4E20C" w14:textId="4203D67E" w:rsidR="0019638B" w:rsidRPr="005F759E" w:rsidRDefault="005F759E" w:rsidP="003F3994">
            <w:pPr>
              <w:spacing w:line="259" w:lineRule="auto"/>
              <w:ind w:left="130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b/>
                <w:sz w:val="18"/>
                <w:lang w:val="cs-CZ"/>
              </w:rPr>
              <w:t>Změna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</w:tcPr>
          <w:p w14:paraId="2780C692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</w:p>
        </w:tc>
      </w:tr>
      <w:tr w:rsidR="0019638B" w:rsidRPr="005F759E" w14:paraId="0384190F" w14:textId="77777777" w:rsidTr="00390E2B">
        <w:trPr>
          <w:trHeight w:val="228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</w:tcPr>
          <w:p w14:paraId="6A3F449F" w14:textId="0D4FBADF" w:rsidR="0019638B" w:rsidRPr="005F759E" w:rsidRDefault="0019638B" w:rsidP="003F3994">
            <w:pPr>
              <w:rPr>
                <w:color w:val="000080"/>
                <w:sz w:val="8"/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 xml:space="preserve">Výnosy na </w:t>
            </w:r>
            <w:r w:rsidR="005F759E" w:rsidRPr="005F759E">
              <w:rPr>
                <w:rFonts w:ascii="Calibri" w:eastAsia="Calibri" w:hAnsi="Calibri" w:cs="Calibri"/>
                <w:sz w:val="18"/>
                <w:lang w:val="cs-CZ"/>
              </w:rPr>
              <w:t>prioritní</w:t>
            </w: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 xml:space="preserve"> </w:t>
            </w:r>
            <w:r w:rsidR="005F759E" w:rsidRPr="005F759E">
              <w:rPr>
                <w:rFonts w:ascii="Calibri" w:eastAsia="Calibri" w:hAnsi="Calibri" w:cs="Calibri"/>
                <w:sz w:val="18"/>
                <w:lang w:val="cs-CZ"/>
              </w:rPr>
              <w:t>akci</w:t>
            </w:r>
            <w:r w:rsidR="005F759E">
              <w:rPr>
                <w:rFonts w:ascii="Calibri" w:eastAsia="Calibri" w:hAnsi="Calibri" w:cs="Calibri"/>
                <w:sz w:val="18"/>
                <w:lang w:val="cs-CZ"/>
              </w:rPr>
              <w:t>i</w:t>
            </w: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 xml:space="preserve"> v </w:t>
            </w:r>
            <w:r w:rsidR="005F759E" w:rsidRPr="005F759E">
              <w:rPr>
                <w:rFonts w:ascii="Calibri" w:eastAsia="Calibri" w:hAnsi="Calibri" w:cs="Calibri"/>
                <w:sz w:val="18"/>
                <w:lang w:val="cs-CZ"/>
              </w:rPr>
              <w:t>eurech</w:t>
            </w:r>
          </w:p>
        </w:tc>
        <w:tc>
          <w:tcPr>
            <w:tcW w:w="1122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</w:tcPr>
          <w:p w14:paraId="183875D6" w14:textId="77777777" w:rsidR="0019638B" w:rsidRPr="005F759E" w:rsidRDefault="0019638B" w:rsidP="003F3994">
            <w:pPr>
              <w:spacing w:line="259" w:lineRule="auto"/>
              <w:ind w:left="304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4,81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</w:tcPr>
          <w:p w14:paraId="490D3FB3" w14:textId="77777777" w:rsidR="0019638B" w:rsidRPr="005F759E" w:rsidRDefault="0019638B" w:rsidP="003F3994">
            <w:pPr>
              <w:spacing w:line="259" w:lineRule="auto"/>
              <w:ind w:left="91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3,25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</w:tcPr>
          <w:p w14:paraId="1C518F45" w14:textId="77777777" w:rsidR="0019638B" w:rsidRPr="005F759E" w:rsidRDefault="0019638B" w:rsidP="003F3994">
            <w:pPr>
              <w:spacing w:line="259" w:lineRule="auto"/>
              <w:ind w:left="129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-32,4 %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</w:tcPr>
          <w:p w14:paraId="7FF20A5A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</w:p>
        </w:tc>
      </w:tr>
      <w:tr w:rsidR="0019638B" w:rsidRPr="005F759E" w14:paraId="7A66A390" w14:textId="77777777" w:rsidTr="00390E2B">
        <w:trPr>
          <w:trHeight w:val="235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</w:tcPr>
          <w:p w14:paraId="7DC1F963" w14:textId="56B11F23" w:rsidR="0019638B" w:rsidRPr="005F759E" w:rsidRDefault="0019638B" w:rsidP="003F3994">
            <w:pPr>
              <w:spacing w:line="259" w:lineRule="auto"/>
              <w:ind w:left="34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Upravené</w:t>
            </w:r>
            <w:r w:rsidRPr="005F759E">
              <w:rPr>
                <w:rFonts w:ascii="Calibri" w:eastAsia="Calibri" w:hAnsi="Calibri" w:cs="Calibri"/>
                <w:sz w:val="18"/>
                <w:vertAlign w:val="superscript"/>
                <w:lang w:val="cs-CZ"/>
              </w:rPr>
              <w:t>1)</w:t>
            </w: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 xml:space="preserve"> výnosy na </w:t>
            </w:r>
            <w:r w:rsidR="005F759E" w:rsidRPr="005F759E">
              <w:rPr>
                <w:rFonts w:ascii="Calibri" w:eastAsia="Calibri" w:hAnsi="Calibri" w:cs="Calibri"/>
                <w:sz w:val="18"/>
                <w:lang w:val="cs-CZ"/>
              </w:rPr>
              <w:t>prioritní</w:t>
            </w: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 xml:space="preserve"> </w:t>
            </w:r>
            <w:r w:rsidR="005F759E" w:rsidRPr="005F759E">
              <w:rPr>
                <w:rFonts w:ascii="Calibri" w:eastAsia="Calibri" w:hAnsi="Calibri" w:cs="Calibri"/>
                <w:sz w:val="18"/>
                <w:lang w:val="cs-CZ"/>
              </w:rPr>
              <w:t>akci</w:t>
            </w:r>
            <w:r w:rsidR="005F759E">
              <w:rPr>
                <w:rFonts w:ascii="Calibri" w:eastAsia="Calibri" w:hAnsi="Calibri" w:cs="Calibri"/>
                <w:sz w:val="18"/>
                <w:lang w:val="cs-CZ"/>
              </w:rPr>
              <w:t xml:space="preserve">i </w:t>
            </w: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 xml:space="preserve">v </w:t>
            </w:r>
            <w:r w:rsidR="005F759E" w:rsidRPr="005F759E">
              <w:rPr>
                <w:rFonts w:ascii="Calibri" w:eastAsia="Calibri" w:hAnsi="Calibri" w:cs="Calibri"/>
                <w:sz w:val="18"/>
                <w:lang w:val="cs-CZ"/>
              </w:rPr>
              <w:t>eurech</w:t>
            </w: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</w:tcPr>
          <w:p w14:paraId="158939DD" w14:textId="77777777" w:rsidR="0019638B" w:rsidRPr="005F759E" w:rsidRDefault="0019638B" w:rsidP="003F3994">
            <w:pPr>
              <w:spacing w:line="259" w:lineRule="auto"/>
              <w:ind w:left="304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5,43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</w:tcPr>
          <w:p w14:paraId="4C7D802B" w14:textId="77777777" w:rsidR="0019638B" w:rsidRPr="005F759E" w:rsidRDefault="0019638B" w:rsidP="003F3994">
            <w:pPr>
              <w:spacing w:line="259" w:lineRule="auto"/>
              <w:ind w:left="91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4,26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</w:tcPr>
          <w:p w14:paraId="05AAC3E5" w14:textId="77777777" w:rsidR="0019638B" w:rsidRPr="005F759E" w:rsidRDefault="0019638B" w:rsidP="003F3994">
            <w:pPr>
              <w:spacing w:line="259" w:lineRule="auto"/>
              <w:ind w:left="129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-21,5 %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</w:tcPr>
          <w:p w14:paraId="0329EC9B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</w:p>
        </w:tc>
      </w:tr>
      <w:tr w:rsidR="0019638B" w:rsidRPr="005F759E" w14:paraId="7E113D19" w14:textId="77777777" w:rsidTr="00390E2B">
        <w:trPr>
          <w:trHeight w:val="235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</w:tcPr>
          <w:p w14:paraId="4E9DC06D" w14:textId="3185D0A1" w:rsidR="0019638B" w:rsidRPr="005F759E" w:rsidRDefault="005F759E" w:rsidP="003F3994">
            <w:pPr>
              <w:spacing w:line="259" w:lineRule="auto"/>
              <w:ind w:left="531"/>
              <w:jc w:val="left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při</w:t>
            </w:r>
            <w:r w:rsidR="0019638B" w:rsidRPr="005F759E">
              <w:rPr>
                <w:rFonts w:ascii="Calibri" w:eastAsia="Calibri" w:hAnsi="Calibri" w:cs="Calibri"/>
                <w:sz w:val="18"/>
                <w:lang w:val="cs-CZ"/>
              </w:rPr>
              <w:t xml:space="preserve"> </w:t>
            </w: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konstantních</w:t>
            </w:r>
            <w:r w:rsidR="0019638B" w:rsidRPr="005F759E">
              <w:rPr>
                <w:rFonts w:ascii="Calibri" w:eastAsia="Calibri" w:hAnsi="Calibri" w:cs="Calibri"/>
                <w:sz w:val="18"/>
                <w:lang w:val="cs-CZ"/>
              </w:rPr>
              <w:t xml:space="preserve"> kurzových </w:t>
            </w: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sazbách</w:t>
            </w:r>
          </w:p>
        </w:tc>
        <w:tc>
          <w:tcPr>
            <w:tcW w:w="1820" w:type="dxa"/>
            <w:gridSpan w:val="2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</w:tcPr>
          <w:p w14:paraId="14EC02C5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</w:tcPr>
          <w:p w14:paraId="3D330BFE" w14:textId="77777777" w:rsidR="0019638B" w:rsidRPr="005F759E" w:rsidRDefault="0019638B" w:rsidP="003F3994">
            <w:pPr>
              <w:spacing w:line="259" w:lineRule="auto"/>
              <w:ind w:left="129"/>
              <w:jc w:val="center"/>
              <w:rPr>
                <w:lang w:val="cs-CZ"/>
              </w:rPr>
            </w:pPr>
            <w:r w:rsidRPr="005F759E">
              <w:rPr>
                <w:rFonts w:ascii="Calibri" w:eastAsia="Calibri" w:hAnsi="Calibri" w:cs="Calibri"/>
                <w:sz w:val="18"/>
                <w:lang w:val="cs-CZ"/>
              </w:rPr>
              <w:t>-17,9 %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</w:tcPr>
          <w:p w14:paraId="6A5FF39A" w14:textId="77777777" w:rsidR="0019638B" w:rsidRPr="005F759E" w:rsidRDefault="0019638B" w:rsidP="003F3994">
            <w:pPr>
              <w:spacing w:line="259" w:lineRule="auto"/>
              <w:jc w:val="left"/>
              <w:rPr>
                <w:lang w:val="cs-CZ"/>
              </w:rPr>
            </w:pPr>
          </w:p>
        </w:tc>
      </w:tr>
    </w:tbl>
    <w:p w14:paraId="7661E655" w14:textId="77777777" w:rsidR="0019638B" w:rsidRPr="005F759E" w:rsidRDefault="0019638B" w:rsidP="0019638B">
      <w:pPr>
        <w:spacing w:line="259" w:lineRule="auto"/>
        <w:ind w:left="19"/>
        <w:rPr>
          <w:rFonts w:ascii="Calibri" w:eastAsia="Calibri" w:hAnsi="Calibri" w:cs="Calibri"/>
          <w:sz w:val="7"/>
          <w:lang w:val="cs-CZ"/>
        </w:rPr>
      </w:pPr>
    </w:p>
    <w:p w14:paraId="24CE4DA1" w14:textId="4E99A9DA" w:rsidR="0019638B" w:rsidRPr="005F759E" w:rsidRDefault="0019638B" w:rsidP="0019638B">
      <w:pPr>
        <w:spacing w:line="259" w:lineRule="auto"/>
        <w:ind w:left="-142"/>
        <w:rPr>
          <w:lang w:val="cs-CZ"/>
        </w:rPr>
      </w:pPr>
      <w:r w:rsidRPr="005F759E">
        <w:rPr>
          <w:rFonts w:ascii="Calibri" w:eastAsia="Calibri" w:hAnsi="Calibri" w:cs="Calibri"/>
          <w:sz w:val="11"/>
          <w:lang w:val="cs-CZ"/>
        </w:rPr>
        <w:t>1) U</w:t>
      </w:r>
      <w:r w:rsidRPr="005F759E">
        <w:rPr>
          <w:rFonts w:ascii="Calibri" w:eastAsia="Calibri" w:hAnsi="Calibri" w:cs="Calibri"/>
          <w:color w:val="000000"/>
          <w:sz w:val="11"/>
          <w:lang w:val="cs-CZ"/>
        </w:rPr>
        <w:t xml:space="preserve">pravené o </w:t>
      </w:r>
      <w:r w:rsidR="005F759E" w:rsidRPr="005F759E">
        <w:rPr>
          <w:rFonts w:ascii="Calibri" w:eastAsia="Calibri" w:hAnsi="Calibri" w:cs="Calibri"/>
          <w:color w:val="000000"/>
          <w:sz w:val="11"/>
          <w:lang w:val="cs-CZ"/>
        </w:rPr>
        <w:t>jednorázové</w:t>
      </w:r>
      <w:r w:rsidRPr="005F759E">
        <w:rPr>
          <w:rFonts w:ascii="Calibri" w:eastAsia="Calibri" w:hAnsi="Calibri" w:cs="Calibri"/>
          <w:color w:val="000000"/>
          <w:sz w:val="11"/>
          <w:lang w:val="cs-CZ"/>
        </w:rPr>
        <w:t xml:space="preserve"> </w:t>
      </w:r>
      <w:r w:rsidR="00443024" w:rsidRPr="005F759E">
        <w:rPr>
          <w:rFonts w:ascii="Calibri" w:eastAsia="Calibri" w:hAnsi="Calibri" w:cs="Calibri"/>
          <w:color w:val="000000"/>
          <w:sz w:val="11"/>
          <w:lang w:val="cs-CZ"/>
        </w:rPr>
        <w:t>v</w:t>
      </w:r>
      <w:r w:rsidR="00443024">
        <w:rPr>
          <w:rFonts w:ascii="Calibri" w:eastAsia="Calibri" w:hAnsi="Calibri" w:cs="Calibri"/>
          <w:color w:val="000000"/>
          <w:sz w:val="11"/>
          <w:lang w:val="cs-CZ"/>
        </w:rPr>
        <w:t xml:space="preserve">ýdaje </w:t>
      </w:r>
      <w:r w:rsidRPr="005F759E">
        <w:rPr>
          <w:rFonts w:ascii="Calibri" w:eastAsia="Calibri" w:hAnsi="Calibri" w:cs="Calibri"/>
          <w:color w:val="000000"/>
          <w:sz w:val="11"/>
          <w:lang w:val="cs-CZ"/>
        </w:rPr>
        <w:t xml:space="preserve">a </w:t>
      </w:r>
      <w:r w:rsidR="00443024" w:rsidRPr="005F759E">
        <w:rPr>
          <w:rFonts w:ascii="Calibri" w:eastAsia="Calibri" w:hAnsi="Calibri" w:cs="Calibri"/>
          <w:color w:val="000000"/>
          <w:sz w:val="11"/>
          <w:lang w:val="cs-CZ"/>
        </w:rPr>
        <w:t>příjmy</w:t>
      </w:r>
      <w:r w:rsidRPr="005F759E">
        <w:rPr>
          <w:rFonts w:ascii="Calibri" w:eastAsia="Calibri" w:hAnsi="Calibri" w:cs="Calibri"/>
          <w:color w:val="000000"/>
          <w:sz w:val="11"/>
          <w:lang w:val="cs-CZ"/>
        </w:rPr>
        <w:t xml:space="preserve"> a náklady na </w:t>
      </w:r>
      <w:r w:rsidR="00443024" w:rsidRPr="005F759E">
        <w:rPr>
          <w:rFonts w:ascii="Calibri" w:eastAsia="Calibri" w:hAnsi="Calibri" w:cs="Calibri"/>
          <w:color w:val="000000"/>
          <w:sz w:val="11"/>
          <w:lang w:val="cs-CZ"/>
        </w:rPr>
        <w:t>restrukturalizaci</w:t>
      </w:r>
      <w:r w:rsidRPr="005F759E">
        <w:rPr>
          <w:rFonts w:ascii="Calibri" w:eastAsia="Calibri" w:hAnsi="Calibri" w:cs="Calibri"/>
          <w:sz w:val="11"/>
          <w:lang w:val="cs-CZ"/>
        </w:rPr>
        <w:t>.</w:t>
      </w:r>
    </w:p>
    <w:p w14:paraId="1984F1FB" w14:textId="77777777" w:rsidR="0019638B" w:rsidRPr="005F759E" w:rsidRDefault="0019638B" w:rsidP="0019638B">
      <w:pPr>
        <w:ind w:left="-142"/>
        <w:rPr>
          <w:rFonts w:ascii="Calibri" w:eastAsia="Calibri" w:hAnsi="Calibri" w:cs="Calibri"/>
          <w:sz w:val="11"/>
          <w:lang w:val="cs-CZ"/>
        </w:rPr>
      </w:pPr>
    </w:p>
    <w:p w14:paraId="1C43F185" w14:textId="77777777" w:rsidR="0019638B" w:rsidRPr="005F759E" w:rsidRDefault="0019638B" w:rsidP="0019638B">
      <w:pPr>
        <w:ind w:left="-142"/>
        <w:rPr>
          <w:lang w:val="cs-CZ"/>
        </w:rPr>
      </w:pPr>
      <w:r w:rsidRPr="005F759E">
        <w:rPr>
          <w:rFonts w:ascii="Calibri" w:eastAsia="Calibri" w:hAnsi="Calibri" w:cs="Calibri"/>
          <w:sz w:val="11"/>
          <w:lang w:val="cs-CZ"/>
        </w:rPr>
        <w:t>Henkel AG &amp; Co. KGaA, Investor Relations</w:t>
      </w:r>
    </w:p>
    <w:p w14:paraId="7870A47C" w14:textId="77777777" w:rsidR="00F60E5C" w:rsidRPr="005F759E" w:rsidRDefault="00F60E5C" w:rsidP="00C50C62">
      <w:pPr>
        <w:spacing w:line="280" w:lineRule="auto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7091ABE8" w14:textId="77777777" w:rsidR="00DB0EEB" w:rsidRPr="000A4C54" w:rsidRDefault="00DB0EEB" w:rsidP="00DB0EEB">
      <w:pPr>
        <w:spacing w:line="280" w:lineRule="auto"/>
        <w:rPr>
          <w:rFonts w:ascii="Calibri" w:hAnsi="Calibri" w:cs="Calibri"/>
          <w:b/>
          <w:bCs/>
          <w:sz w:val="20"/>
          <w:szCs w:val="20"/>
          <w:lang w:val="cs-CZ"/>
        </w:rPr>
      </w:pPr>
      <w:r w:rsidRPr="000A4C54">
        <w:rPr>
          <w:rFonts w:ascii="Calibri" w:hAnsi="Calibri" w:cs="Calibri"/>
          <w:b/>
          <w:bCs/>
          <w:sz w:val="20"/>
          <w:szCs w:val="20"/>
          <w:lang w:val="cs-CZ"/>
        </w:rPr>
        <w:lastRenderedPageBreak/>
        <w:t>O společnosti Henkel</w:t>
      </w:r>
    </w:p>
    <w:p w14:paraId="1F7CDFD0" w14:textId="77777777" w:rsidR="00DB0EEB" w:rsidRPr="000A4C54" w:rsidRDefault="00DB0EEB" w:rsidP="00DB0EEB">
      <w:pPr>
        <w:spacing w:line="280" w:lineRule="auto"/>
        <w:rPr>
          <w:rStyle w:val="Hyperlink"/>
          <w:rFonts w:ascii="Calibri" w:hAnsi="Calibri" w:cs="Calibri"/>
          <w:sz w:val="20"/>
          <w:szCs w:val="20"/>
          <w:lang w:val="cs-CZ"/>
        </w:rPr>
      </w:pPr>
      <w:r w:rsidRPr="000A4C54">
        <w:rPr>
          <w:rFonts w:ascii="Calibri" w:hAnsi="Calibri" w:cs="Calibri"/>
          <w:sz w:val="20"/>
          <w:szCs w:val="20"/>
          <w:lang w:val="cs-CZ"/>
        </w:rPr>
        <w:t xml:space="preserve">Společnost Henkel působí globálně s vyváženým a diverzifikovaným portfoliem. Společnost si drží vedoucí pozice napříč svými třemi obchodními divizemi v průmyslových i spotřebitelských podnicích díky silným značkám, inovacím a technologiím. Henkel Adhesive Technologies je světovým lídrem na trhu s lepidly – napříč všemi průmyslovými segmenty po celém světě. V divizích Laundry &amp; Home Care a Beauty Care má společnost Henkel vedoucí postavení na mnoha trzích a kategoriích po celém světě. Společnost Henkel, založená v roce 1876, se ohlíží zpět na více než 140 let úspěchu. V roce 2019 společnost Henkel vykázala tržby ve výši přibližně 20 miliard eur a provozní zisk ve výši přibližně 3,2 miliardy eur. Společnost Henkel zaměstnává po celém světě kolem 52 000 lidí – nadšený a velmi rozmanitý tým spojený silnou firemní kulturou, sdílenými hodnotami a společným cílem vytvořit udržitelnou hodnotu. Jako uznávaný vůdce v udržitelnosti má společnost Henkel přední postavení v mnoha mezinárodních indexech a žebříčcích. Prioritní akcie společnosti Henkel jsou uvedeny v německém akciovém indexu DAX. Pro více informací navštivte prosím </w:t>
      </w:r>
      <w:hyperlink r:id="rId13" w:history="1">
        <w:r w:rsidRPr="000A4C54">
          <w:rPr>
            <w:rStyle w:val="Hyperlink"/>
            <w:rFonts w:ascii="Calibri" w:hAnsi="Calibri" w:cs="Calibri"/>
            <w:sz w:val="20"/>
            <w:szCs w:val="20"/>
            <w:lang w:val="cs-CZ"/>
          </w:rPr>
          <w:t>www.henkel.com</w:t>
        </w:r>
      </w:hyperlink>
    </w:p>
    <w:p w14:paraId="14A30435" w14:textId="77777777" w:rsidR="00DB0EEB" w:rsidRPr="000A4C54" w:rsidRDefault="00DB0EEB" w:rsidP="00DB0EEB">
      <w:pPr>
        <w:spacing w:line="280" w:lineRule="auto"/>
        <w:rPr>
          <w:rFonts w:ascii="Calibri" w:hAnsi="Calibri" w:cs="Calibri"/>
          <w:b/>
          <w:szCs w:val="20"/>
          <w:lang w:val="cs-CZ"/>
        </w:rPr>
      </w:pPr>
    </w:p>
    <w:p w14:paraId="4CE53055" w14:textId="77777777" w:rsidR="00DB0EEB" w:rsidRPr="000A4C54" w:rsidRDefault="00DB0EEB" w:rsidP="00DB0EEB">
      <w:pPr>
        <w:spacing w:line="240" w:lineRule="auto"/>
        <w:rPr>
          <w:rFonts w:ascii="Calibri" w:hAnsi="Calibri" w:cs="Calibri"/>
          <w:b/>
          <w:sz w:val="24"/>
          <w:lang w:val="cs-CZ" w:eastAsia="de-DE"/>
        </w:rPr>
      </w:pPr>
    </w:p>
    <w:p w14:paraId="0F7C06DF" w14:textId="77777777" w:rsidR="00DB0EEB" w:rsidRPr="000A4C54" w:rsidRDefault="00DB0EEB" w:rsidP="00DB0EEB">
      <w:pPr>
        <w:spacing w:line="240" w:lineRule="auto"/>
        <w:rPr>
          <w:rFonts w:ascii="Calibri" w:hAnsi="Calibri" w:cs="Calibri"/>
          <w:b/>
          <w:sz w:val="24"/>
          <w:lang w:val="cs-CZ" w:eastAsia="de-DE"/>
        </w:rPr>
      </w:pPr>
    </w:p>
    <w:p w14:paraId="24205242" w14:textId="77777777" w:rsidR="00DB0EEB" w:rsidRPr="000A4C54" w:rsidRDefault="00DB0EEB" w:rsidP="00DB0EEB">
      <w:pPr>
        <w:spacing w:line="240" w:lineRule="auto"/>
        <w:rPr>
          <w:rFonts w:ascii="Calibri" w:hAnsi="Calibri" w:cs="Calibri"/>
          <w:b/>
          <w:szCs w:val="20"/>
          <w:lang w:val="cs-CZ" w:eastAsia="de-DE"/>
        </w:rPr>
      </w:pPr>
      <w:r w:rsidRPr="000A4C54">
        <w:rPr>
          <w:rFonts w:ascii="Calibri" w:hAnsi="Calibri" w:cs="Calibri"/>
          <w:b/>
          <w:szCs w:val="20"/>
          <w:lang w:val="cs-CZ" w:eastAsia="de-DE"/>
        </w:rPr>
        <w:t xml:space="preserve">Kontakt  </w:t>
      </w:r>
    </w:p>
    <w:p w14:paraId="07007F21" w14:textId="77777777" w:rsidR="00DB0EEB" w:rsidRPr="000A4C54" w:rsidRDefault="00DB0EEB" w:rsidP="00DB0EEB">
      <w:pPr>
        <w:spacing w:line="240" w:lineRule="auto"/>
        <w:rPr>
          <w:rFonts w:ascii="Calibri" w:hAnsi="Calibri" w:cs="Calibri"/>
          <w:szCs w:val="20"/>
          <w:lang w:val="cs-CZ" w:bidi="sk-SK"/>
        </w:rPr>
      </w:pPr>
      <w:r w:rsidRPr="000A4C54">
        <w:rPr>
          <w:rFonts w:ascii="Calibri" w:hAnsi="Calibri" w:cs="Calibri"/>
          <w:szCs w:val="20"/>
          <w:lang w:val="cs-CZ" w:bidi="sk-SK"/>
        </w:rPr>
        <w:t>Zuzana Kaňuchová</w:t>
      </w:r>
      <w:r w:rsidRPr="000A4C54">
        <w:rPr>
          <w:rFonts w:ascii="Calibri" w:hAnsi="Calibri" w:cs="Calibri"/>
          <w:szCs w:val="20"/>
          <w:lang w:val="cs-CZ" w:bidi="sk-SK"/>
        </w:rPr>
        <w:tab/>
      </w:r>
      <w:r w:rsidRPr="000A4C54">
        <w:rPr>
          <w:rFonts w:ascii="Calibri" w:hAnsi="Calibri" w:cs="Calibri"/>
          <w:szCs w:val="20"/>
          <w:lang w:val="cs-CZ" w:bidi="sk-SK"/>
        </w:rPr>
        <w:tab/>
      </w:r>
      <w:r w:rsidRPr="000A4C54">
        <w:rPr>
          <w:rFonts w:ascii="Calibri" w:hAnsi="Calibri" w:cs="Calibri"/>
          <w:szCs w:val="20"/>
          <w:lang w:val="cs-CZ" w:bidi="sk-SK"/>
        </w:rPr>
        <w:tab/>
      </w:r>
      <w:r w:rsidRPr="000A4C54">
        <w:rPr>
          <w:rFonts w:ascii="Calibri" w:hAnsi="Calibri" w:cs="Calibri"/>
          <w:szCs w:val="20"/>
          <w:lang w:val="cs-CZ" w:bidi="sk-SK"/>
        </w:rPr>
        <w:tab/>
      </w:r>
      <w:r w:rsidRPr="000A4C54">
        <w:rPr>
          <w:rFonts w:ascii="Calibri" w:hAnsi="Calibri" w:cs="Calibri"/>
          <w:szCs w:val="20"/>
          <w:lang w:val="cs-CZ" w:bidi="sk-SK"/>
        </w:rPr>
        <w:tab/>
      </w:r>
      <w:r w:rsidRPr="000A4C54">
        <w:rPr>
          <w:rFonts w:ascii="Calibri" w:hAnsi="Calibri" w:cs="Calibri"/>
          <w:szCs w:val="20"/>
          <w:lang w:val="cs-CZ" w:bidi="sk-SK"/>
        </w:rPr>
        <w:tab/>
      </w:r>
    </w:p>
    <w:p w14:paraId="3919BD9A" w14:textId="77777777" w:rsidR="00DB0EEB" w:rsidRPr="000A4C54" w:rsidRDefault="00DB0EEB" w:rsidP="00DB0EEB">
      <w:pPr>
        <w:spacing w:line="240" w:lineRule="auto"/>
        <w:rPr>
          <w:rFonts w:ascii="Calibri" w:hAnsi="Calibri" w:cs="Calibri"/>
          <w:szCs w:val="20"/>
          <w:lang w:val="cs-CZ" w:bidi="sk-SK"/>
        </w:rPr>
      </w:pPr>
      <w:r w:rsidRPr="000A4C54">
        <w:rPr>
          <w:rFonts w:ascii="Calibri" w:hAnsi="Calibri" w:cs="Calibri"/>
          <w:szCs w:val="20"/>
          <w:lang w:val="cs-CZ" w:bidi="sk-SK"/>
        </w:rPr>
        <w:t>Ředitelka korporátní komunikace</w:t>
      </w:r>
      <w:r w:rsidRPr="000A4C54">
        <w:rPr>
          <w:rFonts w:ascii="Calibri" w:hAnsi="Calibri" w:cs="Calibri"/>
          <w:szCs w:val="20"/>
          <w:lang w:val="cs-CZ" w:bidi="sk-SK"/>
        </w:rPr>
        <w:tab/>
      </w:r>
      <w:r w:rsidRPr="000A4C54">
        <w:rPr>
          <w:rFonts w:ascii="Calibri" w:hAnsi="Calibri" w:cs="Calibri"/>
          <w:szCs w:val="20"/>
          <w:lang w:val="cs-CZ" w:bidi="sk-SK"/>
        </w:rPr>
        <w:tab/>
      </w:r>
      <w:r w:rsidRPr="000A4C54">
        <w:rPr>
          <w:rFonts w:ascii="Calibri" w:hAnsi="Calibri" w:cs="Calibri"/>
          <w:szCs w:val="20"/>
          <w:lang w:val="cs-CZ" w:bidi="sk-SK"/>
        </w:rPr>
        <w:tab/>
      </w:r>
    </w:p>
    <w:p w14:paraId="2B8B81A8" w14:textId="77777777" w:rsidR="00DB0EEB" w:rsidRPr="000A4C54" w:rsidRDefault="00DB0EEB" w:rsidP="00DB0EEB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cs-CZ" w:bidi="sk-SK"/>
        </w:rPr>
      </w:pPr>
    </w:p>
    <w:p w14:paraId="21F9D32A" w14:textId="77777777" w:rsidR="00DB0EEB" w:rsidRPr="000A4C54" w:rsidRDefault="00DB0EEB" w:rsidP="00DB0EEB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cs-CZ" w:bidi="sk-SK"/>
        </w:rPr>
      </w:pPr>
      <w:r w:rsidRPr="000A4C54">
        <w:rPr>
          <w:rFonts w:ascii="Calibri" w:hAnsi="Calibri" w:cs="Calibri"/>
          <w:szCs w:val="20"/>
          <w:lang w:val="cs-CZ" w:bidi="sk-SK"/>
        </w:rPr>
        <w:t>Telefon: +421 917 160 597</w:t>
      </w:r>
      <w:r w:rsidRPr="000A4C54">
        <w:rPr>
          <w:rFonts w:ascii="Calibri" w:hAnsi="Calibri" w:cs="Calibri"/>
          <w:szCs w:val="20"/>
          <w:lang w:val="cs-CZ" w:bidi="sk-SK"/>
        </w:rPr>
        <w:tab/>
      </w:r>
      <w:r w:rsidRPr="000A4C54">
        <w:rPr>
          <w:rFonts w:ascii="Calibri" w:hAnsi="Calibri" w:cs="Calibri"/>
          <w:szCs w:val="20"/>
          <w:lang w:val="cs-CZ" w:bidi="sk-SK"/>
        </w:rPr>
        <w:tab/>
      </w:r>
      <w:r w:rsidRPr="000A4C54">
        <w:rPr>
          <w:rFonts w:ascii="Calibri" w:hAnsi="Calibri" w:cs="Calibri"/>
          <w:szCs w:val="20"/>
          <w:lang w:val="cs-CZ" w:bidi="sk-SK"/>
        </w:rPr>
        <w:tab/>
      </w:r>
    </w:p>
    <w:p w14:paraId="0826B087" w14:textId="77777777" w:rsidR="00DB0EEB" w:rsidRPr="000A4C54" w:rsidRDefault="00DB0EEB" w:rsidP="00DB0EEB">
      <w:pPr>
        <w:spacing w:line="240" w:lineRule="auto"/>
        <w:rPr>
          <w:rFonts w:ascii="Calibri" w:hAnsi="Calibri" w:cs="Calibri"/>
          <w:szCs w:val="20"/>
          <w:lang w:val="cs-CZ" w:bidi="sk-SK"/>
        </w:rPr>
      </w:pPr>
      <w:r w:rsidRPr="000A4C54">
        <w:rPr>
          <w:rFonts w:ascii="Calibri" w:hAnsi="Calibri" w:cs="Calibri"/>
          <w:szCs w:val="20"/>
          <w:lang w:val="cs-CZ" w:bidi="sk-SK"/>
        </w:rPr>
        <w:t>E-mail:</w:t>
      </w:r>
      <w:r w:rsidRPr="000A4C54">
        <w:rPr>
          <w:rFonts w:ascii="Calibri" w:hAnsi="Calibri" w:cs="Calibri"/>
          <w:szCs w:val="20"/>
          <w:lang w:val="cs-CZ" w:bidi="sk-SK"/>
        </w:rPr>
        <w:tab/>
        <w:t xml:space="preserve">  </w:t>
      </w:r>
      <w:hyperlink r:id="rId14" w:history="1">
        <w:r w:rsidRPr="000A4C54">
          <w:rPr>
            <w:rStyle w:val="Hyperlink"/>
            <w:rFonts w:ascii="Calibri" w:hAnsi="Calibri" w:cs="Calibri"/>
            <w:lang w:val="cs-CZ" w:bidi="sk-SK"/>
          </w:rPr>
          <w:t>zuzana.kanuchova@henkel.com</w:t>
        </w:r>
      </w:hyperlink>
      <w:r w:rsidRPr="000A4C54">
        <w:rPr>
          <w:rFonts w:ascii="Calibri" w:hAnsi="Calibri" w:cs="Calibri"/>
          <w:szCs w:val="20"/>
          <w:lang w:val="cs-CZ" w:bidi="sk-SK"/>
        </w:rPr>
        <w:tab/>
      </w:r>
    </w:p>
    <w:p w14:paraId="4F4EDC58" w14:textId="77777777" w:rsidR="00DB0EEB" w:rsidRPr="000A4C54" w:rsidRDefault="00DB0EEB" w:rsidP="00DB0EEB">
      <w:pPr>
        <w:spacing w:line="280" w:lineRule="auto"/>
        <w:rPr>
          <w:rFonts w:ascii="Calibri" w:hAnsi="Calibri" w:cs="Calibri"/>
          <w:szCs w:val="20"/>
          <w:lang w:val="cs-CZ" w:bidi="sk-SK"/>
        </w:rPr>
      </w:pPr>
    </w:p>
    <w:p w14:paraId="1F6809BE" w14:textId="77777777" w:rsidR="00DB0EEB" w:rsidRPr="001F4F0B" w:rsidRDefault="00DB0EEB" w:rsidP="00DB0EEB">
      <w:pPr>
        <w:spacing w:line="280" w:lineRule="auto"/>
        <w:rPr>
          <w:rFonts w:ascii="Calibri" w:hAnsi="Calibri" w:cs="Calibri"/>
          <w:szCs w:val="20"/>
          <w:lang w:val="cs-CZ" w:bidi="sk-SK"/>
        </w:rPr>
      </w:pPr>
    </w:p>
    <w:p w14:paraId="754A7578" w14:textId="77777777" w:rsidR="00DB0EEB" w:rsidRPr="005962CA" w:rsidRDefault="00DB0EEB" w:rsidP="00DB0EEB">
      <w:pPr>
        <w:spacing w:line="280" w:lineRule="auto"/>
        <w:rPr>
          <w:rFonts w:ascii="Calibri" w:hAnsi="Calibri" w:cs="Calibri"/>
          <w:szCs w:val="20"/>
          <w:lang w:val="cs-CZ" w:bidi="sk-SK"/>
        </w:rPr>
      </w:pPr>
    </w:p>
    <w:p w14:paraId="121A4D26" w14:textId="371D0D3D" w:rsidR="00C50C62" w:rsidRPr="005F759E" w:rsidRDefault="00C50C62" w:rsidP="00DB0EEB">
      <w:pPr>
        <w:spacing w:line="280" w:lineRule="auto"/>
        <w:rPr>
          <w:rFonts w:ascii="Calibri" w:hAnsi="Calibri" w:cs="Calibri"/>
          <w:szCs w:val="20"/>
          <w:lang w:val="cs-CZ" w:bidi="sk-SK"/>
        </w:rPr>
      </w:pPr>
    </w:p>
    <w:sectPr w:rsidR="00C50C62" w:rsidRPr="005F759E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16EA0" w14:textId="77777777" w:rsidR="00602092" w:rsidRDefault="00602092">
      <w:r>
        <w:separator/>
      </w:r>
    </w:p>
  </w:endnote>
  <w:endnote w:type="continuationSeparator" w:id="0">
    <w:p w14:paraId="4D5E0E4D" w14:textId="77777777" w:rsidR="00602092" w:rsidRDefault="00602092">
      <w:r>
        <w:continuationSeparator/>
      </w:r>
    </w:p>
  </w:endnote>
  <w:endnote w:type="continuationNotice" w:id="1">
    <w:p w14:paraId="34F6FA92" w14:textId="77777777" w:rsidR="00602092" w:rsidRDefault="0060209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455D0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fldSimple w:instr=" NUMPAGES  \* Arabic  \* MERGEFORMAT ">
      <w:r w:rsidR="00AD749D"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6DB69" w14:textId="12E87325" w:rsidR="00DB5D40" w:rsidRDefault="009242D9" w:rsidP="00DB5D40">
    <w:pPr>
      <w:pStyle w:val="Footer"/>
      <w:jc w:val="distribute"/>
      <w:rPr>
        <w:b/>
      </w:rPr>
    </w:pPr>
    <w:r>
      <w:drawing>
        <wp:inline distT="0" distB="0" distL="0" distR="0" wp14:anchorId="71572E60" wp14:editId="6C0EAE93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  </w:t>
    </w:r>
  </w:p>
  <w:p w14:paraId="7DAC3790" w14:textId="77777777" w:rsidR="00CF6F33" w:rsidRPr="00992A11" w:rsidRDefault="00302D10" w:rsidP="00992A11">
    <w:pPr>
      <w:pStyle w:val="Footer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34FAD" w14:textId="77777777" w:rsidR="00602092" w:rsidRDefault="00602092">
      <w:bookmarkStart w:id="0" w:name="_Hlk47541104"/>
      <w:bookmarkEnd w:id="0"/>
      <w:r>
        <w:separator/>
      </w:r>
    </w:p>
  </w:footnote>
  <w:footnote w:type="continuationSeparator" w:id="0">
    <w:p w14:paraId="027BDCFD" w14:textId="77777777" w:rsidR="00602092" w:rsidRDefault="00602092">
      <w:r>
        <w:continuationSeparator/>
      </w:r>
    </w:p>
  </w:footnote>
  <w:footnote w:type="continuationNotice" w:id="1">
    <w:p w14:paraId="0605C8D6" w14:textId="77777777" w:rsidR="00602092" w:rsidRDefault="00602092">
      <w:pPr>
        <w:spacing w:line="240" w:lineRule="auto"/>
      </w:pPr>
    </w:p>
  </w:footnote>
  <w:footnote w:id="2">
    <w:p w14:paraId="70F69DC8" w14:textId="118E1CCC" w:rsidR="0019638B" w:rsidRPr="00B514C2" w:rsidRDefault="0019638B" w:rsidP="0019638B">
      <w:pPr>
        <w:pStyle w:val="FootnoteText"/>
        <w:rPr>
          <w:sz w:val="16"/>
          <w:lang w:val="cs-CZ"/>
        </w:rPr>
      </w:pPr>
      <w:r w:rsidRPr="00B514C2">
        <w:rPr>
          <w:rStyle w:val="FootnoteReference"/>
          <w:sz w:val="28"/>
          <w:szCs w:val="28"/>
          <w:lang w:val="cs-CZ"/>
        </w:rPr>
        <w:t>*</w:t>
      </w:r>
      <w:r w:rsidRPr="00B514C2">
        <w:rPr>
          <w:sz w:val="16"/>
          <w:szCs w:val="16"/>
          <w:lang w:val="cs-CZ" w:bidi="bo-CN"/>
        </w:rPr>
        <w:t>Oči</w:t>
      </w:r>
      <w:r w:rsidR="00B514C2" w:rsidRPr="00B514C2">
        <w:rPr>
          <w:sz w:val="16"/>
          <w:szCs w:val="16"/>
          <w:lang w:val="cs-CZ" w:bidi="bo-CN"/>
        </w:rPr>
        <w:t xml:space="preserve">štěné o jednorázové výdaje a příjmy a náklady na restrukturalizaci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C2504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C7719" w14:textId="3BE57EB8" w:rsidR="00CF6F33" w:rsidRPr="00962C60" w:rsidRDefault="0009087E" w:rsidP="00EB46D9">
    <w:pPr>
      <w:pStyle w:val="Header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8240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C60">
      <w:rPr>
        <w:lang w:val="sk-SK"/>
      </w:rPr>
      <w:t>T</w:t>
    </w:r>
    <w:r w:rsidR="007012BC">
      <w:rPr>
        <w:lang w:val="sk-SK"/>
      </w:rPr>
      <w:t>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73D3C74"/>
    <w:multiLevelType w:val="hybridMultilevel"/>
    <w:tmpl w:val="F4AAD272"/>
    <w:lvl w:ilvl="0" w:tplc="08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6" w15:restartNumberingAfterBreak="0">
    <w:nsid w:val="491C0505"/>
    <w:multiLevelType w:val="hybridMultilevel"/>
    <w:tmpl w:val="672C7FDA"/>
    <w:lvl w:ilvl="0" w:tplc="91E8FC00">
      <w:numFmt w:val="bullet"/>
      <w:lvlText w:val="•"/>
      <w:lvlJc w:val="left"/>
      <w:pPr>
        <w:ind w:left="643" w:hanging="36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14E7"/>
    <w:rsid w:val="00002AA4"/>
    <w:rsid w:val="00005267"/>
    <w:rsid w:val="00006346"/>
    <w:rsid w:val="00007CC8"/>
    <w:rsid w:val="00021C67"/>
    <w:rsid w:val="00023A73"/>
    <w:rsid w:val="00026AFB"/>
    <w:rsid w:val="000273F2"/>
    <w:rsid w:val="00027C76"/>
    <w:rsid w:val="00030557"/>
    <w:rsid w:val="00030F51"/>
    <w:rsid w:val="00035A84"/>
    <w:rsid w:val="00035EB5"/>
    <w:rsid w:val="000365C5"/>
    <w:rsid w:val="00040CC9"/>
    <w:rsid w:val="00046DD5"/>
    <w:rsid w:val="00051C16"/>
    <w:rsid w:val="00051E86"/>
    <w:rsid w:val="00053CB0"/>
    <w:rsid w:val="000558DB"/>
    <w:rsid w:val="000575F9"/>
    <w:rsid w:val="0006053D"/>
    <w:rsid w:val="000618FC"/>
    <w:rsid w:val="00062609"/>
    <w:rsid w:val="00067071"/>
    <w:rsid w:val="00076F39"/>
    <w:rsid w:val="00080D10"/>
    <w:rsid w:val="0008357F"/>
    <w:rsid w:val="00087E68"/>
    <w:rsid w:val="0009087E"/>
    <w:rsid w:val="0009276A"/>
    <w:rsid w:val="00096B50"/>
    <w:rsid w:val="00097CF3"/>
    <w:rsid w:val="000B246D"/>
    <w:rsid w:val="000B5696"/>
    <w:rsid w:val="000B695A"/>
    <w:rsid w:val="000C1075"/>
    <w:rsid w:val="000C210A"/>
    <w:rsid w:val="000C56DD"/>
    <w:rsid w:val="000D0273"/>
    <w:rsid w:val="000D03C1"/>
    <w:rsid w:val="000D1672"/>
    <w:rsid w:val="000E2F62"/>
    <w:rsid w:val="000E33CB"/>
    <w:rsid w:val="000E38ED"/>
    <w:rsid w:val="000E7F24"/>
    <w:rsid w:val="000F03BE"/>
    <w:rsid w:val="000F1757"/>
    <w:rsid w:val="000F18CA"/>
    <w:rsid w:val="000F225B"/>
    <w:rsid w:val="000F7FAF"/>
    <w:rsid w:val="00101635"/>
    <w:rsid w:val="00101CAB"/>
    <w:rsid w:val="0010462B"/>
    <w:rsid w:val="00105975"/>
    <w:rsid w:val="00111F4D"/>
    <w:rsid w:val="00112A28"/>
    <w:rsid w:val="00115230"/>
    <w:rsid w:val="00115B5F"/>
    <w:rsid w:val="001162B4"/>
    <w:rsid w:val="00122CBC"/>
    <w:rsid w:val="001235A6"/>
    <w:rsid w:val="00126D4A"/>
    <w:rsid w:val="00132DA9"/>
    <w:rsid w:val="0013305B"/>
    <w:rsid w:val="00133B99"/>
    <w:rsid w:val="001441A1"/>
    <w:rsid w:val="001443BD"/>
    <w:rsid w:val="0014615D"/>
    <w:rsid w:val="00151F08"/>
    <w:rsid w:val="001577E9"/>
    <w:rsid w:val="0016138C"/>
    <w:rsid w:val="001658F0"/>
    <w:rsid w:val="001676A3"/>
    <w:rsid w:val="001731CE"/>
    <w:rsid w:val="00173946"/>
    <w:rsid w:val="00173A9C"/>
    <w:rsid w:val="001813F3"/>
    <w:rsid w:val="00182759"/>
    <w:rsid w:val="0018282C"/>
    <w:rsid w:val="00183245"/>
    <w:rsid w:val="00187D37"/>
    <w:rsid w:val="00193764"/>
    <w:rsid w:val="00194C5E"/>
    <w:rsid w:val="00196047"/>
    <w:rsid w:val="001961E5"/>
    <w:rsid w:val="0019638B"/>
    <w:rsid w:val="001A59E3"/>
    <w:rsid w:val="001A63DF"/>
    <w:rsid w:val="001B379E"/>
    <w:rsid w:val="001B743B"/>
    <w:rsid w:val="001B7C20"/>
    <w:rsid w:val="001C0B32"/>
    <w:rsid w:val="001C324B"/>
    <w:rsid w:val="001C4BE1"/>
    <w:rsid w:val="001C513B"/>
    <w:rsid w:val="001D1C04"/>
    <w:rsid w:val="001D1E9B"/>
    <w:rsid w:val="001D7568"/>
    <w:rsid w:val="001D7ADF"/>
    <w:rsid w:val="001E0F71"/>
    <w:rsid w:val="001E6D05"/>
    <w:rsid w:val="001E7C28"/>
    <w:rsid w:val="001F1BDF"/>
    <w:rsid w:val="001F7110"/>
    <w:rsid w:val="001F7E96"/>
    <w:rsid w:val="00202284"/>
    <w:rsid w:val="00202BDC"/>
    <w:rsid w:val="00203B9E"/>
    <w:rsid w:val="00206C15"/>
    <w:rsid w:val="00211B33"/>
    <w:rsid w:val="00212488"/>
    <w:rsid w:val="00220628"/>
    <w:rsid w:val="00225F4C"/>
    <w:rsid w:val="002304D2"/>
    <w:rsid w:val="002321E3"/>
    <w:rsid w:val="00232AFF"/>
    <w:rsid w:val="00232C41"/>
    <w:rsid w:val="00234ABD"/>
    <w:rsid w:val="00235730"/>
    <w:rsid w:val="0023692A"/>
    <w:rsid w:val="00236E2A"/>
    <w:rsid w:val="00237F62"/>
    <w:rsid w:val="0024586A"/>
    <w:rsid w:val="00246020"/>
    <w:rsid w:val="00254EC6"/>
    <w:rsid w:val="00256645"/>
    <w:rsid w:val="00256F0C"/>
    <w:rsid w:val="00262C05"/>
    <w:rsid w:val="00263D3E"/>
    <w:rsid w:val="0028101F"/>
    <w:rsid w:val="002814DA"/>
    <w:rsid w:val="00281B42"/>
    <w:rsid w:val="00281D14"/>
    <w:rsid w:val="00282C13"/>
    <w:rsid w:val="002901F2"/>
    <w:rsid w:val="00291BDB"/>
    <w:rsid w:val="00293942"/>
    <w:rsid w:val="00295ED2"/>
    <w:rsid w:val="002962E9"/>
    <w:rsid w:val="002A0DF7"/>
    <w:rsid w:val="002A2975"/>
    <w:rsid w:val="002A60E0"/>
    <w:rsid w:val="002B0810"/>
    <w:rsid w:val="002B5578"/>
    <w:rsid w:val="002C0583"/>
    <w:rsid w:val="002C0FD5"/>
    <w:rsid w:val="002C252E"/>
    <w:rsid w:val="002C6773"/>
    <w:rsid w:val="002D01B0"/>
    <w:rsid w:val="002D1A66"/>
    <w:rsid w:val="002D2A3D"/>
    <w:rsid w:val="002D74A3"/>
    <w:rsid w:val="002E0B17"/>
    <w:rsid w:val="002E1299"/>
    <w:rsid w:val="002E1DAB"/>
    <w:rsid w:val="002E4FFB"/>
    <w:rsid w:val="002E7DED"/>
    <w:rsid w:val="002F0C8B"/>
    <w:rsid w:val="002F23B0"/>
    <w:rsid w:val="002F666E"/>
    <w:rsid w:val="002F7E11"/>
    <w:rsid w:val="00302D10"/>
    <w:rsid w:val="00304087"/>
    <w:rsid w:val="00310ACD"/>
    <w:rsid w:val="003116E8"/>
    <w:rsid w:val="0031379F"/>
    <w:rsid w:val="0031405B"/>
    <w:rsid w:val="00314264"/>
    <w:rsid w:val="00317C01"/>
    <w:rsid w:val="00320A26"/>
    <w:rsid w:val="00321344"/>
    <w:rsid w:val="00322DAD"/>
    <w:rsid w:val="00323AB5"/>
    <w:rsid w:val="00324575"/>
    <w:rsid w:val="00330AE5"/>
    <w:rsid w:val="0033451C"/>
    <w:rsid w:val="00336854"/>
    <w:rsid w:val="00336B70"/>
    <w:rsid w:val="0034015C"/>
    <w:rsid w:val="003442F4"/>
    <w:rsid w:val="00344AAF"/>
    <w:rsid w:val="00347FE7"/>
    <w:rsid w:val="003500C0"/>
    <w:rsid w:val="003509E0"/>
    <w:rsid w:val="00351E85"/>
    <w:rsid w:val="00353705"/>
    <w:rsid w:val="00354962"/>
    <w:rsid w:val="003562E8"/>
    <w:rsid w:val="003566FA"/>
    <w:rsid w:val="0036357D"/>
    <w:rsid w:val="003649BC"/>
    <w:rsid w:val="00365536"/>
    <w:rsid w:val="00365E44"/>
    <w:rsid w:val="00367AA1"/>
    <w:rsid w:val="00372E36"/>
    <w:rsid w:val="00373693"/>
    <w:rsid w:val="00376EE9"/>
    <w:rsid w:val="00377CBB"/>
    <w:rsid w:val="003877B6"/>
    <w:rsid w:val="00390E2B"/>
    <w:rsid w:val="00393887"/>
    <w:rsid w:val="003945A9"/>
    <w:rsid w:val="00394C6B"/>
    <w:rsid w:val="003A0597"/>
    <w:rsid w:val="003A1116"/>
    <w:rsid w:val="003A13E4"/>
    <w:rsid w:val="003A4E06"/>
    <w:rsid w:val="003A4E62"/>
    <w:rsid w:val="003B1069"/>
    <w:rsid w:val="003B390A"/>
    <w:rsid w:val="003B4C4C"/>
    <w:rsid w:val="003C04FE"/>
    <w:rsid w:val="003C0A9E"/>
    <w:rsid w:val="003C15DE"/>
    <w:rsid w:val="003C3A7B"/>
    <w:rsid w:val="003C4EB2"/>
    <w:rsid w:val="003D128E"/>
    <w:rsid w:val="003D16A5"/>
    <w:rsid w:val="003D24DD"/>
    <w:rsid w:val="003D4FC3"/>
    <w:rsid w:val="003E2CEF"/>
    <w:rsid w:val="003E5F59"/>
    <w:rsid w:val="003F0ADF"/>
    <w:rsid w:val="003F1AF3"/>
    <w:rsid w:val="003F4C66"/>
    <w:rsid w:val="003F4D8D"/>
    <w:rsid w:val="003F5B99"/>
    <w:rsid w:val="003F6489"/>
    <w:rsid w:val="004074DB"/>
    <w:rsid w:val="00414CB7"/>
    <w:rsid w:val="004201B7"/>
    <w:rsid w:val="00421AF1"/>
    <w:rsid w:val="004313E7"/>
    <w:rsid w:val="00432AC4"/>
    <w:rsid w:val="00434C6C"/>
    <w:rsid w:val="00443024"/>
    <w:rsid w:val="0044763B"/>
    <w:rsid w:val="0045179F"/>
    <w:rsid w:val="00452207"/>
    <w:rsid w:val="004549FC"/>
    <w:rsid w:val="00454E46"/>
    <w:rsid w:val="0045668C"/>
    <w:rsid w:val="004629B3"/>
    <w:rsid w:val="0046376E"/>
    <w:rsid w:val="00466854"/>
    <w:rsid w:val="0046690F"/>
    <w:rsid w:val="00472640"/>
    <w:rsid w:val="00472FEC"/>
    <w:rsid w:val="00474DC7"/>
    <w:rsid w:val="0047710B"/>
    <w:rsid w:val="00477679"/>
    <w:rsid w:val="0048225E"/>
    <w:rsid w:val="00484677"/>
    <w:rsid w:val="00490A03"/>
    <w:rsid w:val="00493327"/>
    <w:rsid w:val="00494DBE"/>
    <w:rsid w:val="00495CE6"/>
    <w:rsid w:val="004968A1"/>
    <w:rsid w:val="004A323C"/>
    <w:rsid w:val="004A481A"/>
    <w:rsid w:val="004B54E8"/>
    <w:rsid w:val="004C4AAE"/>
    <w:rsid w:val="004C4FEB"/>
    <w:rsid w:val="004C6B79"/>
    <w:rsid w:val="004D059B"/>
    <w:rsid w:val="004D4CB6"/>
    <w:rsid w:val="004D7D82"/>
    <w:rsid w:val="004E319B"/>
    <w:rsid w:val="004E3341"/>
    <w:rsid w:val="004E626A"/>
    <w:rsid w:val="004E66A3"/>
    <w:rsid w:val="004E67B7"/>
    <w:rsid w:val="004E7A55"/>
    <w:rsid w:val="004F10C1"/>
    <w:rsid w:val="004F3F62"/>
    <w:rsid w:val="005017C2"/>
    <w:rsid w:val="00502E62"/>
    <w:rsid w:val="00503D49"/>
    <w:rsid w:val="005057BD"/>
    <w:rsid w:val="00506767"/>
    <w:rsid w:val="00506B8A"/>
    <w:rsid w:val="005118BD"/>
    <w:rsid w:val="005154AA"/>
    <w:rsid w:val="0051615D"/>
    <w:rsid w:val="0052136B"/>
    <w:rsid w:val="0052212B"/>
    <w:rsid w:val="00524465"/>
    <w:rsid w:val="005302CF"/>
    <w:rsid w:val="00534B46"/>
    <w:rsid w:val="0053602B"/>
    <w:rsid w:val="00540358"/>
    <w:rsid w:val="00540D47"/>
    <w:rsid w:val="00541ECC"/>
    <w:rsid w:val="005449BB"/>
    <w:rsid w:val="00546555"/>
    <w:rsid w:val="00546C46"/>
    <w:rsid w:val="00550864"/>
    <w:rsid w:val="00551091"/>
    <w:rsid w:val="005522B1"/>
    <w:rsid w:val="0055571E"/>
    <w:rsid w:val="00556F67"/>
    <w:rsid w:val="00575350"/>
    <w:rsid w:val="00581280"/>
    <w:rsid w:val="005833F0"/>
    <w:rsid w:val="005854C8"/>
    <w:rsid w:val="0058684E"/>
    <w:rsid w:val="00586CAF"/>
    <w:rsid w:val="005873E9"/>
    <w:rsid w:val="0058794F"/>
    <w:rsid w:val="00591180"/>
    <w:rsid w:val="00593197"/>
    <w:rsid w:val="00593E43"/>
    <w:rsid w:val="0059722C"/>
    <w:rsid w:val="00597D07"/>
    <w:rsid w:val="005A366C"/>
    <w:rsid w:val="005A3846"/>
    <w:rsid w:val="005A3C87"/>
    <w:rsid w:val="005B1CBB"/>
    <w:rsid w:val="005B66BB"/>
    <w:rsid w:val="005B6A58"/>
    <w:rsid w:val="005C2EA2"/>
    <w:rsid w:val="005C58BA"/>
    <w:rsid w:val="005C7112"/>
    <w:rsid w:val="005D0561"/>
    <w:rsid w:val="005D0AD9"/>
    <w:rsid w:val="005D22F6"/>
    <w:rsid w:val="005D26ED"/>
    <w:rsid w:val="005D7D88"/>
    <w:rsid w:val="005E0C30"/>
    <w:rsid w:val="005E69D9"/>
    <w:rsid w:val="005E7D79"/>
    <w:rsid w:val="005F23CC"/>
    <w:rsid w:val="005F27F4"/>
    <w:rsid w:val="005F3239"/>
    <w:rsid w:val="005F3CA4"/>
    <w:rsid w:val="005F5FC5"/>
    <w:rsid w:val="005F6567"/>
    <w:rsid w:val="005F759E"/>
    <w:rsid w:val="00602092"/>
    <w:rsid w:val="00605BFE"/>
    <w:rsid w:val="00607256"/>
    <w:rsid w:val="006141A6"/>
    <w:rsid w:val="006144B1"/>
    <w:rsid w:val="006209A6"/>
    <w:rsid w:val="00621472"/>
    <w:rsid w:val="006319FD"/>
    <w:rsid w:val="006335F1"/>
    <w:rsid w:val="006345B6"/>
    <w:rsid w:val="0063478E"/>
    <w:rsid w:val="00635712"/>
    <w:rsid w:val="00637A0D"/>
    <w:rsid w:val="006402B4"/>
    <w:rsid w:val="006403F3"/>
    <w:rsid w:val="00643D8A"/>
    <w:rsid w:val="00644595"/>
    <w:rsid w:val="00645FB8"/>
    <w:rsid w:val="0064753F"/>
    <w:rsid w:val="00650195"/>
    <w:rsid w:val="00652229"/>
    <w:rsid w:val="00652793"/>
    <w:rsid w:val="00652E4F"/>
    <w:rsid w:val="006561C5"/>
    <w:rsid w:val="006615D2"/>
    <w:rsid w:val="006626CA"/>
    <w:rsid w:val="00663487"/>
    <w:rsid w:val="00672382"/>
    <w:rsid w:val="0067359B"/>
    <w:rsid w:val="00675997"/>
    <w:rsid w:val="00677A30"/>
    <w:rsid w:val="00680078"/>
    <w:rsid w:val="00682643"/>
    <w:rsid w:val="00682DFD"/>
    <w:rsid w:val="00682EB9"/>
    <w:rsid w:val="0068441A"/>
    <w:rsid w:val="00690B19"/>
    <w:rsid w:val="00693158"/>
    <w:rsid w:val="00695025"/>
    <w:rsid w:val="006952F7"/>
    <w:rsid w:val="00695A78"/>
    <w:rsid w:val="006975AD"/>
    <w:rsid w:val="006A009A"/>
    <w:rsid w:val="006A0A3C"/>
    <w:rsid w:val="006A34AA"/>
    <w:rsid w:val="006A4FFF"/>
    <w:rsid w:val="006A79F0"/>
    <w:rsid w:val="006B06C1"/>
    <w:rsid w:val="006B4030"/>
    <w:rsid w:val="006B47EE"/>
    <w:rsid w:val="006B499F"/>
    <w:rsid w:val="006B5DAE"/>
    <w:rsid w:val="006C70EA"/>
    <w:rsid w:val="006D1AFF"/>
    <w:rsid w:val="006D2DCA"/>
    <w:rsid w:val="006D3B91"/>
    <w:rsid w:val="006D4996"/>
    <w:rsid w:val="006D54AB"/>
    <w:rsid w:val="006D5A91"/>
    <w:rsid w:val="006E12A6"/>
    <w:rsid w:val="006E3006"/>
    <w:rsid w:val="006E4948"/>
    <w:rsid w:val="006E5032"/>
    <w:rsid w:val="006E58F4"/>
    <w:rsid w:val="006E5BDA"/>
    <w:rsid w:val="006F0FC7"/>
    <w:rsid w:val="006F39A9"/>
    <w:rsid w:val="006F5D05"/>
    <w:rsid w:val="006F670F"/>
    <w:rsid w:val="007012BC"/>
    <w:rsid w:val="00703272"/>
    <w:rsid w:val="00704D7D"/>
    <w:rsid w:val="00705BDE"/>
    <w:rsid w:val="0070733C"/>
    <w:rsid w:val="00707C49"/>
    <w:rsid w:val="00710C5D"/>
    <w:rsid w:val="00712EBE"/>
    <w:rsid w:val="007133D6"/>
    <w:rsid w:val="0071348C"/>
    <w:rsid w:val="00717273"/>
    <w:rsid w:val="00717B20"/>
    <w:rsid w:val="00720FD4"/>
    <w:rsid w:val="00722C99"/>
    <w:rsid w:val="00724AF2"/>
    <w:rsid w:val="0072585D"/>
    <w:rsid w:val="00726216"/>
    <w:rsid w:val="00726975"/>
    <w:rsid w:val="0073096C"/>
    <w:rsid w:val="00732293"/>
    <w:rsid w:val="00742398"/>
    <w:rsid w:val="0074727D"/>
    <w:rsid w:val="007507B5"/>
    <w:rsid w:val="0075091D"/>
    <w:rsid w:val="00752C83"/>
    <w:rsid w:val="00753A24"/>
    <w:rsid w:val="00754D0B"/>
    <w:rsid w:val="007551E7"/>
    <w:rsid w:val="0076010E"/>
    <w:rsid w:val="007630AF"/>
    <w:rsid w:val="0076475C"/>
    <w:rsid w:val="00765795"/>
    <w:rsid w:val="007664F7"/>
    <w:rsid w:val="00766FAC"/>
    <w:rsid w:val="00772188"/>
    <w:rsid w:val="007736B2"/>
    <w:rsid w:val="00774C2A"/>
    <w:rsid w:val="007808C1"/>
    <w:rsid w:val="007813D0"/>
    <w:rsid w:val="00785993"/>
    <w:rsid w:val="007866E2"/>
    <w:rsid w:val="00786BA3"/>
    <w:rsid w:val="00791DA5"/>
    <w:rsid w:val="0079202F"/>
    <w:rsid w:val="00792CC7"/>
    <w:rsid w:val="00795AF2"/>
    <w:rsid w:val="007A2AAD"/>
    <w:rsid w:val="007A4432"/>
    <w:rsid w:val="007A784E"/>
    <w:rsid w:val="007B0D38"/>
    <w:rsid w:val="007B499C"/>
    <w:rsid w:val="007B4D4B"/>
    <w:rsid w:val="007C50BB"/>
    <w:rsid w:val="007D0FBD"/>
    <w:rsid w:val="007D2A02"/>
    <w:rsid w:val="007D5153"/>
    <w:rsid w:val="007E36BD"/>
    <w:rsid w:val="007E53D6"/>
    <w:rsid w:val="007E6EA1"/>
    <w:rsid w:val="007F0F63"/>
    <w:rsid w:val="007F2B1E"/>
    <w:rsid w:val="007F2D93"/>
    <w:rsid w:val="007F52EF"/>
    <w:rsid w:val="007F54E1"/>
    <w:rsid w:val="007F62B4"/>
    <w:rsid w:val="007F7897"/>
    <w:rsid w:val="00801517"/>
    <w:rsid w:val="00805C61"/>
    <w:rsid w:val="00807E1A"/>
    <w:rsid w:val="0081130D"/>
    <w:rsid w:val="008136F8"/>
    <w:rsid w:val="00817AE8"/>
    <w:rsid w:val="00817DE8"/>
    <w:rsid w:val="008229F5"/>
    <w:rsid w:val="0082699A"/>
    <w:rsid w:val="0083041B"/>
    <w:rsid w:val="00831B22"/>
    <w:rsid w:val="00833CEB"/>
    <w:rsid w:val="008350D9"/>
    <w:rsid w:val="008367DF"/>
    <w:rsid w:val="008372D2"/>
    <w:rsid w:val="008377BC"/>
    <w:rsid w:val="00843AFF"/>
    <w:rsid w:val="00844C17"/>
    <w:rsid w:val="00844C7E"/>
    <w:rsid w:val="00844D6C"/>
    <w:rsid w:val="0084769D"/>
    <w:rsid w:val="00847726"/>
    <w:rsid w:val="0084790A"/>
    <w:rsid w:val="00852511"/>
    <w:rsid w:val="00856739"/>
    <w:rsid w:val="008614F1"/>
    <w:rsid w:val="00861892"/>
    <w:rsid w:val="008639B3"/>
    <w:rsid w:val="00863C1A"/>
    <w:rsid w:val="00866171"/>
    <w:rsid w:val="00867670"/>
    <w:rsid w:val="00867D5C"/>
    <w:rsid w:val="0087142D"/>
    <w:rsid w:val="00873956"/>
    <w:rsid w:val="00880E72"/>
    <w:rsid w:val="00882237"/>
    <w:rsid w:val="008825EE"/>
    <w:rsid w:val="0088596E"/>
    <w:rsid w:val="00890C1A"/>
    <w:rsid w:val="008954A0"/>
    <w:rsid w:val="00897440"/>
    <w:rsid w:val="0089796A"/>
    <w:rsid w:val="008A07B3"/>
    <w:rsid w:val="008A2375"/>
    <w:rsid w:val="008A6920"/>
    <w:rsid w:val="008A7494"/>
    <w:rsid w:val="008B5289"/>
    <w:rsid w:val="008B7105"/>
    <w:rsid w:val="008C42F5"/>
    <w:rsid w:val="008C4BF9"/>
    <w:rsid w:val="008C74E8"/>
    <w:rsid w:val="008D0227"/>
    <w:rsid w:val="008D4D44"/>
    <w:rsid w:val="008D76C5"/>
    <w:rsid w:val="008E0AFA"/>
    <w:rsid w:val="008E257A"/>
    <w:rsid w:val="008E58D7"/>
    <w:rsid w:val="008E5A1D"/>
    <w:rsid w:val="008E75D3"/>
    <w:rsid w:val="008F125E"/>
    <w:rsid w:val="008F4D2F"/>
    <w:rsid w:val="009048D4"/>
    <w:rsid w:val="00906292"/>
    <w:rsid w:val="00915FBA"/>
    <w:rsid w:val="00917162"/>
    <w:rsid w:val="0092140A"/>
    <w:rsid w:val="009223CC"/>
    <w:rsid w:val="009242D9"/>
    <w:rsid w:val="009251CC"/>
    <w:rsid w:val="00926480"/>
    <w:rsid w:val="00926FF4"/>
    <w:rsid w:val="0092714E"/>
    <w:rsid w:val="00927230"/>
    <w:rsid w:val="00930493"/>
    <w:rsid w:val="00942002"/>
    <w:rsid w:val="00942D97"/>
    <w:rsid w:val="00942F78"/>
    <w:rsid w:val="00945889"/>
    <w:rsid w:val="0094704B"/>
    <w:rsid w:val="00947885"/>
    <w:rsid w:val="00951482"/>
    <w:rsid w:val="00952168"/>
    <w:rsid w:val="009527FE"/>
    <w:rsid w:val="00960751"/>
    <w:rsid w:val="00962C60"/>
    <w:rsid w:val="009667BF"/>
    <w:rsid w:val="00966B91"/>
    <w:rsid w:val="009739A0"/>
    <w:rsid w:val="00973E9C"/>
    <w:rsid w:val="00974F84"/>
    <w:rsid w:val="009767C7"/>
    <w:rsid w:val="00977BC2"/>
    <w:rsid w:val="00980874"/>
    <w:rsid w:val="00982CDC"/>
    <w:rsid w:val="009831D3"/>
    <w:rsid w:val="00984D73"/>
    <w:rsid w:val="0098579A"/>
    <w:rsid w:val="00986275"/>
    <w:rsid w:val="0099195A"/>
    <w:rsid w:val="00992A11"/>
    <w:rsid w:val="00994681"/>
    <w:rsid w:val="0099486A"/>
    <w:rsid w:val="009A005B"/>
    <w:rsid w:val="009A0E26"/>
    <w:rsid w:val="009A16EC"/>
    <w:rsid w:val="009A2C6B"/>
    <w:rsid w:val="009A660A"/>
    <w:rsid w:val="009B29B7"/>
    <w:rsid w:val="009B3B37"/>
    <w:rsid w:val="009B5909"/>
    <w:rsid w:val="009B68E2"/>
    <w:rsid w:val="009B7D1F"/>
    <w:rsid w:val="009C088E"/>
    <w:rsid w:val="009C2AA9"/>
    <w:rsid w:val="009C4D35"/>
    <w:rsid w:val="009C7A51"/>
    <w:rsid w:val="009D1522"/>
    <w:rsid w:val="009D15F3"/>
    <w:rsid w:val="009D3A96"/>
    <w:rsid w:val="009D6875"/>
    <w:rsid w:val="009D6B66"/>
    <w:rsid w:val="009D7252"/>
    <w:rsid w:val="009D792E"/>
    <w:rsid w:val="009E1141"/>
    <w:rsid w:val="009E5EB4"/>
    <w:rsid w:val="009E7150"/>
    <w:rsid w:val="009F06DE"/>
    <w:rsid w:val="009F3406"/>
    <w:rsid w:val="009F5206"/>
    <w:rsid w:val="00A02D13"/>
    <w:rsid w:val="00A03CBF"/>
    <w:rsid w:val="00A044D6"/>
    <w:rsid w:val="00A04ADB"/>
    <w:rsid w:val="00A06937"/>
    <w:rsid w:val="00A11E0F"/>
    <w:rsid w:val="00A26CB6"/>
    <w:rsid w:val="00A32F82"/>
    <w:rsid w:val="00A32F8B"/>
    <w:rsid w:val="00A33C0C"/>
    <w:rsid w:val="00A36BC4"/>
    <w:rsid w:val="00A3756F"/>
    <w:rsid w:val="00A4278C"/>
    <w:rsid w:val="00A42D6F"/>
    <w:rsid w:val="00A45A62"/>
    <w:rsid w:val="00A52EA0"/>
    <w:rsid w:val="00A54AC5"/>
    <w:rsid w:val="00A55DC3"/>
    <w:rsid w:val="00A56D41"/>
    <w:rsid w:val="00A579DA"/>
    <w:rsid w:val="00A60C91"/>
    <w:rsid w:val="00A6128F"/>
    <w:rsid w:val="00A61353"/>
    <w:rsid w:val="00A61626"/>
    <w:rsid w:val="00A61983"/>
    <w:rsid w:val="00A62BB2"/>
    <w:rsid w:val="00A66DB1"/>
    <w:rsid w:val="00A67A92"/>
    <w:rsid w:val="00A70366"/>
    <w:rsid w:val="00A85C85"/>
    <w:rsid w:val="00A87870"/>
    <w:rsid w:val="00A91A70"/>
    <w:rsid w:val="00A9242B"/>
    <w:rsid w:val="00AA1B85"/>
    <w:rsid w:val="00AA3D9B"/>
    <w:rsid w:val="00AA7ACF"/>
    <w:rsid w:val="00AB1CB6"/>
    <w:rsid w:val="00AB1D9A"/>
    <w:rsid w:val="00AB7C10"/>
    <w:rsid w:val="00AC0AE5"/>
    <w:rsid w:val="00AC2225"/>
    <w:rsid w:val="00AC4BBB"/>
    <w:rsid w:val="00AD01B0"/>
    <w:rsid w:val="00AD44FE"/>
    <w:rsid w:val="00AD5010"/>
    <w:rsid w:val="00AD749D"/>
    <w:rsid w:val="00AE3ABD"/>
    <w:rsid w:val="00AE464C"/>
    <w:rsid w:val="00AE49F1"/>
    <w:rsid w:val="00B05CCA"/>
    <w:rsid w:val="00B13F75"/>
    <w:rsid w:val="00B14271"/>
    <w:rsid w:val="00B16270"/>
    <w:rsid w:val="00B22C2F"/>
    <w:rsid w:val="00B2685D"/>
    <w:rsid w:val="00B30351"/>
    <w:rsid w:val="00B33C2A"/>
    <w:rsid w:val="00B33D1F"/>
    <w:rsid w:val="00B35427"/>
    <w:rsid w:val="00B368BD"/>
    <w:rsid w:val="00B377F7"/>
    <w:rsid w:val="00B37811"/>
    <w:rsid w:val="00B40E5B"/>
    <w:rsid w:val="00B41614"/>
    <w:rsid w:val="00B422EC"/>
    <w:rsid w:val="00B446C1"/>
    <w:rsid w:val="00B514C2"/>
    <w:rsid w:val="00B52B61"/>
    <w:rsid w:val="00B63C6C"/>
    <w:rsid w:val="00B6597F"/>
    <w:rsid w:val="00B6645A"/>
    <w:rsid w:val="00B71732"/>
    <w:rsid w:val="00B726D4"/>
    <w:rsid w:val="00B74229"/>
    <w:rsid w:val="00B75D03"/>
    <w:rsid w:val="00B8214F"/>
    <w:rsid w:val="00B82CF8"/>
    <w:rsid w:val="00B868B3"/>
    <w:rsid w:val="00B86A4F"/>
    <w:rsid w:val="00B86F4F"/>
    <w:rsid w:val="00B90EDD"/>
    <w:rsid w:val="00B926FC"/>
    <w:rsid w:val="00B93035"/>
    <w:rsid w:val="00B958E8"/>
    <w:rsid w:val="00B97ADC"/>
    <w:rsid w:val="00B97E4A"/>
    <w:rsid w:val="00BA09B2"/>
    <w:rsid w:val="00BA2788"/>
    <w:rsid w:val="00BA5314"/>
    <w:rsid w:val="00BA5B46"/>
    <w:rsid w:val="00BA6EA6"/>
    <w:rsid w:val="00BB00B7"/>
    <w:rsid w:val="00BB132D"/>
    <w:rsid w:val="00BB5B40"/>
    <w:rsid w:val="00BC0995"/>
    <w:rsid w:val="00BC57C0"/>
    <w:rsid w:val="00BE5D38"/>
    <w:rsid w:val="00BE793A"/>
    <w:rsid w:val="00BF2B82"/>
    <w:rsid w:val="00BF34F2"/>
    <w:rsid w:val="00BF432A"/>
    <w:rsid w:val="00BF6E82"/>
    <w:rsid w:val="00C0209A"/>
    <w:rsid w:val="00C02437"/>
    <w:rsid w:val="00C060C7"/>
    <w:rsid w:val="00C061B9"/>
    <w:rsid w:val="00C1629B"/>
    <w:rsid w:val="00C170EA"/>
    <w:rsid w:val="00C24C17"/>
    <w:rsid w:val="00C24F89"/>
    <w:rsid w:val="00C31CD4"/>
    <w:rsid w:val="00C34B18"/>
    <w:rsid w:val="00C3758F"/>
    <w:rsid w:val="00C40B88"/>
    <w:rsid w:val="00C43223"/>
    <w:rsid w:val="00C43DD4"/>
    <w:rsid w:val="00C47D87"/>
    <w:rsid w:val="00C50A63"/>
    <w:rsid w:val="00C50C62"/>
    <w:rsid w:val="00C51B88"/>
    <w:rsid w:val="00C5219F"/>
    <w:rsid w:val="00C5376E"/>
    <w:rsid w:val="00C565D4"/>
    <w:rsid w:val="00C570AB"/>
    <w:rsid w:val="00C578B4"/>
    <w:rsid w:val="00C6126E"/>
    <w:rsid w:val="00C62594"/>
    <w:rsid w:val="00C634BF"/>
    <w:rsid w:val="00C743A7"/>
    <w:rsid w:val="00C808A6"/>
    <w:rsid w:val="00C81DD3"/>
    <w:rsid w:val="00C92D5C"/>
    <w:rsid w:val="00C97091"/>
    <w:rsid w:val="00C97260"/>
    <w:rsid w:val="00CA047F"/>
    <w:rsid w:val="00CA07F1"/>
    <w:rsid w:val="00CA2001"/>
    <w:rsid w:val="00CB09E9"/>
    <w:rsid w:val="00CB5B6C"/>
    <w:rsid w:val="00CB6F95"/>
    <w:rsid w:val="00CC052E"/>
    <w:rsid w:val="00CC1D82"/>
    <w:rsid w:val="00CC7F51"/>
    <w:rsid w:val="00CD140C"/>
    <w:rsid w:val="00CD16BE"/>
    <w:rsid w:val="00CD2CAA"/>
    <w:rsid w:val="00CD4616"/>
    <w:rsid w:val="00CD56AF"/>
    <w:rsid w:val="00CD7D2B"/>
    <w:rsid w:val="00CE0734"/>
    <w:rsid w:val="00CE33D5"/>
    <w:rsid w:val="00CE6A6E"/>
    <w:rsid w:val="00CF1124"/>
    <w:rsid w:val="00CF16DC"/>
    <w:rsid w:val="00CF5B5C"/>
    <w:rsid w:val="00CF5D37"/>
    <w:rsid w:val="00CF6F33"/>
    <w:rsid w:val="00D015B7"/>
    <w:rsid w:val="00D02248"/>
    <w:rsid w:val="00D063B8"/>
    <w:rsid w:val="00D06825"/>
    <w:rsid w:val="00D13187"/>
    <w:rsid w:val="00D162B6"/>
    <w:rsid w:val="00D17E3B"/>
    <w:rsid w:val="00D23570"/>
    <w:rsid w:val="00D23C09"/>
    <w:rsid w:val="00D23CED"/>
    <w:rsid w:val="00D24BD2"/>
    <w:rsid w:val="00D24E34"/>
    <w:rsid w:val="00D2573D"/>
    <w:rsid w:val="00D260A2"/>
    <w:rsid w:val="00D2795D"/>
    <w:rsid w:val="00D30CC6"/>
    <w:rsid w:val="00D3260C"/>
    <w:rsid w:val="00D35790"/>
    <w:rsid w:val="00D35EC8"/>
    <w:rsid w:val="00D36AB3"/>
    <w:rsid w:val="00D40E47"/>
    <w:rsid w:val="00D44221"/>
    <w:rsid w:val="00D476DF"/>
    <w:rsid w:val="00D5051D"/>
    <w:rsid w:val="00D5182B"/>
    <w:rsid w:val="00D520D6"/>
    <w:rsid w:val="00D54EAF"/>
    <w:rsid w:val="00D55239"/>
    <w:rsid w:val="00D5653B"/>
    <w:rsid w:val="00D5693E"/>
    <w:rsid w:val="00D60863"/>
    <w:rsid w:val="00D61492"/>
    <w:rsid w:val="00D61781"/>
    <w:rsid w:val="00D617CD"/>
    <w:rsid w:val="00D62EF1"/>
    <w:rsid w:val="00D6309D"/>
    <w:rsid w:val="00D644CA"/>
    <w:rsid w:val="00D66FC2"/>
    <w:rsid w:val="00D710CA"/>
    <w:rsid w:val="00D76C7E"/>
    <w:rsid w:val="00D771DE"/>
    <w:rsid w:val="00D7776D"/>
    <w:rsid w:val="00D91F92"/>
    <w:rsid w:val="00D9293F"/>
    <w:rsid w:val="00D92B34"/>
    <w:rsid w:val="00D93598"/>
    <w:rsid w:val="00D93E1D"/>
    <w:rsid w:val="00D952D0"/>
    <w:rsid w:val="00DA1086"/>
    <w:rsid w:val="00DA1E18"/>
    <w:rsid w:val="00DA2009"/>
    <w:rsid w:val="00DA2EB3"/>
    <w:rsid w:val="00DA527A"/>
    <w:rsid w:val="00DB05B1"/>
    <w:rsid w:val="00DB0EEB"/>
    <w:rsid w:val="00DB369D"/>
    <w:rsid w:val="00DB3950"/>
    <w:rsid w:val="00DB5A79"/>
    <w:rsid w:val="00DB5D40"/>
    <w:rsid w:val="00DB646C"/>
    <w:rsid w:val="00DB6725"/>
    <w:rsid w:val="00DC23C3"/>
    <w:rsid w:val="00DC2465"/>
    <w:rsid w:val="00DC3730"/>
    <w:rsid w:val="00DC5427"/>
    <w:rsid w:val="00DD41B6"/>
    <w:rsid w:val="00DD512E"/>
    <w:rsid w:val="00DE1177"/>
    <w:rsid w:val="00DE2CEA"/>
    <w:rsid w:val="00DE6A3C"/>
    <w:rsid w:val="00DE74F4"/>
    <w:rsid w:val="00DE7F97"/>
    <w:rsid w:val="00DF1010"/>
    <w:rsid w:val="00DF2D3E"/>
    <w:rsid w:val="00DF5AEA"/>
    <w:rsid w:val="00DF63F6"/>
    <w:rsid w:val="00E02DD0"/>
    <w:rsid w:val="00E06A2E"/>
    <w:rsid w:val="00E07340"/>
    <w:rsid w:val="00E13747"/>
    <w:rsid w:val="00E25AEA"/>
    <w:rsid w:val="00E27CB8"/>
    <w:rsid w:val="00E30DEF"/>
    <w:rsid w:val="00E30ED2"/>
    <w:rsid w:val="00E31276"/>
    <w:rsid w:val="00E37F70"/>
    <w:rsid w:val="00E446C1"/>
    <w:rsid w:val="00E52E9E"/>
    <w:rsid w:val="00E57867"/>
    <w:rsid w:val="00E601BA"/>
    <w:rsid w:val="00E66C49"/>
    <w:rsid w:val="00E707AD"/>
    <w:rsid w:val="00E758B9"/>
    <w:rsid w:val="00E8269A"/>
    <w:rsid w:val="00E82C2A"/>
    <w:rsid w:val="00E85569"/>
    <w:rsid w:val="00E856AF"/>
    <w:rsid w:val="00E86B83"/>
    <w:rsid w:val="00E87C64"/>
    <w:rsid w:val="00E9102C"/>
    <w:rsid w:val="00E910C0"/>
    <w:rsid w:val="00E91E37"/>
    <w:rsid w:val="00E926C4"/>
    <w:rsid w:val="00E93A01"/>
    <w:rsid w:val="00E93FF8"/>
    <w:rsid w:val="00E9582F"/>
    <w:rsid w:val="00E96EAF"/>
    <w:rsid w:val="00EA1752"/>
    <w:rsid w:val="00EA28D3"/>
    <w:rsid w:val="00EA4DCF"/>
    <w:rsid w:val="00EA5A89"/>
    <w:rsid w:val="00EA5BDB"/>
    <w:rsid w:val="00EA5F8C"/>
    <w:rsid w:val="00EA789E"/>
    <w:rsid w:val="00EB3CB6"/>
    <w:rsid w:val="00EB46D9"/>
    <w:rsid w:val="00EB47BC"/>
    <w:rsid w:val="00EC142D"/>
    <w:rsid w:val="00EC17A8"/>
    <w:rsid w:val="00EC1E16"/>
    <w:rsid w:val="00EC254A"/>
    <w:rsid w:val="00EC682F"/>
    <w:rsid w:val="00ED0024"/>
    <w:rsid w:val="00ED0F85"/>
    <w:rsid w:val="00ED2B5C"/>
    <w:rsid w:val="00ED3269"/>
    <w:rsid w:val="00EE1A8C"/>
    <w:rsid w:val="00EE37EE"/>
    <w:rsid w:val="00EE4643"/>
    <w:rsid w:val="00EE64AD"/>
    <w:rsid w:val="00EF1330"/>
    <w:rsid w:val="00EF15FF"/>
    <w:rsid w:val="00EF251A"/>
    <w:rsid w:val="00EF570A"/>
    <w:rsid w:val="00EF7111"/>
    <w:rsid w:val="00EF7B82"/>
    <w:rsid w:val="00EF7D1A"/>
    <w:rsid w:val="00F00AF6"/>
    <w:rsid w:val="00F017DC"/>
    <w:rsid w:val="00F02426"/>
    <w:rsid w:val="00F03968"/>
    <w:rsid w:val="00F0448F"/>
    <w:rsid w:val="00F0716C"/>
    <w:rsid w:val="00F077B3"/>
    <w:rsid w:val="00F14097"/>
    <w:rsid w:val="00F21387"/>
    <w:rsid w:val="00F21781"/>
    <w:rsid w:val="00F21F97"/>
    <w:rsid w:val="00F22014"/>
    <w:rsid w:val="00F262F5"/>
    <w:rsid w:val="00F26849"/>
    <w:rsid w:val="00F270E9"/>
    <w:rsid w:val="00F275C0"/>
    <w:rsid w:val="00F346B6"/>
    <w:rsid w:val="00F36145"/>
    <w:rsid w:val="00F36E15"/>
    <w:rsid w:val="00F37A00"/>
    <w:rsid w:val="00F37BDD"/>
    <w:rsid w:val="00F4089B"/>
    <w:rsid w:val="00F40F82"/>
    <w:rsid w:val="00F411B0"/>
    <w:rsid w:val="00F41503"/>
    <w:rsid w:val="00F45EBB"/>
    <w:rsid w:val="00F466C8"/>
    <w:rsid w:val="00F469A9"/>
    <w:rsid w:val="00F50B46"/>
    <w:rsid w:val="00F50D1F"/>
    <w:rsid w:val="00F50F5B"/>
    <w:rsid w:val="00F51909"/>
    <w:rsid w:val="00F54D16"/>
    <w:rsid w:val="00F55340"/>
    <w:rsid w:val="00F565D0"/>
    <w:rsid w:val="00F60E5C"/>
    <w:rsid w:val="00F635FC"/>
    <w:rsid w:val="00F63D03"/>
    <w:rsid w:val="00F657CA"/>
    <w:rsid w:val="00F65E2F"/>
    <w:rsid w:val="00F67DF1"/>
    <w:rsid w:val="00F8309B"/>
    <w:rsid w:val="00F833C9"/>
    <w:rsid w:val="00F83AD5"/>
    <w:rsid w:val="00F90064"/>
    <w:rsid w:val="00F96AFD"/>
    <w:rsid w:val="00FA1398"/>
    <w:rsid w:val="00FA2635"/>
    <w:rsid w:val="00FA2E19"/>
    <w:rsid w:val="00FA307B"/>
    <w:rsid w:val="00FA697F"/>
    <w:rsid w:val="00FB5521"/>
    <w:rsid w:val="00FB610D"/>
    <w:rsid w:val="00FC4477"/>
    <w:rsid w:val="00FC46FB"/>
    <w:rsid w:val="00FC745F"/>
    <w:rsid w:val="00FD08B8"/>
    <w:rsid w:val="00FD2BD3"/>
    <w:rsid w:val="00FD2E15"/>
    <w:rsid w:val="00FD4CCA"/>
    <w:rsid w:val="00FE2A9E"/>
    <w:rsid w:val="00FE2DAA"/>
    <w:rsid w:val="00FE3773"/>
    <w:rsid w:val="00FF4F1E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497938"/>
  <w14:defaultImageDpi w14:val="0"/>
  <w15:docId w15:val="{A48D90E4-64CC-45A1-8E4F-4C876333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Header">
    <w:name w:val="header"/>
    <w:basedOn w:val="Normal"/>
    <w:link w:val="Header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paragraph" w:styleId="FootnoteText">
    <w:name w:val="footnote text"/>
    <w:basedOn w:val="Normal"/>
    <w:link w:val="FootnoteTextChar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FootnoteReference">
    <w:name w:val="footnote reference"/>
    <w:basedOn w:val="DefaultParagraphFont"/>
    <w:rsid w:val="004074D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585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85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4C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85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54C8"/>
    <w:rPr>
      <w:rFonts w:cs="Times New Roman"/>
      <w:b/>
      <w:bCs/>
      <w:sz w:val="20"/>
      <w:szCs w:val="20"/>
    </w:rPr>
  </w:style>
  <w:style w:type="paragraph" w:customStyle="1" w:styleId="p1">
    <w:name w:val="p1"/>
    <w:basedOn w:val="Normal"/>
    <w:rsid w:val="00927230"/>
    <w:pPr>
      <w:spacing w:line="240" w:lineRule="auto"/>
      <w:jc w:val="left"/>
    </w:pPr>
    <w:rPr>
      <w:rFonts w:ascii="Helvetica" w:hAnsi="Helvetica"/>
      <w:sz w:val="18"/>
      <w:szCs w:val="18"/>
    </w:rPr>
  </w:style>
  <w:style w:type="paragraph" w:styleId="ListParagraph">
    <w:name w:val="List Paragraph"/>
    <w:basedOn w:val="Normal"/>
    <w:uiPriority w:val="34"/>
    <w:qFormat/>
    <w:rsid w:val="0019638B"/>
    <w:pPr>
      <w:ind w:left="720"/>
      <w:contextualSpacing/>
    </w:pPr>
  </w:style>
  <w:style w:type="table" w:customStyle="1" w:styleId="TableGrid0">
    <w:name w:val="TableGrid"/>
    <w:rsid w:val="0019638B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4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4465"/>
    <w:rPr>
      <w:rFonts w:ascii="Courier New" w:hAnsi="Courier New" w:cs="Courier New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zuzana.kanuchova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E597FC69D7D41B730E55848FD6EAB" ma:contentTypeVersion="13" ma:contentTypeDescription="Create a new document." ma:contentTypeScope="" ma:versionID="0bd439bb7db1c11f7cafcadd6b5a65ce">
  <xsd:schema xmlns:xsd="http://www.w3.org/2001/XMLSchema" xmlns:xs="http://www.w3.org/2001/XMLSchema" xmlns:p="http://schemas.microsoft.com/office/2006/metadata/properties" xmlns:ns3="a4e290b9-c7ca-42dc-b7ad-52c336761d12" xmlns:ns4="4b231ab5-4db4-4050-9234-4df8de93caf3" targetNamespace="http://schemas.microsoft.com/office/2006/metadata/properties" ma:root="true" ma:fieldsID="9f905b692c2ba8474a3a603adbe5cb40" ns3:_="" ns4:_="">
    <xsd:import namespace="a4e290b9-c7ca-42dc-b7ad-52c336761d12"/>
    <xsd:import namespace="4b231ab5-4db4-4050-9234-4df8de93ca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290b9-c7ca-42dc-b7ad-52c336761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31ab5-4db4-4050-9234-4df8de93ca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7E394B-239C-45F3-9B83-011C8F4B3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290b9-c7ca-42dc-b7ad-52c336761d12"/>
    <ds:schemaRef ds:uri="4b231ab5-4db4-4050-9234-4df8de93c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A394BC-5B7B-40E1-B7FC-985CC1A5DD2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9FB6B83-8754-41CA-BFAB-08310E61C3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11</Pages>
  <Words>3473</Words>
  <Characters>19802</Characters>
  <Application>Microsoft Office Word</Application>
  <DocSecurity>0</DocSecurity>
  <Lines>165</Lines>
  <Paragraphs>46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Driving Food Safety and Efficiency in Packaging with Henkel’s Technomelt Supra Pro</vt:lpstr>
      <vt:lpstr>Driving Food Safety and Efficiency in Packaging with Henkel’s Technomelt Supra Pro</vt:lpstr>
    </vt:vector>
  </TitlesOfParts>
  <Company>Henkel AG &amp; Co. KGaA</Company>
  <LinksUpToDate>false</LinksUpToDate>
  <CharactersWithSpaces>23229</CharactersWithSpaces>
  <SharedDoc>false</SharedDoc>
  <HLinks>
    <vt:vector size="12" baseType="variant">
      <vt:variant>
        <vt:i4>262261</vt:i4>
      </vt:variant>
      <vt:variant>
        <vt:i4>3</vt:i4>
      </vt:variant>
      <vt:variant>
        <vt:i4>0</vt:i4>
      </vt:variant>
      <vt:variant>
        <vt:i4>5</vt:i4>
      </vt:variant>
      <vt:variant>
        <vt:lpwstr>mailto:zuzana.kanuchova@henkel.com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Driving Food Safety and Efficiency in Packaging with Henkel’s Technomelt Supra Pro</dc:title>
  <dc:subject>Henkel Adhesive Technologies as a Food Safety Pioneer</dc:subject>
  <dc:creator>Henkel AG &amp; Co. KGaA</dc:creator>
  <cp:keywords/>
  <dc:description/>
  <cp:lastModifiedBy>Jana Klusova</cp:lastModifiedBy>
  <cp:revision>259</cp:revision>
  <cp:lastPrinted>2016-11-16T02:11:00Z</cp:lastPrinted>
  <dcterms:created xsi:type="dcterms:W3CDTF">2021-03-05T18:31:00Z</dcterms:created>
  <dcterms:modified xsi:type="dcterms:W3CDTF">2021-03-15T13:46:00Z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0x010100DCAE597FC69D7D41B730E55848FD6EAB</vt:lpwstr>
  </property>
</Properties>
</file>