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96F1" w14:textId="15B8FB58" w:rsidR="00B422EC" w:rsidRPr="002E51B4" w:rsidRDefault="00A8006B" w:rsidP="00643D8A">
      <w:pPr>
        <w:pStyle w:val="MonthDayYear"/>
        <w:rPr>
          <w:lang w:val="id-ID"/>
        </w:rPr>
      </w:pPr>
      <w:r w:rsidRPr="002E51B4">
        <w:rPr>
          <w:lang w:val="id-ID"/>
        </w:rPr>
        <w:t>1 Februari 2021</w:t>
      </w:r>
    </w:p>
    <w:p w14:paraId="1A608FEB" w14:textId="77777777" w:rsidR="006E1C8A" w:rsidRPr="002E51B4" w:rsidRDefault="006E1C8A" w:rsidP="006E1C8A">
      <w:pPr>
        <w:pStyle w:val="Standard12pt"/>
        <w:spacing w:line="276" w:lineRule="auto"/>
        <w:rPr>
          <w:lang w:val="id-ID"/>
        </w:rPr>
      </w:pPr>
    </w:p>
    <w:p w14:paraId="057DE14C" w14:textId="0AEDB1DE" w:rsidR="006E1C8A" w:rsidRPr="002E51B4" w:rsidRDefault="00A8006B" w:rsidP="006E1C8A">
      <w:pPr>
        <w:pStyle w:val="Standard12pt"/>
        <w:spacing w:line="276" w:lineRule="auto"/>
        <w:jc w:val="left"/>
        <w:rPr>
          <w:rFonts w:cs="Segoe UI"/>
          <w:sz w:val="22"/>
          <w:szCs w:val="22"/>
          <w:lang w:val="id-ID"/>
        </w:rPr>
      </w:pPr>
      <w:r w:rsidRPr="002E51B4">
        <w:rPr>
          <w:rFonts w:cs="Segoe UI"/>
          <w:sz w:val="22"/>
          <w:szCs w:val="22"/>
          <w:lang w:val="id-ID"/>
        </w:rPr>
        <w:t>Mempromosikan daur ulang global dalam industri label berperekat</w:t>
      </w:r>
    </w:p>
    <w:p w14:paraId="4938D98E" w14:textId="77777777" w:rsidR="005D3862" w:rsidRPr="002E51B4" w:rsidRDefault="005D3862" w:rsidP="006E1C8A">
      <w:pPr>
        <w:pStyle w:val="Standard12pt"/>
        <w:spacing w:line="276" w:lineRule="auto"/>
        <w:jc w:val="left"/>
        <w:rPr>
          <w:rFonts w:cs="Segoe UI"/>
          <w:sz w:val="22"/>
          <w:szCs w:val="22"/>
          <w:lang w:val="id-ID"/>
        </w:rPr>
      </w:pPr>
    </w:p>
    <w:p w14:paraId="24FEF83A" w14:textId="7B31A363" w:rsidR="006E1C8A" w:rsidRPr="002E51B4" w:rsidRDefault="00A8006B" w:rsidP="006E1C8A">
      <w:pPr>
        <w:pStyle w:val="Heading1"/>
        <w:spacing w:line="240" w:lineRule="auto"/>
        <w:rPr>
          <w:rFonts w:cs="Segoe UI"/>
          <w:sz w:val="32"/>
          <w:lang w:val="id-ID"/>
        </w:rPr>
      </w:pPr>
      <w:r w:rsidRPr="002E51B4">
        <w:rPr>
          <w:rFonts w:cs="Segoe UI"/>
          <w:sz w:val="32"/>
          <w:lang w:val="id-ID"/>
        </w:rPr>
        <w:t>Henkel Adhesive Technologies bergabung dengan konsorsium label berkelanjutan CELAB</w:t>
      </w:r>
    </w:p>
    <w:p w14:paraId="6485822A" w14:textId="77777777" w:rsidR="006E1C8A" w:rsidRPr="002E51B4" w:rsidRDefault="006E1C8A" w:rsidP="006E1C8A">
      <w:pPr>
        <w:spacing w:before="120" w:line="240" w:lineRule="auto"/>
        <w:contextualSpacing/>
        <w:rPr>
          <w:rFonts w:cs="Segoe UI"/>
          <w:b/>
          <w:sz w:val="24"/>
          <w:lang w:val="id-ID"/>
        </w:rPr>
      </w:pPr>
    </w:p>
    <w:p w14:paraId="24126806" w14:textId="77777777" w:rsidR="00A8006B" w:rsidRPr="002E51B4" w:rsidRDefault="00A8006B" w:rsidP="00A8006B">
      <w:pPr>
        <w:tabs>
          <w:tab w:val="left" w:pos="2863"/>
        </w:tabs>
        <w:contextualSpacing/>
        <w:rPr>
          <w:rFonts w:cs="Segoe UI"/>
          <w:szCs w:val="22"/>
          <w:lang w:val="id-ID"/>
        </w:rPr>
      </w:pPr>
      <w:r w:rsidRPr="002E51B4">
        <w:rPr>
          <w:rFonts w:cs="Segoe UI"/>
          <w:szCs w:val="22"/>
          <w:lang w:val="id-ID"/>
        </w:rPr>
        <w:t>Düsseldorf, Jerman - Henkel Adhesive Technologies, pemasok terkemuka solusi berdampak tinggi untuk perekat, sealant, dan pelapis fungsional, telah bergabung dengan konsorsium global menuju Ekonomi Sirkuler untuk Label (CELAB). Konsorsium ini berdedikasi untuk menciptakan industri pelabelan perekat diri yang lebih berkelanjutan. Organisasi ini menyatukan perusahaan di seluruh matriks dan rantai nilai industri lapisan, bekerja sama untuk mengatasi perbedaan yang luas dalam proses produksi dan kemampuan daur ulang di pasar yang berbeda.</w:t>
      </w:r>
    </w:p>
    <w:p w14:paraId="712D6566" w14:textId="77777777" w:rsidR="00A8006B" w:rsidRPr="002E51B4" w:rsidRDefault="00A8006B" w:rsidP="00A8006B">
      <w:pPr>
        <w:tabs>
          <w:tab w:val="left" w:pos="2863"/>
        </w:tabs>
        <w:contextualSpacing/>
        <w:rPr>
          <w:rFonts w:cs="Segoe UI"/>
          <w:szCs w:val="22"/>
          <w:lang w:val="id-ID"/>
        </w:rPr>
      </w:pPr>
    </w:p>
    <w:p w14:paraId="7597F53C" w14:textId="77777777" w:rsidR="00A8006B" w:rsidRPr="002E51B4" w:rsidRDefault="00A8006B" w:rsidP="00A8006B">
      <w:pPr>
        <w:tabs>
          <w:tab w:val="left" w:pos="2863"/>
        </w:tabs>
        <w:contextualSpacing/>
        <w:rPr>
          <w:rFonts w:cs="Segoe UI"/>
          <w:szCs w:val="22"/>
          <w:lang w:val="id-ID"/>
        </w:rPr>
      </w:pPr>
      <w:r w:rsidRPr="002E51B4">
        <w:rPr>
          <w:rFonts w:cs="Segoe UI"/>
          <w:szCs w:val="22"/>
          <w:lang w:val="id-ID"/>
        </w:rPr>
        <w:t>Dengan CELAB, Henkel bergabung dengan perusahaan terkemuka lainnya untuk memfasilitasi kolaborasi di tingkat global, mendorong inisiatif regional, dan menemukan serta mendorong adopsi universal dari praktik terbaik industri.</w:t>
      </w:r>
    </w:p>
    <w:p w14:paraId="61A7F050" w14:textId="77777777" w:rsidR="00A8006B" w:rsidRPr="002E51B4" w:rsidRDefault="00A8006B" w:rsidP="00A8006B">
      <w:pPr>
        <w:tabs>
          <w:tab w:val="left" w:pos="2863"/>
        </w:tabs>
        <w:contextualSpacing/>
        <w:rPr>
          <w:rFonts w:cs="Segoe UI"/>
          <w:szCs w:val="22"/>
          <w:lang w:val="id-ID"/>
        </w:rPr>
      </w:pPr>
    </w:p>
    <w:p w14:paraId="02BB0E19" w14:textId="45FCC574" w:rsidR="00A8006B" w:rsidRPr="002E51B4" w:rsidRDefault="00A8006B" w:rsidP="00A8006B">
      <w:pPr>
        <w:tabs>
          <w:tab w:val="left" w:pos="2863"/>
        </w:tabs>
        <w:contextualSpacing/>
        <w:rPr>
          <w:rFonts w:cs="Segoe UI"/>
          <w:szCs w:val="22"/>
          <w:lang w:val="id-ID"/>
        </w:rPr>
      </w:pPr>
      <w:r w:rsidRPr="002E51B4">
        <w:rPr>
          <w:rFonts w:cs="Segoe UI"/>
          <w:szCs w:val="22"/>
          <w:lang w:val="id-ID"/>
        </w:rPr>
        <w:t>“Untuk benar-benar memikirkan kembali pengemasan dan menciptakan ekonomi melingkar yang layak, kita semua harus bekerja sama di seluruh rangkaian nilai,” kata Brian Lawrence, Direktur Pengembangan Bisnis di Henkel. “Inilah mengapa kami menjadi salah satu anggota pertama CELAB dan berharap dapat bekerja sama dengan produsen label berperekat untuk menyelaraskan dan menggunakan sumber daya global kami.”</w:t>
      </w:r>
    </w:p>
    <w:p w14:paraId="5D18912C" w14:textId="77777777" w:rsidR="00A8006B" w:rsidRPr="002E51B4" w:rsidRDefault="00A8006B" w:rsidP="00A8006B">
      <w:pPr>
        <w:tabs>
          <w:tab w:val="left" w:pos="2863"/>
        </w:tabs>
        <w:contextualSpacing/>
        <w:rPr>
          <w:rFonts w:cs="Segoe UI"/>
          <w:szCs w:val="22"/>
          <w:lang w:val="id-ID"/>
        </w:rPr>
      </w:pPr>
    </w:p>
    <w:p w14:paraId="128638C1" w14:textId="77777777" w:rsidR="00A8006B" w:rsidRPr="002E51B4" w:rsidRDefault="00A8006B" w:rsidP="00A8006B">
      <w:pPr>
        <w:tabs>
          <w:tab w:val="left" w:pos="2863"/>
        </w:tabs>
        <w:contextualSpacing/>
        <w:rPr>
          <w:rFonts w:cs="Segoe UI"/>
          <w:szCs w:val="22"/>
          <w:lang w:val="id-ID"/>
        </w:rPr>
      </w:pPr>
      <w:r w:rsidRPr="002E51B4">
        <w:rPr>
          <w:rFonts w:cs="Segoe UI"/>
          <w:szCs w:val="22"/>
          <w:lang w:val="id-ID"/>
        </w:rPr>
        <w:t>CELAB akan bekerja untuk meningkatkan pendidikan dan fokus pada opsi regional untuk mempromosikan daur ulang bahan untuk semua komponen guna meningkatkan keberlanjutan produk.</w:t>
      </w:r>
    </w:p>
    <w:p w14:paraId="423C0095" w14:textId="77777777" w:rsidR="00A8006B" w:rsidRPr="002E51B4" w:rsidRDefault="00A8006B" w:rsidP="00A8006B">
      <w:pPr>
        <w:tabs>
          <w:tab w:val="left" w:pos="2863"/>
        </w:tabs>
        <w:contextualSpacing/>
        <w:rPr>
          <w:rFonts w:cs="Segoe UI"/>
          <w:szCs w:val="22"/>
          <w:lang w:val="id-ID"/>
        </w:rPr>
      </w:pPr>
    </w:p>
    <w:p w14:paraId="75A82CD6" w14:textId="12EF1E03" w:rsidR="006E1C8A" w:rsidRPr="002E51B4" w:rsidRDefault="00A8006B" w:rsidP="00A8006B">
      <w:pPr>
        <w:tabs>
          <w:tab w:val="left" w:pos="2863"/>
        </w:tabs>
        <w:contextualSpacing/>
        <w:rPr>
          <w:rFonts w:cs="Segoe UI"/>
          <w:szCs w:val="22"/>
          <w:lang w:val="id-ID"/>
        </w:rPr>
      </w:pPr>
      <w:r w:rsidRPr="002E51B4">
        <w:rPr>
          <w:rFonts w:cs="Segoe UI"/>
          <w:szCs w:val="22"/>
          <w:lang w:val="id-ID"/>
        </w:rPr>
        <w:t xml:space="preserve">“Diperlukan konsorsium yang berfokus secara global untuk mengembangkan solusi daur ulang,” kata Paul Nathanson, Kepala Sekolah Senior di Bracewell LLP dan juru bicara CELAB. “Merek sangat ingin mengomunikasikan komitmen mereka terhadap keberlanjutan sebagai tanggapan atas permintaan konsumen untuk mengurangi jejak karbon mereka. Dengan peningkatan kemampuan daur ulang yang secara bertahap muncul dari pemasok, produsen, </w:t>
      </w:r>
      <w:r w:rsidRPr="002E51B4">
        <w:rPr>
          <w:rFonts w:cs="Segoe UI"/>
          <w:szCs w:val="22"/>
          <w:lang w:val="id-ID"/>
        </w:rPr>
        <w:lastRenderedPageBreak/>
        <w:t>pengelolaan limbah, pendaur ulang bahan kimia, dan lainnya, kami melihat peluang besar untuk memfasilitasi kolaborasi dengan mitra di seluruh rantai nilai industri kami. ”</w:t>
      </w:r>
    </w:p>
    <w:p w14:paraId="4FCD1776" w14:textId="77777777" w:rsidR="006E1C8A" w:rsidRPr="002E51B4" w:rsidRDefault="006E1C8A" w:rsidP="006E1C8A">
      <w:pPr>
        <w:tabs>
          <w:tab w:val="left" w:pos="2863"/>
        </w:tabs>
        <w:contextualSpacing/>
        <w:rPr>
          <w:rFonts w:cs="Segoe UI"/>
          <w:szCs w:val="22"/>
          <w:lang w:val="id-ID"/>
        </w:rPr>
      </w:pPr>
    </w:p>
    <w:p w14:paraId="0B95BBE5" w14:textId="77777777" w:rsidR="00A8006B" w:rsidRPr="002E51B4" w:rsidRDefault="00A8006B" w:rsidP="00A8006B">
      <w:pPr>
        <w:tabs>
          <w:tab w:val="left" w:pos="2863"/>
        </w:tabs>
        <w:contextualSpacing/>
        <w:rPr>
          <w:rFonts w:cs="Segoe UI"/>
          <w:szCs w:val="22"/>
          <w:lang w:val="id-ID"/>
        </w:rPr>
      </w:pPr>
      <w:r w:rsidRPr="002E51B4">
        <w:rPr>
          <w:rFonts w:cs="Segoe UI"/>
          <w:szCs w:val="22"/>
          <w:lang w:val="id-ID"/>
        </w:rPr>
        <w:t>Dengan grup regional di Eropa dan Amerika Utara, CELAB akan menangani variasi yang luas dalam proses produksi dan kemampuan daur ulang di pasar yang berbeda. Aliran kerja yang berbeda akan menangani daur ulang matriks dan lapisan rilis, termasuk menganalisis masalah teknis, mempromosikan jaringan daur ulang, berinteraksi dengan regulator pemerintah, dan mendidik industri dan publik.</w:t>
      </w:r>
    </w:p>
    <w:p w14:paraId="0A55F120" w14:textId="77777777" w:rsidR="00A8006B" w:rsidRPr="002E51B4" w:rsidRDefault="00A8006B" w:rsidP="00A8006B">
      <w:pPr>
        <w:tabs>
          <w:tab w:val="left" w:pos="2863"/>
        </w:tabs>
        <w:contextualSpacing/>
        <w:rPr>
          <w:rFonts w:cs="Segoe UI"/>
          <w:szCs w:val="22"/>
          <w:lang w:val="id-ID"/>
        </w:rPr>
      </w:pPr>
    </w:p>
    <w:p w14:paraId="6DF22EDB" w14:textId="1E0FFD31" w:rsidR="007F0F63" w:rsidRPr="002E51B4" w:rsidRDefault="00A8006B" w:rsidP="00A8006B">
      <w:pPr>
        <w:tabs>
          <w:tab w:val="left" w:pos="2863"/>
        </w:tabs>
        <w:contextualSpacing/>
        <w:rPr>
          <w:rFonts w:cs="Segoe UI"/>
          <w:szCs w:val="22"/>
          <w:lang w:val="id-ID"/>
        </w:rPr>
      </w:pPr>
      <w:r w:rsidRPr="002E51B4">
        <w:rPr>
          <w:rFonts w:cs="Segoe UI"/>
          <w:szCs w:val="22"/>
          <w:lang w:val="id-ID"/>
        </w:rPr>
        <w:t>Dibuat dengan mempertimbangkan konsumen, perekat pengemasan Henkel menawarkan solusi berdampak tinggi untuk memungkinkan perusahaan barang konsumen yang bergerak cepat mencapai opsi yang efisien dan andal. Produk memberikan solusi label yang menjamin pengemasan yang aman dan berkelanjutan bagi konsumen.</w:t>
      </w:r>
    </w:p>
    <w:p w14:paraId="7EFC8788" w14:textId="77777777" w:rsidR="006E1C8A" w:rsidRPr="002E51B4" w:rsidRDefault="006E1C8A" w:rsidP="006E1C8A">
      <w:pPr>
        <w:tabs>
          <w:tab w:val="left" w:pos="2863"/>
        </w:tabs>
        <w:contextualSpacing/>
        <w:rPr>
          <w:rFonts w:cs="Segoe UI"/>
          <w:szCs w:val="22"/>
          <w:lang w:val="id-ID"/>
        </w:rPr>
      </w:pPr>
    </w:p>
    <w:p w14:paraId="38E875E7" w14:textId="77777777" w:rsidR="006E1C8A" w:rsidRPr="002E51B4" w:rsidRDefault="006E1C8A" w:rsidP="006E1C8A">
      <w:pPr>
        <w:tabs>
          <w:tab w:val="left" w:pos="2863"/>
        </w:tabs>
        <w:contextualSpacing/>
        <w:rPr>
          <w:szCs w:val="22"/>
          <w:lang w:val="id-ID"/>
        </w:rPr>
      </w:pPr>
    </w:p>
    <w:p w14:paraId="48FFDE62" w14:textId="13715CE5" w:rsidR="00084B53" w:rsidRPr="002E51B4" w:rsidRDefault="00A8006B" w:rsidP="00084B53">
      <w:pPr>
        <w:rPr>
          <w:rStyle w:val="AboutandContactHeadline"/>
          <w:lang w:val="id-ID"/>
        </w:rPr>
      </w:pPr>
      <w:r w:rsidRPr="002E51B4">
        <w:rPr>
          <w:rStyle w:val="AboutandContactHeadline"/>
          <w:lang w:val="id-ID"/>
        </w:rPr>
        <w:t>Tentang</w:t>
      </w:r>
      <w:r w:rsidR="00084B53" w:rsidRPr="002E51B4">
        <w:rPr>
          <w:rStyle w:val="AboutandContactHeadline"/>
          <w:lang w:val="id-ID"/>
        </w:rPr>
        <w:t xml:space="preserve"> Henkel</w:t>
      </w:r>
    </w:p>
    <w:p w14:paraId="1B0329AC" w14:textId="2A0F1A84" w:rsidR="00084B53" w:rsidRPr="002E51B4" w:rsidRDefault="00A8006B" w:rsidP="00084B53">
      <w:pPr>
        <w:rPr>
          <w:rStyle w:val="AboutandContactBody"/>
          <w:lang w:val="id-ID"/>
        </w:rPr>
      </w:pPr>
      <w:r w:rsidRPr="002E51B4">
        <w:rPr>
          <w:rStyle w:val="AboutandContactBody"/>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lebih dari 140 tahun. Pada 2019, Henkel melaporkan penjualan lebih dari 20 miliar euro dan menyesuaikan laba operasi lebih dari 3,2 miliar euro. Henkel mempekerjakan lebih dari 52.000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084B53" w:rsidRPr="002E51B4">
        <w:rPr>
          <w:rStyle w:val="AboutandContactBody"/>
          <w:lang w:val="id-ID"/>
        </w:rPr>
        <w:t xml:space="preserve"> </w:t>
      </w:r>
      <w:hyperlink r:id="rId12" w:history="1">
        <w:r w:rsidR="00084B53" w:rsidRPr="002E51B4">
          <w:rPr>
            <w:rStyle w:val="Hyperlink"/>
            <w:lang w:val="id-ID"/>
          </w:rPr>
          <w:t>www.henkel.com</w:t>
        </w:r>
      </w:hyperlink>
      <w:r w:rsidR="00084B53" w:rsidRPr="002E51B4">
        <w:rPr>
          <w:rStyle w:val="AboutandContactBody"/>
          <w:lang w:val="id-ID"/>
        </w:rPr>
        <w:t>.</w:t>
      </w:r>
    </w:p>
    <w:p w14:paraId="63627DAE" w14:textId="77777777" w:rsidR="00D06825" w:rsidRPr="002E51B4" w:rsidRDefault="00D06825" w:rsidP="00B422EC">
      <w:pPr>
        <w:spacing w:line="360" w:lineRule="auto"/>
        <w:rPr>
          <w:rStyle w:val="AboutandContactBody"/>
          <w:lang w:val="id-ID"/>
        </w:rPr>
      </w:pPr>
    </w:p>
    <w:p w14:paraId="547C6004" w14:textId="16C4C8BD" w:rsidR="00BF6E82" w:rsidRPr="002E51B4" w:rsidRDefault="00A8006B" w:rsidP="00BF6E82">
      <w:pPr>
        <w:rPr>
          <w:rStyle w:val="AboutandContactHeadline"/>
          <w:lang w:val="id-ID"/>
        </w:rPr>
      </w:pPr>
      <w:r w:rsidRPr="002E51B4">
        <w:rPr>
          <w:rStyle w:val="AboutandContactHeadline"/>
          <w:lang w:val="id-ID"/>
        </w:rPr>
        <w:t>Bahan foto tersedia di</w:t>
      </w:r>
      <w:r w:rsidR="00BF6E82" w:rsidRPr="002E51B4">
        <w:rPr>
          <w:rStyle w:val="AboutandContactHeadline"/>
          <w:lang w:val="id-ID"/>
        </w:rPr>
        <w:t xml:space="preserve"> </w:t>
      </w:r>
      <w:hyperlink r:id="rId13" w:history="1">
        <w:r w:rsidR="009B29B7" w:rsidRPr="002E51B4">
          <w:rPr>
            <w:rStyle w:val="Hyperlink"/>
            <w:b/>
            <w:bCs/>
            <w:lang w:val="id-ID"/>
          </w:rPr>
          <w:t>www.henkel.com/press</w:t>
        </w:r>
      </w:hyperlink>
    </w:p>
    <w:p w14:paraId="427C5132" w14:textId="77777777" w:rsidR="00BF6E82" w:rsidRPr="002E51B4" w:rsidRDefault="00BF6E82" w:rsidP="00BF6E82">
      <w:pPr>
        <w:rPr>
          <w:rStyle w:val="AboutandContactBody"/>
          <w:lang w:val="id-ID"/>
        </w:rPr>
      </w:pPr>
    </w:p>
    <w:p w14:paraId="3643B98A" w14:textId="77777777" w:rsidR="00BF6E82" w:rsidRPr="002E51B4" w:rsidRDefault="00BF6E82" w:rsidP="00BF6E82">
      <w:pPr>
        <w:rPr>
          <w:rStyle w:val="AboutandContactBody"/>
          <w:lang w:val="id-ID"/>
        </w:rPr>
      </w:pPr>
    </w:p>
    <w:p w14:paraId="4B3B551C" w14:textId="0A5FB437" w:rsidR="005A5EC2" w:rsidRPr="002E51B4" w:rsidRDefault="00A8006B" w:rsidP="005A5EC2">
      <w:pPr>
        <w:rPr>
          <w:b/>
          <w:bCs/>
          <w:sz w:val="18"/>
          <w:szCs w:val="18"/>
          <w:lang w:val="id-ID"/>
        </w:rPr>
      </w:pPr>
      <w:r w:rsidRPr="002E51B4">
        <w:rPr>
          <w:b/>
          <w:bCs/>
          <w:sz w:val="18"/>
          <w:szCs w:val="18"/>
          <w:lang w:val="id-ID"/>
        </w:rPr>
        <w:t>Kontak</w:t>
      </w:r>
    </w:p>
    <w:p w14:paraId="3E3CEE6F" w14:textId="77777777" w:rsidR="005A5EC2" w:rsidRPr="002E51B4" w:rsidRDefault="005A5EC2" w:rsidP="005A5EC2">
      <w:pPr>
        <w:autoSpaceDE w:val="0"/>
        <w:autoSpaceDN w:val="0"/>
        <w:rPr>
          <w:rFonts w:cs="Segoe UI"/>
          <w:sz w:val="18"/>
          <w:szCs w:val="18"/>
          <w:lang w:val="id-ID"/>
        </w:rPr>
      </w:pPr>
      <w:r w:rsidRPr="002E51B4">
        <w:rPr>
          <w:rFonts w:cs="Segoe UI"/>
          <w:sz w:val="18"/>
          <w:szCs w:val="18"/>
          <w:lang w:val="id-ID"/>
        </w:rPr>
        <w:t xml:space="preserve">Maggie Tan </w:t>
      </w:r>
      <w:r w:rsidRPr="002E51B4">
        <w:rPr>
          <w:rFonts w:cs="Segoe UI"/>
          <w:sz w:val="18"/>
          <w:szCs w:val="18"/>
          <w:lang w:val="id-ID"/>
        </w:rPr>
        <w:tab/>
      </w:r>
      <w:r w:rsidRPr="002E51B4">
        <w:rPr>
          <w:rFonts w:cs="Segoe UI"/>
          <w:sz w:val="18"/>
          <w:szCs w:val="18"/>
          <w:lang w:val="id-ID"/>
        </w:rPr>
        <w:tab/>
      </w:r>
      <w:r w:rsidRPr="002E51B4">
        <w:rPr>
          <w:rFonts w:cs="Segoe UI"/>
          <w:sz w:val="18"/>
          <w:szCs w:val="18"/>
          <w:lang w:val="id-ID"/>
        </w:rPr>
        <w:tab/>
      </w:r>
      <w:r w:rsidRPr="002E51B4">
        <w:rPr>
          <w:rFonts w:cs="Segoe UI"/>
          <w:sz w:val="18"/>
          <w:szCs w:val="18"/>
          <w:lang w:val="id-ID"/>
        </w:rPr>
        <w:tab/>
        <w:t xml:space="preserve"> </w:t>
      </w:r>
    </w:p>
    <w:p w14:paraId="4293FB4E" w14:textId="77777777" w:rsidR="005A5EC2" w:rsidRPr="002E51B4" w:rsidRDefault="005A5EC2" w:rsidP="005A5EC2">
      <w:pPr>
        <w:autoSpaceDE w:val="0"/>
        <w:autoSpaceDN w:val="0"/>
        <w:rPr>
          <w:rFonts w:cs="Segoe UI"/>
          <w:sz w:val="18"/>
          <w:szCs w:val="18"/>
          <w:lang w:val="id-ID"/>
        </w:rPr>
      </w:pPr>
      <w:r w:rsidRPr="002E51B4">
        <w:rPr>
          <w:rFonts w:cs="Segoe UI"/>
          <w:sz w:val="18"/>
          <w:szCs w:val="18"/>
          <w:lang w:val="id-ID"/>
        </w:rPr>
        <w:t>Henkel</w:t>
      </w:r>
      <w:r w:rsidRPr="002E51B4">
        <w:rPr>
          <w:rFonts w:cs="Segoe UI"/>
          <w:sz w:val="18"/>
          <w:szCs w:val="18"/>
          <w:lang w:val="id-ID"/>
        </w:rPr>
        <w:tab/>
      </w:r>
      <w:r w:rsidRPr="002E51B4">
        <w:rPr>
          <w:rFonts w:cs="Segoe UI"/>
          <w:sz w:val="18"/>
          <w:szCs w:val="18"/>
          <w:lang w:val="id-ID"/>
        </w:rPr>
        <w:tab/>
      </w:r>
      <w:r w:rsidRPr="002E51B4">
        <w:rPr>
          <w:rFonts w:cs="Segoe UI"/>
          <w:sz w:val="18"/>
          <w:szCs w:val="18"/>
          <w:lang w:val="id-ID"/>
        </w:rPr>
        <w:tab/>
      </w:r>
      <w:r w:rsidRPr="002E51B4">
        <w:rPr>
          <w:rFonts w:cs="Segoe UI"/>
          <w:sz w:val="18"/>
          <w:szCs w:val="18"/>
          <w:lang w:val="id-ID"/>
        </w:rPr>
        <w:tab/>
        <w:t xml:space="preserve"> </w:t>
      </w:r>
    </w:p>
    <w:p w14:paraId="421CB727" w14:textId="77777777" w:rsidR="005A5EC2" w:rsidRPr="002E51B4" w:rsidRDefault="005A5EC2" w:rsidP="005A5EC2">
      <w:pPr>
        <w:autoSpaceDE w:val="0"/>
        <w:autoSpaceDN w:val="0"/>
        <w:rPr>
          <w:rFonts w:cs="Segoe UI"/>
          <w:sz w:val="18"/>
          <w:szCs w:val="18"/>
          <w:lang w:val="id-ID"/>
        </w:rPr>
      </w:pPr>
      <w:r w:rsidRPr="002E51B4">
        <w:rPr>
          <w:rFonts w:cs="Segoe UI"/>
          <w:sz w:val="18"/>
          <w:szCs w:val="18"/>
          <w:lang w:val="id-ID"/>
        </w:rPr>
        <w:t xml:space="preserve">+65 6424 7045                                    </w:t>
      </w:r>
      <w:r w:rsidRPr="002E51B4">
        <w:rPr>
          <w:rFonts w:cs="Segoe UI"/>
          <w:sz w:val="18"/>
          <w:szCs w:val="18"/>
          <w:lang w:val="id-ID"/>
        </w:rPr>
        <w:tab/>
      </w:r>
    </w:p>
    <w:p w14:paraId="62AB2882" w14:textId="77777777" w:rsidR="005A5EC2" w:rsidRPr="002E51B4" w:rsidRDefault="004405A0" w:rsidP="005A5EC2">
      <w:pPr>
        <w:autoSpaceDE w:val="0"/>
        <w:autoSpaceDN w:val="0"/>
        <w:rPr>
          <w:sz w:val="18"/>
          <w:szCs w:val="18"/>
          <w:lang w:val="id-ID"/>
        </w:rPr>
      </w:pPr>
      <w:hyperlink r:id="rId14" w:history="1">
        <w:r w:rsidR="005A5EC2" w:rsidRPr="002E51B4">
          <w:rPr>
            <w:rFonts w:cs="Segoe UI"/>
            <w:color w:val="0000FF"/>
            <w:sz w:val="18"/>
            <w:szCs w:val="18"/>
            <w:u w:val="single"/>
            <w:lang w:val="id-ID"/>
          </w:rPr>
          <w:t>maggie.tan@henkel.com</w:t>
        </w:r>
      </w:hyperlink>
      <w:r w:rsidR="005A5EC2" w:rsidRPr="002E51B4">
        <w:rPr>
          <w:rFonts w:cs="Segoe UI"/>
          <w:sz w:val="18"/>
          <w:szCs w:val="18"/>
          <w:lang w:val="id-ID"/>
        </w:rPr>
        <w:t xml:space="preserve">                   </w:t>
      </w:r>
      <w:r w:rsidR="005A5EC2" w:rsidRPr="002E51B4">
        <w:rPr>
          <w:rFonts w:cs="Segoe UI"/>
          <w:sz w:val="18"/>
          <w:szCs w:val="18"/>
          <w:lang w:val="id-ID"/>
        </w:rPr>
        <w:tab/>
        <w:t xml:space="preserve"> </w:t>
      </w:r>
    </w:p>
    <w:p w14:paraId="5B3DFF28" w14:textId="77777777" w:rsidR="005A5EC2" w:rsidRPr="002E51B4" w:rsidRDefault="005A5EC2" w:rsidP="005A5EC2">
      <w:pPr>
        <w:tabs>
          <w:tab w:val="left" w:pos="1080"/>
          <w:tab w:val="left" w:pos="4500"/>
        </w:tabs>
        <w:rPr>
          <w:sz w:val="18"/>
          <w:lang w:val="id-ID"/>
        </w:rPr>
      </w:pPr>
      <w:r w:rsidRPr="002E51B4">
        <w:rPr>
          <w:sz w:val="18"/>
          <w:lang w:val="id-ID"/>
        </w:rPr>
        <w:tab/>
      </w:r>
    </w:p>
    <w:p w14:paraId="4156163F" w14:textId="1B9F26BE" w:rsidR="00BF6E82" w:rsidRPr="002E51B4" w:rsidRDefault="00BF6E82" w:rsidP="00BF6E82">
      <w:pPr>
        <w:rPr>
          <w:rStyle w:val="AboutandContactBody"/>
          <w:lang w:val="id-ID"/>
        </w:rPr>
      </w:pPr>
    </w:p>
    <w:p w14:paraId="37FC94E0" w14:textId="4F5A80E8" w:rsidR="000B4847" w:rsidRPr="002E51B4" w:rsidRDefault="00BF6E82" w:rsidP="001577E9">
      <w:pPr>
        <w:rPr>
          <w:rStyle w:val="AboutandContactBody"/>
          <w:lang w:val="id-ID"/>
        </w:rPr>
      </w:pPr>
      <w:r w:rsidRPr="002E51B4">
        <w:rPr>
          <w:rStyle w:val="AboutandContactBody"/>
          <w:lang w:val="id-ID"/>
        </w:rPr>
        <w:t>Henkel AG &amp; Co. K</w:t>
      </w:r>
      <w:r w:rsidR="00035A84" w:rsidRPr="002E51B4">
        <w:rPr>
          <w:rStyle w:val="AboutandContactBody"/>
          <w:lang w:val="id-ID"/>
        </w:rPr>
        <w:t>G</w:t>
      </w:r>
      <w:r w:rsidRPr="002E51B4">
        <w:rPr>
          <w:rStyle w:val="AboutandContactBody"/>
          <w:lang w:val="id-ID"/>
        </w:rPr>
        <w:t>aA</w:t>
      </w:r>
    </w:p>
    <w:p w14:paraId="3AF7B0AD" w14:textId="18180146" w:rsidR="006E1C8A" w:rsidRPr="002E51B4" w:rsidRDefault="006E1C8A" w:rsidP="000B4847">
      <w:pPr>
        <w:tabs>
          <w:tab w:val="left" w:pos="1080"/>
          <w:tab w:val="left" w:pos="4500"/>
        </w:tabs>
        <w:rPr>
          <w:rStyle w:val="AboutandContactBody"/>
          <w:lang w:val="id-ID"/>
        </w:rPr>
      </w:pPr>
    </w:p>
    <w:sectPr w:rsidR="006E1C8A" w:rsidRPr="002E51B4" w:rsidSect="00D67B0D">
      <w:headerReference w:type="even" r:id="rId15"/>
      <w:footerReference w:type="default" r:id="rId16"/>
      <w:headerReference w:type="first" r:id="rId17"/>
      <w:footerReference w:type="first" r:id="rId18"/>
      <w:pgSz w:w="11907" w:h="16840" w:code="9"/>
      <w:pgMar w:top="1701" w:right="1412" w:bottom="1701" w:left="1412"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7271" w14:textId="77777777" w:rsidR="004405A0" w:rsidRDefault="004405A0">
      <w:r>
        <w:separator/>
      </w:r>
    </w:p>
  </w:endnote>
  <w:endnote w:type="continuationSeparator" w:id="0">
    <w:p w14:paraId="0DDDCB2D" w14:textId="77777777" w:rsidR="004405A0" w:rsidRDefault="004405A0">
      <w:r>
        <w:continuationSeparator/>
      </w:r>
    </w:p>
  </w:endnote>
  <w:endnote w:type="continuationNotice" w:id="1">
    <w:p w14:paraId="6B33DE41" w14:textId="77777777" w:rsidR="004405A0" w:rsidRDefault="004405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EB6E"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A8006B">
      <w:t>2</w:t>
    </w:r>
    <w:r w:rsidRPr="00BF6E82">
      <w:fldChar w:fldCharType="end"/>
    </w:r>
    <w:r w:rsidRPr="00BF6E82">
      <w:t>/</w:t>
    </w:r>
    <w:fldSimple w:instr=" NUMPAGES  \* Arabic  \* MERGEFORMAT ">
      <w:r w:rsidR="00A8006B">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21DA" w14:textId="77777777" w:rsidR="00DB5D40" w:rsidRDefault="00DB5D40" w:rsidP="00DB5D40">
    <w:pPr>
      <w:pStyle w:val="Footer"/>
      <w:jc w:val="distribute"/>
      <w:rPr>
        <w:b/>
      </w:rPr>
    </w:pPr>
    <w:r>
      <w:rPr>
        <w:b/>
      </w:rPr>
      <w:t xml:space="preserve">      </w:t>
    </w:r>
  </w:p>
  <w:p w14:paraId="7B298D3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8006B">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8006B">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0416" w14:textId="77777777" w:rsidR="004405A0" w:rsidRDefault="004405A0">
      <w:bookmarkStart w:id="0" w:name="_Hlk47541104"/>
      <w:bookmarkEnd w:id="0"/>
      <w:r>
        <w:separator/>
      </w:r>
    </w:p>
  </w:footnote>
  <w:footnote w:type="continuationSeparator" w:id="0">
    <w:p w14:paraId="346CB780" w14:textId="77777777" w:rsidR="004405A0" w:rsidRDefault="004405A0">
      <w:r>
        <w:continuationSeparator/>
      </w:r>
    </w:p>
  </w:footnote>
  <w:footnote w:type="continuationNotice" w:id="1">
    <w:p w14:paraId="2A8367E0" w14:textId="77777777" w:rsidR="004405A0" w:rsidRDefault="004405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120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DE92" w14:textId="58A19020" w:rsidR="00CF6F33" w:rsidRPr="00EB46D9" w:rsidRDefault="005A5EC2" w:rsidP="00EB46D9">
    <w:pPr>
      <w:pStyle w:val="Header"/>
    </w:pPr>
    <w:r w:rsidRPr="002E51B4">
      <w:rPr>
        <w:lang w:val="id-ID"/>
      </w:rPr>
      <mc:AlternateContent>
        <mc:Choice Requires="wps">
          <w:drawing>
            <wp:anchor distT="0" distB="0" distL="114300" distR="114300" simplePos="0" relativeHeight="251659264" behindDoc="0" locked="1" layoutInCell="1" allowOverlap="1" wp14:anchorId="668787A9" wp14:editId="7A2696FD">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07638"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A8006B" w:rsidRPr="002E51B4">
      <w:rPr>
        <w:lang w:val="id-ID"/>
      </w:rPr>
      <w:t>Jumpa</w:t>
    </w:r>
    <w:r w:rsidR="00A8006B" w:rsidRPr="00A8006B">
      <w:t xml:space="preserve">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186"/>
    <w:rsid w:val="00006346"/>
    <w:rsid w:val="00021C67"/>
    <w:rsid w:val="00030557"/>
    <w:rsid w:val="00030F51"/>
    <w:rsid w:val="00035A84"/>
    <w:rsid w:val="00040CC9"/>
    <w:rsid w:val="00051E86"/>
    <w:rsid w:val="000575F9"/>
    <w:rsid w:val="000618FC"/>
    <w:rsid w:val="00067071"/>
    <w:rsid w:val="00080D10"/>
    <w:rsid w:val="0008357F"/>
    <w:rsid w:val="00084B53"/>
    <w:rsid w:val="000A4413"/>
    <w:rsid w:val="000B06BE"/>
    <w:rsid w:val="000B4847"/>
    <w:rsid w:val="000B695A"/>
    <w:rsid w:val="000C210A"/>
    <w:rsid w:val="000C56DD"/>
    <w:rsid w:val="000C6288"/>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C7937"/>
    <w:rsid w:val="001D1AA7"/>
    <w:rsid w:val="001D7ADF"/>
    <w:rsid w:val="001E0F71"/>
    <w:rsid w:val="001E6D05"/>
    <w:rsid w:val="001E7C28"/>
    <w:rsid w:val="001E7DDB"/>
    <w:rsid w:val="001F1BDF"/>
    <w:rsid w:val="001F7110"/>
    <w:rsid w:val="001F7E96"/>
    <w:rsid w:val="00202284"/>
    <w:rsid w:val="00202CD9"/>
    <w:rsid w:val="00206C15"/>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6DBF"/>
    <w:rsid w:val="002C252E"/>
    <w:rsid w:val="002C6773"/>
    <w:rsid w:val="002D2A3D"/>
    <w:rsid w:val="002E0B17"/>
    <w:rsid w:val="002E1A77"/>
    <w:rsid w:val="002E4FFB"/>
    <w:rsid w:val="002E51B4"/>
    <w:rsid w:val="002E7DED"/>
    <w:rsid w:val="002F7E11"/>
    <w:rsid w:val="00304087"/>
    <w:rsid w:val="00310ACD"/>
    <w:rsid w:val="0031379F"/>
    <w:rsid w:val="00320A26"/>
    <w:rsid w:val="00321344"/>
    <w:rsid w:val="00323AB5"/>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05A0"/>
    <w:rsid w:val="0044763B"/>
    <w:rsid w:val="004629B3"/>
    <w:rsid w:val="0046376E"/>
    <w:rsid w:val="0046690F"/>
    <w:rsid w:val="00466B43"/>
    <w:rsid w:val="00472640"/>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2CB5"/>
    <w:rsid w:val="00534B46"/>
    <w:rsid w:val="00540358"/>
    <w:rsid w:val="00540D47"/>
    <w:rsid w:val="00550864"/>
    <w:rsid w:val="0055571E"/>
    <w:rsid w:val="00556F67"/>
    <w:rsid w:val="005833F0"/>
    <w:rsid w:val="00586CAF"/>
    <w:rsid w:val="005873E9"/>
    <w:rsid w:val="00591180"/>
    <w:rsid w:val="0059722C"/>
    <w:rsid w:val="00597D07"/>
    <w:rsid w:val="005A3846"/>
    <w:rsid w:val="005A5EC2"/>
    <w:rsid w:val="005B6A58"/>
    <w:rsid w:val="005C7112"/>
    <w:rsid w:val="005D0561"/>
    <w:rsid w:val="005D0AD9"/>
    <w:rsid w:val="005D22F6"/>
    <w:rsid w:val="005D3862"/>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2382"/>
    <w:rsid w:val="00682643"/>
    <w:rsid w:val="00682EB9"/>
    <w:rsid w:val="0068441A"/>
    <w:rsid w:val="00686A9A"/>
    <w:rsid w:val="00690B19"/>
    <w:rsid w:val="006A0A3C"/>
    <w:rsid w:val="006A79F0"/>
    <w:rsid w:val="006B47EE"/>
    <w:rsid w:val="006B499F"/>
    <w:rsid w:val="006D4996"/>
    <w:rsid w:val="006D54AB"/>
    <w:rsid w:val="006E1C8A"/>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0CED"/>
    <w:rsid w:val="009C4D35"/>
    <w:rsid w:val="009D1522"/>
    <w:rsid w:val="009D38DE"/>
    <w:rsid w:val="009D7252"/>
    <w:rsid w:val="009E5EB4"/>
    <w:rsid w:val="00A044D6"/>
    <w:rsid w:val="00A04ADB"/>
    <w:rsid w:val="00A05BEA"/>
    <w:rsid w:val="00A11E0F"/>
    <w:rsid w:val="00A25603"/>
    <w:rsid w:val="00A26CB6"/>
    <w:rsid w:val="00A32F82"/>
    <w:rsid w:val="00A32F8B"/>
    <w:rsid w:val="00A3756F"/>
    <w:rsid w:val="00A42D6F"/>
    <w:rsid w:val="00A45A62"/>
    <w:rsid w:val="00A54AC5"/>
    <w:rsid w:val="00A55DC3"/>
    <w:rsid w:val="00A56D41"/>
    <w:rsid w:val="00A61353"/>
    <w:rsid w:val="00A66DB1"/>
    <w:rsid w:val="00A67A92"/>
    <w:rsid w:val="00A72F02"/>
    <w:rsid w:val="00A8006B"/>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53BAB"/>
    <w:rsid w:val="00B643E5"/>
    <w:rsid w:val="00B726D4"/>
    <w:rsid w:val="00B8214F"/>
    <w:rsid w:val="00B86A4F"/>
    <w:rsid w:val="00B93035"/>
    <w:rsid w:val="00B958E8"/>
    <w:rsid w:val="00B97E4A"/>
    <w:rsid w:val="00BA09B2"/>
    <w:rsid w:val="00BA5B46"/>
    <w:rsid w:val="00BC0995"/>
    <w:rsid w:val="00BE793A"/>
    <w:rsid w:val="00BF2B82"/>
    <w:rsid w:val="00BF432A"/>
    <w:rsid w:val="00BF6E82"/>
    <w:rsid w:val="00C060C7"/>
    <w:rsid w:val="00C24C17"/>
    <w:rsid w:val="00C3758F"/>
    <w:rsid w:val="00C40B88"/>
    <w:rsid w:val="00C47D87"/>
    <w:rsid w:val="00C5376E"/>
    <w:rsid w:val="00C55A4F"/>
    <w:rsid w:val="00C808A6"/>
    <w:rsid w:val="00C97091"/>
    <w:rsid w:val="00C97260"/>
    <w:rsid w:val="00CA2001"/>
    <w:rsid w:val="00CB2C1D"/>
    <w:rsid w:val="00CB5B6C"/>
    <w:rsid w:val="00CB5D06"/>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67B0D"/>
    <w:rsid w:val="00D76C7E"/>
    <w:rsid w:val="00D771DE"/>
    <w:rsid w:val="00D7776D"/>
    <w:rsid w:val="00D9293F"/>
    <w:rsid w:val="00D93598"/>
    <w:rsid w:val="00DA1E18"/>
    <w:rsid w:val="00DA2009"/>
    <w:rsid w:val="00DB05B1"/>
    <w:rsid w:val="00DB5A79"/>
    <w:rsid w:val="00DB5D40"/>
    <w:rsid w:val="00DC2465"/>
    <w:rsid w:val="00DD512E"/>
    <w:rsid w:val="00DE1177"/>
    <w:rsid w:val="00DE25B0"/>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51B25"/>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CDAEB"/>
  <w14:defaultImageDpi w14:val="0"/>
  <w15:docId w15:val="{8628F971-1DB8-407C-A4EF-A759929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UnresolvedMention1">
    <w:name w:val="Unresolved Mention1"/>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CommentText">
    <w:name w:val="annotation text"/>
    <w:basedOn w:val="Normal"/>
    <w:link w:val="CommentTextChar"/>
    <w:uiPriority w:val="99"/>
    <w:rsid w:val="006E1C8A"/>
    <w:pPr>
      <w:spacing w:line="240" w:lineRule="auto"/>
    </w:pPr>
    <w:rPr>
      <w:sz w:val="20"/>
      <w:szCs w:val="20"/>
    </w:rPr>
  </w:style>
  <w:style w:type="paragraph" w:styleId="CommentSubject">
    <w:name w:val="annotation subject"/>
    <w:basedOn w:val="CommentText"/>
    <w:next w:val="CommentText"/>
    <w:link w:val="CommentSubjectChar"/>
    <w:uiPriority w:val="99"/>
    <w:rsid w:val="006E1C8A"/>
    <w:pPr>
      <w:spacing w:line="260" w:lineRule="atLeast"/>
      <w:jc w:val="left"/>
    </w:pPr>
    <w:rPr>
      <w:rFonts w:ascii="Arial" w:hAnsi="Arial"/>
      <w:b/>
      <w:bCs/>
      <w:lang w:val="de-DE"/>
    </w:rPr>
  </w:style>
  <w:style w:type="character" w:customStyle="1" w:styleId="CommentTextChar">
    <w:name w:val="Comment Text Char"/>
    <w:basedOn w:val="DefaultParagraphFont"/>
    <w:link w:val="CommentText"/>
    <w:uiPriority w:val="99"/>
    <w:locked/>
    <w:rsid w:val="006E1C8A"/>
    <w:rPr>
      <w:rFonts w:cs="Times New Roman"/>
      <w:sz w:val="20"/>
      <w:szCs w:val="20"/>
    </w:rPr>
  </w:style>
  <w:style w:type="character" w:customStyle="1" w:styleId="CommentSubjectChar">
    <w:name w:val="Comment Subject Char"/>
    <w:basedOn w:val="CommentTextChar"/>
    <w:link w:val="CommentSubject"/>
    <w:uiPriority w:val="99"/>
    <w:locked/>
    <w:rsid w:val="006E1C8A"/>
    <w:rPr>
      <w:rFonts w:ascii="Arial" w:hAnsi="Arial" w:cs="Times New Roman"/>
      <w:b/>
      <w:bCs/>
      <w:sz w:val="20"/>
      <w:szCs w:val="20"/>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826915">
      <w:marLeft w:val="0"/>
      <w:marRight w:val="0"/>
      <w:marTop w:val="0"/>
      <w:marBottom w:val="0"/>
      <w:divBdr>
        <w:top w:val="none" w:sz="0" w:space="0" w:color="auto"/>
        <w:left w:val="none" w:sz="0" w:space="0" w:color="auto"/>
        <w:bottom w:val="none" w:sz="0" w:space="0" w:color="auto"/>
        <w:right w:val="none" w:sz="0" w:space="0" w:color="auto"/>
      </w:divBdr>
    </w:div>
    <w:div w:id="1757826916">
      <w:marLeft w:val="0"/>
      <w:marRight w:val="0"/>
      <w:marTop w:val="0"/>
      <w:marBottom w:val="0"/>
      <w:divBdr>
        <w:top w:val="none" w:sz="0" w:space="0" w:color="auto"/>
        <w:left w:val="none" w:sz="0" w:space="0" w:color="auto"/>
        <w:bottom w:val="none" w:sz="0" w:space="0" w:color="auto"/>
        <w:right w:val="none" w:sz="0" w:space="0" w:color="auto"/>
      </w:divBdr>
    </w:div>
    <w:div w:id="1757826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2C06AE36AFE194EB44D9A2A2DC4CB7B" ma:contentTypeVersion="14" ma:contentTypeDescription="Create a new document." ma:contentTypeScope="" ma:versionID="92d1ff61405fb9912c7846ad5b3ad5c6">
  <xsd:schema xmlns:xsd="http://www.w3.org/2001/XMLSchema" xmlns:xs="http://www.w3.org/2001/XMLSchema" xmlns:p="http://schemas.microsoft.com/office/2006/metadata/properties" xmlns:ns2="c17142ed-9e3f-4f5d-8e10-bfdb1b3b003b" xmlns:ns3="faeb6b9c-0e48-4013-bdaa-99ad6ca8fafb" targetNamespace="http://schemas.microsoft.com/office/2006/metadata/properties" ma:root="true" ma:fieldsID="6b4ba0a12dd4d0d98e27c0bccefbce40" ns2:_="" ns3:_="">
    <xsd:import namespace="c17142ed-9e3f-4f5d-8e10-bfdb1b3b003b"/>
    <xsd:import namespace="faeb6b9c-0e48-4013-bdaa-99ad6ca8faf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42ed-9e3f-4f5d-8e10-bfdb1b3b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6b9c-0e48-4013-bdaa-99ad6ca8fa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B3CD2A76-F83E-4EDC-9988-16309826BC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37C6A-2E7C-45D3-AF1C-D341BB9CE62C}">
  <ds:schemaRefs>
    <ds:schemaRef ds:uri="http://schemas.openxmlformats.org/officeDocument/2006/bibliography"/>
  </ds:schemaRefs>
</ds:datastoreItem>
</file>

<file path=customXml/itemProps5.xml><?xml version="1.0" encoding="utf-8"?>
<ds:datastoreItem xmlns:ds="http://schemas.openxmlformats.org/officeDocument/2006/customXml" ds:itemID="{7E83086A-A813-4934-A0F7-5BDC9D356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42ed-9e3f-4f5d-8e10-bfdb1b3b003b"/>
    <ds:schemaRef ds:uri="faeb6b9c-0e48-4013-bdaa-99ad6ca8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Henkel Adhesive Technologies joins sustainable label consortium CELAB</vt:lpstr>
    </vt:vector>
  </TitlesOfParts>
  <Company>Henkel AG &amp; Co. KGaA</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Adhesive Technologies joins sustainable label consortium CELAB</dc:title>
  <dc:subject>Promoting global recycling in self-adhesive label industry</dc:subject>
  <dc:creator>Henkel AG &amp; Co. KGaA</dc:creator>
  <cp:lastModifiedBy>Jiexi Tan</cp:lastModifiedBy>
  <cp:revision>4</cp:revision>
  <cp:lastPrinted>2016-11-16T03:11:00Z</cp:lastPrinted>
  <dcterms:created xsi:type="dcterms:W3CDTF">2021-02-18T07:57:00Z</dcterms:created>
  <dcterms:modified xsi:type="dcterms:W3CDTF">2021-04-08T07:43:00Z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0x01010042C06AE36AFE194EB44D9A2A2DC4CB7B</vt:lpwstr>
  </property>
</Properties>
</file>