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8629" w14:textId="45643787" w:rsidR="00B422EC" w:rsidRPr="00060C5D" w:rsidRDefault="00F0574A" w:rsidP="00643D8A">
      <w:pPr>
        <w:pStyle w:val="MonthDayYear"/>
        <w:rPr>
          <w:lang w:val="id-ID"/>
        </w:rPr>
      </w:pPr>
      <w:r w:rsidRPr="00060C5D">
        <w:rPr>
          <w:lang w:val="id-ID"/>
        </w:rPr>
        <w:t>18 Maret 2021</w:t>
      </w:r>
    </w:p>
    <w:p w14:paraId="78713FC7" w14:textId="77777777" w:rsidR="000C60A3" w:rsidRPr="00060C5D" w:rsidRDefault="000C60A3" w:rsidP="00643D8A">
      <w:pPr>
        <w:pStyle w:val="MonthDayYear"/>
        <w:rPr>
          <w:lang w:val="id-ID"/>
        </w:rPr>
      </w:pPr>
    </w:p>
    <w:p w14:paraId="7BCCBC8A" w14:textId="169A4AC0" w:rsidR="0041339E" w:rsidRPr="00060C5D" w:rsidRDefault="00F0574A" w:rsidP="0041339E">
      <w:pPr>
        <w:pStyle w:val="Topline"/>
        <w:rPr>
          <w:rFonts w:asciiTheme="minorHAnsi" w:hAnsiTheme="minorHAnsi" w:cs="Calibri"/>
          <w:lang w:val="id-ID"/>
        </w:rPr>
      </w:pPr>
      <w:r w:rsidRPr="00060C5D">
        <w:rPr>
          <w:rFonts w:asciiTheme="minorHAnsi" w:hAnsiTheme="minorHAnsi" w:cs="Calibri"/>
          <w:color w:val="222222"/>
          <w:lang w:val="id-ID"/>
        </w:rPr>
        <w:t xml:space="preserve">Kolaborasi untuk menghadirkan solusi </w:t>
      </w:r>
      <w:r w:rsidR="00B74C3B" w:rsidRPr="00060C5D">
        <w:rPr>
          <w:rFonts w:asciiTheme="minorHAnsi" w:hAnsiTheme="minorHAnsi" w:cs="Calibri"/>
          <w:color w:val="222222"/>
          <w:lang w:val="id-ID"/>
        </w:rPr>
        <w:t xml:space="preserve">cerdas </w:t>
      </w:r>
      <w:r w:rsidRPr="00060C5D">
        <w:rPr>
          <w:rFonts w:asciiTheme="minorHAnsi" w:hAnsiTheme="minorHAnsi" w:cs="Calibri"/>
          <w:color w:val="222222"/>
          <w:lang w:val="id-ID"/>
        </w:rPr>
        <w:t xml:space="preserve">pasca-cetak ke </w:t>
      </w:r>
      <w:r w:rsidR="00351BCE" w:rsidRPr="00060C5D">
        <w:rPr>
          <w:rFonts w:asciiTheme="minorHAnsi" w:hAnsiTheme="minorHAnsi" w:cs="Calibri"/>
          <w:color w:val="222222"/>
          <w:lang w:val="id-ID"/>
        </w:rPr>
        <w:t>proses</w:t>
      </w:r>
      <w:r w:rsidRPr="00060C5D">
        <w:rPr>
          <w:rFonts w:asciiTheme="minorHAnsi" w:hAnsiTheme="minorHAnsi" w:cs="Calibri"/>
          <w:color w:val="222222"/>
          <w:lang w:val="id-ID"/>
        </w:rPr>
        <w:t xml:space="preserve"> kerja aditif berbasis resin</w:t>
      </w:r>
      <w:r w:rsidR="001359BB" w:rsidRPr="00060C5D">
        <w:rPr>
          <w:rFonts w:asciiTheme="minorHAnsi" w:hAnsiTheme="minorHAnsi" w:cs="Calibri"/>
          <w:color w:val="222222"/>
          <w:highlight w:val="white"/>
          <w:lang w:val="id-ID"/>
        </w:rPr>
        <w:t xml:space="preserve"> </w:t>
      </w:r>
    </w:p>
    <w:p w14:paraId="7869FEAE" w14:textId="3CCFF71E" w:rsidR="001359BB" w:rsidRPr="00060C5D" w:rsidRDefault="00B74C3B" w:rsidP="009F18F0">
      <w:pPr>
        <w:tabs>
          <w:tab w:val="left" w:pos="1350"/>
        </w:tabs>
        <w:jc w:val="left"/>
        <w:rPr>
          <w:rFonts w:asciiTheme="majorHAnsi" w:hAnsiTheme="majorHAnsi" w:cs="Cambria"/>
          <w:b/>
          <w:bCs/>
          <w:sz w:val="32"/>
          <w:szCs w:val="32"/>
          <w:lang w:val="id-ID"/>
        </w:rPr>
      </w:pPr>
      <w:r w:rsidRPr="00060C5D">
        <w:rPr>
          <w:rFonts w:asciiTheme="majorHAnsi" w:hAnsiTheme="majorHAnsi" w:cs="Cambria"/>
          <w:b/>
          <w:bCs/>
          <w:sz w:val="32"/>
          <w:szCs w:val="32"/>
          <w:lang w:val="id-ID"/>
        </w:rPr>
        <w:t xml:space="preserve">Kerja sama </w:t>
      </w:r>
      <w:r w:rsidR="00F0574A" w:rsidRPr="00060C5D">
        <w:rPr>
          <w:rFonts w:asciiTheme="majorHAnsi" w:hAnsiTheme="majorHAnsi" w:cs="Cambria"/>
          <w:b/>
          <w:bCs/>
          <w:sz w:val="32"/>
          <w:szCs w:val="32"/>
          <w:lang w:val="id-ID"/>
        </w:rPr>
        <w:t>PostProcess</w:t>
      </w:r>
      <w:r w:rsidRPr="00060C5D">
        <w:rPr>
          <w:rFonts w:asciiTheme="majorHAnsi" w:hAnsiTheme="majorHAnsi" w:cs="Cambria"/>
          <w:b/>
          <w:bCs/>
          <w:sz w:val="32"/>
          <w:szCs w:val="32"/>
          <w:lang w:val="id-ID"/>
        </w:rPr>
        <w:t xml:space="preserve"> </w:t>
      </w:r>
      <w:r w:rsidR="00F0574A" w:rsidRPr="00060C5D">
        <w:rPr>
          <w:rFonts w:asciiTheme="majorHAnsi" w:hAnsiTheme="majorHAnsi" w:cs="Cambria"/>
          <w:b/>
          <w:bCs/>
          <w:sz w:val="32"/>
          <w:szCs w:val="32"/>
          <w:lang w:val="id-ID"/>
        </w:rPr>
        <w:t xml:space="preserve">dengan Henkel untuk </w:t>
      </w:r>
      <w:r w:rsidRPr="00060C5D">
        <w:rPr>
          <w:rFonts w:asciiTheme="majorHAnsi" w:hAnsiTheme="majorHAnsi" w:cs="Cambria"/>
          <w:b/>
          <w:bCs/>
          <w:sz w:val="32"/>
          <w:szCs w:val="32"/>
          <w:lang w:val="id-ID"/>
        </w:rPr>
        <w:t>mengoptimalkan proses kerja</w:t>
      </w:r>
      <w:r w:rsidR="00F0574A" w:rsidRPr="00060C5D">
        <w:rPr>
          <w:rFonts w:asciiTheme="majorHAnsi" w:hAnsiTheme="majorHAnsi" w:cs="Cambria"/>
          <w:b/>
          <w:bCs/>
          <w:sz w:val="32"/>
          <w:szCs w:val="32"/>
          <w:lang w:val="id-ID"/>
        </w:rPr>
        <w:t xml:space="preserve"> melalui pasca-</w:t>
      </w:r>
      <w:r w:rsidRPr="00060C5D">
        <w:rPr>
          <w:rFonts w:asciiTheme="majorHAnsi" w:hAnsiTheme="majorHAnsi" w:cs="Cambria"/>
          <w:b/>
          <w:bCs/>
          <w:sz w:val="32"/>
          <w:szCs w:val="32"/>
          <w:lang w:val="id-ID"/>
        </w:rPr>
        <w:t>cetak</w:t>
      </w:r>
      <w:r w:rsidR="00F12489" w:rsidRPr="00060C5D">
        <w:rPr>
          <w:rFonts w:asciiTheme="majorHAnsi" w:hAnsiTheme="majorHAnsi" w:cs="Cambria"/>
          <w:b/>
          <w:bCs/>
          <w:sz w:val="32"/>
          <w:szCs w:val="32"/>
          <w:lang w:val="id-ID"/>
        </w:rPr>
        <w:t xml:space="preserve"> otomatis</w:t>
      </w:r>
    </w:p>
    <w:p w14:paraId="155C3F7E" w14:textId="77777777" w:rsidR="0041339E" w:rsidRPr="00060C5D" w:rsidRDefault="0041339E" w:rsidP="0041339E">
      <w:pPr>
        <w:rPr>
          <w:lang w:val="id-ID"/>
        </w:rPr>
      </w:pPr>
    </w:p>
    <w:p w14:paraId="7A7479DE" w14:textId="4C4D57B5" w:rsidR="00F0574A" w:rsidRPr="00060C5D" w:rsidRDefault="00F0574A" w:rsidP="00F0574A">
      <w:pPr>
        <w:tabs>
          <w:tab w:val="left" w:pos="1350"/>
        </w:tabs>
        <w:rPr>
          <w:rFonts w:asciiTheme="minorHAnsi" w:hAnsiTheme="minorHAnsi" w:cs="Calibri"/>
          <w:szCs w:val="22"/>
          <w:lang w:val="id-ID"/>
        </w:rPr>
      </w:pPr>
      <w:r w:rsidRPr="00060C5D">
        <w:rPr>
          <w:rFonts w:asciiTheme="minorHAnsi" w:hAnsiTheme="minorHAnsi" w:cs="Calibri"/>
          <w:szCs w:val="22"/>
          <w:lang w:val="id-ID"/>
        </w:rPr>
        <w:t xml:space="preserve">Düsseldorf, Jerman - PostProcess Technologies Inc. (PostProcess), penyedia pertama dan satu-satunya solusi pasca-cetak otomatis dan cerdas untuk pencetakan 3D industri, dan Henkel, penyedia terkemuka global untuk bahan dan layanan canggih untuk manufaktur aditif, telah mengumumkan kolaborasi untuk lebih membantu perusahaan dalam merevolusi </w:t>
      </w:r>
      <w:r w:rsidR="00DF3EF0" w:rsidRPr="00060C5D">
        <w:rPr>
          <w:rFonts w:asciiTheme="minorHAnsi" w:hAnsiTheme="minorHAnsi" w:cs="Calibri"/>
          <w:szCs w:val="22"/>
          <w:lang w:val="id-ID"/>
        </w:rPr>
        <w:t>proses</w:t>
      </w:r>
      <w:r w:rsidRPr="00060C5D">
        <w:rPr>
          <w:rFonts w:asciiTheme="minorHAnsi" w:hAnsiTheme="minorHAnsi" w:cs="Calibri"/>
          <w:szCs w:val="22"/>
          <w:lang w:val="id-ID"/>
        </w:rPr>
        <w:t xml:space="preserve"> kerja pencetakan 3D resin mereka dengan pasca-</w:t>
      </w:r>
      <w:r w:rsidR="007857AF" w:rsidRPr="00060C5D">
        <w:rPr>
          <w:rFonts w:asciiTheme="minorHAnsi" w:hAnsiTheme="minorHAnsi" w:cs="Calibri"/>
          <w:szCs w:val="22"/>
          <w:lang w:val="id-ID"/>
        </w:rPr>
        <w:t>cetak</w:t>
      </w:r>
      <w:r w:rsidRPr="00060C5D">
        <w:rPr>
          <w:rFonts w:asciiTheme="minorHAnsi" w:hAnsiTheme="minorHAnsi" w:cs="Calibri"/>
          <w:szCs w:val="22"/>
          <w:lang w:val="id-ID"/>
        </w:rPr>
        <w:t xml:space="preserve"> otomatis.</w:t>
      </w:r>
    </w:p>
    <w:p w14:paraId="617422FF" w14:textId="77777777" w:rsidR="00F0574A" w:rsidRPr="00060C5D" w:rsidRDefault="00F0574A" w:rsidP="00F0574A">
      <w:pPr>
        <w:tabs>
          <w:tab w:val="left" w:pos="1350"/>
        </w:tabs>
        <w:rPr>
          <w:rFonts w:asciiTheme="minorHAnsi" w:hAnsiTheme="minorHAnsi" w:cs="Calibri"/>
          <w:szCs w:val="22"/>
          <w:lang w:val="id-ID"/>
        </w:rPr>
      </w:pPr>
    </w:p>
    <w:p w14:paraId="3F6F7976" w14:textId="17D636D7" w:rsidR="00F0574A" w:rsidRPr="00060C5D" w:rsidRDefault="00F0574A" w:rsidP="00F0574A">
      <w:pPr>
        <w:tabs>
          <w:tab w:val="left" w:pos="1350"/>
        </w:tabs>
        <w:rPr>
          <w:rFonts w:asciiTheme="minorHAnsi" w:hAnsiTheme="minorHAnsi" w:cs="Calibri"/>
          <w:szCs w:val="22"/>
          <w:lang w:val="id-ID"/>
        </w:rPr>
      </w:pPr>
      <w:r w:rsidRPr="00060C5D">
        <w:rPr>
          <w:rFonts w:asciiTheme="minorHAnsi" w:hAnsiTheme="minorHAnsi" w:cs="Calibri"/>
          <w:szCs w:val="22"/>
          <w:lang w:val="id-ID"/>
        </w:rPr>
        <w:t>Henkel, pemimpin industri dengan lebih dari 100 tahun keahlian aplikasi, mengembangkan dan mengkomersialkan solusi baru di bawah merek Loctite, memungkinkan aplikasi pe</w:t>
      </w:r>
      <w:r w:rsidR="00105F8F" w:rsidRPr="00060C5D">
        <w:rPr>
          <w:rFonts w:asciiTheme="minorHAnsi" w:hAnsiTheme="minorHAnsi" w:cs="Calibri"/>
          <w:szCs w:val="22"/>
          <w:lang w:val="id-ID"/>
        </w:rPr>
        <w:t>n</w:t>
      </w:r>
      <w:r w:rsidRPr="00060C5D">
        <w:rPr>
          <w:rFonts w:asciiTheme="minorHAnsi" w:hAnsiTheme="minorHAnsi" w:cs="Calibri"/>
          <w:szCs w:val="22"/>
          <w:lang w:val="id-ID"/>
        </w:rPr>
        <w:t xml:space="preserve">cetakan 3D di pasar seperti dirgantara, otomotif, teknik, dan barang konsumen dengan solusi </w:t>
      </w:r>
      <w:r w:rsidR="004D4EB8" w:rsidRPr="00060C5D">
        <w:rPr>
          <w:rFonts w:asciiTheme="minorHAnsi" w:hAnsiTheme="minorHAnsi" w:cs="Calibri"/>
          <w:szCs w:val="22"/>
          <w:lang w:val="id-ID"/>
        </w:rPr>
        <w:t>Teknik hingga</w:t>
      </w:r>
      <w:r w:rsidRPr="00060C5D">
        <w:rPr>
          <w:rFonts w:asciiTheme="minorHAnsi" w:hAnsiTheme="minorHAnsi" w:cs="Calibri"/>
          <w:szCs w:val="22"/>
          <w:lang w:val="id-ID"/>
        </w:rPr>
        <w:t xml:space="preserve"> </w:t>
      </w:r>
      <w:r w:rsidR="0026652E" w:rsidRPr="00060C5D">
        <w:rPr>
          <w:rFonts w:asciiTheme="minorHAnsi" w:hAnsiTheme="minorHAnsi" w:cs="Calibri"/>
          <w:szCs w:val="22"/>
          <w:lang w:val="id-ID"/>
        </w:rPr>
        <w:t>end-to-end</w:t>
      </w:r>
      <w:r w:rsidRPr="00060C5D">
        <w:rPr>
          <w:rFonts w:asciiTheme="minorHAnsi" w:hAnsiTheme="minorHAnsi" w:cs="Calibri"/>
          <w:szCs w:val="22"/>
          <w:lang w:val="id-ID"/>
        </w:rPr>
        <w:t xml:space="preserve">. Didedikasikan untuk mengubah kebutuhan unik menjadi proses manufaktur yang dapat diskalakan, Loctite akan dapat melayani klien dengan lebih baik dengan menawarkan solusi pembersih yang lebih tervalidasi untuk resin pencetakan 3D-nya. Ini diaktifkan oleh alat </w:t>
      </w:r>
      <w:r w:rsidR="00DF3EF0" w:rsidRPr="00060C5D">
        <w:rPr>
          <w:rFonts w:asciiTheme="minorHAnsi" w:hAnsiTheme="minorHAnsi" w:cs="Calibri"/>
          <w:szCs w:val="22"/>
          <w:lang w:val="id-ID"/>
        </w:rPr>
        <w:t xml:space="preserve">dari Loctite yaitu </w:t>
      </w:r>
      <w:r w:rsidRPr="00060C5D">
        <w:rPr>
          <w:rFonts w:asciiTheme="minorHAnsi" w:hAnsiTheme="minorHAnsi" w:cs="Calibri"/>
          <w:szCs w:val="22"/>
          <w:lang w:val="id-ID"/>
        </w:rPr>
        <w:t xml:space="preserve">3D </w:t>
      </w:r>
      <w:r w:rsidR="00DF3EF0" w:rsidRPr="00060C5D">
        <w:rPr>
          <w:rFonts w:asciiTheme="minorHAnsi" w:hAnsiTheme="minorHAnsi" w:cs="Calibri"/>
          <w:szCs w:val="22"/>
          <w:lang w:val="id-ID"/>
        </w:rPr>
        <w:t>Printing Workflow</w:t>
      </w:r>
      <w:r w:rsidRPr="00060C5D">
        <w:rPr>
          <w:rFonts w:asciiTheme="minorHAnsi" w:hAnsiTheme="minorHAnsi" w:cs="Calibri"/>
          <w:szCs w:val="22"/>
          <w:lang w:val="id-ID"/>
        </w:rPr>
        <w:t xml:space="preserve">, yang mendokumentasikan setelan cetak serta setelan pembersihan dan perawatan pasca yang diperlukan untuk memenuhi properti material yang ditentukan. Selain itu, kemitraan yang berkelanjutan ini akan menguntungkan </w:t>
      </w:r>
      <w:r w:rsidR="00C028E4" w:rsidRPr="00060C5D">
        <w:rPr>
          <w:rFonts w:asciiTheme="minorHAnsi" w:hAnsiTheme="minorHAnsi" w:cs="Calibri"/>
          <w:szCs w:val="22"/>
          <w:lang w:val="id-ID"/>
        </w:rPr>
        <w:t>proses</w:t>
      </w:r>
      <w:r w:rsidRPr="00060C5D">
        <w:rPr>
          <w:rFonts w:asciiTheme="minorHAnsi" w:hAnsiTheme="minorHAnsi" w:cs="Calibri"/>
          <w:szCs w:val="22"/>
          <w:lang w:val="id-ID"/>
        </w:rPr>
        <w:t xml:space="preserve"> kerja di masa depan karena kedua perusahaan terus mengembangkan bahan dan teknologi mutakhir untuk pencetakan 3D photopolymer.</w:t>
      </w:r>
    </w:p>
    <w:p w14:paraId="32938221" w14:textId="77777777" w:rsidR="00F0574A" w:rsidRPr="00060C5D" w:rsidRDefault="00F0574A" w:rsidP="00F0574A">
      <w:pPr>
        <w:tabs>
          <w:tab w:val="left" w:pos="1350"/>
        </w:tabs>
        <w:rPr>
          <w:rFonts w:asciiTheme="minorHAnsi" w:hAnsiTheme="minorHAnsi" w:cs="Calibri"/>
          <w:szCs w:val="22"/>
          <w:lang w:val="id-ID"/>
        </w:rPr>
      </w:pPr>
    </w:p>
    <w:p w14:paraId="5FF3F2CB" w14:textId="3B5D5D50" w:rsidR="00F0574A" w:rsidRPr="00060C5D" w:rsidRDefault="00F0574A" w:rsidP="00F0574A">
      <w:pPr>
        <w:tabs>
          <w:tab w:val="left" w:pos="1350"/>
        </w:tabs>
        <w:rPr>
          <w:rFonts w:asciiTheme="minorHAnsi" w:hAnsiTheme="minorHAnsi" w:cs="Calibri"/>
          <w:szCs w:val="22"/>
          <w:lang w:val="id-ID"/>
        </w:rPr>
      </w:pPr>
      <w:r w:rsidRPr="00060C5D">
        <w:rPr>
          <w:rFonts w:asciiTheme="minorHAnsi" w:hAnsiTheme="minorHAnsi" w:cs="Calibri"/>
          <w:szCs w:val="22"/>
          <w:lang w:val="id-ID"/>
        </w:rPr>
        <w:t>“Kami senang dapat berkolaborasi dengan PostProcess karena mereka menawarkan solusi industri untuk pembersihan pasca resin photopolymer 3D,” jelas Sam Bail, Kepala Program Kemitraan dan Penjualan Pe</w:t>
      </w:r>
      <w:r w:rsidR="00DA1F2A" w:rsidRPr="00060C5D">
        <w:rPr>
          <w:rFonts w:asciiTheme="minorHAnsi" w:hAnsiTheme="minorHAnsi" w:cs="Calibri"/>
          <w:szCs w:val="22"/>
          <w:lang w:val="id-ID"/>
        </w:rPr>
        <w:t>r</w:t>
      </w:r>
      <w:r w:rsidRPr="00060C5D">
        <w:rPr>
          <w:rFonts w:asciiTheme="minorHAnsi" w:hAnsiTheme="minorHAnsi" w:cs="Calibri"/>
          <w:szCs w:val="22"/>
          <w:lang w:val="id-ID"/>
        </w:rPr>
        <w:t xml:space="preserve">cetakan 3D di Henkel. “Pembersihan sebagian dan kompatibilitas bahan kimia adalah langkah penting untuk mencapai kinerja material yang dapat diulang sebagai bagian dari validasi </w:t>
      </w:r>
      <w:r w:rsidR="00CB5F73" w:rsidRPr="00060C5D">
        <w:rPr>
          <w:rFonts w:asciiTheme="minorHAnsi" w:hAnsiTheme="minorHAnsi" w:cs="Calibri"/>
          <w:szCs w:val="22"/>
          <w:lang w:val="id-ID"/>
        </w:rPr>
        <w:t>proses</w:t>
      </w:r>
      <w:r w:rsidRPr="00060C5D">
        <w:rPr>
          <w:rFonts w:asciiTheme="minorHAnsi" w:hAnsiTheme="minorHAnsi" w:cs="Calibri"/>
          <w:szCs w:val="22"/>
          <w:lang w:val="id-ID"/>
        </w:rPr>
        <w:t xml:space="preserve"> kerja Henkel.”</w:t>
      </w:r>
    </w:p>
    <w:p w14:paraId="2CB6488A" w14:textId="77777777" w:rsidR="00F0574A" w:rsidRPr="00060C5D" w:rsidRDefault="00F0574A" w:rsidP="00F0574A">
      <w:pPr>
        <w:tabs>
          <w:tab w:val="left" w:pos="1350"/>
        </w:tabs>
        <w:rPr>
          <w:rFonts w:asciiTheme="minorHAnsi" w:hAnsiTheme="minorHAnsi" w:cs="Calibri"/>
          <w:szCs w:val="22"/>
          <w:lang w:val="id-ID"/>
        </w:rPr>
      </w:pPr>
    </w:p>
    <w:p w14:paraId="68099419" w14:textId="667D9D2D" w:rsidR="00F0574A" w:rsidRPr="00060C5D" w:rsidRDefault="00F0574A" w:rsidP="00F0574A">
      <w:pPr>
        <w:tabs>
          <w:tab w:val="left" w:pos="1350"/>
        </w:tabs>
        <w:rPr>
          <w:rFonts w:asciiTheme="minorHAnsi" w:hAnsiTheme="minorHAnsi" w:cs="Calibri"/>
          <w:szCs w:val="22"/>
          <w:lang w:val="id-ID"/>
        </w:rPr>
      </w:pPr>
      <w:r w:rsidRPr="00060C5D">
        <w:rPr>
          <w:rFonts w:asciiTheme="minorHAnsi" w:hAnsiTheme="minorHAnsi" w:cs="Calibri"/>
          <w:szCs w:val="22"/>
          <w:lang w:val="id-ID"/>
        </w:rPr>
        <w:lastRenderedPageBreak/>
        <w:t xml:space="preserve">“Sangat menarik bagi kami untuk bekerja sama dengan merek terkenal di bidang manufaktur aditif,” kata Jeff Mize, CEO, di PostProcess. “Sama seperti Henkel, PostProcess tidak hanya memperhatikan satu aspek dari proses aditif, tetapi juga seluruh </w:t>
      </w:r>
      <w:r w:rsidR="000D5A72" w:rsidRPr="00060C5D">
        <w:rPr>
          <w:rFonts w:asciiTheme="minorHAnsi" w:hAnsiTheme="minorHAnsi" w:cs="Calibri"/>
          <w:szCs w:val="22"/>
          <w:lang w:val="id-ID"/>
        </w:rPr>
        <w:t>proses</w:t>
      </w:r>
      <w:r w:rsidRPr="00060C5D">
        <w:rPr>
          <w:rFonts w:asciiTheme="minorHAnsi" w:hAnsiTheme="minorHAnsi" w:cs="Calibri"/>
          <w:szCs w:val="22"/>
          <w:lang w:val="id-ID"/>
        </w:rPr>
        <w:t xml:space="preserve"> kerja </w:t>
      </w:r>
      <w:r w:rsidR="00211532" w:rsidRPr="00060C5D">
        <w:rPr>
          <w:rFonts w:asciiTheme="minorHAnsi" w:hAnsiTheme="minorHAnsi" w:cs="Calibri"/>
          <w:szCs w:val="22"/>
          <w:lang w:val="id-ID"/>
        </w:rPr>
        <w:t>hingga end-to-end</w:t>
      </w:r>
      <w:r w:rsidRPr="00060C5D">
        <w:rPr>
          <w:rFonts w:asciiTheme="minorHAnsi" w:hAnsiTheme="minorHAnsi" w:cs="Calibri"/>
          <w:szCs w:val="22"/>
          <w:lang w:val="id-ID"/>
        </w:rPr>
        <w:t xml:space="preserve">. Kami berharap dapat memungkinkan pengembangan bahan resin masa depan </w:t>
      </w:r>
      <w:r w:rsidR="000E7C51" w:rsidRPr="00060C5D">
        <w:rPr>
          <w:rFonts w:asciiTheme="minorHAnsi" w:hAnsiTheme="minorHAnsi" w:cs="Calibri"/>
          <w:szCs w:val="22"/>
          <w:lang w:val="id-ID"/>
        </w:rPr>
        <w:t xml:space="preserve">dari </w:t>
      </w:r>
      <w:r w:rsidRPr="00060C5D">
        <w:rPr>
          <w:rFonts w:asciiTheme="minorHAnsi" w:hAnsiTheme="minorHAnsi" w:cs="Calibri"/>
          <w:szCs w:val="22"/>
          <w:lang w:val="id-ID"/>
        </w:rPr>
        <w:t xml:space="preserve">Henkel dengan solusi pasca-cetak otomatis yang sesuai </w:t>
      </w:r>
      <w:r w:rsidR="00146BCA" w:rsidRPr="00060C5D">
        <w:rPr>
          <w:rFonts w:asciiTheme="minorHAnsi" w:hAnsiTheme="minorHAnsi" w:cs="Calibri"/>
          <w:szCs w:val="22"/>
          <w:lang w:val="id-ID"/>
        </w:rPr>
        <w:t>kebutuhan sehingga</w:t>
      </w:r>
      <w:r w:rsidRPr="00060C5D">
        <w:rPr>
          <w:rFonts w:asciiTheme="minorHAnsi" w:hAnsiTheme="minorHAnsi" w:cs="Calibri"/>
          <w:szCs w:val="22"/>
          <w:lang w:val="id-ID"/>
        </w:rPr>
        <w:t xml:space="preserve"> meningkatkan produktivitas dan skalabilitas. "</w:t>
      </w:r>
    </w:p>
    <w:p w14:paraId="5283653D" w14:textId="77777777" w:rsidR="00F0574A" w:rsidRPr="00060C5D" w:rsidRDefault="00F0574A" w:rsidP="00F0574A">
      <w:pPr>
        <w:tabs>
          <w:tab w:val="left" w:pos="1350"/>
        </w:tabs>
        <w:rPr>
          <w:rFonts w:asciiTheme="minorHAnsi" w:hAnsiTheme="minorHAnsi" w:cs="Calibri"/>
          <w:szCs w:val="22"/>
          <w:lang w:val="id-ID"/>
        </w:rPr>
      </w:pPr>
    </w:p>
    <w:p w14:paraId="4DC915AA" w14:textId="075C0E30" w:rsidR="0041339E" w:rsidRPr="00060C5D" w:rsidRDefault="00F0574A" w:rsidP="000C7BFE">
      <w:pPr>
        <w:tabs>
          <w:tab w:val="left" w:pos="1350"/>
        </w:tabs>
        <w:rPr>
          <w:rFonts w:asciiTheme="minorHAnsi" w:hAnsiTheme="minorHAnsi" w:cs="Calibri"/>
          <w:szCs w:val="22"/>
          <w:lang w:val="id-ID"/>
        </w:rPr>
      </w:pPr>
      <w:r w:rsidRPr="00060C5D">
        <w:rPr>
          <w:rFonts w:asciiTheme="minorHAnsi" w:hAnsiTheme="minorHAnsi" w:cs="Calibri"/>
          <w:szCs w:val="22"/>
          <w:lang w:val="id-ID"/>
        </w:rPr>
        <w:t>PostProcess dan Henkel juga meny</w:t>
      </w:r>
      <w:r w:rsidR="00120D8D" w:rsidRPr="00060C5D">
        <w:rPr>
          <w:rFonts w:asciiTheme="minorHAnsi" w:hAnsiTheme="minorHAnsi" w:cs="Calibri"/>
          <w:szCs w:val="22"/>
          <w:lang w:val="id-ID"/>
        </w:rPr>
        <w:t>ediakan</w:t>
      </w:r>
      <w:r w:rsidRPr="00060C5D">
        <w:rPr>
          <w:rFonts w:asciiTheme="minorHAnsi" w:hAnsiTheme="minorHAnsi" w:cs="Calibri"/>
          <w:szCs w:val="22"/>
          <w:lang w:val="id-ID"/>
        </w:rPr>
        <w:t xml:space="preserve"> webinar yang saat ini direkam pada bulan Maret berjudul “Bagaimana Validasi </w:t>
      </w:r>
      <w:r w:rsidR="00A64645" w:rsidRPr="00060C5D">
        <w:rPr>
          <w:rFonts w:asciiTheme="minorHAnsi" w:hAnsiTheme="minorHAnsi" w:cs="Calibri"/>
          <w:szCs w:val="22"/>
          <w:lang w:val="id-ID"/>
        </w:rPr>
        <w:t>Proses</w:t>
      </w:r>
      <w:r w:rsidRPr="00060C5D">
        <w:rPr>
          <w:rFonts w:asciiTheme="minorHAnsi" w:hAnsiTheme="minorHAnsi" w:cs="Calibri"/>
          <w:szCs w:val="22"/>
          <w:lang w:val="id-ID"/>
        </w:rPr>
        <w:t xml:space="preserve"> Kerja Mengaktifkan Manufaktur Aditif Resin dalam Skala: Membuka Potensi dengan Bahan Kimia </w:t>
      </w:r>
      <w:r w:rsidR="00341CFB" w:rsidRPr="00060C5D">
        <w:rPr>
          <w:rFonts w:asciiTheme="minorHAnsi" w:hAnsiTheme="minorHAnsi" w:cs="Calibri"/>
          <w:szCs w:val="22"/>
          <w:lang w:val="id-ID"/>
        </w:rPr>
        <w:t xml:space="preserve">yang </w:t>
      </w:r>
      <w:r w:rsidRPr="00060C5D">
        <w:rPr>
          <w:rFonts w:asciiTheme="minorHAnsi" w:hAnsiTheme="minorHAnsi" w:cs="Calibri"/>
          <w:szCs w:val="22"/>
          <w:lang w:val="id-ID"/>
        </w:rPr>
        <w:t>Unik dan Pasca-</w:t>
      </w:r>
      <w:r w:rsidR="00E8072C" w:rsidRPr="00060C5D">
        <w:rPr>
          <w:rFonts w:asciiTheme="minorHAnsi" w:hAnsiTheme="minorHAnsi" w:cs="Calibri"/>
          <w:szCs w:val="22"/>
          <w:lang w:val="id-ID"/>
        </w:rPr>
        <w:t>cetak</w:t>
      </w:r>
      <w:r w:rsidRPr="00060C5D">
        <w:rPr>
          <w:rFonts w:asciiTheme="minorHAnsi" w:hAnsiTheme="minorHAnsi" w:cs="Calibri"/>
          <w:szCs w:val="22"/>
          <w:lang w:val="id-ID"/>
        </w:rPr>
        <w:t xml:space="preserve"> Otomatis”. Webinar ini menampilkan </w:t>
      </w:r>
      <w:r w:rsidR="00B4643E" w:rsidRPr="00060C5D">
        <w:rPr>
          <w:rFonts w:asciiTheme="minorHAnsi" w:hAnsiTheme="minorHAnsi" w:cs="Calibri"/>
          <w:szCs w:val="22"/>
          <w:lang w:val="id-ID"/>
        </w:rPr>
        <w:t xml:space="preserve">alat dari Loctite yaitu 3D Printing Workflow </w:t>
      </w:r>
      <w:r w:rsidRPr="00060C5D">
        <w:rPr>
          <w:rFonts w:asciiTheme="minorHAnsi" w:hAnsiTheme="minorHAnsi" w:cs="Calibri"/>
          <w:szCs w:val="22"/>
          <w:lang w:val="id-ID"/>
        </w:rPr>
        <w:t>secara mendalam serta mem</w:t>
      </w:r>
      <w:r w:rsidR="00BF6351" w:rsidRPr="00060C5D">
        <w:rPr>
          <w:rFonts w:asciiTheme="minorHAnsi" w:hAnsiTheme="minorHAnsi" w:cs="Calibri"/>
          <w:szCs w:val="22"/>
          <w:lang w:val="id-ID"/>
        </w:rPr>
        <w:t>bahas mengenai</w:t>
      </w:r>
      <w:r w:rsidRPr="00060C5D">
        <w:rPr>
          <w:rFonts w:asciiTheme="minorHAnsi" w:hAnsiTheme="minorHAnsi" w:cs="Calibri"/>
          <w:szCs w:val="22"/>
          <w:lang w:val="id-ID"/>
        </w:rPr>
        <w:t xml:space="preserve"> studi kasus bagi pelanggan yang menerapkan resin Loctite dan solusi penghapusan resin otomatis PostProcess. Untuk </w:t>
      </w:r>
      <w:r w:rsidR="004A4A15" w:rsidRPr="00060C5D">
        <w:rPr>
          <w:rFonts w:asciiTheme="minorHAnsi" w:hAnsiTheme="minorHAnsi" w:cs="Calibri"/>
          <w:szCs w:val="22"/>
          <w:lang w:val="id-ID"/>
        </w:rPr>
        <w:t xml:space="preserve">informasi </w:t>
      </w:r>
      <w:r w:rsidRPr="00060C5D">
        <w:rPr>
          <w:rFonts w:asciiTheme="minorHAnsi" w:hAnsiTheme="minorHAnsi" w:cs="Calibri"/>
          <w:szCs w:val="22"/>
          <w:lang w:val="id-ID"/>
        </w:rPr>
        <w:t xml:space="preserve">lebih lanjut </w:t>
      </w:r>
      <w:r w:rsidR="004A4A15" w:rsidRPr="00060C5D">
        <w:rPr>
          <w:rFonts w:asciiTheme="minorHAnsi" w:hAnsiTheme="minorHAnsi" w:cs="Calibri"/>
          <w:szCs w:val="22"/>
          <w:lang w:val="id-ID"/>
        </w:rPr>
        <w:t>seputar</w:t>
      </w:r>
      <w:r w:rsidRPr="00060C5D">
        <w:rPr>
          <w:rFonts w:asciiTheme="minorHAnsi" w:hAnsiTheme="minorHAnsi" w:cs="Calibri"/>
          <w:szCs w:val="22"/>
          <w:lang w:val="id-ID"/>
        </w:rPr>
        <w:t xml:space="preserve"> webinar</w:t>
      </w:r>
      <w:r w:rsidR="004A4A15" w:rsidRPr="00060C5D">
        <w:rPr>
          <w:rFonts w:asciiTheme="minorHAnsi" w:hAnsiTheme="minorHAnsi" w:cs="Calibri"/>
          <w:szCs w:val="22"/>
          <w:lang w:val="id-ID"/>
        </w:rPr>
        <w:t xml:space="preserve"> ini</w:t>
      </w:r>
      <w:r w:rsidRPr="00060C5D">
        <w:rPr>
          <w:rFonts w:asciiTheme="minorHAnsi" w:hAnsiTheme="minorHAnsi" w:cs="Calibri"/>
          <w:szCs w:val="22"/>
          <w:lang w:val="id-ID"/>
        </w:rPr>
        <w:t xml:space="preserve">, </w:t>
      </w:r>
      <w:r w:rsidR="004A4A15" w:rsidRPr="00060C5D">
        <w:rPr>
          <w:rFonts w:asciiTheme="minorHAnsi" w:hAnsiTheme="minorHAnsi" w:cs="Calibri"/>
          <w:szCs w:val="22"/>
          <w:lang w:val="id-ID"/>
        </w:rPr>
        <w:t>Anda dapat membuka:</w:t>
      </w:r>
      <w:r w:rsidR="001359BB" w:rsidRPr="00060C5D">
        <w:rPr>
          <w:rFonts w:asciiTheme="minorHAnsi" w:hAnsiTheme="minorHAnsi" w:cs="Calibri"/>
          <w:szCs w:val="22"/>
          <w:lang w:val="id-ID"/>
        </w:rPr>
        <w:t xml:space="preserve"> </w:t>
      </w:r>
      <w:hyperlink r:id="rId12" w:tgtFrame="_blank" w:history="1">
        <w:r w:rsidR="006712B3" w:rsidRPr="00060C5D">
          <w:rPr>
            <w:rStyle w:val="Hyperlink"/>
            <w:sz w:val="19"/>
            <w:szCs w:val="19"/>
            <w:lang w:val="id-ID"/>
          </w:rPr>
          <w:t>https://www.postprocess.com/henkel/</w:t>
        </w:r>
      </w:hyperlink>
      <w:r w:rsidR="006712B3" w:rsidRPr="00060C5D">
        <w:rPr>
          <w:sz w:val="19"/>
          <w:szCs w:val="19"/>
          <w:lang w:val="id-ID"/>
        </w:rPr>
        <w:t> </w:t>
      </w:r>
    </w:p>
    <w:p w14:paraId="7199045A" w14:textId="77777777" w:rsidR="000C7BFE" w:rsidRPr="00060C5D" w:rsidRDefault="000C7BFE" w:rsidP="000C7BFE">
      <w:pPr>
        <w:tabs>
          <w:tab w:val="left" w:pos="1350"/>
        </w:tabs>
        <w:rPr>
          <w:rFonts w:asciiTheme="minorHAnsi" w:hAnsiTheme="minorHAnsi" w:cs="Calibri"/>
          <w:szCs w:val="22"/>
          <w:lang w:val="id-ID"/>
        </w:rPr>
      </w:pPr>
    </w:p>
    <w:p w14:paraId="3650EEE7" w14:textId="3E7AE33C" w:rsidR="0041339E" w:rsidRPr="00060C5D" w:rsidRDefault="000C60A3" w:rsidP="0041339E">
      <w:pPr>
        <w:rPr>
          <w:rStyle w:val="AboutandContactHeadline"/>
          <w:lang w:val="id-ID"/>
        </w:rPr>
      </w:pPr>
      <w:r w:rsidRPr="00060C5D">
        <w:rPr>
          <w:rStyle w:val="AboutandContactHeadline"/>
          <w:lang w:val="id-ID"/>
        </w:rPr>
        <w:t>Tentang</w:t>
      </w:r>
      <w:r w:rsidR="0041339E" w:rsidRPr="00060C5D">
        <w:rPr>
          <w:rStyle w:val="AboutandContactHeadline"/>
          <w:lang w:val="id-ID"/>
        </w:rPr>
        <w:t xml:space="preserve"> Henkel</w:t>
      </w:r>
    </w:p>
    <w:p w14:paraId="59E9ED15" w14:textId="66A4FFA0" w:rsidR="0041339E" w:rsidRPr="00060C5D" w:rsidRDefault="000C60A3" w:rsidP="0041339E">
      <w:pPr>
        <w:rPr>
          <w:rStyle w:val="AboutandContactBody"/>
          <w:lang w:val="id-ID"/>
        </w:rPr>
      </w:pPr>
      <w:r w:rsidRPr="00060C5D">
        <w:rPr>
          <w:rStyle w:val="AboutandContactBody"/>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selama lebih dari 140 tahun. Pada tahun 2020, Henkel melaporkan penjualan lebih dari 19 miliar euro dan menyesuaikan laba operasi sekitar 2,6 miliar euro. Henkel mempekerjakan sekitar 53.000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41339E" w:rsidRPr="00060C5D">
        <w:rPr>
          <w:rStyle w:val="AboutandContactBody"/>
          <w:lang w:val="id-ID"/>
        </w:rPr>
        <w:t xml:space="preserve"> </w:t>
      </w:r>
      <w:hyperlink r:id="rId13" w:history="1">
        <w:r w:rsidR="0041339E" w:rsidRPr="00060C5D">
          <w:rPr>
            <w:rStyle w:val="Hyperlink"/>
            <w:lang w:val="id-ID"/>
          </w:rPr>
          <w:t>www.henkel.com</w:t>
        </w:r>
      </w:hyperlink>
      <w:r w:rsidR="0041339E" w:rsidRPr="00060C5D">
        <w:rPr>
          <w:rStyle w:val="AboutandContactBody"/>
          <w:lang w:val="id-ID"/>
        </w:rPr>
        <w:t>.</w:t>
      </w:r>
    </w:p>
    <w:p w14:paraId="62EF8439" w14:textId="77777777" w:rsidR="000C60A3" w:rsidRPr="00060C5D" w:rsidRDefault="000C60A3" w:rsidP="009E6871">
      <w:pPr>
        <w:tabs>
          <w:tab w:val="left" w:pos="1350"/>
        </w:tabs>
        <w:rPr>
          <w:rStyle w:val="AboutandContactHeadline"/>
          <w:lang w:val="id-ID"/>
        </w:rPr>
      </w:pPr>
    </w:p>
    <w:p w14:paraId="704CBB2D" w14:textId="22A58675" w:rsidR="009E6871" w:rsidRPr="00060C5D" w:rsidRDefault="000C60A3" w:rsidP="009E6871">
      <w:pPr>
        <w:tabs>
          <w:tab w:val="left" w:pos="1350"/>
        </w:tabs>
        <w:rPr>
          <w:rFonts w:asciiTheme="minorHAnsi" w:hAnsiTheme="minorHAnsi" w:cs="Calibri"/>
          <w:b/>
          <w:sz w:val="18"/>
          <w:szCs w:val="18"/>
          <w:lang w:val="id-ID"/>
        </w:rPr>
      </w:pPr>
      <w:r w:rsidRPr="00060C5D">
        <w:rPr>
          <w:rFonts w:asciiTheme="minorHAnsi" w:hAnsiTheme="minorHAnsi" w:cs="Calibri"/>
          <w:b/>
          <w:sz w:val="18"/>
          <w:szCs w:val="18"/>
          <w:lang w:val="id-ID"/>
        </w:rPr>
        <w:t>Tentang</w:t>
      </w:r>
      <w:r w:rsidR="009E6871" w:rsidRPr="00060C5D">
        <w:rPr>
          <w:rFonts w:asciiTheme="minorHAnsi" w:hAnsiTheme="minorHAnsi" w:cs="Calibri"/>
          <w:b/>
          <w:sz w:val="18"/>
          <w:szCs w:val="18"/>
          <w:lang w:val="id-ID"/>
        </w:rPr>
        <w:t xml:space="preserve"> PostProcess </w:t>
      </w:r>
    </w:p>
    <w:p w14:paraId="4AB59E90" w14:textId="7EAD11F1" w:rsidR="009E6871" w:rsidRPr="00060C5D" w:rsidRDefault="000C60A3" w:rsidP="009E6871">
      <w:pPr>
        <w:tabs>
          <w:tab w:val="left" w:pos="1350"/>
        </w:tabs>
        <w:rPr>
          <w:rFonts w:asciiTheme="minorHAnsi" w:hAnsiTheme="minorHAnsi" w:cs="Calibri"/>
          <w:sz w:val="18"/>
          <w:szCs w:val="18"/>
          <w:lang w:val="id-ID"/>
        </w:rPr>
      </w:pPr>
      <w:r w:rsidRPr="00060C5D">
        <w:rPr>
          <w:rFonts w:asciiTheme="minorHAnsi" w:hAnsiTheme="minorHAnsi" w:cs="Calibri"/>
          <w:sz w:val="18"/>
          <w:szCs w:val="18"/>
          <w:lang w:val="id-ID"/>
        </w:rPr>
        <w:t>Teknologi PostProcess adalah satu-satunya penyedia solusi pasca-cetak otomatis dan cerdas untuk komponen cetak 3D. Didirikan pada tahun 2014 dan berkantor pusat di Buffalo, NY, AS, dengan operasi internasional di Sophia-Antipolis, Prancis, PostProcess menghilangkan hambatan pada langkah ketiga pencetakan 3D - pasca-pencetakan - melalui perangkat lunak, perangkat keras, dan teknologi kimia yang menunggu paten. Solusi perusahaan mengotomatiskan proses pencetakan 3D industri yang paling umum dengan pendekatan berbasis perangkat lunak, termasuk dukungan, resin, dan penghilangan bubuk, serta finishing permukaan, menghasilkan komponen cetak 3D yang "siap pelanggan". Selain itu, sebagai inovator pasca-cetak 3D berbasis perangkat lunak, solusi PostProcess akan memungkinkan digitalisasi penuh AM melalui langkah pasca-cetak untuk lantai pabrik Industri 4.0. Portofolio PostProcess telah terbukti di semua teknologi pencetakan 3D industri utama dan digunakan setiap hari di setiap sektor manufaktur yang dapat dibayangkan.</w:t>
      </w:r>
      <w:r w:rsidR="009E6871" w:rsidRPr="00060C5D">
        <w:rPr>
          <w:rFonts w:asciiTheme="minorHAnsi" w:hAnsiTheme="minorHAnsi" w:cs="Calibri"/>
          <w:sz w:val="18"/>
          <w:szCs w:val="18"/>
          <w:lang w:val="id-ID"/>
        </w:rPr>
        <w:t xml:space="preserve"> </w:t>
      </w:r>
    </w:p>
    <w:p w14:paraId="3490E5D6" w14:textId="77777777" w:rsidR="009E6871" w:rsidRPr="00060C5D" w:rsidRDefault="009E6871" w:rsidP="0041339E">
      <w:pPr>
        <w:rPr>
          <w:rStyle w:val="AboutandContactHeadline"/>
          <w:lang w:val="id-ID"/>
        </w:rPr>
      </w:pPr>
    </w:p>
    <w:p w14:paraId="35CE0F52" w14:textId="7C81D49B" w:rsidR="0041339E" w:rsidRPr="00060C5D" w:rsidRDefault="000C60A3" w:rsidP="0041339E">
      <w:pPr>
        <w:rPr>
          <w:rStyle w:val="AboutandContactHeadline"/>
          <w:lang w:val="id-ID"/>
        </w:rPr>
      </w:pPr>
      <w:r w:rsidRPr="00060C5D">
        <w:rPr>
          <w:rStyle w:val="AboutandContactHeadline"/>
          <w:lang w:val="id-ID"/>
        </w:rPr>
        <w:t>Bahan foto tersedia di</w:t>
      </w:r>
      <w:r w:rsidR="0041339E" w:rsidRPr="00060C5D">
        <w:rPr>
          <w:rStyle w:val="AboutandContactHeadline"/>
          <w:lang w:val="id-ID"/>
        </w:rPr>
        <w:t xml:space="preserve"> </w:t>
      </w:r>
      <w:hyperlink r:id="rId14" w:history="1">
        <w:r w:rsidR="0041339E" w:rsidRPr="00060C5D">
          <w:rPr>
            <w:rStyle w:val="Hyperlink"/>
            <w:b/>
            <w:bCs/>
            <w:lang w:val="id-ID"/>
          </w:rPr>
          <w:t>www.henkel.com/press</w:t>
        </w:r>
      </w:hyperlink>
    </w:p>
    <w:p w14:paraId="3D2E88B1" w14:textId="77777777" w:rsidR="0041339E" w:rsidRPr="00060C5D" w:rsidRDefault="0041339E" w:rsidP="0041339E">
      <w:pPr>
        <w:rPr>
          <w:rStyle w:val="AboutandContactBody"/>
          <w:lang w:val="id-ID"/>
        </w:rPr>
      </w:pPr>
    </w:p>
    <w:p w14:paraId="6096135A" w14:textId="77777777" w:rsidR="000C60A3" w:rsidRPr="00060C5D" w:rsidRDefault="000C60A3" w:rsidP="0041339E">
      <w:pPr>
        <w:rPr>
          <w:rStyle w:val="AboutandContactBody"/>
          <w:lang w:val="id-ID"/>
        </w:rPr>
      </w:pPr>
    </w:p>
    <w:p w14:paraId="6E01928D" w14:textId="77777777" w:rsidR="000C7BFE" w:rsidRPr="00060C5D" w:rsidRDefault="000C7BFE">
      <w:pPr>
        <w:spacing w:line="240" w:lineRule="auto"/>
        <w:jc w:val="left"/>
        <w:rPr>
          <w:b/>
          <w:bCs/>
          <w:sz w:val="18"/>
          <w:szCs w:val="18"/>
          <w:lang w:val="id-ID"/>
        </w:rPr>
      </w:pPr>
      <w:r w:rsidRPr="00060C5D">
        <w:rPr>
          <w:b/>
          <w:bCs/>
          <w:sz w:val="18"/>
          <w:szCs w:val="18"/>
          <w:lang w:val="id-ID"/>
        </w:rPr>
        <w:br w:type="page"/>
      </w:r>
    </w:p>
    <w:p w14:paraId="144AC31B" w14:textId="6AD7A5D3" w:rsidR="00DC56B3" w:rsidRPr="00060C5D" w:rsidRDefault="000C60A3" w:rsidP="00DC56B3">
      <w:pPr>
        <w:jc w:val="left"/>
        <w:rPr>
          <w:b/>
          <w:bCs/>
          <w:sz w:val="18"/>
          <w:szCs w:val="18"/>
          <w:lang w:val="id-ID"/>
        </w:rPr>
      </w:pPr>
      <w:r w:rsidRPr="00060C5D">
        <w:rPr>
          <w:b/>
          <w:bCs/>
          <w:sz w:val="18"/>
          <w:szCs w:val="18"/>
          <w:lang w:val="id-ID"/>
        </w:rPr>
        <w:lastRenderedPageBreak/>
        <w:t>Kontak</w:t>
      </w:r>
    </w:p>
    <w:p w14:paraId="132BAC9E" w14:textId="77777777" w:rsidR="00DC56B3" w:rsidRPr="00060C5D" w:rsidRDefault="00DC56B3" w:rsidP="00DC56B3">
      <w:pPr>
        <w:autoSpaceDE w:val="0"/>
        <w:autoSpaceDN w:val="0"/>
        <w:jc w:val="left"/>
        <w:rPr>
          <w:rFonts w:cs="Segoe UI"/>
          <w:sz w:val="18"/>
          <w:szCs w:val="18"/>
          <w:lang w:val="id-ID"/>
        </w:rPr>
      </w:pPr>
      <w:r w:rsidRPr="00060C5D">
        <w:rPr>
          <w:rFonts w:cs="Segoe UI"/>
          <w:sz w:val="18"/>
          <w:szCs w:val="18"/>
          <w:lang w:val="id-ID"/>
        </w:rPr>
        <w:t>Maggie Tan</w:t>
      </w:r>
    </w:p>
    <w:p w14:paraId="0D89D9A8" w14:textId="77777777" w:rsidR="00DC56B3" w:rsidRPr="00060C5D" w:rsidRDefault="00DC56B3" w:rsidP="00DC56B3">
      <w:pPr>
        <w:autoSpaceDE w:val="0"/>
        <w:autoSpaceDN w:val="0"/>
        <w:jc w:val="left"/>
        <w:rPr>
          <w:rFonts w:cs="Segoe UI"/>
          <w:sz w:val="18"/>
          <w:szCs w:val="18"/>
          <w:lang w:val="id-ID"/>
        </w:rPr>
      </w:pPr>
      <w:r w:rsidRPr="00060C5D">
        <w:rPr>
          <w:rFonts w:cs="Segoe UI"/>
          <w:sz w:val="18"/>
          <w:szCs w:val="18"/>
          <w:lang w:val="id-ID"/>
        </w:rPr>
        <w:t>Henkel</w:t>
      </w:r>
    </w:p>
    <w:p w14:paraId="7C6FB49B" w14:textId="77777777" w:rsidR="00DC56B3" w:rsidRPr="00060C5D" w:rsidRDefault="00DC56B3" w:rsidP="00DC56B3">
      <w:pPr>
        <w:autoSpaceDE w:val="0"/>
        <w:autoSpaceDN w:val="0"/>
        <w:jc w:val="left"/>
        <w:rPr>
          <w:rFonts w:cs="Segoe UI"/>
          <w:sz w:val="18"/>
          <w:szCs w:val="18"/>
          <w:lang w:val="id-ID"/>
        </w:rPr>
      </w:pPr>
      <w:r w:rsidRPr="00060C5D">
        <w:rPr>
          <w:rFonts w:cs="Segoe UI"/>
          <w:sz w:val="18"/>
          <w:szCs w:val="18"/>
          <w:lang w:val="id-ID"/>
        </w:rPr>
        <w:t>+65 6424 7045</w:t>
      </w:r>
    </w:p>
    <w:p w14:paraId="64708F73" w14:textId="77777777" w:rsidR="00DC56B3" w:rsidRPr="00060C5D" w:rsidRDefault="002046DD" w:rsidP="00DC56B3">
      <w:pPr>
        <w:autoSpaceDE w:val="0"/>
        <w:autoSpaceDN w:val="0"/>
        <w:jc w:val="left"/>
        <w:rPr>
          <w:sz w:val="18"/>
          <w:szCs w:val="18"/>
          <w:lang w:val="id-ID"/>
        </w:rPr>
      </w:pPr>
      <w:hyperlink r:id="rId15" w:history="1">
        <w:r w:rsidR="00DC56B3" w:rsidRPr="00060C5D">
          <w:rPr>
            <w:rFonts w:cs="Segoe UI"/>
            <w:color w:val="0000FF"/>
            <w:sz w:val="18"/>
            <w:szCs w:val="18"/>
            <w:u w:val="single"/>
            <w:lang w:val="id-ID"/>
          </w:rPr>
          <w:t>maggie.tan@henkel.com</w:t>
        </w:r>
      </w:hyperlink>
    </w:p>
    <w:p w14:paraId="603D0775" w14:textId="77777777" w:rsidR="0041339E" w:rsidRPr="00060C5D" w:rsidRDefault="0041339E" w:rsidP="0041339E">
      <w:pPr>
        <w:rPr>
          <w:rStyle w:val="AboutandContactBody"/>
          <w:lang w:val="id-ID"/>
        </w:rPr>
      </w:pPr>
    </w:p>
    <w:p w14:paraId="2053F13E" w14:textId="77777777" w:rsidR="00BC61C1" w:rsidRPr="00060C5D" w:rsidRDefault="0041339E" w:rsidP="009E6871">
      <w:pPr>
        <w:tabs>
          <w:tab w:val="left" w:pos="1350"/>
        </w:tabs>
        <w:rPr>
          <w:rStyle w:val="AboutandContactBody"/>
          <w:lang w:val="id-ID"/>
        </w:rPr>
      </w:pPr>
      <w:r w:rsidRPr="00060C5D">
        <w:rPr>
          <w:rStyle w:val="AboutandContactBody"/>
          <w:lang w:val="id-ID"/>
        </w:rPr>
        <w:t>Henkel AG &amp; Co. KGaA</w:t>
      </w:r>
    </w:p>
    <w:sectPr w:rsidR="00BC61C1" w:rsidRPr="00060C5D" w:rsidSect="00DC56B3">
      <w:headerReference w:type="even" r:id="rId16"/>
      <w:footerReference w:type="default" r:id="rId17"/>
      <w:headerReference w:type="first" r:id="rId18"/>
      <w:footerReference w:type="first" r:id="rId19"/>
      <w:pgSz w:w="11907" w:h="16840" w:code="9"/>
      <w:pgMar w:top="1944" w:right="1411" w:bottom="1890"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8C753" w14:textId="77777777" w:rsidR="002046DD" w:rsidRDefault="002046DD">
      <w:r>
        <w:separator/>
      </w:r>
    </w:p>
  </w:endnote>
  <w:endnote w:type="continuationSeparator" w:id="0">
    <w:p w14:paraId="164D7C65" w14:textId="77777777" w:rsidR="002046DD" w:rsidRDefault="0020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9F0F"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8604A2">
      <w:t>2</w:t>
    </w:r>
    <w:r w:rsidRPr="00BF6E82">
      <w:fldChar w:fldCharType="end"/>
    </w:r>
    <w:r w:rsidRPr="00BF6E82">
      <w:t>/</w:t>
    </w:r>
    <w:r w:rsidR="002046DD">
      <w:fldChar w:fldCharType="begin"/>
    </w:r>
    <w:r w:rsidR="002046DD">
      <w:instrText xml:space="preserve"> NUMPAGES  \* Arabic  \* MERGEFORMAT </w:instrText>
    </w:r>
    <w:r w:rsidR="002046DD">
      <w:fldChar w:fldCharType="separate"/>
    </w:r>
    <w:r w:rsidR="008604A2">
      <w:t>3</w:t>
    </w:r>
    <w:r w:rsidR="002046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32D3" w14:textId="77777777" w:rsidR="00DB5D40" w:rsidRDefault="00DB5D40" w:rsidP="00DB5D40">
    <w:pPr>
      <w:pStyle w:val="Footer"/>
      <w:jc w:val="distribute"/>
      <w:rPr>
        <w:b/>
      </w:rPr>
    </w:pPr>
    <w:r>
      <w:rPr>
        <w:b/>
      </w:rPr>
      <w:t xml:space="preserve">      </w:t>
    </w:r>
  </w:p>
  <w:p w14:paraId="7744B4B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604A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604A2">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1ED6E" w14:textId="77777777" w:rsidR="002046DD" w:rsidRDefault="002046DD">
      <w:bookmarkStart w:id="0" w:name="_Hlk47541104"/>
      <w:bookmarkEnd w:id="0"/>
      <w:r>
        <w:separator/>
      </w:r>
    </w:p>
  </w:footnote>
  <w:footnote w:type="continuationSeparator" w:id="0">
    <w:p w14:paraId="7B7AC5A1" w14:textId="77777777" w:rsidR="002046DD" w:rsidRDefault="0020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4AC7"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61AC" w14:textId="04DEA51D" w:rsidR="00CF6F33" w:rsidRPr="00EB46D9" w:rsidRDefault="00B62327" w:rsidP="00EB46D9">
    <w:pPr>
      <w:pStyle w:val="Header"/>
    </w:pPr>
    <w:r>
      <w:rPr>
        <w:noProof/>
      </w:rPr>
      <mc:AlternateContent>
        <mc:Choice Requires="wps">
          <w:drawing>
            <wp:anchor distT="0" distB="0" distL="114300" distR="114300" simplePos="0" relativeHeight="251663360" behindDoc="0" locked="1" layoutInCell="1" allowOverlap="1" wp14:anchorId="4FBC568D" wp14:editId="03E4B235">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D600F" id="Freeform 13" o:spid="_x0000_s1026" style="position:absolute;margin-left:466.35pt;margin-top:42.55pt;width:86.45pt;height:4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F0574A" w:rsidRPr="00F0574A">
      <w:t xml:space="preserve"> </w:t>
    </w:r>
    <w:r w:rsidR="00C6184B">
      <w:rPr>
        <w:noProof/>
      </w:rPr>
      <w:t>Berita Terbaru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AA4"/>
    <w:rsid w:val="00005267"/>
    <w:rsid w:val="00006346"/>
    <w:rsid w:val="00021C67"/>
    <w:rsid w:val="00030557"/>
    <w:rsid w:val="00030F51"/>
    <w:rsid w:val="00035A84"/>
    <w:rsid w:val="00040CC9"/>
    <w:rsid w:val="00051E86"/>
    <w:rsid w:val="000575F9"/>
    <w:rsid w:val="00060C5D"/>
    <w:rsid w:val="000618FC"/>
    <w:rsid w:val="00067071"/>
    <w:rsid w:val="00080D10"/>
    <w:rsid w:val="0008357F"/>
    <w:rsid w:val="00084B53"/>
    <w:rsid w:val="000B695A"/>
    <w:rsid w:val="000C210A"/>
    <w:rsid w:val="000C56DD"/>
    <w:rsid w:val="000C60A3"/>
    <w:rsid w:val="000C7BFE"/>
    <w:rsid w:val="000D1672"/>
    <w:rsid w:val="000D5A72"/>
    <w:rsid w:val="000E2F62"/>
    <w:rsid w:val="000E38ED"/>
    <w:rsid w:val="000E7C51"/>
    <w:rsid w:val="000E7F24"/>
    <w:rsid w:val="000F03BE"/>
    <w:rsid w:val="000F1757"/>
    <w:rsid w:val="000F225B"/>
    <w:rsid w:val="000F7FAF"/>
    <w:rsid w:val="00102B65"/>
    <w:rsid w:val="00105975"/>
    <w:rsid w:val="00105F8F"/>
    <w:rsid w:val="00111F4D"/>
    <w:rsid w:val="00112A28"/>
    <w:rsid w:val="001131E8"/>
    <w:rsid w:val="00115230"/>
    <w:rsid w:val="00115B5F"/>
    <w:rsid w:val="001162B4"/>
    <w:rsid w:val="00120D8D"/>
    <w:rsid w:val="00121EBC"/>
    <w:rsid w:val="00122CBC"/>
    <w:rsid w:val="00126D4A"/>
    <w:rsid w:val="00132DA9"/>
    <w:rsid w:val="0013305B"/>
    <w:rsid w:val="00133B99"/>
    <w:rsid w:val="001359BB"/>
    <w:rsid w:val="001443BD"/>
    <w:rsid w:val="00146BCA"/>
    <w:rsid w:val="001577E9"/>
    <w:rsid w:val="00160EAD"/>
    <w:rsid w:val="0016138C"/>
    <w:rsid w:val="00165EA8"/>
    <w:rsid w:val="001731CE"/>
    <w:rsid w:val="001B64B8"/>
    <w:rsid w:val="001B7C20"/>
    <w:rsid w:val="001C0B32"/>
    <w:rsid w:val="001C307B"/>
    <w:rsid w:val="001C4BE1"/>
    <w:rsid w:val="001D7ADF"/>
    <w:rsid w:val="001E002D"/>
    <w:rsid w:val="001E0F71"/>
    <w:rsid w:val="001E6D05"/>
    <w:rsid w:val="001E7C28"/>
    <w:rsid w:val="001F15D7"/>
    <w:rsid w:val="001F1BDF"/>
    <w:rsid w:val="001F7110"/>
    <w:rsid w:val="001F7E96"/>
    <w:rsid w:val="00202284"/>
    <w:rsid w:val="002046DD"/>
    <w:rsid w:val="00206C15"/>
    <w:rsid w:val="00211532"/>
    <w:rsid w:val="00212488"/>
    <w:rsid w:val="00220628"/>
    <w:rsid w:val="002304D2"/>
    <w:rsid w:val="00234ABD"/>
    <w:rsid w:val="00236E2A"/>
    <w:rsid w:val="00236F6D"/>
    <w:rsid w:val="00237F62"/>
    <w:rsid w:val="002455E2"/>
    <w:rsid w:val="0024586A"/>
    <w:rsid w:val="00256F0C"/>
    <w:rsid w:val="00262C05"/>
    <w:rsid w:val="0026652E"/>
    <w:rsid w:val="002671D4"/>
    <w:rsid w:val="002705D6"/>
    <w:rsid w:val="00281D14"/>
    <w:rsid w:val="00282C13"/>
    <w:rsid w:val="00284797"/>
    <w:rsid w:val="002A0DF7"/>
    <w:rsid w:val="002A2975"/>
    <w:rsid w:val="002A60E0"/>
    <w:rsid w:val="002C252E"/>
    <w:rsid w:val="002C45BF"/>
    <w:rsid w:val="002C6773"/>
    <w:rsid w:val="002D2A3D"/>
    <w:rsid w:val="002D6B34"/>
    <w:rsid w:val="002E0B17"/>
    <w:rsid w:val="002E1A77"/>
    <w:rsid w:val="002E4FFB"/>
    <w:rsid w:val="002E7DED"/>
    <w:rsid w:val="002F7E11"/>
    <w:rsid w:val="00304087"/>
    <w:rsid w:val="00310ACD"/>
    <w:rsid w:val="0031379F"/>
    <w:rsid w:val="00320A26"/>
    <w:rsid w:val="00321344"/>
    <w:rsid w:val="00323AB5"/>
    <w:rsid w:val="0033451C"/>
    <w:rsid w:val="00336854"/>
    <w:rsid w:val="0034015C"/>
    <w:rsid w:val="00341CFB"/>
    <w:rsid w:val="003442F4"/>
    <w:rsid w:val="00351BCE"/>
    <w:rsid w:val="00353705"/>
    <w:rsid w:val="003562E8"/>
    <w:rsid w:val="00361C7C"/>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1339E"/>
    <w:rsid w:val="004313E7"/>
    <w:rsid w:val="0044763B"/>
    <w:rsid w:val="004611BF"/>
    <w:rsid w:val="004629B3"/>
    <w:rsid w:val="0046376E"/>
    <w:rsid w:val="0046690F"/>
    <w:rsid w:val="00472640"/>
    <w:rsid w:val="00472FEC"/>
    <w:rsid w:val="00490A03"/>
    <w:rsid w:val="00493327"/>
    <w:rsid w:val="00494DBE"/>
    <w:rsid w:val="00495CE6"/>
    <w:rsid w:val="004A323C"/>
    <w:rsid w:val="004A4A15"/>
    <w:rsid w:val="004A6D6B"/>
    <w:rsid w:val="004B54E8"/>
    <w:rsid w:val="004C4FEB"/>
    <w:rsid w:val="004C6B79"/>
    <w:rsid w:val="004D059B"/>
    <w:rsid w:val="004D4CB6"/>
    <w:rsid w:val="004D4EB8"/>
    <w:rsid w:val="004E3341"/>
    <w:rsid w:val="004F10C1"/>
    <w:rsid w:val="004F7279"/>
    <w:rsid w:val="00501869"/>
    <w:rsid w:val="00502E62"/>
    <w:rsid w:val="00503152"/>
    <w:rsid w:val="00506B8A"/>
    <w:rsid w:val="0052212B"/>
    <w:rsid w:val="00534B46"/>
    <w:rsid w:val="00540358"/>
    <w:rsid w:val="00540D47"/>
    <w:rsid w:val="0054267F"/>
    <w:rsid w:val="00550864"/>
    <w:rsid w:val="0055571E"/>
    <w:rsid w:val="00556F67"/>
    <w:rsid w:val="00581E16"/>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5F6C82"/>
    <w:rsid w:val="00607256"/>
    <w:rsid w:val="006144B1"/>
    <w:rsid w:val="006335F1"/>
    <w:rsid w:val="006345B6"/>
    <w:rsid w:val="00635712"/>
    <w:rsid w:val="00643D8A"/>
    <w:rsid w:val="00652229"/>
    <w:rsid w:val="00652793"/>
    <w:rsid w:val="0065520D"/>
    <w:rsid w:val="006626CA"/>
    <w:rsid w:val="00663487"/>
    <w:rsid w:val="006712B3"/>
    <w:rsid w:val="00672382"/>
    <w:rsid w:val="00682643"/>
    <w:rsid w:val="00682EB9"/>
    <w:rsid w:val="0068441A"/>
    <w:rsid w:val="00690B19"/>
    <w:rsid w:val="006A0A3C"/>
    <w:rsid w:val="006A79F0"/>
    <w:rsid w:val="006B47EE"/>
    <w:rsid w:val="006B499F"/>
    <w:rsid w:val="006D4996"/>
    <w:rsid w:val="006D54AB"/>
    <w:rsid w:val="006D6898"/>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6663B"/>
    <w:rsid w:val="00772188"/>
    <w:rsid w:val="007813D0"/>
    <w:rsid w:val="007857AF"/>
    <w:rsid w:val="00785993"/>
    <w:rsid w:val="007866E2"/>
    <w:rsid w:val="00786BA3"/>
    <w:rsid w:val="0079202F"/>
    <w:rsid w:val="00795AF2"/>
    <w:rsid w:val="007A2AAD"/>
    <w:rsid w:val="007A4432"/>
    <w:rsid w:val="007A784E"/>
    <w:rsid w:val="007B499C"/>
    <w:rsid w:val="007B4D4B"/>
    <w:rsid w:val="007C017C"/>
    <w:rsid w:val="007C3CC9"/>
    <w:rsid w:val="007D2A02"/>
    <w:rsid w:val="007D4419"/>
    <w:rsid w:val="007D6C5C"/>
    <w:rsid w:val="007E0E66"/>
    <w:rsid w:val="007E6EA1"/>
    <w:rsid w:val="007F0F63"/>
    <w:rsid w:val="007F2B1E"/>
    <w:rsid w:val="007F62B4"/>
    <w:rsid w:val="00801436"/>
    <w:rsid w:val="00801517"/>
    <w:rsid w:val="00811236"/>
    <w:rsid w:val="00817AE8"/>
    <w:rsid w:val="00817DE8"/>
    <w:rsid w:val="008229F5"/>
    <w:rsid w:val="0082699A"/>
    <w:rsid w:val="00833CEB"/>
    <w:rsid w:val="008356BE"/>
    <w:rsid w:val="008372D2"/>
    <w:rsid w:val="008377BC"/>
    <w:rsid w:val="00844C17"/>
    <w:rsid w:val="00847726"/>
    <w:rsid w:val="008517F9"/>
    <w:rsid w:val="00852511"/>
    <w:rsid w:val="008604A2"/>
    <w:rsid w:val="008614F1"/>
    <w:rsid w:val="008639B3"/>
    <w:rsid w:val="00863C1A"/>
    <w:rsid w:val="0086551A"/>
    <w:rsid w:val="0087142D"/>
    <w:rsid w:val="00873956"/>
    <w:rsid w:val="00880E72"/>
    <w:rsid w:val="008825EE"/>
    <w:rsid w:val="0088596E"/>
    <w:rsid w:val="00894864"/>
    <w:rsid w:val="00896448"/>
    <w:rsid w:val="0089674B"/>
    <w:rsid w:val="0089796A"/>
    <w:rsid w:val="008A2375"/>
    <w:rsid w:val="008D76C5"/>
    <w:rsid w:val="008E0AFA"/>
    <w:rsid w:val="008E75D3"/>
    <w:rsid w:val="008F125E"/>
    <w:rsid w:val="008F4D2F"/>
    <w:rsid w:val="00906292"/>
    <w:rsid w:val="00917162"/>
    <w:rsid w:val="009251CC"/>
    <w:rsid w:val="0092714E"/>
    <w:rsid w:val="00942002"/>
    <w:rsid w:val="00943089"/>
    <w:rsid w:val="00947885"/>
    <w:rsid w:val="00952168"/>
    <w:rsid w:val="009527FE"/>
    <w:rsid w:val="009739A0"/>
    <w:rsid w:val="00974F84"/>
    <w:rsid w:val="009767C7"/>
    <w:rsid w:val="0098579A"/>
    <w:rsid w:val="0099195A"/>
    <w:rsid w:val="00992A11"/>
    <w:rsid w:val="00994681"/>
    <w:rsid w:val="0099486A"/>
    <w:rsid w:val="009A0E26"/>
    <w:rsid w:val="009A0E49"/>
    <w:rsid w:val="009A16EC"/>
    <w:rsid w:val="009B29B7"/>
    <w:rsid w:val="009B3B37"/>
    <w:rsid w:val="009B7D1F"/>
    <w:rsid w:val="009C088E"/>
    <w:rsid w:val="009C4D35"/>
    <w:rsid w:val="009D1522"/>
    <w:rsid w:val="009D7252"/>
    <w:rsid w:val="009E5EB4"/>
    <w:rsid w:val="009E6871"/>
    <w:rsid w:val="009F18F0"/>
    <w:rsid w:val="00A044D6"/>
    <w:rsid w:val="00A046A3"/>
    <w:rsid w:val="00A04ADB"/>
    <w:rsid w:val="00A06A24"/>
    <w:rsid w:val="00A11E0F"/>
    <w:rsid w:val="00A26CB6"/>
    <w:rsid w:val="00A32F82"/>
    <w:rsid w:val="00A32F8B"/>
    <w:rsid w:val="00A3756F"/>
    <w:rsid w:val="00A42D6F"/>
    <w:rsid w:val="00A45A62"/>
    <w:rsid w:val="00A54AC5"/>
    <w:rsid w:val="00A55DC3"/>
    <w:rsid w:val="00A56D41"/>
    <w:rsid w:val="00A61353"/>
    <w:rsid w:val="00A64645"/>
    <w:rsid w:val="00A66DB1"/>
    <w:rsid w:val="00A67A92"/>
    <w:rsid w:val="00A87870"/>
    <w:rsid w:val="00A91A70"/>
    <w:rsid w:val="00AA1B85"/>
    <w:rsid w:val="00AB1CB6"/>
    <w:rsid w:val="00AB1D9A"/>
    <w:rsid w:val="00AD44FE"/>
    <w:rsid w:val="00AE49F1"/>
    <w:rsid w:val="00AF02E8"/>
    <w:rsid w:val="00B05CCA"/>
    <w:rsid w:val="00B05D79"/>
    <w:rsid w:val="00B14271"/>
    <w:rsid w:val="00B16270"/>
    <w:rsid w:val="00B2685D"/>
    <w:rsid w:val="00B30351"/>
    <w:rsid w:val="00B33C2A"/>
    <w:rsid w:val="00B422EC"/>
    <w:rsid w:val="00B4643E"/>
    <w:rsid w:val="00B54B90"/>
    <w:rsid w:val="00B62327"/>
    <w:rsid w:val="00B726D4"/>
    <w:rsid w:val="00B74C3B"/>
    <w:rsid w:val="00B8214F"/>
    <w:rsid w:val="00B85BE5"/>
    <w:rsid w:val="00B86A4F"/>
    <w:rsid w:val="00B93035"/>
    <w:rsid w:val="00B958E8"/>
    <w:rsid w:val="00B97E4A"/>
    <w:rsid w:val="00BA09B2"/>
    <w:rsid w:val="00BA47DC"/>
    <w:rsid w:val="00BA5B46"/>
    <w:rsid w:val="00BC0995"/>
    <w:rsid w:val="00BC61C1"/>
    <w:rsid w:val="00BE793A"/>
    <w:rsid w:val="00BF08E7"/>
    <w:rsid w:val="00BF2B82"/>
    <w:rsid w:val="00BF432A"/>
    <w:rsid w:val="00BF6351"/>
    <w:rsid w:val="00BF6E82"/>
    <w:rsid w:val="00BF77A3"/>
    <w:rsid w:val="00C028E4"/>
    <w:rsid w:val="00C060C7"/>
    <w:rsid w:val="00C11645"/>
    <w:rsid w:val="00C24C17"/>
    <w:rsid w:val="00C3758F"/>
    <w:rsid w:val="00C40B88"/>
    <w:rsid w:val="00C47D87"/>
    <w:rsid w:val="00C5376E"/>
    <w:rsid w:val="00C6184B"/>
    <w:rsid w:val="00C808A6"/>
    <w:rsid w:val="00C97091"/>
    <w:rsid w:val="00C97260"/>
    <w:rsid w:val="00CA2001"/>
    <w:rsid w:val="00CA451E"/>
    <w:rsid w:val="00CB5B6C"/>
    <w:rsid w:val="00CB5F73"/>
    <w:rsid w:val="00CC052E"/>
    <w:rsid w:val="00CD16BE"/>
    <w:rsid w:val="00CD4616"/>
    <w:rsid w:val="00CD56AF"/>
    <w:rsid w:val="00CE33D5"/>
    <w:rsid w:val="00CE535C"/>
    <w:rsid w:val="00CF5D37"/>
    <w:rsid w:val="00CF6C00"/>
    <w:rsid w:val="00CF6F33"/>
    <w:rsid w:val="00D00CAD"/>
    <w:rsid w:val="00D02248"/>
    <w:rsid w:val="00D063B8"/>
    <w:rsid w:val="00D06825"/>
    <w:rsid w:val="00D17E3B"/>
    <w:rsid w:val="00D23C09"/>
    <w:rsid w:val="00D23CED"/>
    <w:rsid w:val="00D24BD2"/>
    <w:rsid w:val="00D2573D"/>
    <w:rsid w:val="00D260A2"/>
    <w:rsid w:val="00D303E1"/>
    <w:rsid w:val="00D30CC6"/>
    <w:rsid w:val="00D3260C"/>
    <w:rsid w:val="00D35790"/>
    <w:rsid w:val="00D5653B"/>
    <w:rsid w:val="00D62EF1"/>
    <w:rsid w:val="00D6309D"/>
    <w:rsid w:val="00D644CA"/>
    <w:rsid w:val="00D66FC2"/>
    <w:rsid w:val="00D76C7E"/>
    <w:rsid w:val="00D771DE"/>
    <w:rsid w:val="00D7776D"/>
    <w:rsid w:val="00D828CA"/>
    <w:rsid w:val="00D9293F"/>
    <w:rsid w:val="00D93598"/>
    <w:rsid w:val="00DA1E18"/>
    <w:rsid w:val="00DA1F2A"/>
    <w:rsid w:val="00DA2009"/>
    <w:rsid w:val="00DB05B1"/>
    <w:rsid w:val="00DB5A79"/>
    <w:rsid w:val="00DB5D40"/>
    <w:rsid w:val="00DC2465"/>
    <w:rsid w:val="00DC56B3"/>
    <w:rsid w:val="00DD512E"/>
    <w:rsid w:val="00DE1177"/>
    <w:rsid w:val="00DE2CEA"/>
    <w:rsid w:val="00DE6A3C"/>
    <w:rsid w:val="00DE74F4"/>
    <w:rsid w:val="00DE7F97"/>
    <w:rsid w:val="00DF1010"/>
    <w:rsid w:val="00DF3EF0"/>
    <w:rsid w:val="00DF5AEA"/>
    <w:rsid w:val="00DF63F6"/>
    <w:rsid w:val="00E01749"/>
    <w:rsid w:val="00E13747"/>
    <w:rsid w:val="00E25AEA"/>
    <w:rsid w:val="00E30DEF"/>
    <w:rsid w:val="00E30ED2"/>
    <w:rsid w:val="00E31276"/>
    <w:rsid w:val="00E37F70"/>
    <w:rsid w:val="00E446C1"/>
    <w:rsid w:val="00E758B9"/>
    <w:rsid w:val="00E8072C"/>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330"/>
    <w:rsid w:val="00EF15FF"/>
    <w:rsid w:val="00EF1DC9"/>
    <w:rsid w:val="00EF7111"/>
    <w:rsid w:val="00EF7D1A"/>
    <w:rsid w:val="00F0448F"/>
    <w:rsid w:val="00F0574A"/>
    <w:rsid w:val="00F0716C"/>
    <w:rsid w:val="00F12489"/>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 w:val="00FF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0821F"/>
  <w14:defaultImageDpi w14:val="0"/>
  <w15:docId w15:val="{8B8A4697-CF52-44B0-85B7-669E2953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UnresolvedMention1">
    <w:name w:val="Unresolved Mention1"/>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styleId="CommentReference">
    <w:name w:val="annotation reference"/>
    <w:basedOn w:val="DefaultParagraphFont"/>
    <w:uiPriority w:val="99"/>
    <w:unhideWhenUsed/>
    <w:rsid w:val="001359BB"/>
    <w:rPr>
      <w:rFonts w:cs="Times New Roman"/>
      <w:sz w:val="16"/>
      <w:szCs w:val="16"/>
    </w:rPr>
  </w:style>
  <w:style w:type="paragraph" w:styleId="CommentText">
    <w:name w:val="annotation text"/>
    <w:basedOn w:val="Normal"/>
    <w:link w:val="CommentTextChar"/>
    <w:uiPriority w:val="99"/>
    <w:unhideWhenUsed/>
    <w:rsid w:val="001359BB"/>
    <w:pPr>
      <w:spacing w:line="240" w:lineRule="auto"/>
      <w:jc w:val="left"/>
    </w:pPr>
    <w:rPr>
      <w:rFonts w:ascii="Times New Roman" w:hAnsi="Times New Roman"/>
      <w:sz w:val="20"/>
      <w:szCs w:val="20"/>
      <w:lang w:val="de-DE"/>
    </w:rPr>
  </w:style>
  <w:style w:type="character" w:styleId="FollowedHyperlink">
    <w:name w:val="FollowedHyperlink"/>
    <w:basedOn w:val="DefaultParagraphFont"/>
    <w:uiPriority w:val="99"/>
    <w:rsid w:val="007C3CC9"/>
    <w:rPr>
      <w:rFonts w:cs="Times New Roman"/>
      <w:color w:val="954F72" w:themeColor="followedHyperlink"/>
      <w:u w:val="single"/>
    </w:rPr>
  </w:style>
  <w:style w:type="character" w:customStyle="1" w:styleId="CommentTextChar">
    <w:name w:val="Comment Text Char"/>
    <w:basedOn w:val="DefaultParagraphFont"/>
    <w:link w:val="CommentText"/>
    <w:uiPriority w:val="99"/>
    <w:locked/>
    <w:rsid w:val="001359BB"/>
    <w:rPr>
      <w:rFonts w:ascii="Times New Roman" w:hAnsi="Times New Roman" w:cs="Times New Roman"/>
      <w:sz w:val="20"/>
      <w:szCs w:val="20"/>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39709">
      <w:marLeft w:val="0"/>
      <w:marRight w:val="0"/>
      <w:marTop w:val="0"/>
      <w:marBottom w:val="0"/>
      <w:divBdr>
        <w:top w:val="none" w:sz="0" w:space="0" w:color="auto"/>
        <w:left w:val="none" w:sz="0" w:space="0" w:color="auto"/>
        <w:bottom w:val="none" w:sz="0" w:space="0" w:color="auto"/>
        <w:right w:val="none" w:sz="0" w:space="0" w:color="auto"/>
      </w:divBdr>
    </w:div>
    <w:div w:id="984239710">
      <w:marLeft w:val="0"/>
      <w:marRight w:val="0"/>
      <w:marTop w:val="0"/>
      <w:marBottom w:val="0"/>
      <w:divBdr>
        <w:top w:val="none" w:sz="0" w:space="0" w:color="auto"/>
        <w:left w:val="none" w:sz="0" w:space="0" w:color="auto"/>
        <w:bottom w:val="none" w:sz="0" w:space="0" w:color="auto"/>
        <w:right w:val="none" w:sz="0" w:space="0" w:color="auto"/>
      </w:divBdr>
    </w:div>
    <w:div w:id="984239711">
      <w:marLeft w:val="0"/>
      <w:marRight w:val="0"/>
      <w:marTop w:val="0"/>
      <w:marBottom w:val="0"/>
      <w:divBdr>
        <w:top w:val="none" w:sz="0" w:space="0" w:color="auto"/>
        <w:left w:val="none" w:sz="0" w:space="0" w:color="auto"/>
        <w:bottom w:val="none" w:sz="0" w:space="0" w:color="auto"/>
        <w:right w:val="none" w:sz="0" w:space="0" w:color="auto"/>
      </w:divBdr>
    </w:div>
    <w:div w:id="984239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ostprocess.com/henk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25489CC-AC72-407D-A8A2-91C4EE6A5089}">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0CF41A73-9C57-4816-B375-AB57001EEA03}">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PostProcess joins forces with Henkel to support optimized workstreams via automated post-printing</vt:lpstr>
    </vt:vector>
  </TitlesOfParts>
  <Company>Henkel AG &amp; Co. KGaA</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PostProcess joins forces with Henkel to support optimized workstreams via automated post-printing</dc:title>
  <dc:subject>Collaboration to bring intelligent post-printing solutions to resin-based additive workstreams</dc:subject>
  <dc:creator>Henkel AG &amp; Co. KGaA</dc:creator>
  <cp:lastModifiedBy>Jiexi Tan</cp:lastModifiedBy>
  <cp:revision>74</cp:revision>
  <cp:lastPrinted>2016-11-15T18:11:00Z</cp:lastPrinted>
  <dcterms:created xsi:type="dcterms:W3CDTF">2021-04-01T08:06:00Z</dcterms:created>
  <dcterms:modified xsi:type="dcterms:W3CDTF">2021-04-08T06:30:00Z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