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33B8245" w:rsidR="00B422EC" w:rsidRDefault="001B3D18" w:rsidP="00643D8A">
      <w:pPr>
        <w:pStyle w:val="MonthDayYear"/>
        <w:rPr>
          <w:lang w:val="sl-SI"/>
        </w:rPr>
      </w:pPr>
      <w:r>
        <w:rPr>
          <w:lang w:val="sl-SI"/>
        </w:rPr>
        <w:t>31. marec</w:t>
      </w:r>
      <w:r w:rsidR="00BF6E82" w:rsidRPr="0060222C">
        <w:rPr>
          <w:lang w:val="sl-SI"/>
        </w:rPr>
        <w:t>, 20</w:t>
      </w:r>
      <w:r w:rsidR="00F635FC" w:rsidRPr="0060222C">
        <w:rPr>
          <w:lang w:val="sl-SI"/>
        </w:rPr>
        <w:t>2</w:t>
      </w:r>
      <w:r w:rsidR="00FD0A38" w:rsidRPr="0060222C">
        <w:rPr>
          <w:lang w:val="sl-SI"/>
        </w:rPr>
        <w:t>1</w:t>
      </w:r>
    </w:p>
    <w:p w14:paraId="3D015058" w14:textId="767415CC" w:rsidR="001B3D18" w:rsidRDefault="001B3D18" w:rsidP="00643D8A">
      <w:pPr>
        <w:pStyle w:val="MonthDayYear"/>
        <w:rPr>
          <w:lang w:val="sl-SI"/>
        </w:rPr>
      </w:pPr>
    </w:p>
    <w:p w14:paraId="5E7522C0" w14:textId="77777777" w:rsidR="001B3D18" w:rsidRPr="0060222C" w:rsidRDefault="001B3D18" w:rsidP="00643D8A">
      <w:pPr>
        <w:pStyle w:val="MonthDayYear"/>
        <w:rPr>
          <w:lang w:val="sl-SI"/>
        </w:rPr>
      </w:pPr>
    </w:p>
    <w:p w14:paraId="00E2CD4B" w14:textId="77777777" w:rsidR="001B3D18" w:rsidRDefault="001B3D18" w:rsidP="00A3756F">
      <w:pPr>
        <w:rPr>
          <w:rFonts w:cs="Segoe UI"/>
          <w:szCs w:val="22"/>
          <w:lang w:val="sl-SI"/>
        </w:rPr>
      </w:pPr>
      <w:r w:rsidRPr="001B3D18">
        <w:rPr>
          <w:rFonts w:cs="Segoe UI"/>
          <w:szCs w:val="22"/>
          <w:lang w:val="sl-SI"/>
        </w:rPr>
        <w:t>Henkel na podlagi predhodnih podatkov napoveduje organsko rast prodaje v prvem četrtletju 2021</w:t>
      </w:r>
    </w:p>
    <w:p w14:paraId="16039A1A" w14:textId="77777777" w:rsidR="001B3D18" w:rsidRDefault="001B3D18" w:rsidP="00A3756F">
      <w:pPr>
        <w:rPr>
          <w:rFonts w:cs="Segoe UI"/>
          <w:szCs w:val="22"/>
          <w:lang w:val="sl-SI"/>
        </w:rPr>
      </w:pPr>
    </w:p>
    <w:p w14:paraId="6706FA18" w14:textId="15898AEB" w:rsidR="00852511" w:rsidRDefault="001B3D18" w:rsidP="00365E44">
      <w:pPr>
        <w:rPr>
          <w:rStyle w:val="Headline"/>
          <w:lang w:val="sl-SI"/>
        </w:rPr>
      </w:pPr>
      <w:r w:rsidRPr="001B3D18">
        <w:rPr>
          <w:rStyle w:val="Headline"/>
          <w:lang w:val="sl-SI"/>
        </w:rPr>
        <w:t>Henkel pričakuje uspešen začetek poslovnega leta 2021</w:t>
      </w:r>
    </w:p>
    <w:p w14:paraId="58A30EDE" w14:textId="77777777" w:rsidR="001B3D18" w:rsidRPr="0060222C" w:rsidRDefault="001B3D18" w:rsidP="00365E44">
      <w:pPr>
        <w:rPr>
          <w:lang w:val="sl-SI"/>
        </w:rPr>
      </w:pPr>
    </w:p>
    <w:p w14:paraId="6A45F211" w14:textId="77777777" w:rsidR="001B3D18" w:rsidRPr="001B3D18" w:rsidRDefault="001B3D18" w:rsidP="001B3D18">
      <w:pPr>
        <w:rPr>
          <w:rFonts w:cs="Segoe UI"/>
          <w:szCs w:val="22"/>
          <w:lang w:val="sl-SI"/>
        </w:rPr>
      </w:pPr>
      <w:r w:rsidRPr="001B3D18">
        <w:rPr>
          <w:rFonts w:cs="Segoe UI"/>
          <w:szCs w:val="22"/>
          <w:lang w:val="sl-SI"/>
        </w:rPr>
        <w:t xml:space="preserve">Kljub zahtevnim pogojem zaradi pandemije covida-19, ki še vedno vladajo v gospodarskem okolju, Henkel v prvem četrtletju leta 2021 pričakuje zelo močno organsko rast. Na podlagi predhodnih podatkov Henkel za prvo četrtletje napoveduje </w:t>
      </w:r>
      <w:r w:rsidRPr="001B3D18">
        <w:rPr>
          <w:rFonts w:cs="Segoe UI"/>
          <w:b/>
          <w:bCs/>
          <w:szCs w:val="22"/>
          <w:lang w:val="sl-SI"/>
        </w:rPr>
        <w:t>organsko</w:t>
      </w:r>
      <w:r w:rsidRPr="001B3D18">
        <w:rPr>
          <w:rFonts w:cs="Segoe UI"/>
          <w:szCs w:val="22"/>
          <w:lang w:val="sl-SI"/>
        </w:rPr>
        <w:t xml:space="preserve"> rast prodaje (brez upoštevanja vplivov nihanja tečajev in akvizicij/dezinvesticij) v višini </w:t>
      </w:r>
      <w:r w:rsidRPr="001B3D18">
        <w:rPr>
          <w:rFonts w:cs="Segoe UI"/>
          <w:b/>
          <w:bCs/>
          <w:szCs w:val="22"/>
          <w:lang w:val="sl-SI"/>
        </w:rPr>
        <w:t>približno 7 odstotkov</w:t>
      </w:r>
      <w:r w:rsidRPr="001B3D18">
        <w:rPr>
          <w:rFonts w:cs="Segoe UI"/>
          <w:szCs w:val="22"/>
          <w:lang w:val="sl-SI"/>
        </w:rPr>
        <w:t>, kar je bistveno več od trenutnih pričakovanj na trgu, ki znašajo približno 3,5 odstotka.</w:t>
      </w:r>
    </w:p>
    <w:p w14:paraId="18646AC4" w14:textId="77777777" w:rsidR="001B3D18" w:rsidRPr="001B3D18" w:rsidRDefault="001B3D18" w:rsidP="001B3D18">
      <w:pPr>
        <w:rPr>
          <w:rFonts w:cs="Segoe UI"/>
          <w:szCs w:val="22"/>
          <w:lang w:val="sl-SI"/>
        </w:rPr>
      </w:pPr>
    </w:p>
    <w:p w14:paraId="5F60ACF4" w14:textId="77777777" w:rsidR="001B3D18" w:rsidRPr="001B3D18" w:rsidRDefault="001B3D18" w:rsidP="001B3D18">
      <w:pPr>
        <w:rPr>
          <w:rFonts w:cs="Segoe UI"/>
          <w:szCs w:val="22"/>
          <w:lang w:val="sl-SI"/>
        </w:rPr>
      </w:pPr>
      <w:r w:rsidRPr="001B3D18">
        <w:rPr>
          <w:rFonts w:cs="Segoe UI"/>
          <w:szCs w:val="22"/>
          <w:lang w:val="sl-SI"/>
        </w:rPr>
        <w:t>»Kljub trenutni pandemiji covida-19 pričakujemo, da bo Henkel v prvem četrtletju letošnjega leta dosegel zelo dobre poslovne rezultate, predvsem zaradi uspešnega poslovanja poslovnega programa Adhesive Technologies (Lepila in tehnologije),« je povedal Carsten Knobel, predsednik upravnega odbora družbe Henkel.</w:t>
      </w:r>
    </w:p>
    <w:p w14:paraId="1AD7FEFC" w14:textId="77777777" w:rsidR="001B3D18" w:rsidRPr="001B3D18" w:rsidRDefault="001B3D18" w:rsidP="001B3D18">
      <w:pPr>
        <w:rPr>
          <w:rFonts w:cs="Segoe UI"/>
          <w:szCs w:val="22"/>
          <w:lang w:val="sl-SI"/>
        </w:rPr>
      </w:pPr>
    </w:p>
    <w:p w14:paraId="6B5DC410" w14:textId="77777777" w:rsidR="001B3D18" w:rsidRPr="001B3D18" w:rsidRDefault="001B3D18" w:rsidP="001B3D18">
      <w:pPr>
        <w:rPr>
          <w:rFonts w:cs="Segoe UI"/>
          <w:szCs w:val="22"/>
          <w:lang w:val="sl-SI"/>
        </w:rPr>
      </w:pPr>
      <w:r w:rsidRPr="001B3D18">
        <w:rPr>
          <w:rFonts w:cs="Segoe UI"/>
          <w:szCs w:val="22"/>
          <w:lang w:val="sl-SI"/>
        </w:rPr>
        <w:t xml:space="preserve">Zaradi večjega povpraševanja v industrijskem sektorju v prvem četrtletju in na podlagi predhodnih podatkov se pričakuje, da bo poslovni program </w:t>
      </w:r>
      <w:r w:rsidRPr="001B3D18">
        <w:rPr>
          <w:rFonts w:cs="Segoe UI"/>
          <w:b/>
          <w:bCs/>
          <w:szCs w:val="22"/>
          <w:lang w:val="sl-SI"/>
        </w:rPr>
        <w:t>Adhesive Technologies (Lepila in tehnologije)</w:t>
      </w:r>
      <w:r w:rsidRPr="001B3D18">
        <w:rPr>
          <w:rFonts w:cs="Segoe UI"/>
          <w:szCs w:val="22"/>
          <w:lang w:val="sl-SI"/>
        </w:rPr>
        <w:t xml:space="preserve"> dosegel organsko rast prodaje v višini približno 12,5 odstotka.</w:t>
      </w:r>
    </w:p>
    <w:p w14:paraId="073794B3" w14:textId="77777777" w:rsidR="001B3D18" w:rsidRPr="001B3D18" w:rsidRDefault="001B3D18" w:rsidP="001B3D18">
      <w:pPr>
        <w:rPr>
          <w:rFonts w:cs="Segoe UI"/>
          <w:szCs w:val="22"/>
          <w:lang w:val="sl-SI"/>
        </w:rPr>
      </w:pPr>
    </w:p>
    <w:p w14:paraId="7A50464E" w14:textId="77777777" w:rsidR="001B3D18" w:rsidRPr="001B3D18" w:rsidRDefault="001B3D18" w:rsidP="001B3D18">
      <w:pPr>
        <w:rPr>
          <w:rFonts w:cs="Segoe UI"/>
          <w:szCs w:val="22"/>
          <w:lang w:val="sl-SI"/>
        </w:rPr>
      </w:pPr>
      <w:r w:rsidRPr="001B3D18">
        <w:rPr>
          <w:rFonts w:cs="Segoe UI"/>
          <w:szCs w:val="22"/>
          <w:lang w:val="sl-SI"/>
        </w:rPr>
        <w:t xml:space="preserve">Henkel pričakuje, da bo poslovni program </w:t>
      </w:r>
      <w:r w:rsidRPr="001B3D18">
        <w:rPr>
          <w:rFonts w:cs="Segoe UI"/>
          <w:b/>
          <w:bCs/>
          <w:szCs w:val="22"/>
          <w:lang w:val="sl-SI"/>
        </w:rPr>
        <w:t>Beauty Care</w:t>
      </w:r>
      <w:r w:rsidRPr="001B3D18">
        <w:rPr>
          <w:rFonts w:cs="Segoe UI"/>
          <w:szCs w:val="22"/>
          <w:lang w:val="sl-SI"/>
        </w:rPr>
        <w:t xml:space="preserve"> dosegel pozitivno organsko rast prodaje v višini približno 1,0 odstotka, pri čemer so na poslovanje negativno vplivale predvsem neugodne razmere na trgu zaradi pandemije koronavirusne bolezni. </w:t>
      </w:r>
    </w:p>
    <w:p w14:paraId="74A60FC6" w14:textId="77777777" w:rsidR="001B3D18" w:rsidRPr="001B3D18" w:rsidRDefault="001B3D18" w:rsidP="001B3D18">
      <w:pPr>
        <w:rPr>
          <w:rFonts w:cs="Segoe UI"/>
          <w:szCs w:val="22"/>
          <w:lang w:val="sl-SI"/>
        </w:rPr>
      </w:pPr>
    </w:p>
    <w:p w14:paraId="21B81F6F" w14:textId="77777777" w:rsidR="001B3D18" w:rsidRPr="001B3D18" w:rsidRDefault="001B3D18" w:rsidP="001B3D18">
      <w:pPr>
        <w:rPr>
          <w:rFonts w:cs="Segoe UI"/>
          <w:szCs w:val="22"/>
          <w:lang w:val="sl-SI"/>
        </w:rPr>
      </w:pPr>
      <w:r w:rsidRPr="001B3D18">
        <w:rPr>
          <w:rFonts w:cs="Segoe UI"/>
          <w:szCs w:val="22"/>
          <w:lang w:val="sl-SI"/>
        </w:rPr>
        <w:t xml:space="preserve">Čeprav se razmere na najpomembnejših zrelih trgih slabšajo, predhodni podatki za poslovni program </w:t>
      </w:r>
      <w:r w:rsidRPr="001B3D18">
        <w:rPr>
          <w:rFonts w:cs="Segoe UI"/>
          <w:b/>
          <w:bCs/>
          <w:szCs w:val="22"/>
          <w:lang w:val="sl-SI"/>
        </w:rPr>
        <w:t>Laundry &amp; Home Care (Pralna sredstva in čistila)</w:t>
      </w:r>
      <w:r w:rsidRPr="001B3D18">
        <w:rPr>
          <w:rFonts w:cs="Segoe UI"/>
          <w:szCs w:val="22"/>
          <w:lang w:val="sl-SI"/>
        </w:rPr>
        <w:t xml:space="preserve"> za prvo četrtletje kažejo na močno organsko rast prodaje v višini 3,5 odstotka.</w:t>
      </w:r>
    </w:p>
    <w:p w14:paraId="2F9AAC95" w14:textId="77777777" w:rsidR="001B3D18" w:rsidRPr="001B3D18" w:rsidRDefault="001B3D18" w:rsidP="001B3D18">
      <w:pPr>
        <w:rPr>
          <w:rFonts w:cs="Segoe UI"/>
          <w:szCs w:val="22"/>
          <w:lang w:val="sl-SI"/>
        </w:rPr>
      </w:pPr>
    </w:p>
    <w:p w14:paraId="56AC8909" w14:textId="0D07DAAE" w:rsidR="002A2975" w:rsidRPr="0060222C" w:rsidRDefault="001B3D18" w:rsidP="00643D8A">
      <w:pPr>
        <w:rPr>
          <w:rFonts w:cs="Segoe UI"/>
          <w:szCs w:val="22"/>
          <w:lang w:val="sl-SI"/>
        </w:rPr>
      </w:pPr>
      <w:r w:rsidRPr="001B3D18">
        <w:rPr>
          <w:rFonts w:cs="Segoe UI"/>
          <w:szCs w:val="22"/>
          <w:lang w:val="sl-SI"/>
        </w:rPr>
        <w:t>Henkel bo več podrobnosti o poslovnih rezultatih predstavil v poročilu za prvo četrtletje leta 2021, ki bo objavljeno 6. maja 202</w:t>
      </w:r>
      <w:r>
        <w:rPr>
          <w:rFonts w:cs="Segoe UI"/>
          <w:szCs w:val="22"/>
          <w:lang w:val="sl-SI"/>
        </w:rPr>
        <w:t>1.</w:t>
      </w:r>
    </w:p>
    <w:p w14:paraId="3411FCC1" w14:textId="6B1C235D" w:rsidR="00D06825" w:rsidRPr="0060222C" w:rsidRDefault="00A82309" w:rsidP="00D06825">
      <w:pPr>
        <w:rPr>
          <w:rStyle w:val="AboutandContactHeadline"/>
          <w:lang w:val="sl-SI"/>
        </w:rPr>
      </w:pPr>
      <w:r w:rsidRPr="0060222C">
        <w:rPr>
          <w:rStyle w:val="AboutandContactHeadline"/>
          <w:lang w:val="sl-SI"/>
        </w:rPr>
        <w:lastRenderedPageBreak/>
        <w:t>O Henklu</w:t>
      </w:r>
    </w:p>
    <w:p w14:paraId="1C3AF308" w14:textId="1C8A33C1" w:rsidR="00A82309" w:rsidRPr="0060222C" w:rsidRDefault="00A82309" w:rsidP="00504452">
      <w:pPr>
        <w:rPr>
          <w:rStyle w:val="AboutandContactBody"/>
          <w:lang w:val="sl-SI"/>
        </w:rPr>
      </w:pPr>
    </w:p>
    <w:p w14:paraId="2552B187" w14:textId="6B40BB34" w:rsidR="00A82309" w:rsidRDefault="00A82309" w:rsidP="00A82309">
      <w:pPr>
        <w:pStyle w:val="He01Flietext"/>
        <w:jc w:val="both"/>
        <w:rPr>
          <w:rFonts w:asciiTheme="minorHAnsi" w:hAnsiTheme="minorHAnsi" w:cstheme="minorHAnsi"/>
          <w:sz w:val="18"/>
          <w:szCs w:val="18"/>
          <w:lang w:val="sl-SI"/>
        </w:rPr>
      </w:pPr>
      <w:r w:rsidRPr="0060222C">
        <w:rPr>
          <w:rFonts w:asciiTheme="minorHAnsi" w:hAnsiTheme="minorHAnsi" w:cstheme="minorHAnsi"/>
          <w:sz w:val="18"/>
          <w:szCs w:val="18"/>
          <w:lang w:val="sl-SI"/>
        </w:rPr>
        <w:t xml:space="preserve">Henkel deluje globalno z uravnoteženim in širokim portfoliem izdelkov. Podjetje s svojimi tremi poslovnimi enotami zavzema vodilne položaje v industriji in maloprodaji, zahvaljujoč 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 Henkel zavzema vodilne položaje na številnih trgih in kategorijah po vsem svetu. Podjetje, ki je bilo ustanovljeno leta 1876, se ponaša z več kot 140 leti uspešnega delovanja. V letu 2020 je Henkel dosegel vrednost prodaje v višini več kot 19 milijard evrov in prilagojeni dobiček iz poslovanja v višini 2,6 milijarde evrov. Podjetje zaposluje približno 53.000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60222C">
          <w:rPr>
            <w:rStyle w:val="Hyperlink"/>
            <w:rFonts w:asciiTheme="minorHAnsi" w:hAnsiTheme="minorHAnsi" w:cstheme="minorHAnsi"/>
            <w:lang w:val="sl-SI"/>
          </w:rPr>
          <w:t>www.henkel.si</w:t>
        </w:r>
      </w:hyperlink>
      <w:r w:rsidRPr="0060222C">
        <w:rPr>
          <w:rFonts w:asciiTheme="minorHAnsi" w:hAnsiTheme="minorHAnsi" w:cstheme="minorHAnsi"/>
          <w:sz w:val="18"/>
          <w:szCs w:val="18"/>
          <w:lang w:val="sl-SI"/>
        </w:rPr>
        <w:t xml:space="preserve">. </w:t>
      </w:r>
    </w:p>
    <w:p w14:paraId="2D5AA3EA" w14:textId="7C4D5B1A" w:rsidR="001B3D18" w:rsidRDefault="001B3D18" w:rsidP="00A82309">
      <w:pPr>
        <w:pStyle w:val="He01Flietext"/>
        <w:jc w:val="both"/>
        <w:rPr>
          <w:rFonts w:asciiTheme="minorHAnsi" w:hAnsiTheme="minorHAnsi" w:cstheme="minorHAnsi"/>
          <w:sz w:val="18"/>
          <w:szCs w:val="18"/>
          <w:lang w:val="sl-SI"/>
        </w:rPr>
      </w:pPr>
    </w:p>
    <w:p w14:paraId="3EACFED7" w14:textId="0DB94477" w:rsidR="001B3D18" w:rsidRDefault="001B3D18" w:rsidP="00A82309">
      <w:pPr>
        <w:pStyle w:val="He01Flietext"/>
        <w:jc w:val="both"/>
        <w:rPr>
          <w:rFonts w:asciiTheme="minorHAnsi" w:hAnsiTheme="minorHAnsi" w:cstheme="minorHAnsi"/>
          <w:sz w:val="18"/>
          <w:szCs w:val="18"/>
          <w:lang w:val="sl-SI"/>
        </w:rPr>
      </w:pPr>
    </w:p>
    <w:p w14:paraId="4A52B84F" w14:textId="77777777" w:rsidR="001B3D18" w:rsidRPr="00A5543D" w:rsidRDefault="001B3D18" w:rsidP="001B3D18">
      <w:pPr>
        <w:pStyle w:val="NormalWeb"/>
        <w:suppressAutoHyphens/>
        <w:jc w:val="both"/>
        <w:rPr>
          <w:rFonts w:ascii="Segoe UI" w:hAnsi="Segoe UI" w:cs="Segoe UI"/>
          <w:sz w:val="14"/>
          <w:szCs w:val="14"/>
        </w:rPr>
      </w:pPr>
      <w:r w:rsidRPr="00A5543D">
        <w:rPr>
          <w:rFonts w:ascii="Segoe UI" w:hAnsi="Segoe UI" w:cs="Segoe UI"/>
          <w:sz w:val="14"/>
          <w:szCs w:val="14"/>
        </w:rPr>
        <w:t>Ta dokument vsebuje napovedi, ki se nanašajo na prihodnji potek našega poslovanja in bodočo finančno uspešnost kot tudi prihodnje postopke ali razvoj, ki se tičejo Henkla in lahko predstavljajo napovedi za prihodnost. Za napovedi so značilni izrazi, kot so: pričakovati, nameravati, načrtovati, predvidevati, predpostavljati, ocenjevati in podobno. Take napovedi temeljijo na trenutnih ocenah in predpostavkah vodstva družbe Henkel AG &amp; Co. KGaA. Takih izrazov ne gre razumeti v smislu zagotovil, da se bodo pričakovanja dejansko izpolnila. Izvedba in rezultati, ki jih bodo družba Henkel AG &amp; Co. KGaA in povezane družbe v prihodnosti dejansko dosegle, se lahko materialno bistveno razlikujejo od podanih napovedi, saj so odvisni od številnih tveganj in negotovosti. Henkel ne more v celoti vplivati na večino dejavnikov, kot so prihodnje gospodarsko okolje in aktivnosti konkurenčnih podjetij in drugih deležnikov na trgu, saj teh dejavnikov ni mogoče natančno oceniti vnaprej. Henkel ne načrtuje posodobitve napovedi in se k temu ne zavezuje.</w:t>
      </w:r>
    </w:p>
    <w:p w14:paraId="62758E9B" w14:textId="77777777" w:rsidR="001B3D18" w:rsidRPr="00A5543D" w:rsidRDefault="001B3D18" w:rsidP="001B3D18">
      <w:pPr>
        <w:pStyle w:val="NormalWeb"/>
        <w:suppressAutoHyphens/>
        <w:jc w:val="both"/>
        <w:rPr>
          <w:rStyle w:val="tlid-translationtranslation"/>
          <w:rFonts w:ascii="Segoe UI" w:hAnsi="Segoe UI" w:cs="Segoe UI"/>
          <w:sz w:val="14"/>
          <w:szCs w:val="14"/>
        </w:rPr>
      </w:pPr>
      <w:r w:rsidRPr="00A5543D">
        <w:rPr>
          <w:rStyle w:val="tlid-translationtranslation"/>
          <w:rFonts w:ascii="Segoe UI" w:hAnsi="Segoe UI" w:cs="Segoe UI"/>
          <w:sz w:val="14"/>
          <w:szCs w:val="14"/>
        </w:rPr>
        <w:t>Ta dokument vsebuje dodatne materialne finančne kazalnike, ki so ali bi lahko bili alternativni kazalniki uspešnosti (ne</w:t>
      </w:r>
      <w:r w:rsidRPr="00A5543D">
        <w:rPr>
          <w:rFonts w:ascii="Segoe UI" w:hAnsi="Segoe UI" w:cs="Segoe UI"/>
          <w:sz w:val="14"/>
          <w:szCs w:val="14"/>
        </w:rPr>
        <w:t xml:space="preserve"> </w:t>
      </w:r>
      <w:r w:rsidRPr="00A5543D">
        <w:rPr>
          <w:rStyle w:val="tlid-translationtranslation"/>
          <w:rFonts w:ascii="Segoe UI" w:hAnsi="Segoe UI" w:cs="Segoe UI"/>
          <w:sz w:val="14"/>
          <w:szCs w:val="14"/>
        </w:rPr>
        <w:t>splošno sprejeta računovodska načela). Ti dodatni finančni kazalniki se ne smejo obravnavati ločeno ali kot alternativna metoda za ocenjevanje Henklovega premoženja, finančnega stanja ali rezultatov poslovanja, ki so predstavljeni v skladu z veljavnim okvirom računovodskega poročanja v konsolidiranih računovodskih izkazih. Druga podjetja, ki poročajo ali opisujejo podobne alternativne kazalnike uspešnosti, jih lahko izračunajo na drug način.</w:t>
      </w:r>
    </w:p>
    <w:p w14:paraId="52ECBD54" w14:textId="77777777" w:rsidR="001B3D18" w:rsidRPr="00A5543D" w:rsidRDefault="001B3D18" w:rsidP="001B3D18">
      <w:pPr>
        <w:pStyle w:val="NormalWeb"/>
        <w:suppressAutoHyphens/>
        <w:jc w:val="both"/>
        <w:rPr>
          <w:rFonts w:ascii="Segoe UI" w:hAnsi="Segoe UI" w:cs="Segoe UI"/>
          <w:sz w:val="14"/>
          <w:szCs w:val="14"/>
        </w:rPr>
      </w:pPr>
      <w:r w:rsidRPr="00A5543D">
        <w:rPr>
          <w:rStyle w:val="tlid-translationtranslation"/>
          <w:rFonts w:ascii="Segoe UI" w:hAnsi="Segoe UI" w:cs="Segoe UI"/>
          <w:sz w:val="14"/>
          <w:szCs w:val="14"/>
        </w:rPr>
        <w:t>Ta dokument je bil pripravljen za namen obveščanja in zato ni namenjen investicijskemu svetovanju ali kot ponudba za prodajo ali za nakup kakršnihkoli vrednostnih papirjev.</w:t>
      </w:r>
    </w:p>
    <w:p w14:paraId="17845237" w14:textId="77777777" w:rsidR="001B3D18" w:rsidRPr="0060222C" w:rsidRDefault="001B3D18" w:rsidP="00A82309">
      <w:pPr>
        <w:pStyle w:val="He01Flietext"/>
        <w:jc w:val="both"/>
        <w:rPr>
          <w:rFonts w:asciiTheme="minorHAnsi" w:hAnsiTheme="minorHAnsi" w:cstheme="minorHAnsi"/>
          <w:sz w:val="18"/>
          <w:szCs w:val="18"/>
          <w:lang w:val="sl-SI"/>
        </w:rPr>
      </w:pPr>
    </w:p>
    <w:p w14:paraId="7CF02F47" w14:textId="77777777" w:rsidR="00A82309" w:rsidRPr="0060222C" w:rsidRDefault="00A82309" w:rsidP="00504452">
      <w:pPr>
        <w:rPr>
          <w:rStyle w:val="AboutandContactBody"/>
          <w:lang w:val="sl-SI"/>
        </w:rPr>
      </w:pPr>
    </w:p>
    <w:p w14:paraId="2B18F67D" w14:textId="77777777" w:rsidR="00A82309" w:rsidRPr="0060222C" w:rsidRDefault="00A82309" w:rsidP="00A82309">
      <w:pPr>
        <w:tabs>
          <w:tab w:val="left" w:pos="709"/>
          <w:tab w:val="left" w:pos="4500"/>
          <w:tab w:val="left" w:pos="5245"/>
        </w:tabs>
        <w:spacing w:line="264" w:lineRule="auto"/>
        <w:rPr>
          <w:rStyle w:val="AboutandContactBody"/>
          <w:rFonts w:asciiTheme="majorHAnsi" w:hAnsiTheme="majorHAnsi"/>
          <w:lang w:val="sl-SI"/>
        </w:rPr>
      </w:pPr>
    </w:p>
    <w:p w14:paraId="77B4D427" w14:textId="77777777" w:rsidR="00A82309" w:rsidRPr="0060222C" w:rsidRDefault="00A82309" w:rsidP="00A82309">
      <w:pPr>
        <w:tabs>
          <w:tab w:val="left" w:pos="709"/>
          <w:tab w:val="left" w:pos="4500"/>
          <w:tab w:val="left" w:pos="5245"/>
        </w:tabs>
        <w:spacing w:line="264" w:lineRule="auto"/>
        <w:rPr>
          <w:rStyle w:val="AboutandContactBody"/>
          <w:rFonts w:asciiTheme="majorHAnsi" w:hAnsiTheme="majorHAnsi"/>
          <w:lang w:val="sl-SI"/>
        </w:rPr>
      </w:pPr>
    </w:p>
    <w:p w14:paraId="6F3BC597" w14:textId="720E4514" w:rsidR="00A82309" w:rsidRPr="0060222C" w:rsidRDefault="00A82309" w:rsidP="00A82309">
      <w:pPr>
        <w:tabs>
          <w:tab w:val="left" w:pos="709"/>
          <w:tab w:val="left" w:pos="4500"/>
          <w:tab w:val="left" w:pos="5245"/>
        </w:tabs>
        <w:spacing w:line="264" w:lineRule="auto"/>
        <w:rPr>
          <w:rStyle w:val="Hyperlink"/>
          <w:rFonts w:ascii="Arial" w:hAnsi="Arial" w:cs="Arial"/>
          <w:lang w:val="sl-SI"/>
        </w:rPr>
      </w:pPr>
      <w:r w:rsidRPr="0060222C">
        <w:rPr>
          <w:rStyle w:val="AboutandContactBody"/>
          <w:rFonts w:asciiTheme="majorHAnsi" w:hAnsiTheme="majorHAnsi"/>
          <w:lang w:val="sl-SI"/>
        </w:rPr>
        <w:t xml:space="preserve"> </w:t>
      </w:r>
    </w:p>
    <w:p w14:paraId="1FEEC7B3" w14:textId="77777777" w:rsidR="00BB5D0B" w:rsidRPr="0060222C" w:rsidRDefault="00BB5D0B" w:rsidP="00BF6E82">
      <w:pPr>
        <w:rPr>
          <w:rStyle w:val="AboutandContactHeadline"/>
          <w:lang w:val="sl-SI"/>
        </w:rPr>
      </w:pPr>
    </w:p>
    <w:p w14:paraId="0BFF6B34" w14:textId="77777777" w:rsidR="00BF6E82" w:rsidRPr="0060222C" w:rsidRDefault="00BF6E82" w:rsidP="00BF6E82">
      <w:pPr>
        <w:rPr>
          <w:rStyle w:val="AboutandContactBody"/>
          <w:lang w:val="sl-SI"/>
        </w:rPr>
      </w:pPr>
    </w:p>
    <w:p w14:paraId="648474A1" w14:textId="77777777" w:rsidR="00A82309" w:rsidRPr="0060222C" w:rsidRDefault="00A82309" w:rsidP="00A82309">
      <w:pPr>
        <w:tabs>
          <w:tab w:val="left" w:pos="1080"/>
          <w:tab w:val="left" w:pos="4500"/>
        </w:tabs>
        <w:spacing w:line="264" w:lineRule="auto"/>
        <w:rPr>
          <w:rStyle w:val="AboutandContactBody"/>
          <w:rFonts w:asciiTheme="majorHAnsi" w:hAnsiTheme="majorHAnsi" w:cstheme="majorHAnsi"/>
          <w:szCs w:val="18"/>
          <w:lang w:val="sl-SI"/>
        </w:rPr>
      </w:pPr>
      <w:r w:rsidRPr="0060222C">
        <w:rPr>
          <w:rStyle w:val="AboutandContactBody"/>
          <w:rFonts w:asciiTheme="majorHAnsi" w:hAnsiTheme="majorHAnsi" w:cstheme="majorHAnsi"/>
          <w:bCs/>
          <w:szCs w:val="18"/>
          <w:lang w:val="sl-SI"/>
        </w:rPr>
        <w:t>Kontakt</w:t>
      </w:r>
      <w:r w:rsidR="00BF6E82" w:rsidRPr="0060222C">
        <w:rPr>
          <w:rStyle w:val="AboutandContactBody"/>
          <w:lang w:val="sl-SI"/>
        </w:rPr>
        <w:tab/>
      </w:r>
      <w:r w:rsidRPr="0060222C">
        <w:rPr>
          <w:rStyle w:val="AboutandContactBody"/>
          <w:rFonts w:asciiTheme="majorHAnsi" w:hAnsiTheme="majorHAnsi" w:cstheme="majorHAnsi"/>
          <w:szCs w:val="18"/>
          <w:lang w:val="sl-SI"/>
        </w:rPr>
        <w:t>Julija Lojen Baltić</w:t>
      </w:r>
    </w:p>
    <w:p w14:paraId="456C04BE" w14:textId="77777777" w:rsidR="00A82309" w:rsidRPr="0060222C" w:rsidRDefault="00A82309" w:rsidP="00A82309">
      <w:pPr>
        <w:tabs>
          <w:tab w:val="left" w:pos="1080"/>
          <w:tab w:val="left" w:pos="4500"/>
        </w:tabs>
        <w:spacing w:line="264" w:lineRule="auto"/>
        <w:ind w:left="1080"/>
        <w:rPr>
          <w:rStyle w:val="AboutandContactBody"/>
          <w:rFonts w:asciiTheme="majorHAnsi" w:hAnsiTheme="majorHAnsi" w:cstheme="majorHAnsi"/>
          <w:b/>
          <w:szCs w:val="18"/>
          <w:lang w:val="sl-SI"/>
        </w:rPr>
      </w:pPr>
      <w:r w:rsidRPr="0060222C">
        <w:rPr>
          <w:rStyle w:val="AboutandContactBody"/>
          <w:rFonts w:asciiTheme="majorHAnsi" w:hAnsiTheme="majorHAnsi" w:cstheme="majorHAnsi"/>
          <w:szCs w:val="18"/>
          <w:lang w:val="sl-SI"/>
        </w:rPr>
        <w:t>Specialistka za komuniciranje</w:t>
      </w:r>
    </w:p>
    <w:p w14:paraId="60C06C6D" w14:textId="70B31B02" w:rsidR="00BF6E82" w:rsidRPr="00A82309" w:rsidRDefault="00BF6E82" w:rsidP="00A82309">
      <w:pPr>
        <w:tabs>
          <w:tab w:val="left" w:pos="1080"/>
          <w:tab w:val="left" w:pos="4500"/>
        </w:tabs>
        <w:spacing w:line="264" w:lineRule="auto"/>
        <w:rPr>
          <w:rStyle w:val="AboutandContactBody"/>
          <w:rFonts w:asciiTheme="majorHAnsi" w:hAnsiTheme="majorHAnsi" w:cstheme="majorHAnsi"/>
          <w:szCs w:val="18"/>
        </w:rPr>
      </w:pPr>
    </w:p>
    <w:p w14:paraId="510C76D3" w14:textId="60A00F59" w:rsidR="00BF6E82" w:rsidRPr="00493327" w:rsidRDefault="00A82309" w:rsidP="00BF6E82">
      <w:pPr>
        <w:tabs>
          <w:tab w:val="left" w:pos="1080"/>
          <w:tab w:val="left" w:pos="4500"/>
        </w:tabs>
        <w:rPr>
          <w:rStyle w:val="AboutandContactBody"/>
        </w:rPr>
      </w:pPr>
      <w:r>
        <w:rPr>
          <w:rStyle w:val="AboutandContactBody"/>
          <w:rFonts w:asciiTheme="majorHAnsi" w:hAnsiTheme="majorHAnsi"/>
        </w:rPr>
        <w:t>Tel</w:t>
      </w:r>
      <w:r w:rsidRPr="006A78D6">
        <w:rPr>
          <w:rStyle w:val="AboutandContactBody"/>
          <w:rFonts w:asciiTheme="majorHAnsi" w:hAnsiTheme="majorHAnsi"/>
        </w:rPr>
        <w:t>:</w:t>
      </w:r>
      <w:r w:rsidR="00BF6E82" w:rsidRPr="00493327">
        <w:rPr>
          <w:rStyle w:val="AboutandContactBody"/>
        </w:rPr>
        <w:tab/>
      </w:r>
      <w:r w:rsidRPr="006A78D6">
        <w:rPr>
          <w:rStyle w:val="AboutandContactBody"/>
          <w:rFonts w:asciiTheme="majorHAnsi" w:hAnsiTheme="majorHAnsi"/>
        </w:rPr>
        <w:t>+</w:t>
      </w:r>
      <w:r>
        <w:rPr>
          <w:rStyle w:val="AboutandContactBody"/>
          <w:rFonts w:asciiTheme="majorHAnsi" w:hAnsiTheme="majorHAnsi"/>
        </w:rPr>
        <w:t>386</w:t>
      </w:r>
      <w:r w:rsidRPr="006A78D6">
        <w:rPr>
          <w:rStyle w:val="AboutandContactBody"/>
          <w:rFonts w:asciiTheme="majorHAnsi" w:hAnsiTheme="majorHAnsi"/>
        </w:rPr>
        <w:t xml:space="preserve"> </w:t>
      </w:r>
      <w:r>
        <w:rPr>
          <w:rStyle w:val="AboutandContactBody"/>
          <w:rFonts w:asciiTheme="majorHAnsi" w:hAnsiTheme="majorHAnsi"/>
        </w:rPr>
        <w:t>41 479</w:t>
      </w:r>
      <w:r w:rsidRPr="006A78D6">
        <w:rPr>
          <w:rStyle w:val="AboutandContactBody"/>
          <w:rFonts w:asciiTheme="majorHAnsi" w:hAnsiTheme="majorHAnsi"/>
        </w:rPr>
        <w:t xml:space="preserve"> </w:t>
      </w:r>
      <w:r>
        <w:rPr>
          <w:rStyle w:val="AboutandContactBody"/>
          <w:rFonts w:asciiTheme="majorHAnsi" w:hAnsiTheme="majorHAnsi"/>
        </w:rPr>
        <w:t>–</w:t>
      </w:r>
      <w:r w:rsidRPr="006A78D6">
        <w:rPr>
          <w:rStyle w:val="AboutandContactBody"/>
          <w:rFonts w:asciiTheme="majorHAnsi" w:hAnsiTheme="majorHAnsi"/>
        </w:rPr>
        <w:t xml:space="preserve"> </w:t>
      </w:r>
      <w:r>
        <w:rPr>
          <w:rStyle w:val="AboutandContactBody"/>
          <w:rFonts w:asciiTheme="majorHAnsi" w:hAnsiTheme="majorHAnsi"/>
        </w:rPr>
        <w:t>464</w:t>
      </w:r>
    </w:p>
    <w:p w14:paraId="663765B3" w14:textId="7779C449" w:rsidR="00BF6E82" w:rsidRPr="00493327" w:rsidRDefault="00BF6E82" w:rsidP="00BF6E82">
      <w:pPr>
        <w:tabs>
          <w:tab w:val="left" w:pos="1080"/>
          <w:tab w:val="left" w:pos="4500"/>
        </w:tabs>
        <w:rPr>
          <w:rStyle w:val="AboutandContactBody"/>
        </w:rPr>
      </w:pPr>
      <w:r w:rsidRPr="00493327">
        <w:rPr>
          <w:rStyle w:val="AboutandContactBody"/>
        </w:rPr>
        <w:t>Email</w:t>
      </w:r>
      <w:r w:rsidRPr="00493327">
        <w:rPr>
          <w:rStyle w:val="AboutandContactBody"/>
        </w:rPr>
        <w:tab/>
      </w:r>
      <w:hyperlink r:id="rId13" w:history="1">
        <w:r w:rsidR="00A82309" w:rsidRPr="00732EA5">
          <w:rPr>
            <w:rStyle w:val="Hyperlink"/>
            <w:rFonts w:asciiTheme="majorHAnsi" w:hAnsiTheme="majorHAnsi"/>
            <w:szCs w:val="24"/>
          </w:rPr>
          <w:t>Julija.lojen-baltic@henkel.com</w:t>
        </w:r>
      </w:hyperlink>
    </w:p>
    <w:p w14:paraId="76457730" w14:textId="77777777" w:rsidR="00BF6E82" w:rsidRPr="00493327" w:rsidRDefault="00BF6E82" w:rsidP="00BF6E82">
      <w:pPr>
        <w:rPr>
          <w:rStyle w:val="AboutandContactBody"/>
        </w:rPr>
      </w:pPr>
    </w:p>
    <w:p w14:paraId="1CAE75D3" w14:textId="287D12DE" w:rsidR="00112A28" w:rsidRPr="00493327" w:rsidRDefault="001B3D18" w:rsidP="001577E9">
      <w:pPr>
        <w:rPr>
          <w:rStyle w:val="AboutandContactBody"/>
        </w:rPr>
      </w:pPr>
      <w:hyperlink r:id="rId14" w:history="1">
        <w:r w:rsidR="00A82309" w:rsidRPr="00732EA5">
          <w:rPr>
            <w:rStyle w:val="Hyperlink"/>
            <w:rFonts w:asciiTheme="majorHAnsi" w:hAnsiTheme="majorHAnsi"/>
            <w:szCs w:val="24"/>
          </w:rPr>
          <w:t>www.henkel.si/novinarsko-sredisce</w:t>
        </w:r>
      </w:hyperlink>
    </w:p>
    <w:sectPr w:rsidR="00112A28"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268700F" w:rsidR="00CF6F33" w:rsidRPr="0060222C" w:rsidRDefault="0059722C" w:rsidP="00EB46D9">
    <w:pPr>
      <w:pStyle w:val="Header"/>
      <w:rPr>
        <w:lang w:val="sl-SI"/>
      </w:rPr>
    </w:pPr>
    <w:r w:rsidRPr="0060222C">
      <w:rPr>
        <w:noProof/>
        <w:lang w:val="sl-SI"/>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60222C">
      <w:rPr>
        <w:noProof/>
        <w:lang w:val="sl-SI"/>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60222C" w:rsidRPr="0060222C">
      <w:rPr>
        <w:lang w:val="sl-SI"/>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3D18"/>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535A5"/>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222C"/>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2309"/>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A82309"/>
    <w:pPr>
      <w:spacing w:after="160" w:line="276" w:lineRule="auto"/>
    </w:pPr>
    <w:rPr>
      <w:rFonts w:ascii="Arial" w:eastAsiaTheme="minorHAnsi" w:hAnsi="Arial" w:cstheme="minorBidi"/>
      <w:sz w:val="24"/>
      <w:szCs w:val="22"/>
      <w:lang w:val="de-DE"/>
    </w:rPr>
  </w:style>
  <w:style w:type="paragraph" w:styleId="NormalWeb">
    <w:name w:val="Normal (Web)"/>
    <w:basedOn w:val="Normal"/>
    <w:rsid w:val="001B3D18"/>
    <w:pPr>
      <w:spacing w:before="100" w:beforeAutospacing="1" w:after="100" w:afterAutospacing="1" w:line="240" w:lineRule="auto"/>
      <w:jc w:val="left"/>
    </w:pPr>
    <w:rPr>
      <w:rFonts w:ascii="Times New Roman" w:hAnsi="Times New Roman"/>
      <w:sz w:val="24"/>
      <w:lang w:val="sl-SI" w:eastAsia="sl-SI"/>
    </w:rPr>
  </w:style>
  <w:style w:type="character" w:customStyle="1" w:styleId="tlid-translationtranslation">
    <w:name w:val="tlid-translation translation"/>
    <w:basedOn w:val="DefaultParagraphFont"/>
    <w:rsid w:val="001B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novinarsko-sredis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696</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5182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2</cp:revision>
  <cp:lastPrinted>2016-11-16T01:11:00Z</cp:lastPrinted>
  <dcterms:created xsi:type="dcterms:W3CDTF">2021-05-03T07:59:00Z</dcterms:created>
  <dcterms:modified xsi:type="dcterms:W3CDTF">2021-05-03T07:59:00Z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