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9A44610" w:rsidR="00B422EC" w:rsidRPr="00A20162" w:rsidRDefault="00E11179" w:rsidP="000772EB">
      <w:pPr>
        <w:pStyle w:val="MonthDayYear"/>
        <w:spacing w:after="240" w:line="240" w:lineRule="auto"/>
        <w:rPr>
          <w:lang w:val="pl-PL"/>
        </w:rPr>
      </w:pPr>
      <w:r>
        <w:rPr>
          <w:lang w:val="pl-PL"/>
        </w:rPr>
        <w:t>12 sierpnia</w:t>
      </w:r>
      <w:r w:rsidR="000F669A">
        <w:rPr>
          <w:lang w:val="pl-PL"/>
        </w:rPr>
        <w:t xml:space="preserve"> </w:t>
      </w:r>
      <w:r w:rsidR="00014767">
        <w:rPr>
          <w:lang w:val="pl-PL"/>
        </w:rPr>
        <w:t>2021 r.</w:t>
      </w:r>
    </w:p>
    <w:p w14:paraId="59A79DBE" w14:textId="3E20C15C" w:rsidR="00B72D53" w:rsidRPr="00B72D53" w:rsidRDefault="00B72D53" w:rsidP="000772EB">
      <w:pPr>
        <w:spacing w:before="120" w:after="240" w:line="240" w:lineRule="auto"/>
        <w:rPr>
          <w:lang w:val="pl-PL"/>
        </w:rPr>
      </w:pPr>
    </w:p>
    <w:p w14:paraId="0E5B6276" w14:textId="6D374DF4" w:rsidR="00B72D53" w:rsidRDefault="0009423E" w:rsidP="000772EB">
      <w:pPr>
        <w:spacing w:before="120" w:after="240" w:line="240" w:lineRule="auto"/>
        <w:ind w:left="-5"/>
        <w:rPr>
          <w:lang w:val="pl"/>
        </w:rPr>
      </w:pPr>
      <w:r w:rsidRPr="0009423E">
        <w:rPr>
          <w:lang w:val="pl"/>
        </w:rPr>
        <w:t xml:space="preserve">Realizacja </w:t>
      </w:r>
      <w:r w:rsidR="009C62DD">
        <w:rPr>
          <w:lang w:val="pl"/>
        </w:rPr>
        <w:t>strategii ukierunkowanego rozwoju</w:t>
      </w:r>
      <w:r w:rsidRPr="0009423E">
        <w:rPr>
          <w:lang w:val="pl"/>
        </w:rPr>
        <w:t xml:space="preserve"> zgodnie z planem</w:t>
      </w:r>
    </w:p>
    <w:p w14:paraId="597AA26F" w14:textId="77777777" w:rsidR="0009423E" w:rsidRPr="00B72D53" w:rsidRDefault="0009423E" w:rsidP="000772EB">
      <w:pPr>
        <w:spacing w:before="120" w:after="240" w:line="240" w:lineRule="auto"/>
        <w:ind w:left="-5"/>
        <w:rPr>
          <w:lang w:val="pl-PL"/>
        </w:rPr>
      </w:pPr>
    </w:p>
    <w:p w14:paraId="62DCF393" w14:textId="52FD9BAE" w:rsidR="00B72D53" w:rsidRDefault="00E11179" w:rsidP="000772EB">
      <w:pPr>
        <w:pStyle w:val="Nagwek1"/>
        <w:spacing w:before="120" w:after="240" w:line="240" w:lineRule="auto"/>
        <w:ind w:left="-5"/>
        <w:rPr>
          <w:b w:val="0"/>
          <w:sz w:val="22"/>
          <w:lang w:val="pl"/>
        </w:rPr>
      </w:pPr>
      <w:r w:rsidRPr="00E11179">
        <w:rPr>
          <w:lang w:val="pl"/>
        </w:rPr>
        <w:t>Bardzo dobre wyniki Henk</w:t>
      </w:r>
      <w:r>
        <w:rPr>
          <w:lang w:val="pl"/>
        </w:rPr>
        <w:t>la</w:t>
      </w:r>
      <w:r w:rsidRPr="00E11179">
        <w:rPr>
          <w:lang w:val="pl"/>
        </w:rPr>
        <w:t xml:space="preserve"> za pierwsze półrocze – dwucyfrowy wzrost sprzedaży i zysku w ujęciu organicznym</w:t>
      </w:r>
      <w:r w:rsidR="00B72D53">
        <w:rPr>
          <w:b w:val="0"/>
          <w:sz w:val="22"/>
          <w:lang w:val="pl"/>
        </w:rPr>
        <w:t xml:space="preserve"> </w:t>
      </w:r>
    </w:p>
    <w:p w14:paraId="19CD89E4" w14:textId="77777777" w:rsidR="00E11179" w:rsidRPr="00E11179" w:rsidRDefault="00E11179" w:rsidP="00E11179">
      <w:pPr>
        <w:rPr>
          <w:lang w:val="pl-PL"/>
        </w:rPr>
      </w:pPr>
    </w:p>
    <w:p w14:paraId="674E6E28" w14:textId="04858471" w:rsidR="008009DA" w:rsidRPr="008009DA" w:rsidRDefault="008009DA" w:rsidP="00E11179">
      <w:pPr>
        <w:pStyle w:val="Akapitzlist"/>
        <w:widowControl w:val="0"/>
        <w:numPr>
          <w:ilvl w:val="0"/>
          <w:numId w:val="10"/>
        </w:numPr>
        <w:tabs>
          <w:tab w:val="left" w:pos="468"/>
          <w:tab w:val="left" w:pos="469"/>
        </w:tabs>
        <w:autoSpaceDE w:val="0"/>
        <w:autoSpaceDN w:val="0"/>
        <w:spacing w:before="120" w:after="120" w:line="288" w:lineRule="auto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Sprzedaż </w:t>
      </w:r>
      <w:r w:rsidRPr="008009DA">
        <w:rPr>
          <w:rFonts w:asciiTheme="minorHAnsi" w:hAnsiTheme="minorHAnsi" w:cstheme="minorHAnsi"/>
          <w:b/>
          <w:bCs/>
          <w:szCs w:val="22"/>
          <w:lang w:val="pl-PL"/>
        </w:rPr>
        <w:t>zwiększyła się w ujęciu organicznym o 11,3% (w ujęciu nominalnym o 4,7%) do poziomu ok 10 mld EUR, dzięki dobrym wynikom w poszczególnych sektorach biznesowych i regionach</w:t>
      </w:r>
    </w:p>
    <w:p w14:paraId="57C285DC" w14:textId="3DF12613" w:rsidR="00E11179" w:rsidRPr="00E11179" w:rsidRDefault="00E11179" w:rsidP="00E11179">
      <w:pPr>
        <w:pStyle w:val="Akapitzlist"/>
        <w:widowControl w:val="0"/>
        <w:numPr>
          <w:ilvl w:val="0"/>
          <w:numId w:val="10"/>
        </w:numPr>
        <w:tabs>
          <w:tab w:val="left" w:pos="468"/>
          <w:tab w:val="left" w:pos="469"/>
        </w:tabs>
        <w:autoSpaceDE w:val="0"/>
        <w:autoSpaceDN w:val="0"/>
        <w:spacing w:before="120" w:after="120" w:line="288" w:lineRule="auto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>Zysk z działalności operacyjnej* zwiększył się o 20,1% do kwoty 1</w:t>
      </w:r>
      <w:r w:rsidR="00314405">
        <w:rPr>
          <w:rFonts w:asciiTheme="minorHAnsi" w:hAnsiTheme="minorHAnsi" w:cstheme="minorHAnsi"/>
          <w:b/>
          <w:bCs/>
          <w:szCs w:val="22"/>
          <w:lang w:val="pl-PL"/>
        </w:rPr>
        <w:t>,</w:t>
      </w: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430 </w:t>
      </w:r>
      <w:r w:rsidR="00314405">
        <w:rPr>
          <w:rFonts w:asciiTheme="minorHAnsi" w:hAnsiTheme="minorHAnsi" w:cstheme="minorHAnsi"/>
          <w:b/>
          <w:bCs/>
          <w:szCs w:val="22"/>
          <w:lang w:val="pl-PL"/>
        </w:rPr>
        <w:t>mld EUR</w:t>
      </w:r>
    </w:p>
    <w:p w14:paraId="5C962AA0" w14:textId="06AA812D" w:rsidR="00E11179" w:rsidRPr="00E11179" w:rsidRDefault="00E11179" w:rsidP="00E11179">
      <w:pPr>
        <w:pStyle w:val="Akapitzlist"/>
        <w:widowControl w:val="0"/>
        <w:numPr>
          <w:ilvl w:val="0"/>
          <w:numId w:val="10"/>
        </w:numPr>
        <w:tabs>
          <w:tab w:val="left" w:pos="468"/>
          <w:tab w:val="left" w:pos="469"/>
        </w:tabs>
        <w:autoSpaceDE w:val="0"/>
        <w:autoSpaceDN w:val="0"/>
        <w:spacing w:before="120" w:after="120" w:line="288" w:lineRule="auto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Marża EBIT* wzrosła o 1,9 </w:t>
      </w:r>
      <w:proofErr w:type="spellStart"/>
      <w:r w:rsidRPr="00E11179">
        <w:rPr>
          <w:rFonts w:asciiTheme="minorHAnsi" w:hAnsiTheme="minorHAnsi" w:cstheme="minorHAnsi"/>
          <w:b/>
          <w:bCs/>
          <w:szCs w:val="22"/>
          <w:lang w:val="pl-PL"/>
        </w:rPr>
        <w:t>p.p</w:t>
      </w:r>
      <w:proofErr w:type="spellEnd"/>
      <w:r w:rsidRPr="00E11179">
        <w:rPr>
          <w:rFonts w:asciiTheme="minorHAnsi" w:hAnsiTheme="minorHAnsi" w:cstheme="minorHAnsi"/>
          <w:b/>
          <w:bCs/>
          <w:szCs w:val="22"/>
          <w:lang w:val="pl-PL"/>
        </w:rPr>
        <w:t>. do 14,4%</w:t>
      </w:r>
    </w:p>
    <w:p w14:paraId="07EE36F0" w14:textId="319CE0BA" w:rsidR="00E11179" w:rsidRPr="00E11179" w:rsidRDefault="00E11179" w:rsidP="00E11179">
      <w:pPr>
        <w:pStyle w:val="Akapitzlist"/>
        <w:widowControl w:val="0"/>
        <w:numPr>
          <w:ilvl w:val="0"/>
          <w:numId w:val="10"/>
        </w:numPr>
        <w:tabs>
          <w:tab w:val="left" w:pos="468"/>
          <w:tab w:val="left" w:pos="469"/>
        </w:tabs>
        <w:autoSpaceDE w:val="0"/>
        <w:autoSpaceDN w:val="0"/>
        <w:spacing w:before="120" w:after="120" w:line="288" w:lineRule="auto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Zysk na akcję uprzywilejowaną (EPS)* zwiększył się o 22,4% do 2,40 </w:t>
      </w:r>
      <w:r w:rsidR="00314405">
        <w:rPr>
          <w:rFonts w:asciiTheme="minorHAnsi" w:hAnsiTheme="minorHAnsi" w:cstheme="minorHAnsi"/>
          <w:b/>
          <w:bCs/>
          <w:szCs w:val="22"/>
          <w:lang w:val="pl-PL"/>
        </w:rPr>
        <w:t>EUR</w:t>
      </w: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</w:p>
    <w:p w14:paraId="58BE3D7F" w14:textId="6A661164" w:rsidR="00E11179" w:rsidRPr="00E11179" w:rsidRDefault="00E11179" w:rsidP="00E11179">
      <w:pPr>
        <w:spacing w:before="120" w:after="120" w:line="288" w:lineRule="auto"/>
        <w:ind w:left="468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>(wg stałych kursów wymiany wzrost o 30,1%)</w:t>
      </w:r>
    </w:p>
    <w:p w14:paraId="154A26B4" w14:textId="19FA6D71" w:rsidR="00E11179" w:rsidRPr="00E11179" w:rsidRDefault="00E11179" w:rsidP="00E11179">
      <w:pPr>
        <w:pStyle w:val="Akapitzlist"/>
        <w:widowControl w:val="0"/>
        <w:numPr>
          <w:ilvl w:val="0"/>
          <w:numId w:val="10"/>
        </w:numPr>
        <w:tabs>
          <w:tab w:val="left" w:pos="468"/>
          <w:tab w:val="left" w:pos="469"/>
        </w:tabs>
        <w:autoSpaceDE w:val="0"/>
        <w:autoSpaceDN w:val="0"/>
        <w:spacing w:before="120" w:after="120" w:line="288" w:lineRule="auto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Znaczny postęp we wszystkich obszarach </w:t>
      </w:r>
      <w:r w:rsidR="00ED6AA5">
        <w:rPr>
          <w:rFonts w:asciiTheme="minorHAnsi" w:hAnsiTheme="minorHAnsi" w:cstheme="minorHAnsi"/>
          <w:b/>
          <w:bCs/>
          <w:szCs w:val="22"/>
          <w:lang w:val="pl-PL"/>
        </w:rPr>
        <w:t>Strategii</w:t>
      </w: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ED6AA5">
        <w:rPr>
          <w:rFonts w:asciiTheme="minorHAnsi" w:hAnsiTheme="minorHAnsi" w:cstheme="minorHAnsi"/>
          <w:b/>
          <w:bCs/>
          <w:szCs w:val="22"/>
          <w:lang w:val="pl-PL"/>
        </w:rPr>
        <w:t>U</w:t>
      </w: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kierunkowanego </w:t>
      </w:r>
      <w:r w:rsidR="00ED6AA5">
        <w:rPr>
          <w:rFonts w:asciiTheme="minorHAnsi" w:hAnsiTheme="minorHAnsi" w:cstheme="minorHAnsi"/>
          <w:b/>
          <w:bCs/>
          <w:szCs w:val="22"/>
          <w:lang w:val="pl-PL"/>
        </w:rPr>
        <w:t>R</w:t>
      </w: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ozwoju </w:t>
      </w:r>
    </w:p>
    <w:p w14:paraId="58BB7AA4" w14:textId="77777777" w:rsidR="00E11179" w:rsidRPr="00E11179" w:rsidRDefault="00E11179" w:rsidP="00E11179">
      <w:pPr>
        <w:pStyle w:val="Akapitzlist"/>
        <w:widowControl w:val="0"/>
        <w:numPr>
          <w:ilvl w:val="0"/>
          <w:numId w:val="10"/>
        </w:numPr>
        <w:tabs>
          <w:tab w:val="left" w:pos="468"/>
          <w:tab w:val="left" w:pos="469"/>
        </w:tabs>
        <w:autoSpaceDE w:val="0"/>
        <w:autoSpaceDN w:val="0"/>
        <w:spacing w:before="120" w:after="120" w:line="288" w:lineRule="auto"/>
        <w:ind w:right="1658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>Aktualizacja prognozy na rok obrotowy 2021: wyższy wzrost sprzedaży przy niezmienionej prognozie zysku</w:t>
      </w:r>
    </w:p>
    <w:p w14:paraId="2B5CC8B6" w14:textId="2BA9C304" w:rsidR="00E11179" w:rsidRPr="00E11179" w:rsidRDefault="00E11179" w:rsidP="00E11179">
      <w:pPr>
        <w:pStyle w:val="Akapitzlist"/>
        <w:widowControl w:val="0"/>
        <w:numPr>
          <w:ilvl w:val="1"/>
          <w:numId w:val="10"/>
        </w:numPr>
        <w:tabs>
          <w:tab w:val="left" w:pos="810"/>
          <w:tab w:val="left" w:pos="811"/>
        </w:tabs>
        <w:autoSpaceDE w:val="0"/>
        <w:autoSpaceDN w:val="0"/>
        <w:spacing w:before="120" w:after="120" w:line="288" w:lineRule="auto"/>
        <w:ind w:hanging="361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>Wzrost sprzedaży w ujęciu organicznym: 6,0%–8,0% (poprzednio: 4,0%–6,0%)</w:t>
      </w:r>
    </w:p>
    <w:p w14:paraId="218CAD82" w14:textId="77777777" w:rsidR="00E11179" w:rsidRPr="00E11179" w:rsidRDefault="00E11179" w:rsidP="00E11179">
      <w:pPr>
        <w:pStyle w:val="Akapitzlist"/>
        <w:widowControl w:val="0"/>
        <w:numPr>
          <w:ilvl w:val="1"/>
          <w:numId w:val="10"/>
        </w:numPr>
        <w:tabs>
          <w:tab w:val="left" w:pos="810"/>
          <w:tab w:val="left" w:pos="811"/>
        </w:tabs>
        <w:autoSpaceDE w:val="0"/>
        <w:autoSpaceDN w:val="0"/>
        <w:spacing w:before="120" w:after="120" w:line="288" w:lineRule="auto"/>
        <w:ind w:hanging="361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>marża EBIT*: 13,5%–14,5% (poprzednio: 14,0%–15,0%)</w:t>
      </w:r>
    </w:p>
    <w:p w14:paraId="2CE92154" w14:textId="71B318E7" w:rsidR="00E11179" w:rsidRPr="00E11179" w:rsidRDefault="00E11179" w:rsidP="00E11179">
      <w:pPr>
        <w:pStyle w:val="Akapitzlist"/>
        <w:widowControl w:val="0"/>
        <w:numPr>
          <w:ilvl w:val="1"/>
          <w:numId w:val="10"/>
        </w:numPr>
        <w:tabs>
          <w:tab w:val="left" w:pos="810"/>
          <w:tab w:val="left" w:pos="811"/>
        </w:tabs>
        <w:autoSpaceDE w:val="0"/>
        <w:autoSpaceDN w:val="0"/>
        <w:spacing w:before="120" w:after="120" w:line="288" w:lineRule="auto"/>
        <w:ind w:right="1675"/>
        <w:contextualSpacing w:val="0"/>
        <w:jc w:val="left"/>
        <w:rPr>
          <w:rFonts w:asciiTheme="minorHAnsi" w:hAnsiTheme="minorHAnsi" w:cstheme="minorHAnsi"/>
          <w:b/>
          <w:szCs w:val="22"/>
          <w:lang w:val="pl-PL"/>
        </w:rPr>
      </w:pPr>
      <w:r w:rsidRPr="00E11179">
        <w:rPr>
          <w:rFonts w:asciiTheme="minorHAnsi" w:hAnsiTheme="minorHAnsi" w:cstheme="minorHAnsi"/>
          <w:b/>
          <w:bCs/>
          <w:szCs w:val="22"/>
          <w:lang w:val="pl-PL"/>
        </w:rPr>
        <w:t xml:space="preserve">Zysk na akcję uprzywilejowaną*: </w:t>
      </w:r>
      <w:r w:rsidR="00521BD4">
        <w:rPr>
          <w:rFonts w:asciiTheme="minorHAnsi" w:hAnsiTheme="minorHAnsi" w:cstheme="minorHAnsi"/>
          <w:b/>
          <w:bCs/>
          <w:szCs w:val="22"/>
          <w:lang w:val="pl-PL"/>
        </w:rPr>
        <w:t>w</w:t>
      </w:r>
      <w:r w:rsidRPr="00E11179">
        <w:rPr>
          <w:rFonts w:asciiTheme="minorHAnsi" w:hAnsiTheme="minorHAnsi" w:cstheme="minorHAnsi"/>
          <w:b/>
          <w:bCs/>
          <w:szCs w:val="22"/>
          <w:lang w:val="pl-PL"/>
        </w:rPr>
        <w:t>ysoki jednocyfrowy lub kilkunastoprocentowy wzrost przy założeniu niezmienionych kursów walut (bez zmian)</w:t>
      </w:r>
    </w:p>
    <w:p w14:paraId="60FE7264" w14:textId="3E6D2DF1" w:rsidR="00E11179" w:rsidRDefault="00E11179" w:rsidP="000772EB">
      <w:pPr>
        <w:spacing w:before="120" w:after="240" w:line="240" w:lineRule="auto"/>
        <w:ind w:left="-5"/>
        <w:rPr>
          <w:lang w:val="pl-PL"/>
        </w:rPr>
      </w:pPr>
      <w:proofErr w:type="spellStart"/>
      <w:r w:rsidRPr="00E11179">
        <w:rPr>
          <w:lang w:val="pl-PL"/>
        </w:rPr>
        <w:t>Düsseldorf</w:t>
      </w:r>
      <w:proofErr w:type="spellEnd"/>
      <w:r w:rsidRPr="00E11179">
        <w:rPr>
          <w:lang w:val="pl-PL"/>
        </w:rPr>
        <w:t xml:space="preserve"> – Po dobrym początku roku obrotowego 2021, Henkel dalej zwiększał dynamikę sprzedaży w okresie pierwszego półrocza, po uwzględnieniu korekty o różnice kursowe </w:t>
      </w:r>
      <w:r w:rsidR="000F3C29">
        <w:rPr>
          <w:lang w:val="pl-PL"/>
        </w:rPr>
        <w:lastRenderedPageBreak/>
        <w:t>poprawiając wynik</w:t>
      </w:r>
      <w:r w:rsidRPr="00E11179">
        <w:rPr>
          <w:lang w:val="pl-PL"/>
        </w:rPr>
        <w:t xml:space="preserve"> z 2019 roku</w:t>
      </w:r>
      <w:r w:rsidR="004A6038">
        <w:rPr>
          <w:lang w:val="pl-PL"/>
        </w:rPr>
        <w:t>,</w:t>
      </w:r>
      <w:r w:rsidRPr="00E11179">
        <w:rPr>
          <w:lang w:val="pl-PL"/>
        </w:rPr>
        <w:t xml:space="preserve"> czyli sprzed kryzysu. Pomimo skutków globalnego kryzysu wywołanego pandemią </w:t>
      </w:r>
      <w:proofErr w:type="spellStart"/>
      <w:r w:rsidRPr="00E11179">
        <w:rPr>
          <w:lang w:val="pl-PL"/>
        </w:rPr>
        <w:t>koronawirusa</w:t>
      </w:r>
      <w:proofErr w:type="spellEnd"/>
      <w:r w:rsidRPr="00E11179">
        <w:rPr>
          <w:lang w:val="pl-PL"/>
        </w:rPr>
        <w:t xml:space="preserve">, które nadal negatywnie wpływają na otoczenie społeczne i gospodarcze w wielu krajach świata, w pierwszej połowie roku Henkel odnotował znaczny wzrost sprzedaży i zysku. W pierwszych sześciu miesiącach 2021 roku wzrost sprzedaży w ujęciu organicznym wyniósł 11,3%. Wartość sprzedaży Grupy wyniosła ok. 10 mld </w:t>
      </w:r>
      <w:r w:rsidR="00314405">
        <w:rPr>
          <w:lang w:val="pl-PL"/>
        </w:rPr>
        <w:t>EUR</w:t>
      </w:r>
      <w:r w:rsidRPr="00E11179">
        <w:rPr>
          <w:lang w:val="pl-PL"/>
        </w:rPr>
        <w:t>, co oznacza wzrost o 4,7% w ujęciu nominalnym.</w:t>
      </w:r>
    </w:p>
    <w:p w14:paraId="207C2441" w14:textId="74794611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>Skorygowany zysk operacyjny wzrósł o 20,1% do 1</w:t>
      </w:r>
      <w:r w:rsidR="00C11298">
        <w:rPr>
          <w:lang w:val="pl-PL"/>
        </w:rPr>
        <w:t>,</w:t>
      </w:r>
      <w:r w:rsidRPr="00E11179">
        <w:rPr>
          <w:lang w:val="pl-PL"/>
        </w:rPr>
        <w:t xml:space="preserve">430 </w:t>
      </w:r>
      <w:r w:rsidR="00C11298">
        <w:rPr>
          <w:lang w:val="pl-PL"/>
        </w:rPr>
        <w:t>mld EUR</w:t>
      </w:r>
      <w:r w:rsidRPr="00E11179">
        <w:rPr>
          <w:lang w:val="pl-PL"/>
        </w:rPr>
        <w:t>, a skorygowana marża EBIT zwiększyła się o 1,9 p.</w:t>
      </w:r>
      <w:r w:rsidR="00521BD4">
        <w:rPr>
          <w:lang w:val="pl-PL"/>
        </w:rPr>
        <w:t xml:space="preserve"> </w:t>
      </w:r>
      <w:r w:rsidRPr="00E11179">
        <w:rPr>
          <w:lang w:val="pl-PL"/>
        </w:rPr>
        <w:t>p. i osiągnęła poziom 14,4%, co oznacza wzrost o 1,9 p.</w:t>
      </w:r>
      <w:r w:rsidR="00521BD4">
        <w:rPr>
          <w:lang w:val="pl-PL"/>
        </w:rPr>
        <w:t xml:space="preserve"> </w:t>
      </w:r>
      <w:r w:rsidRPr="00E11179">
        <w:rPr>
          <w:lang w:val="pl-PL"/>
        </w:rPr>
        <w:t>p. w ujęciu rok do roku. Przy założeniu stałych kursów walut skorygowany zysk na akcję uprzywilejowaną był wyższy o 30,1%. Wpływ wyższych kosztów surowców odnotowany w pierwszej połowie roku został zniwelowany głównie dzięki wysokim wzrostom wolumen</w:t>
      </w:r>
      <w:r w:rsidR="00521BD4">
        <w:rPr>
          <w:lang w:val="pl-PL"/>
        </w:rPr>
        <w:t>u sprzedaży oraz</w:t>
      </w:r>
      <w:r w:rsidRPr="00E11179">
        <w:rPr>
          <w:lang w:val="pl-PL"/>
        </w:rPr>
        <w:t xml:space="preserve"> cen, ścisłemu zarządzaniu kosztami i poprawie efektywności.</w:t>
      </w:r>
    </w:p>
    <w:p w14:paraId="4B852F77" w14:textId="22A1DD2F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– </w:t>
      </w:r>
      <w:r w:rsidRPr="00C11298">
        <w:rPr>
          <w:i/>
          <w:iCs/>
          <w:lang w:val="pl-PL"/>
        </w:rPr>
        <w:t xml:space="preserve">W pierwszej połowie 2021 roku Henkel nadal odczuwał skutki pandemii COVID-19. Jednak zdołaliśmy osiągnąć dwucyfrowy wzrost sprzedaży i zysku. Sprzedaż skorygowana o różnice kursowe już przekroczyła poziom sprzed kryzysu odnotowany w 2019 roku. Cel ten udało nam się osiągnąć głównie dzięki </w:t>
      </w:r>
      <w:r w:rsidR="00521BD4">
        <w:rPr>
          <w:i/>
          <w:iCs/>
          <w:lang w:val="pl-PL"/>
        </w:rPr>
        <w:t>doskonałej</w:t>
      </w:r>
      <w:r w:rsidRPr="00C11298">
        <w:rPr>
          <w:i/>
          <w:iCs/>
          <w:lang w:val="pl-PL"/>
        </w:rPr>
        <w:t xml:space="preserve"> współpracy i zaangażowaniu naszych pracowników na całym świecie, a także zrównoważone</w:t>
      </w:r>
      <w:r w:rsidR="000F3C29">
        <w:rPr>
          <w:i/>
          <w:iCs/>
          <w:lang w:val="pl-PL"/>
        </w:rPr>
        <w:t>mu</w:t>
      </w:r>
      <w:r w:rsidRPr="00C11298">
        <w:rPr>
          <w:i/>
          <w:iCs/>
          <w:lang w:val="pl-PL"/>
        </w:rPr>
        <w:t xml:space="preserve"> </w:t>
      </w:r>
      <w:r w:rsidR="00ED6AA5">
        <w:rPr>
          <w:i/>
          <w:iCs/>
          <w:lang w:val="pl-PL"/>
        </w:rPr>
        <w:t>portfolio</w:t>
      </w:r>
      <w:r w:rsidRPr="00C11298">
        <w:rPr>
          <w:i/>
          <w:iCs/>
          <w:lang w:val="pl-PL"/>
        </w:rPr>
        <w:t xml:space="preserve"> silnych marek </w:t>
      </w:r>
      <w:r w:rsidR="00521BD4">
        <w:rPr>
          <w:i/>
          <w:iCs/>
          <w:lang w:val="pl-PL"/>
        </w:rPr>
        <w:t>i</w:t>
      </w:r>
      <w:r w:rsidRPr="00C11298">
        <w:rPr>
          <w:i/>
          <w:iCs/>
          <w:lang w:val="pl-PL"/>
        </w:rPr>
        <w:t xml:space="preserve"> innowacyjnych technologii </w:t>
      </w:r>
      <w:r w:rsidR="000F3C29">
        <w:rPr>
          <w:i/>
          <w:iCs/>
          <w:lang w:val="pl-PL"/>
        </w:rPr>
        <w:t>w</w:t>
      </w:r>
      <w:r w:rsidRPr="00C11298">
        <w:rPr>
          <w:i/>
          <w:iCs/>
          <w:lang w:val="pl-PL"/>
        </w:rPr>
        <w:t xml:space="preserve"> segment</w:t>
      </w:r>
      <w:r w:rsidR="000F3C29">
        <w:rPr>
          <w:i/>
          <w:iCs/>
          <w:lang w:val="pl-PL"/>
        </w:rPr>
        <w:t>ach</w:t>
      </w:r>
      <w:r w:rsidRPr="00C11298">
        <w:rPr>
          <w:i/>
          <w:iCs/>
          <w:lang w:val="pl-PL"/>
        </w:rPr>
        <w:t xml:space="preserve"> przemysłow</w:t>
      </w:r>
      <w:r w:rsidR="000F3C29">
        <w:rPr>
          <w:i/>
          <w:iCs/>
          <w:lang w:val="pl-PL"/>
        </w:rPr>
        <w:t>ym</w:t>
      </w:r>
      <w:r w:rsidRPr="00C11298">
        <w:rPr>
          <w:i/>
          <w:iCs/>
          <w:lang w:val="pl-PL"/>
        </w:rPr>
        <w:t xml:space="preserve"> i dóbr konsumpcyjnych</w:t>
      </w:r>
      <w:r w:rsidRPr="00E11179">
        <w:rPr>
          <w:lang w:val="pl-PL"/>
        </w:rPr>
        <w:t xml:space="preserve"> – powiedział </w:t>
      </w:r>
      <w:proofErr w:type="spellStart"/>
      <w:r w:rsidRPr="00E11179">
        <w:rPr>
          <w:lang w:val="pl-PL"/>
        </w:rPr>
        <w:t>Carsten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Knobel</w:t>
      </w:r>
      <w:proofErr w:type="spellEnd"/>
      <w:r w:rsidRPr="00E11179">
        <w:rPr>
          <w:lang w:val="pl-PL"/>
        </w:rPr>
        <w:t xml:space="preserve">, prezes zarządu </w:t>
      </w:r>
      <w:r w:rsidR="000F3C29">
        <w:rPr>
          <w:lang w:val="pl-PL"/>
        </w:rPr>
        <w:t xml:space="preserve">firmy </w:t>
      </w:r>
      <w:r w:rsidRPr="00E11179">
        <w:rPr>
          <w:lang w:val="pl-PL"/>
        </w:rPr>
        <w:t>Henkel.</w:t>
      </w:r>
    </w:p>
    <w:p w14:paraId="359345C5" w14:textId="33766182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Wszystkie sektory biznesowe i regiony miały swój wkład we wzrost sprzedaży w ujęciu organicznym w pierwszym półroczu 2021 roku. W pierwszej połowie roku największą dynamikę sprzedaży odnotował sektor </w:t>
      </w:r>
      <w:proofErr w:type="spellStart"/>
      <w:r w:rsidRPr="00E11179">
        <w:rPr>
          <w:lang w:val="pl-PL"/>
        </w:rPr>
        <w:t>Adhesive</w:t>
      </w:r>
      <w:proofErr w:type="spellEnd"/>
      <w:r w:rsidRPr="00E11179">
        <w:rPr>
          <w:lang w:val="pl-PL"/>
        </w:rPr>
        <w:t xml:space="preserve"> Technologies (kleje budowlane i konsumenckie oraz kleje i technologie dla przemysłu). Sektor ten zwiększył sprzedaż w ujęciu organicznym we wszystkich regionach i obszarach biznesowych, osiągając dwucyfrowy wzrost. Sprzyjało temu znaczne ożywienie w gospodarce światowej. Henkel odnotował wzrost sprzedaży w ujęciu organicznym również w sektorach biznesowych </w:t>
      </w:r>
      <w:proofErr w:type="spellStart"/>
      <w:r w:rsidRPr="00E11179">
        <w:rPr>
          <w:lang w:val="pl-PL"/>
        </w:rPr>
        <w:t>Beauty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(kosmetyki) oraz </w:t>
      </w:r>
      <w:proofErr w:type="spellStart"/>
      <w:r w:rsidRPr="00E11179">
        <w:rPr>
          <w:lang w:val="pl-PL"/>
        </w:rPr>
        <w:t>Laundry</w:t>
      </w:r>
      <w:proofErr w:type="spellEnd"/>
      <w:r w:rsidRPr="00E11179">
        <w:rPr>
          <w:lang w:val="pl-PL"/>
        </w:rPr>
        <w:t xml:space="preserve"> &amp; Home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(środki piorące i czystości). Sytuacja wyglądała jednak różnie w poszczególnych obszarach biznesowych. W sektorze </w:t>
      </w:r>
      <w:proofErr w:type="spellStart"/>
      <w:r w:rsidRPr="00E11179">
        <w:rPr>
          <w:lang w:val="pl-PL"/>
        </w:rPr>
        <w:t>Beauty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(kosmetyki) do wzrostu przyczyniły się wyniki segmentu </w:t>
      </w:r>
      <w:r w:rsidR="000F3C29">
        <w:rPr>
          <w:lang w:val="pl-PL"/>
        </w:rPr>
        <w:t>kosmetyków</w:t>
      </w:r>
      <w:r w:rsidR="000F3C29" w:rsidRPr="00E11179">
        <w:rPr>
          <w:lang w:val="pl-PL"/>
        </w:rPr>
        <w:t xml:space="preserve"> </w:t>
      </w:r>
      <w:r w:rsidRPr="00E11179">
        <w:rPr>
          <w:lang w:val="pl-PL"/>
        </w:rPr>
        <w:t xml:space="preserve">profesjonalnych. Po wywołanym pandemią spadku dynamiki odnotowanym w poprzednim roku udało nam się osiągnąć dwucyfrowy wzrost. Z kolei wyniki segmentu </w:t>
      </w:r>
      <w:r w:rsidR="000F3C29">
        <w:rPr>
          <w:lang w:val="pl-PL"/>
        </w:rPr>
        <w:t>kosmetyków rynkowych</w:t>
      </w:r>
      <w:r w:rsidRPr="00E11179">
        <w:rPr>
          <w:lang w:val="pl-PL"/>
        </w:rPr>
        <w:t xml:space="preserve"> kształtowały się w pierwszym półroczu 2021 roku poniżej poziomu z roku ubiegłego, co było spowodowane spadkiem sprzedaży w ujęciu organicznym w grupie produktów do pielęgnacji ciała, również w wyniku znacznego osłabienia rynków</w:t>
      </w:r>
      <w:r w:rsidR="009C62DD">
        <w:rPr>
          <w:lang w:val="pl-PL"/>
        </w:rPr>
        <w:t xml:space="preserve"> sprzedaży</w:t>
      </w:r>
      <w:r w:rsidRPr="00E11179">
        <w:rPr>
          <w:lang w:val="pl-PL"/>
        </w:rPr>
        <w:t xml:space="preserve">. W sektorze </w:t>
      </w:r>
      <w:proofErr w:type="spellStart"/>
      <w:r w:rsidRPr="00E11179">
        <w:rPr>
          <w:lang w:val="pl-PL"/>
        </w:rPr>
        <w:t>Laundry</w:t>
      </w:r>
      <w:proofErr w:type="spellEnd"/>
      <w:r w:rsidRPr="00E11179">
        <w:rPr>
          <w:lang w:val="pl-PL"/>
        </w:rPr>
        <w:t xml:space="preserve"> &amp; Home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(środki piorące i czystości) wzrost sprzedaży odnotowano głównie za sprawą segmentu środków czystości, który wypracował znaczny wzrost sprzedaży w ujęciu organicznym. Segment środków piorących </w:t>
      </w:r>
      <w:r w:rsidR="009F2A9E">
        <w:rPr>
          <w:lang w:val="pl-PL"/>
        </w:rPr>
        <w:t xml:space="preserve">także </w:t>
      </w:r>
      <w:r w:rsidRPr="00E11179">
        <w:rPr>
          <w:lang w:val="pl-PL"/>
        </w:rPr>
        <w:t>odnotował wzrost sprzedaży w ujęciu organicznym.</w:t>
      </w:r>
    </w:p>
    <w:p w14:paraId="075E4C47" w14:textId="4A62769C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– </w:t>
      </w:r>
      <w:r w:rsidRPr="00C11298">
        <w:rPr>
          <w:i/>
          <w:iCs/>
          <w:lang w:val="pl-PL"/>
        </w:rPr>
        <w:t>W pierwszej połowie roku odnotowaliśmy dalszy istotny postęp w realizacji nasze</w:t>
      </w:r>
      <w:r w:rsidR="009C62DD">
        <w:rPr>
          <w:i/>
          <w:iCs/>
          <w:lang w:val="pl-PL"/>
        </w:rPr>
        <w:t>j</w:t>
      </w:r>
      <w:r w:rsidRPr="00C11298">
        <w:rPr>
          <w:i/>
          <w:iCs/>
          <w:lang w:val="pl-PL"/>
        </w:rPr>
        <w:t xml:space="preserve"> </w:t>
      </w:r>
      <w:r w:rsidR="009F2A9E">
        <w:rPr>
          <w:i/>
          <w:iCs/>
          <w:lang w:val="pl-PL"/>
        </w:rPr>
        <w:t>S</w:t>
      </w:r>
      <w:r w:rsidR="009C62DD">
        <w:rPr>
          <w:i/>
          <w:iCs/>
          <w:lang w:val="pl-PL"/>
        </w:rPr>
        <w:t xml:space="preserve">trategii </w:t>
      </w:r>
      <w:r w:rsidR="009F2A9E">
        <w:rPr>
          <w:i/>
          <w:iCs/>
          <w:lang w:val="pl-PL"/>
        </w:rPr>
        <w:t>U</w:t>
      </w:r>
      <w:r w:rsidR="009C62DD">
        <w:rPr>
          <w:i/>
          <w:iCs/>
          <w:lang w:val="pl-PL"/>
        </w:rPr>
        <w:t xml:space="preserve">kierunkowanego </w:t>
      </w:r>
      <w:r w:rsidR="009F2A9E">
        <w:rPr>
          <w:i/>
          <w:iCs/>
          <w:lang w:val="pl-PL"/>
        </w:rPr>
        <w:t>R</w:t>
      </w:r>
      <w:r w:rsidR="009C62DD">
        <w:rPr>
          <w:i/>
          <w:iCs/>
          <w:lang w:val="pl-PL"/>
        </w:rPr>
        <w:t>ozwoju</w:t>
      </w:r>
      <w:r w:rsidRPr="00C11298">
        <w:rPr>
          <w:i/>
          <w:iCs/>
          <w:lang w:val="pl-PL"/>
        </w:rPr>
        <w:t xml:space="preserve">. W ramach aktywnego zarządzania </w:t>
      </w:r>
      <w:r w:rsidR="009C62DD">
        <w:rPr>
          <w:i/>
          <w:iCs/>
          <w:lang w:val="pl-PL"/>
        </w:rPr>
        <w:t xml:space="preserve">naszym </w:t>
      </w:r>
      <w:r w:rsidR="00C11298">
        <w:rPr>
          <w:i/>
          <w:iCs/>
          <w:lang w:val="pl-PL"/>
        </w:rPr>
        <w:t>portfolio</w:t>
      </w:r>
      <w:r w:rsidR="009F2A9E">
        <w:rPr>
          <w:i/>
          <w:iCs/>
          <w:lang w:val="pl-PL"/>
        </w:rPr>
        <w:t xml:space="preserve"> i zgodnie  z</w:t>
      </w:r>
      <w:r w:rsidR="004A6038">
        <w:rPr>
          <w:i/>
          <w:iCs/>
          <w:lang w:val="pl-PL"/>
        </w:rPr>
        <w:t xml:space="preserve"> </w:t>
      </w:r>
      <w:r w:rsidR="009F2A9E">
        <w:rPr>
          <w:i/>
          <w:iCs/>
          <w:lang w:val="pl-PL"/>
        </w:rPr>
        <w:t>planem</w:t>
      </w:r>
      <w:r w:rsidRPr="00C11298">
        <w:rPr>
          <w:i/>
          <w:iCs/>
          <w:lang w:val="pl-PL"/>
        </w:rPr>
        <w:t xml:space="preserve"> kolejne marki i sektory biznesowe zostały sprzedane lub wycofane </w:t>
      </w:r>
      <w:r w:rsidR="009F2A9E">
        <w:rPr>
          <w:i/>
          <w:iCs/>
          <w:lang w:val="pl-PL"/>
        </w:rPr>
        <w:t>z rynku.</w:t>
      </w:r>
      <w:r w:rsidRPr="00C11298">
        <w:rPr>
          <w:i/>
          <w:iCs/>
          <w:lang w:val="pl-PL"/>
        </w:rPr>
        <w:t xml:space="preserve"> Równocześnie </w:t>
      </w:r>
      <w:r w:rsidRPr="00C11298">
        <w:rPr>
          <w:i/>
          <w:iCs/>
          <w:lang w:val="pl-PL"/>
        </w:rPr>
        <w:lastRenderedPageBreak/>
        <w:t xml:space="preserve">dokonaliśmy </w:t>
      </w:r>
      <w:r w:rsidR="009F2A9E">
        <w:rPr>
          <w:i/>
          <w:iCs/>
          <w:lang w:val="pl-PL"/>
        </w:rPr>
        <w:t>wybranych</w:t>
      </w:r>
      <w:r w:rsidR="009F2A9E" w:rsidRPr="00C11298">
        <w:rPr>
          <w:i/>
          <w:iCs/>
          <w:lang w:val="pl-PL"/>
        </w:rPr>
        <w:t xml:space="preserve"> </w:t>
      </w:r>
      <w:r w:rsidRPr="00C11298">
        <w:rPr>
          <w:i/>
          <w:iCs/>
          <w:lang w:val="pl-PL"/>
        </w:rPr>
        <w:t xml:space="preserve">akwizycji, w szczególności w celu poszerzenia naszego </w:t>
      </w:r>
      <w:r w:rsidR="00C11298">
        <w:rPr>
          <w:i/>
          <w:iCs/>
          <w:lang w:val="pl-PL"/>
        </w:rPr>
        <w:t>portfolio</w:t>
      </w:r>
      <w:r w:rsidRPr="00C11298">
        <w:rPr>
          <w:i/>
          <w:iCs/>
          <w:lang w:val="pl-PL"/>
        </w:rPr>
        <w:t xml:space="preserve"> </w:t>
      </w:r>
      <w:r w:rsidR="009F2A9E">
        <w:rPr>
          <w:i/>
          <w:iCs/>
          <w:lang w:val="pl-PL"/>
        </w:rPr>
        <w:t xml:space="preserve">zrównoważonych </w:t>
      </w:r>
      <w:r w:rsidRPr="00C11298">
        <w:rPr>
          <w:i/>
          <w:iCs/>
          <w:lang w:val="pl-PL"/>
        </w:rPr>
        <w:t xml:space="preserve">marek. W tym roku koncentrujemy się przede wszystkim na dalszym zwiększaniu konkurencyjności w obszarze innowacji, zrównoważonego rozwoju i cyfryzacji oraz na dalszym rozwoju kultury korporacyjnej. W pierwszej połowie roku osiągnęliśmy znaczący postęp w tych obszarach i uważamy, że spółka jest na dobrej drodze do osiągnięcia założeń </w:t>
      </w:r>
      <w:r w:rsidR="00ED6AA5">
        <w:rPr>
          <w:i/>
          <w:iCs/>
          <w:lang w:val="pl-PL"/>
        </w:rPr>
        <w:t>Strategii</w:t>
      </w:r>
      <w:r w:rsidRPr="00C11298">
        <w:rPr>
          <w:i/>
          <w:iCs/>
          <w:lang w:val="pl-PL"/>
        </w:rPr>
        <w:t xml:space="preserve"> </w:t>
      </w:r>
      <w:r w:rsidR="00ED6AA5">
        <w:rPr>
          <w:i/>
          <w:iCs/>
          <w:lang w:val="pl-PL"/>
        </w:rPr>
        <w:t>U</w:t>
      </w:r>
      <w:r w:rsidRPr="00C11298">
        <w:rPr>
          <w:i/>
          <w:iCs/>
          <w:lang w:val="pl-PL"/>
        </w:rPr>
        <w:t xml:space="preserve">kierunkowanego </w:t>
      </w:r>
      <w:r w:rsidR="00ED6AA5">
        <w:rPr>
          <w:i/>
          <w:iCs/>
          <w:lang w:val="pl-PL"/>
        </w:rPr>
        <w:t>R</w:t>
      </w:r>
      <w:r w:rsidRPr="00C11298">
        <w:rPr>
          <w:i/>
          <w:iCs/>
          <w:lang w:val="pl-PL"/>
        </w:rPr>
        <w:t>ozwoju</w:t>
      </w:r>
      <w:r w:rsidRPr="00E11179">
        <w:rPr>
          <w:lang w:val="pl-PL"/>
        </w:rPr>
        <w:t xml:space="preserve"> - dodał </w:t>
      </w:r>
      <w:proofErr w:type="spellStart"/>
      <w:r w:rsidRPr="00E11179">
        <w:rPr>
          <w:lang w:val="pl-PL"/>
        </w:rPr>
        <w:t>Carsten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Knobel</w:t>
      </w:r>
      <w:proofErr w:type="spellEnd"/>
      <w:r w:rsidRPr="00E11179">
        <w:rPr>
          <w:lang w:val="pl-PL"/>
        </w:rPr>
        <w:t>.</w:t>
      </w:r>
    </w:p>
    <w:p w14:paraId="06451CDC" w14:textId="7777777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>Aktualizacja prognozy na rok obrotowy 2021: wyższy wzrost sprzedaży przy niezmienionej prognozie zysku na akcję</w:t>
      </w:r>
    </w:p>
    <w:p w14:paraId="19C4A18E" w14:textId="7777777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Odnosząc się do kolejnych miesięcy 2021 roku, prezes </w:t>
      </w:r>
      <w:proofErr w:type="spellStart"/>
      <w:r w:rsidRPr="00E11179">
        <w:rPr>
          <w:lang w:val="pl-PL"/>
        </w:rPr>
        <w:t>Knobel</w:t>
      </w:r>
      <w:proofErr w:type="spellEnd"/>
      <w:r w:rsidRPr="00E11179">
        <w:rPr>
          <w:lang w:val="pl-PL"/>
        </w:rPr>
        <w:t xml:space="preserve"> powiedział: – </w:t>
      </w:r>
      <w:r w:rsidRPr="00C11298">
        <w:rPr>
          <w:i/>
          <w:iCs/>
          <w:lang w:val="pl-PL"/>
        </w:rPr>
        <w:t>Ogólnie rzecz biorąc, obserwujemy normalizację popytu w większości naszych segmentów biznesowych. Po wzrostach popytu ze strony branży przemysłowej w drugiej połowie 2020 roku, tempo wzrostu prawdopodobnie będzie znacznie niższe w drugim półroczu 2021 roku pomimo utrzymującego się ożywienia gospodarczego. Należy jednak pamiętać o utrzymującej się wysokiej niepewności co do dalszego rozwoju pandemii i jej wpływu na konsumpcję i produkcję przemysłową. W szczególności skokowy wzrost cen surowców i napięte łańcuchy dostaw będą niekorzystnie wpływać na gospodarkę w kolejnych miesiącach 2021 roku. Podejmujemy intensywne i szeroko zakrojone działania w celu ograniczenia niekorzystnego wpływu tych zjawisk na naszą działalność i rentowność. Jednocześnie będziemy elastycznie i szybko reagować na zmiany zachodzące w naszym otoczeniu rynkowym i systematycznie realizować nasz plan rozwoju. Biorąc pod uwagę opisane powyżej otoczenie gospodarcze oraz świetne wyniki za pierwsze półrocze, w dniu dzisiejszym dokonaliśmy aktualizacji prognozy rocznej. Podnieśliśmy prognozę sprzedaży i utrzymaliśmy na niezmienionym poziomie oczekiwania dotyczące zysku na akcję pomimo zwiększającego się niekorzystnego wpływu rosnących kosztów surowców</w:t>
      </w:r>
      <w:r w:rsidRPr="00E11179">
        <w:rPr>
          <w:lang w:val="pl-PL"/>
        </w:rPr>
        <w:t>.</w:t>
      </w:r>
    </w:p>
    <w:p w14:paraId="083C003A" w14:textId="7777777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>Henkel prognozuje obecnie wzrost sprzedaży w ujęciu organicznym na poziomie 6,0%–8,0% oraz skorygowaną rentowność sprzedaży (marża EBIT) w przedziale 13,5%–14,5%. Przewidywany jest wysoki jednocyfrowy lub kilkunastoprocentowy wzrost na poziomie skorygowanego zysku na akcję uprzywilejowaną, przy założeniu niezmiennych kursów walut.</w:t>
      </w:r>
    </w:p>
    <w:p w14:paraId="63A70BD6" w14:textId="77777777" w:rsidR="00E11179" w:rsidRPr="00961893" w:rsidRDefault="00E11179" w:rsidP="00E11179">
      <w:pPr>
        <w:spacing w:before="120" w:after="240" w:line="240" w:lineRule="auto"/>
        <w:ind w:left="-5"/>
        <w:rPr>
          <w:b/>
          <w:bCs/>
          <w:sz w:val="24"/>
          <w:szCs w:val="28"/>
          <w:lang w:val="pl-PL"/>
        </w:rPr>
      </w:pPr>
      <w:r w:rsidRPr="00961893">
        <w:rPr>
          <w:b/>
          <w:bCs/>
          <w:sz w:val="24"/>
          <w:szCs w:val="28"/>
          <w:lang w:val="pl-PL"/>
        </w:rPr>
        <w:t>Sprzedaż i zysk Grupy w pierwszym półroczu 2021 roku</w:t>
      </w:r>
    </w:p>
    <w:p w14:paraId="7037BE3D" w14:textId="062E10EA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>Sprzedaż Grupy Henkel w pierwszym półroczu 2021 roku wyniosła 9</w:t>
      </w:r>
      <w:r w:rsidR="00C11298">
        <w:rPr>
          <w:lang w:val="pl-PL"/>
        </w:rPr>
        <w:t>,</w:t>
      </w:r>
      <w:r w:rsidRPr="00E11179">
        <w:rPr>
          <w:lang w:val="pl-PL"/>
        </w:rPr>
        <w:t>926 ml</w:t>
      </w:r>
      <w:r w:rsidR="00C11298">
        <w:rPr>
          <w:lang w:val="pl-PL"/>
        </w:rPr>
        <w:t>d</w:t>
      </w:r>
      <w:r w:rsidRPr="00E11179">
        <w:rPr>
          <w:lang w:val="pl-PL"/>
        </w:rPr>
        <w:t xml:space="preserve"> </w:t>
      </w:r>
      <w:r w:rsidR="00C11298">
        <w:rPr>
          <w:lang w:val="pl-PL"/>
        </w:rPr>
        <w:t>EUR</w:t>
      </w:r>
      <w:r w:rsidRPr="00E11179">
        <w:rPr>
          <w:lang w:val="pl-PL"/>
        </w:rPr>
        <w:t xml:space="preserve"> i była o 4,7% wyższa niż w analogicznym okresie roku poprzedniego (w drugim kwartale odpowiednio 4</w:t>
      </w:r>
      <w:r w:rsidR="00C11298">
        <w:rPr>
          <w:lang w:val="pl-PL"/>
        </w:rPr>
        <w:t>,</w:t>
      </w:r>
      <w:r w:rsidRPr="00E11179">
        <w:rPr>
          <w:lang w:val="pl-PL"/>
        </w:rPr>
        <w:t>958</w:t>
      </w:r>
      <w:r w:rsidR="00C11298">
        <w:rPr>
          <w:lang w:val="pl-PL"/>
        </w:rPr>
        <w:t xml:space="preserve"> mld EUR</w:t>
      </w:r>
      <w:r w:rsidRPr="00E11179">
        <w:rPr>
          <w:lang w:val="pl-PL"/>
        </w:rPr>
        <w:t xml:space="preserve"> i 8,8%). Tempo wzrostu sprzedaży w ujęciu </w:t>
      </w:r>
      <w:r w:rsidRPr="00D24F29">
        <w:rPr>
          <w:b/>
          <w:bCs/>
          <w:lang w:val="pl-PL"/>
        </w:rPr>
        <w:t>organicznym</w:t>
      </w:r>
      <w:r w:rsidRPr="00E11179">
        <w:rPr>
          <w:lang w:val="pl-PL"/>
        </w:rPr>
        <w:t>, tj. bez uwzględnienia wpływu różnic kursowych oraz transakcji przejęć i zbycia aktywów, było dwucyfrowe na poziomie 11,3% (w drugim kwartale: 15,2%). Wpływ transakcji przejęć i zbycia aktywów wyniósł 0,4% (w drugim kwartale: 0,1%). Na skutek niekorzystnych zmian kursów walut przychody ze sprzedaży uległy obniżeniu o 7,0% (w drugim kwartale o 6,5%).</w:t>
      </w:r>
    </w:p>
    <w:p w14:paraId="3F03F4EB" w14:textId="0E1B7C23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Na </w:t>
      </w:r>
      <w:r w:rsidRPr="00D24F29">
        <w:rPr>
          <w:b/>
          <w:bCs/>
          <w:lang w:val="pl-PL"/>
        </w:rPr>
        <w:t>rynkach wschodzących</w:t>
      </w:r>
      <w:r w:rsidRPr="00E11179">
        <w:rPr>
          <w:lang w:val="pl-PL"/>
        </w:rPr>
        <w:t xml:space="preserve"> dynamika sprzedaży w ujęciu organicznym wyniosła 21,5% (w drugim kwartale: 24,7%). Wzrost sprzedaży w ujęciu organicznym na </w:t>
      </w:r>
      <w:r w:rsidRPr="00D24F29">
        <w:rPr>
          <w:b/>
          <w:bCs/>
          <w:lang w:val="pl-PL"/>
        </w:rPr>
        <w:t>rynkach rozwiniętych</w:t>
      </w:r>
      <w:r w:rsidR="00D24F29">
        <w:rPr>
          <w:lang w:val="pl-PL"/>
        </w:rPr>
        <w:t xml:space="preserve"> </w:t>
      </w:r>
      <w:r w:rsidRPr="00E11179">
        <w:rPr>
          <w:lang w:val="pl-PL"/>
        </w:rPr>
        <w:t>był wysoki i ukształtował się na poziomie 4,5% (w drugim kwartale: 8,8%).</w:t>
      </w:r>
    </w:p>
    <w:p w14:paraId="107ABCD0" w14:textId="3C3F32F0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lastRenderedPageBreak/>
        <w:t xml:space="preserve">W pierwszym półroczu w </w:t>
      </w:r>
      <w:r w:rsidRPr="00D24F29">
        <w:rPr>
          <w:b/>
          <w:bCs/>
          <w:lang w:val="pl-PL"/>
        </w:rPr>
        <w:t>Europie Zachodniej</w:t>
      </w:r>
      <w:r w:rsidRPr="00E11179">
        <w:rPr>
          <w:lang w:val="pl-PL"/>
        </w:rPr>
        <w:t xml:space="preserve"> odnotowano organiczny wzrost sprzedaży o 5,5% (w drugim kwartale: 10,7%). W </w:t>
      </w:r>
      <w:r w:rsidRPr="00D24F29">
        <w:rPr>
          <w:b/>
          <w:bCs/>
          <w:lang w:val="pl-PL"/>
        </w:rPr>
        <w:t>Europie Wschodniej</w:t>
      </w:r>
      <w:r w:rsidRPr="00E11179">
        <w:rPr>
          <w:lang w:val="pl-PL"/>
        </w:rPr>
        <w:t xml:space="preserve"> wzrost sprzedaży w ujęciu organicznym osiągnął poziom 17,6% (w drugim kwartale: 24,1%). W </w:t>
      </w:r>
      <w:r w:rsidRPr="00D24F29">
        <w:rPr>
          <w:b/>
          <w:bCs/>
          <w:lang w:val="pl-PL"/>
        </w:rPr>
        <w:t>Afryce</w:t>
      </w:r>
      <w:r w:rsidRPr="00E11179">
        <w:rPr>
          <w:lang w:val="pl-PL"/>
        </w:rPr>
        <w:t xml:space="preserve"> i na </w:t>
      </w:r>
      <w:r w:rsidRPr="00D24F29">
        <w:rPr>
          <w:b/>
          <w:bCs/>
          <w:lang w:val="pl-PL"/>
        </w:rPr>
        <w:t>Bliskim</w:t>
      </w:r>
      <w:r w:rsidRPr="00E11179">
        <w:rPr>
          <w:lang w:val="pl-PL"/>
        </w:rPr>
        <w:t xml:space="preserve"> </w:t>
      </w:r>
      <w:r w:rsidRPr="00D24F29">
        <w:rPr>
          <w:b/>
          <w:bCs/>
          <w:lang w:val="pl-PL"/>
        </w:rPr>
        <w:t>Wschodzie</w:t>
      </w:r>
      <w:r w:rsidRPr="00E11179">
        <w:rPr>
          <w:lang w:val="pl-PL"/>
        </w:rPr>
        <w:t xml:space="preserve"> sprzedaż w ujęciu organicznym zwiększyła się o 26,4% (w drugim kwartale: 31,7%). Wzrost sprzedaży w ujęciu organicznym w </w:t>
      </w:r>
      <w:r w:rsidRPr="00EE5E89">
        <w:rPr>
          <w:b/>
          <w:bCs/>
          <w:lang w:val="pl-PL"/>
        </w:rPr>
        <w:t>Ameryce Północnej</w:t>
      </w:r>
      <w:r w:rsidRPr="00E11179">
        <w:rPr>
          <w:lang w:val="pl-PL"/>
        </w:rPr>
        <w:t xml:space="preserve"> wyniósł 3,0% (w drugim kwartale: 6,3%). Region </w:t>
      </w:r>
      <w:r w:rsidRPr="00EE5E89">
        <w:rPr>
          <w:b/>
          <w:bCs/>
          <w:lang w:val="pl-PL"/>
        </w:rPr>
        <w:t>Ameryki Łacińskiej</w:t>
      </w:r>
      <w:r w:rsidRPr="00E11179">
        <w:rPr>
          <w:lang w:val="pl-PL"/>
        </w:rPr>
        <w:t xml:space="preserve"> odnotował wzrost sprzedaży w ujęciu organicznym o 21,0% (w drugim kwartale: 34,2%). W regionie </w:t>
      </w:r>
      <w:r w:rsidRPr="00EE5E89">
        <w:rPr>
          <w:b/>
          <w:bCs/>
          <w:lang w:val="pl-PL"/>
        </w:rPr>
        <w:t>Azji i Pacyfiku</w:t>
      </w:r>
      <w:r w:rsidRPr="00E11179">
        <w:rPr>
          <w:lang w:val="pl-PL"/>
        </w:rPr>
        <w:t xml:space="preserve"> wzrost sprzedaży w ujęciu organicznym wyniósł 20,8% (w drugim kwartale: 17,3%).</w:t>
      </w:r>
    </w:p>
    <w:p w14:paraId="4F1C667A" w14:textId="0121A3C4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>Skorygowany zysk operacyjny (skorygowany EBIT) wzrósł o 20,1%, z 1</w:t>
      </w:r>
      <w:r w:rsidR="00603192">
        <w:rPr>
          <w:lang w:val="pl-PL"/>
        </w:rPr>
        <w:t>,</w:t>
      </w:r>
      <w:r w:rsidRPr="00E11179">
        <w:rPr>
          <w:lang w:val="pl-PL"/>
        </w:rPr>
        <w:t>191 ml</w:t>
      </w:r>
      <w:r w:rsidR="00603192">
        <w:rPr>
          <w:lang w:val="pl-PL"/>
        </w:rPr>
        <w:t>d</w:t>
      </w:r>
      <w:r w:rsidRPr="00E11179">
        <w:rPr>
          <w:lang w:val="pl-PL"/>
        </w:rPr>
        <w:t xml:space="preserve"> euro w pierwszym półroczu ubiegłego roku do 1</w:t>
      </w:r>
      <w:r w:rsidR="00603192">
        <w:rPr>
          <w:lang w:val="pl-PL"/>
        </w:rPr>
        <w:t>,</w:t>
      </w:r>
      <w:r w:rsidRPr="00E11179">
        <w:rPr>
          <w:lang w:val="pl-PL"/>
        </w:rPr>
        <w:t>430 ml</w:t>
      </w:r>
      <w:r w:rsidR="00603192">
        <w:rPr>
          <w:lang w:val="pl-PL"/>
        </w:rPr>
        <w:t>d</w:t>
      </w:r>
      <w:r w:rsidRPr="00E11179">
        <w:rPr>
          <w:lang w:val="pl-PL"/>
        </w:rPr>
        <w:t xml:space="preserve"> euro.</w:t>
      </w:r>
    </w:p>
    <w:p w14:paraId="4205B235" w14:textId="029459CB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E5E89">
        <w:rPr>
          <w:b/>
          <w:bCs/>
          <w:lang w:val="pl-PL"/>
        </w:rPr>
        <w:t>Skorygowana rentowność sprzedaży (skorygowana marża EBIT)</w:t>
      </w:r>
      <w:r w:rsidRPr="00E11179">
        <w:rPr>
          <w:lang w:val="pl-PL"/>
        </w:rPr>
        <w:t xml:space="preserve"> wzrosła o 1,9 p.</w:t>
      </w:r>
      <w:r w:rsidR="00603192">
        <w:rPr>
          <w:lang w:val="pl-PL"/>
        </w:rPr>
        <w:t xml:space="preserve"> </w:t>
      </w:r>
      <w:r w:rsidRPr="00E11179">
        <w:rPr>
          <w:lang w:val="pl-PL"/>
        </w:rPr>
        <w:t>p., z poziomu 12,6% do 14,4%.</w:t>
      </w:r>
    </w:p>
    <w:p w14:paraId="5EA90227" w14:textId="5CA74E7A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E5E89">
        <w:rPr>
          <w:b/>
          <w:bCs/>
          <w:lang w:val="pl-PL"/>
        </w:rPr>
        <w:t>Skorygowany zysk na akcję uprzywilejowaną</w:t>
      </w:r>
      <w:r w:rsidRPr="00E11179">
        <w:rPr>
          <w:lang w:val="pl-PL"/>
        </w:rPr>
        <w:t xml:space="preserve"> zwiększył się o 22,4%, z kwoty 1,96 </w:t>
      </w:r>
      <w:r w:rsidR="00EE5E89">
        <w:rPr>
          <w:lang w:val="pl-PL"/>
        </w:rPr>
        <w:t>EUR</w:t>
      </w:r>
      <w:r w:rsidRPr="00E11179">
        <w:rPr>
          <w:lang w:val="pl-PL"/>
        </w:rPr>
        <w:t xml:space="preserve"> w pierwszym półroczu 2020 roku do 2,40 </w:t>
      </w:r>
      <w:r w:rsidR="00EE5E89">
        <w:rPr>
          <w:lang w:val="pl-PL"/>
        </w:rPr>
        <w:t>EUR</w:t>
      </w:r>
      <w:r w:rsidRPr="00E11179">
        <w:rPr>
          <w:lang w:val="pl-PL"/>
        </w:rPr>
        <w:t>. Przy założeniu stałych kursów walut skorygowany zysk na akcję uprzywilejowaną był wyższy o 30,1%.</w:t>
      </w:r>
    </w:p>
    <w:p w14:paraId="4DDAE11F" w14:textId="7777777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E5E89">
        <w:rPr>
          <w:b/>
          <w:bCs/>
          <w:lang w:val="pl-PL"/>
        </w:rPr>
        <w:t>Kapitał obrotowy netto</w:t>
      </w:r>
      <w:r w:rsidRPr="00E11179">
        <w:rPr>
          <w:lang w:val="pl-PL"/>
        </w:rPr>
        <w:t xml:space="preserve"> uległ dalszej poprawie. Ukształtował się on na poziomie 3,6% sprzedaży, co oznacza spadek o 80 punktów bazowych w stosunku do poziomu z roku ubiegłego (4,4%).</w:t>
      </w:r>
    </w:p>
    <w:p w14:paraId="248A9D19" w14:textId="75CD78C2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E5E89">
        <w:rPr>
          <w:b/>
          <w:bCs/>
          <w:lang w:val="pl-PL"/>
        </w:rPr>
        <w:t>Wolne przepływy pieniężne</w:t>
      </w:r>
      <w:r w:rsidRPr="00E11179">
        <w:rPr>
          <w:lang w:val="pl-PL"/>
        </w:rPr>
        <w:t xml:space="preserve"> w wysokości 471 mln </w:t>
      </w:r>
      <w:r w:rsidR="00EE5E89">
        <w:rPr>
          <w:lang w:val="pl-PL"/>
        </w:rPr>
        <w:t>EUR</w:t>
      </w:r>
      <w:r w:rsidRPr="00E11179">
        <w:rPr>
          <w:lang w:val="pl-PL"/>
        </w:rPr>
        <w:t xml:space="preserve"> były niższe niż w pierwszym półroczu 2020 roku (940 mln </w:t>
      </w:r>
      <w:r w:rsidR="00EE5E89">
        <w:rPr>
          <w:lang w:val="pl-PL"/>
        </w:rPr>
        <w:t>EUR</w:t>
      </w:r>
      <w:r w:rsidRPr="00E11179">
        <w:rPr>
          <w:lang w:val="pl-PL"/>
        </w:rPr>
        <w:t>), głównie za sprawą niższych przepływów pieniężnych z działalności operacyjnej. Przy wyższym zysku operacyjnym, spadek wynikał ze znacznego wzrostu kapitału obrotowego netto w porównaniu z końcem roku obrotowego 2020, co było częściowo spowodowane znacznym wzrostem wolumenu sprzedaży.</w:t>
      </w:r>
    </w:p>
    <w:p w14:paraId="0D1BD3BA" w14:textId="578FEC82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603192">
        <w:rPr>
          <w:b/>
          <w:bCs/>
          <w:lang w:val="pl-PL"/>
        </w:rPr>
        <w:t xml:space="preserve">Pozycja finansowa netto </w:t>
      </w:r>
      <w:r w:rsidRPr="00E11179">
        <w:rPr>
          <w:lang w:val="pl-PL"/>
        </w:rPr>
        <w:t>wyniosła -1</w:t>
      </w:r>
      <w:r w:rsidR="00EE5E89">
        <w:rPr>
          <w:lang w:val="pl-PL"/>
        </w:rPr>
        <w:t>,</w:t>
      </w:r>
      <w:r w:rsidRPr="00E11179">
        <w:rPr>
          <w:lang w:val="pl-PL"/>
        </w:rPr>
        <w:t>035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na dzień 30 czerwca 2021 roku (31 grudnia 2020 roku: -888 mln </w:t>
      </w:r>
      <w:r w:rsidR="00EE5E89">
        <w:rPr>
          <w:lang w:val="pl-PL"/>
        </w:rPr>
        <w:t>EUR</w:t>
      </w:r>
      <w:r w:rsidRPr="00E11179">
        <w:rPr>
          <w:lang w:val="pl-PL"/>
        </w:rPr>
        <w:t>).</w:t>
      </w:r>
    </w:p>
    <w:p w14:paraId="3F38474F" w14:textId="77777777" w:rsidR="00E11179" w:rsidRPr="00961893" w:rsidRDefault="00E11179" w:rsidP="00E11179">
      <w:pPr>
        <w:spacing w:before="120" w:after="240" w:line="240" w:lineRule="auto"/>
        <w:ind w:left="-5"/>
        <w:rPr>
          <w:b/>
          <w:bCs/>
          <w:sz w:val="24"/>
          <w:szCs w:val="28"/>
          <w:lang w:val="pl-PL"/>
        </w:rPr>
      </w:pPr>
      <w:r w:rsidRPr="00961893">
        <w:rPr>
          <w:b/>
          <w:bCs/>
          <w:sz w:val="24"/>
          <w:szCs w:val="28"/>
          <w:lang w:val="pl-PL"/>
        </w:rPr>
        <w:t>Wyniki sektorów biznesowych za pierwsze półrocze 2021 roku</w:t>
      </w:r>
    </w:p>
    <w:p w14:paraId="47B71914" w14:textId="7A9CD96F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W pierwszym półroczu 2021 roku sprzedaż sektora biznesowego </w:t>
      </w:r>
      <w:proofErr w:type="spellStart"/>
      <w:r w:rsidRPr="00EE5E89">
        <w:rPr>
          <w:b/>
          <w:bCs/>
          <w:lang w:val="pl-PL"/>
        </w:rPr>
        <w:t>Adhesive</w:t>
      </w:r>
      <w:proofErr w:type="spellEnd"/>
      <w:r w:rsidRPr="00EE5E89">
        <w:rPr>
          <w:b/>
          <w:bCs/>
          <w:lang w:val="pl-PL"/>
        </w:rPr>
        <w:t xml:space="preserve"> Technologies</w:t>
      </w:r>
      <w:r w:rsidRPr="00E11179">
        <w:rPr>
          <w:lang w:val="pl-PL"/>
        </w:rPr>
        <w:t xml:space="preserve"> (kleje budowlane i konsumenckie oraz kleje i technologie dla przemysłu) wzrosła w ujęciu nominalnym o 14,4%, z 4</w:t>
      </w:r>
      <w:r w:rsidR="00EE5E89">
        <w:rPr>
          <w:lang w:val="pl-PL"/>
        </w:rPr>
        <w:t>,</w:t>
      </w:r>
      <w:r w:rsidRPr="00E11179">
        <w:rPr>
          <w:lang w:val="pl-PL"/>
        </w:rPr>
        <w:t>153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w analogicznym okresie poprzedniego roku, do 4</w:t>
      </w:r>
      <w:r w:rsidR="00EE5E89">
        <w:rPr>
          <w:lang w:val="pl-PL"/>
        </w:rPr>
        <w:t>,</w:t>
      </w:r>
      <w:r w:rsidRPr="00E11179">
        <w:rPr>
          <w:lang w:val="pl-PL"/>
        </w:rPr>
        <w:t>752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(w drugim kwartale odpowiednio 2</w:t>
      </w:r>
      <w:r w:rsidR="00EE5E89">
        <w:rPr>
          <w:lang w:val="pl-PL"/>
        </w:rPr>
        <w:t>,</w:t>
      </w:r>
      <w:r w:rsidRPr="00E11179">
        <w:rPr>
          <w:lang w:val="pl-PL"/>
        </w:rPr>
        <w:t>394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i 23,1%). W ujęciu </w:t>
      </w:r>
      <w:r w:rsidRPr="00EE5E89">
        <w:rPr>
          <w:b/>
          <w:bCs/>
          <w:lang w:val="pl-PL"/>
        </w:rPr>
        <w:t>organicznym</w:t>
      </w:r>
      <w:r w:rsidRPr="00E11179">
        <w:rPr>
          <w:lang w:val="pl-PL"/>
        </w:rPr>
        <w:t xml:space="preserve"> sprzedaż wzrosła o 20,2% (drugi kwartał: 28,5%). Na wyniki pierwszego półrocza istotny wpływ miało trwające ożywienie światowej gospodarki we wszystkich regionach i obszarach działalności. </w:t>
      </w:r>
      <w:r w:rsidRPr="00EE5E89">
        <w:rPr>
          <w:b/>
          <w:bCs/>
          <w:lang w:val="pl-PL"/>
        </w:rPr>
        <w:t>Skorygowany zysk operacyjny</w:t>
      </w:r>
      <w:r w:rsidRPr="00E11179">
        <w:rPr>
          <w:lang w:val="pl-PL"/>
        </w:rPr>
        <w:t xml:space="preserve"> w pierwszym półroczu 2021 roku wzrósł o 50,9% i osiągnął poziom 820 mln </w:t>
      </w:r>
      <w:r w:rsidR="00EE5E89">
        <w:rPr>
          <w:lang w:val="pl-PL"/>
        </w:rPr>
        <w:t>EUR</w:t>
      </w:r>
      <w:r w:rsidRPr="00E11179">
        <w:rPr>
          <w:lang w:val="pl-PL"/>
        </w:rPr>
        <w:t xml:space="preserve">. </w:t>
      </w:r>
      <w:r w:rsidRPr="00EE5E89">
        <w:rPr>
          <w:b/>
          <w:bCs/>
          <w:lang w:val="pl-PL"/>
        </w:rPr>
        <w:t>Skorygowana rentowność sprzedaży</w:t>
      </w:r>
      <w:r w:rsidRPr="00E11179">
        <w:rPr>
          <w:lang w:val="pl-PL"/>
        </w:rPr>
        <w:t xml:space="preserve"> ukształtowała się na poziomie 17,3% i była wyższa o 4,2% w ujęciu rok do roku.</w:t>
      </w:r>
    </w:p>
    <w:p w14:paraId="6CEFD719" w14:textId="35BDDCFA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E5E89">
        <w:rPr>
          <w:b/>
          <w:bCs/>
          <w:lang w:val="pl-PL"/>
        </w:rPr>
        <w:lastRenderedPageBreak/>
        <w:t>Sprzedaż</w:t>
      </w:r>
      <w:r w:rsidRPr="00E11179">
        <w:rPr>
          <w:lang w:val="pl-PL"/>
        </w:rPr>
        <w:t xml:space="preserve"> w sektorze biznesowym </w:t>
      </w:r>
      <w:proofErr w:type="spellStart"/>
      <w:r w:rsidRPr="00EE5E89">
        <w:rPr>
          <w:b/>
          <w:bCs/>
          <w:lang w:val="pl-PL"/>
        </w:rPr>
        <w:t>Beauty</w:t>
      </w:r>
      <w:proofErr w:type="spellEnd"/>
      <w:r w:rsidRPr="00EE5E89">
        <w:rPr>
          <w:b/>
          <w:bCs/>
          <w:lang w:val="pl-PL"/>
        </w:rPr>
        <w:t xml:space="preserve"> </w:t>
      </w:r>
      <w:proofErr w:type="spellStart"/>
      <w:r w:rsidRPr="00EE5E89">
        <w:rPr>
          <w:b/>
          <w:bCs/>
          <w:lang w:val="pl-PL"/>
        </w:rPr>
        <w:t>Care</w:t>
      </w:r>
      <w:proofErr w:type="spellEnd"/>
      <w:r w:rsidRPr="00E11179">
        <w:rPr>
          <w:lang w:val="pl-PL"/>
        </w:rPr>
        <w:t xml:space="preserve"> (kosmetyki) w ujęciu organicznym wzrosła o 5,2% (w drugim kwartale o 8,2%). W ujęciu nominalnym sprzedaż wzrosła o 1,1% do poziomu 1</w:t>
      </w:r>
      <w:r w:rsidR="00EE5E89">
        <w:rPr>
          <w:lang w:val="pl-PL"/>
        </w:rPr>
        <w:t>,</w:t>
      </w:r>
      <w:r w:rsidRPr="00E11179">
        <w:rPr>
          <w:lang w:val="pl-PL"/>
        </w:rPr>
        <w:t>839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(w drugim kwartale odpowiednio 914 mln </w:t>
      </w:r>
      <w:r w:rsidR="00EE5E89">
        <w:rPr>
          <w:lang w:val="pl-PL"/>
        </w:rPr>
        <w:t>EUR</w:t>
      </w:r>
      <w:r w:rsidRPr="00E11179">
        <w:rPr>
          <w:lang w:val="pl-PL"/>
        </w:rPr>
        <w:t xml:space="preserve"> i 3,5%). Wzrost sprzedaży wynikał głównie z silnego ożywienia w segmencie produktów profesjonalnych, na który w drugim kwartale ubiegłego roku duży wpływ miało zamknięcie salonów fryzjerskich spowodowane pandemią. </w:t>
      </w:r>
      <w:r w:rsidRPr="00EE5E89">
        <w:rPr>
          <w:b/>
          <w:bCs/>
          <w:lang w:val="pl-PL"/>
        </w:rPr>
        <w:t>Skorygowany zysk operacyjny</w:t>
      </w:r>
      <w:r w:rsidRPr="00E11179">
        <w:rPr>
          <w:lang w:val="pl-PL"/>
        </w:rPr>
        <w:t xml:space="preserve"> w pierwszym półroczu 2021 roku był o 6,8% wyższy niż rok wcześniej i wyniósł 183 mln </w:t>
      </w:r>
      <w:r w:rsidR="00EE5E89">
        <w:rPr>
          <w:lang w:val="pl-PL"/>
        </w:rPr>
        <w:t>EUR</w:t>
      </w:r>
      <w:r w:rsidRPr="00E11179">
        <w:rPr>
          <w:lang w:val="pl-PL"/>
        </w:rPr>
        <w:t xml:space="preserve">. </w:t>
      </w:r>
      <w:r w:rsidRPr="00EE5E89">
        <w:rPr>
          <w:b/>
          <w:bCs/>
          <w:lang w:val="pl-PL"/>
        </w:rPr>
        <w:t>Skorygowana rentowność sprzedaży</w:t>
      </w:r>
      <w:r w:rsidRPr="00E11179">
        <w:rPr>
          <w:lang w:val="pl-PL"/>
        </w:rPr>
        <w:t xml:space="preserve"> również ukształtowała się na poziomie wyższym niż w poprzednim roku i wyniosła 10,0%.</w:t>
      </w:r>
    </w:p>
    <w:p w14:paraId="6F8F84D5" w14:textId="5B308C2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W pierwszym półroczu 2021 roku sektor biznesowy </w:t>
      </w:r>
      <w:proofErr w:type="spellStart"/>
      <w:r w:rsidRPr="00EE5E89">
        <w:rPr>
          <w:b/>
          <w:bCs/>
          <w:lang w:val="pl-PL"/>
        </w:rPr>
        <w:t>Laundry</w:t>
      </w:r>
      <w:proofErr w:type="spellEnd"/>
      <w:r w:rsidRPr="00EE5E89">
        <w:rPr>
          <w:b/>
          <w:bCs/>
          <w:lang w:val="pl-PL"/>
        </w:rPr>
        <w:t xml:space="preserve"> &amp; Home </w:t>
      </w:r>
      <w:proofErr w:type="spellStart"/>
      <w:r w:rsidRPr="00EE5E89">
        <w:rPr>
          <w:b/>
          <w:bCs/>
          <w:lang w:val="pl-PL"/>
        </w:rPr>
        <w:t>Care</w:t>
      </w:r>
      <w:proofErr w:type="spellEnd"/>
      <w:r w:rsidRPr="00E11179">
        <w:rPr>
          <w:lang w:val="pl-PL"/>
        </w:rPr>
        <w:t xml:space="preserve"> (środki piorące i czystości) osiągnął wzrost sprzedaży w ujęciu </w:t>
      </w:r>
      <w:r w:rsidRPr="00EE5E89">
        <w:rPr>
          <w:b/>
          <w:bCs/>
          <w:lang w:val="pl-PL"/>
        </w:rPr>
        <w:t>organicznym</w:t>
      </w:r>
      <w:r w:rsidRPr="00E11179">
        <w:rPr>
          <w:lang w:val="pl-PL"/>
        </w:rPr>
        <w:t xml:space="preserve"> na poziomie 3,9% (w drugim kwartale 3,6%). Nominalnie sprzedaż spadła o 5,3%, osiągając wartość 3</w:t>
      </w:r>
      <w:r w:rsidR="00EE5E89">
        <w:rPr>
          <w:lang w:val="pl-PL"/>
        </w:rPr>
        <w:t>,</w:t>
      </w:r>
      <w:r w:rsidRPr="00E11179">
        <w:rPr>
          <w:lang w:val="pl-PL"/>
        </w:rPr>
        <w:t>275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(w drugim kwartale odpowiednio 1</w:t>
      </w:r>
      <w:r w:rsidR="00EE5E89">
        <w:rPr>
          <w:lang w:val="pl-PL"/>
        </w:rPr>
        <w:t>,</w:t>
      </w:r>
      <w:r w:rsidRPr="00E11179">
        <w:rPr>
          <w:lang w:val="pl-PL"/>
        </w:rPr>
        <w:t>619 ml</w:t>
      </w:r>
      <w:r w:rsidR="00EE5E89">
        <w:rPr>
          <w:lang w:val="pl-PL"/>
        </w:rPr>
        <w:t>d EUR</w:t>
      </w:r>
      <w:r w:rsidRPr="00E11179">
        <w:rPr>
          <w:lang w:val="pl-PL"/>
        </w:rPr>
        <w:t xml:space="preserve"> i 5,1%). </w:t>
      </w:r>
      <w:r w:rsidRPr="00EE5E89">
        <w:rPr>
          <w:b/>
          <w:bCs/>
          <w:lang w:val="pl-PL"/>
        </w:rPr>
        <w:t>Skorygowany zysk operacyjny</w:t>
      </w:r>
      <w:r w:rsidRPr="00E11179">
        <w:rPr>
          <w:lang w:val="pl-PL"/>
        </w:rPr>
        <w:t xml:space="preserve"> zamknął się kwotą 490 mln </w:t>
      </w:r>
      <w:r w:rsidR="00EE5E89">
        <w:rPr>
          <w:lang w:val="pl-PL"/>
        </w:rPr>
        <w:t>EUR</w:t>
      </w:r>
      <w:r w:rsidRPr="00E11179">
        <w:rPr>
          <w:lang w:val="pl-PL"/>
        </w:rPr>
        <w:t xml:space="preserve"> i był o 7,7% niższy niż w pierwszym półroczu ubiegłego roku, głównie w wyniku istotnego negatywnego wpływu różnic kursowych. </w:t>
      </w:r>
      <w:r w:rsidRPr="00EE5E89">
        <w:rPr>
          <w:b/>
          <w:bCs/>
          <w:lang w:val="pl-PL"/>
        </w:rPr>
        <w:t>Skorygowana rentowność sprzedaży</w:t>
      </w:r>
      <w:r w:rsidRPr="00E11179">
        <w:rPr>
          <w:lang w:val="pl-PL"/>
        </w:rPr>
        <w:t xml:space="preserve"> ukształtowała się na poziomie 15,0% i była nieco niższa w ujęciu rok do roku, głównie ze względu na wyższe koszty surowców i negatywny wpływ różnic kursowych.</w:t>
      </w:r>
    </w:p>
    <w:p w14:paraId="2C56D604" w14:textId="37B37C66" w:rsidR="00E11179" w:rsidRPr="00961893" w:rsidRDefault="00E11179" w:rsidP="00E11179">
      <w:pPr>
        <w:spacing w:before="120" w:after="240" w:line="240" w:lineRule="auto"/>
        <w:ind w:left="-5"/>
        <w:rPr>
          <w:b/>
          <w:bCs/>
          <w:sz w:val="24"/>
          <w:szCs w:val="28"/>
          <w:lang w:val="pl-PL"/>
        </w:rPr>
      </w:pPr>
      <w:r w:rsidRPr="00961893">
        <w:rPr>
          <w:b/>
          <w:bCs/>
          <w:sz w:val="24"/>
          <w:szCs w:val="28"/>
          <w:lang w:val="pl-PL"/>
        </w:rPr>
        <w:t xml:space="preserve">Istotny postęp w realizacji </w:t>
      </w:r>
      <w:r w:rsidR="00ED6AA5" w:rsidRPr="00961893">
        <w:rPr>
          <w:b/>
          <w:bCs/>
          <w:sz w:val="24"/>
          <w:szCs w:val="28"/>
          <w:lang w:val="pl-PL"/>
        </w:rPr>
        <w:t>Strategii</w:t>
      </w:r>
      <w:r w:rsidRPr="00961893">
        <w:rPr>
          <w:b/>
          <w:bCs/>
          <w:sz w:val="24"/>
          <w:szCs w:val="28"/>
          <w:lang w:val="pl-PL"/>
        </w:rPr>
        <w:t xml:space="preserve"> Ukierunkowanego Rozwoju:</w:t>
      </w:r>
    </w:p>
    <w:p w14:paraId="1A5D12B9" w14:textId="573F9146" w:rsidR="00E11179" w:rsidRPr="00EE5E89" w:rsidRDefault="00E11179" w:rsidP="00E11179">
      <w:pPr>
        <w:spacing w:before="120" w:after="240" w:line="240" w:lineRule="auto"/>
        <w:ind w:left="-5"/>
        <w:rPr>
          <w:i/>
          <w:iCs/>
          <w:lang w:val="pl-PL"/>
        </w:rPr>
      </w:pPr>
      <w:r w:rsidRPr="00E11179">
        <w:rPr>
          <w:lang w:val="pl-PL"/>
        </w:rPr>
        <w:t xml:space="preserve">– </w:t>
      </w:r>
      <w:r w:rsidRPr="00EE5E89">
        <w:rPr>
          <w:i/>
          <w:iCs/>
          <w:lang w:val="pl-PL"/>
        </w:rPr>
        <w:t>W pierwszym półroczu 2021 roku konsekwentnie realizowaliśmy nasz plan rozwoju</w:t>
      </w:r>
      <w:r w:rsidRPr="00E11179">
        <w:rPr>
          <w:lang w:val="pl-PL"/>
        </w:rPr>
        <w:t xml:space="preserve"> – powiedział </w:t>
      </w:r>
      <w:proofErr w:type="spellStart"/>
      <w:r w:rsidRPr="00E11179">
        <w:rPr>
          <w:lang w:val="pl-PL"/>
        </w:rPr>
        <w:t>Carsten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Knobel</w:t>
      </w:r>
      <w:proofErr w:type="spellEnd"/>
      <w:r w:rsidRPr="00E11179">
        <w:rPr>
          <w:lang w:val="pl-PL"/>
        </w:rPr>
        <w:t xml:space="preserve">. </w:t>
      </w:r>
      <w:r w:rsidRPr="00EE5E89">
        <w:rPr>
          <w:i/>
          <w:iCs/>
          <w:lang w:val="pl-PL"/>
        </w:rPr>
        <w:t xml:space="preserve">Oprócz aktywnego zarządzania </w:t>
      </w:r>
      <w:r w:rsidR="00EE5E89">
        <w:rPr>
          <w:i/>
          <w:iCs/>
          <w:lang w:val="pl-PL"/>
        </w:rPr>
        <w:t>portfolio</w:t>
      </w:r>
      <w:r w:rsidRPr="00EE5E89">
        <w:rPr>
          <w:i/>
          <w:iCs/>
          <w:lang w:val="pl-PL"/>
        </w:rPr>
        <w:t xml:space="preserve">, w bieżącym roku Henkel koncentruje </w:t>
      </w:r>
      <w:r w:rsidR="000E124F">
        <w:rPr>
          <w:i/>
          <w:iCs/>
          <w:lang w:val="pl-PL"/>
        </w:rPr>
        <w:t xml:space="preserve">się </w:t>
      </w:r>
      <w:r w:rsidRPr="00EE5E89">
        <w:rPr>
          <w:i/>
          <w:iCs/>
          <w:lang w:val="pl-PL"/>
        </w:rPr>
        <w:t xml:space="preserve">na dwóch aspektach tego planu: po pierwsze, firma chce zwiększać przewagę konkurencyjną poprzez dalsze </w:t>
      </w:r>
      <w:r w:rsidR="000E124F">
        <w:rPr>
          <w:i/>
          <w:iCs/>
          <w:lang w:val="pl-PL"/>
        </w:rPr>
        <w:t>inwestowanie w</w:t>
      </w:r>
      <w:r w:rsidRPr="00EE5E89">
        <w:rPr>
          <w:i/>
          <w:iCs/>
          <w:lang w:val="pl-PL"/>
        </w:rPr>
        <w:t xml:space="preserve"> innowacj</w:t>
      </w:r>
      <w:r w:rsidR="000E124F">
        <w:rPr>
          <w:i/>
          <w:iCs/>
          <w:lang w:val="pl-PL"/>
        </w:rPr>
        <w:t>e</w:t>
      </w:r>
      <w:r w:rsidRPr="00EE5E89">
        <w:rPr>
          <w:i/>
          <w:iCs/>
          <w:lang w:val="pl-PL"/>
        </w:rPr>
        <w:t>, zrównoważon</w:t>
      </w:r>
      <w:r w:rsidR="000E124F">
        <w:rPr>
          <w:i/>
          <w:iCs/>
          <w:lang w:val="pl-PL"/>
        </w:rPr>
        <w:t>y</w:t>
      </w:r>
      <w:r w:rsidRPr="00EE5E89">
        <w:rPr>
          <w:i/>
          <w:iCs/>
          <w:lang w:val="pl-PL"/>
        </w:rPr>
        <w:t xml:space="preserve"> rozw</w:t>
      </w:r>
      <w:r w:rsidR="000E124F">
        <w:rPr>
          <w:i/>
          <w:iCs/>
          <w:lang w:val="pl-PL"/>
        </w:rPr>
        <w:t>ój</w:t>
      </w:r>
      <w:r w:rsidRPr="00EE5E89">
        <w:rPr>
          <w:i/>
          <w:iCs/>
          <w:lang w:val="pl-PL"/>
        </w:rPr>
        <w:t xml:space="preserve"> i cyfryzacj</w:t>
      </w:r>
      <w:r w:rsidR="000E124F">
        <w:rPr>
          <w:i/>
          <w:iCs/>
          <w:lang w:val="pl-PL"/>
        </w:rPr>
        <w:t>ę</w:t>
      </w:r>
      <w:r w:rsidRPr="00EE5E89">
        <w:rPr>
          <w:i/>
          <w:iCs/>
          <w:lang w:val="pl-PL"/>
        </w:rPr>
        <w:t>. Po drugie, chce dalej rozwijać swoją kulturę organizacyjną. W pierwszym półroczu 2021 roku spółka osiągnęła istotny postęp we wszystkich obszarach.</w:t>
      </w:r>
    </w:p>
    <w:p w14:paraId="5420DC5E" w14:textId="03934B8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W ramach aktywnego zarządzania </w:t>
      </w:r>
      <w:r w:rsidR="00BD2C61">
        <w:rPr>
          <w:lang w:val="pl-PL"/>
        </w:rPr>
        <w:t>portfolio, Henkel</w:t>
      </w:r>
      <w:r w:rsidRPr="00E11179">
        <w:rPr>
          <w:lang w:val="pl-PL"/>
        </w:rPr>
        <w:t xml:space="preserve"> zidentyfikował marki i grupy produktowe o łącznej </w:t>
      </w:r>
      <w:r w:rsidR="000E124F">
        <w:rPr>
          <w:lang w:val="pl-PL"/>
        </w:rPr>
        <w:t xml:space="preserve">wartości </w:t>
      </w:r>
      <w:r w:rsidRPr="00E11179">
        <w:rPr>
          <w:lang w:val="pl-PL"/>
        </w:rPr>
        <w:t>sprzedaży powyżej miliarda euro</w:t>
      </w:r>
      <w:r w:rsidR="000E124F">
        <w:rPr>
          <w:lang w:val="pl-PL"/>
        </w:rPr>
        <w:t>, z których b</w:t>
      </w:r>
      <w:r w:rsidRPr="00E11179">
        <w:rPr>
          <w:lang w:val="pl-PL"/>
        </w:rPr>
        <w:t xml:space="preserve">lisko połowa zostanie sprzedana lub wycofana do końca 2021 roku. Oczekuje się systematycznej poprawy wyników pozostałych marek i sektorów biznesowych. Do tej pory 60% </w:t>
      </w:r>
      <w:r w:rsidR="004929F4">
        <w:rPr>
          <w:lang w:val="pl-PL"/>
        </w:rPr>
        <w:t>podstawy</w:t>
      </w:r>
      <w:r w:rsidRPr="00E11179">
        <w:rPr>
          <w:lang w:val="pl-PL"/>
        </w:rPr>
        <w:t xml:space="preserve"> przychod</w:t>
      </w:r>
      <w:r w:rsidR="004929F4">
        <w:rPr>
          <w:lang w:val="pl-PL"/>
        </w:rPr>
        <w:t xml:space="preserve">ów </w:t>
      </w:r>
      <w:r w:rsidRPr="00E11179">
        <w:rPr>
          <w:lang w:val="pl-PL"/>
        </w:rPr>
        <w:t xml:space="preserve">tych marek i sektorów biznesowych wykazywało poprawę dynamiki wzrostu. Pomimo utrzymującej się niepewności na rynku, Henkel zaprzestał działalności lub dokonał sprzedaży segmentów biznesowych generujących sprzedaż w łącznej wysokości około 350 mln </w:t>
      </w:r>
      <w:r w:rsidR="00BD2C61">
        <w:rPr>
          <w:lang w:val="pl-PL"/>
        </w:rPr>
        <w:t>EUR</w:t>
      </w:r>
      <w:r w:rsidRPr="00E11179">
        <w:rPr>
          <w:lang w:val="pl-PL"/>
        </w:rPr>
        <w:t xml:space="preserve"> – głównie w obszarze dóbr konsumpcyjnych. Dzięki sfinalizowaniu przejęcia </w:t>
      </w:r>
      <w:proofErr w:type="spellStart"/>
      <w:r w:rsidRPr="00E11179">
        <w:rPr>
          <w:lang w:val="pl-PL"/>
        </w:rPr>
        <w:t>Swania</w:t>
      </w:r>
      <w:proofErr w:type="spellEnd"/>
      <w:r w:rsidRPr="00E11179">
        <w:rPr>
          <w:lang w:val="pl-PL"/>
        </w:rPr>
        <w:t xml:space="preserve"> SAS w lipcu 2021 roku, spółka umocniła swoją pozycję na rynku zrównoważonych środków piorących i czystości, a jej </w:t>
      </w:r>
      <w:r w:rsidR="00BD2C61">
        <w:rPr>
          <w:lang w:val="pl-PL"/>
        </w:rPr>
        <w:t>portfolio</w:t>
      </w:r>
      <w:r w:rsidRPr="00E11179">
        <w:rPr>
          <w:lang w:val="pl-PL"/>
        </w:rPr>
        <w:t xml:space="preserve"> wzbogacił się o nowe marki.</w:t>
      </w:r>
    </w:p>
    <w:p w14:paraId="6BCA5B3F" w14:textId="77777777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W celu dalszego umocnienia </w:t>
      </w:r>
      <w:r w:rsidRPr="00BD2C61">
        <w:rPr>
          <w:b/>
          <w:bCs/>
          <w:lang w:val="pl-PL"/>
        </w:rPr>
        <w:t>przewagi konkurencyjnej</w:t>
      </w:r>
      <w:r w:rsidRPr="00E11179">
        <w:rPr>
          <w:lang w:val="pl-PL"/>
        </w:rPr>
        <w:t xml:space="preserve"> Henkel będzie przyspieszać rozwój </w:t>
      </w:r>
      <w:r w:rsidRPr="00BD2C61">
        <w:rPr>
          <w:b/>
          <w:bCs/>
          <w:lang w:val="pl-PL"/>
        </w:rPr>
        <w:t>innowacji</w:t>
      </w:r>
      <w:r w:rsidRPr="00E11179">
        <w:rPr>
          <w:lang w:val="pl-PL"/>
        </w:rPr>
        <w:t xml:space="preserve"> mających wpływ na wyniki, zwiększać wysiłki na rzecz </w:t>
      </w:r>
      <w:r w:rsidRPr="00BD2C61">
        <w:rPr>
          <w:b/>
          <w:bCs/>
          <w:lang w:val="pl-PL"/>
        </w:rPr>
        <w:t>zrównoważonego rozwoju</w:t>
      </w:r>
      <w:r w:rsidRPr="00E11179">
        <w:rPr>
          <w:lang w:val="pl-PL"/>
        </w:rPr>
        <w:t xml:space="preserve"> jako czynnika wyróżniającego spółkę na rynku oraz kontynuować </w:t>
      </w:r>
      <w:r w:rsidRPr="00BD2C61">
        <w:rPr>
          <w:b/>
          <w:bCs/>
          <w:lang w:val="pl-PL"/>
        </w:rPr>
        <w:t>cyfryzację</w:t>
      </w:r>
      <w:r w:rsidRPr="00E11179">
        <w:rPr>
          <w:lang w:val="pl-PL"/>
        </w:rPr>
        <w:t xml:space="preserve"> firmy.</w:t>
      </w:r>
    </w:p>
    <w:p w14:paraId="312AD9D5" w14:textId="45F8A773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>Głównym filarem strategii Henk</w:t>
      </w:r>
      <w:r w:rsidR="00BD2C61">
        <w:rPr>
          <w:lang w:val="pl-PL"/>
        </w:rPr>
        <w:t>la</w:t>
      </w:r>
      <w:r w:rsidRPr="00E11179">
        <w:rPr>
          <w:lang w:val="pl-PL"/>
        </w:rPr>
        <w:t xml:space="preserve"> jest wyraźne wyróżnienie się na rynku dzięki udanym </w:t>
      </w:r>
      <w:r w:rsidRPr="00BD2C61">
        <w:rPr>
          <w:b/>
          <w:bCs/>
          <w:lang w:val="pl-PL"/>
        </w:rPr>
        <w:t>innowacjom</w:t>
      </w:r>
      <w:r w:rsidRPr="00E11179">
        <w:rPr>
          <w:lang w:val="pl-PL"/>
        </w:rPr>
        <w:t xml:space="preserve">. Przyczyniły się one do istotnego wzrostu wyników w pierwszym półroczu. W sektorze biznesowym </w:t>
      </w:r>
      <w:proofErr w:type="spellStart"/>
      <w:r w:rsidRPr="00E11179">
        <w:rPr>
          <w:lang w:val="pl-PL"/>
        </w:rPr>
        <w:t>Adhesive</w:t>
      </w:r>
      <w:proofErr w:type="spellEnd"/>
      <w:r w:rsidRPr="00E11179">
        <w:rPr>
          <w:lang w:val="pl-PL"/>
        </w:rPr>
        <w:t xml:space="preserve"> Technologies (kleje budowlane i konsumenckie oraz kleje i </w:t>
      </w:r>
      <w:r w:rsidRPr="00E11179">
        <w:rPr>
          <w:lang w:val="pl-PL"/>
        </w:rPr>
        <w:lastRenderedPageBreak/>
        <w:t xml:space="preserve">technologie dla przemysłu) Henkel odnotował średnio dwucyfrowy wzrost dzięki innowacyjnym materiałom do interfejsów termicznych do zastosowań 5G, co jest efektem projektów rozwojowych realizowanych we współpracy z kluczowymi klientami. Sektor </w:t>
      </w:r>
      <w:proofErr w:type="spellStart"/>
      <w:r w:rsidRPr="00E11179">
        <w:rPr>
          <w:lang w:val="pl-PL"/>
        </w:rPr>
        <w:t>Beauty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(kosmetyki) osiągnął wyniki lepsze niż reszta rynku w segmencie koloryzacji dzięki skutecznym innowacjom wprowadzonym pod markami Natural &amp; </w:t>
      </w:r>
      <w:proofErr w:type="spellStart"/>
      <w:r w:rsidRPr="00E11179">
        <w:rPr>
          <w:lang w:val="pl-PL"/>
        </w:rPr>
        <w:t>Easy</w:t>
      </w:r>
      <w:proofErr w:type="spellEnd"/>
      <w:r w:rsidRPr="00E11179">
        <w:rPr>
          <w:lang w:val="pl-PL"/>
        </w:rPr>
        <w:t xml:space="preserve"> oraz </w:t>
      </w:r>
      <w:proofErr w:type="spellStart"/>
      <w:r w:rsidRPr="00E11179">
        <w:rPr>
          <w:lang w:val="pl-PL"/>
        </w:rPr>
        <w:t>Palette</w:t>
      </w:r>
      <w:proofErr w:type="spellEnd"/>
      <w:r w:rsidRPr="00E11179">
        <w:rPr>
          <w:lang w:val="pl-PL"/>
        </w:rPr>
        <w:t xml:space="preserve">, zwiększając udział w rynku do poziomu porównywalnego do okresu sprzed pandemii COVID-19. W segmencie salonów fryzjerskich do wzrostu przyczyniło się ponowne wprowadzenie marki IGORA </w:t>
      </w:r>
      <w:proofErr w:type="spellStart"/>
      <w:r w:rsidRPr="00E11179">
        <w:rPr>
          <w:lang w:val="pl-PL"/>
        </w:rPr>
        <w:t>Royal</w:t>
      </w:r>
      <w:proofErr w:type="spellEnd"/>
      <w:r w:rsidRPr="00E11179">
        <w:rPr>
          <w:lang w:val="pl-PL"/>
        </w:rPr>
        <w:t xml:space="preserve">. Dzięki udanym innowacjom, takim jak </w:t>
      </w:r>
      <w:proofErr w:type="spellStart"/>
      <w:r w:rsidRPr="00E11179">
        <w:rPr>
          <w:lang w:val="pl-PL"/>
        </w:rPr>
        <w:t>Somat</w:t>
      </w:r>
      <w:proofErr w:type="spellEnd"/>
      <w:r w:rsidRPr="00E11179">
        <w:rPr>
          <w:lang w:val="pl-PL"/>
        </w:rPr>
        <w:t xml:space="preserve"> Excellence 4in1 </w:t>
      </w:r>
      <w:proofErr w:type="spellStart"/>
      <w:r w:rsidRPr="00E11179">
        <w:rPr>
          <w:lang w:val="pl-PL"/>
        </w:rPr>
        <w:t>Caps</w:t>
      </w:r>
      <w:proofErr w:type="spellEnd"/>
      <w:r w:rsidRPr="00E11179">
        <w:rPr>
          <w:lang w:val="pl-PL"/>
        </w:rPr>
        <w:t xml:space="preserve"> i </w:t>
      </w:r>
      <w:proofErr w:type="spellStart"/>
      <w:r w:rsidRPr="00E11179">
        <w:rPr>
          <w:lang w:val="pl-PL"/>
        </w:rPr>
        <w:t>Pril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Antibacterial</w:t>
      </w:r>
      <w:proofErr w:type="spellEnd"/>
      <w:r w:rsidRPr="00E11179">
        <w:rPr>
          <w:lang w:val="pl-PL"/>
        </w:rPr>
        <w:t xml:space="preserve">, sektor </w:t>
      </w:r>
      <w:proofErr w:type="spellStart"/>
      <w:r w:rsidRPr="00E11179">
        <w:rPr>
          <w:lang w:val="pl-PL"/>
        </w:rPr>
        <w:t>Laundry</w:t>
      </w:r>
      <w:proofErr w:type="spellEnd"/>
      <w:r w:rsidRPr="00E11179">
        <w:rPr>
          <w:lang w:val="pl-PL"/>
        </w:rPr>
        <w:t xml:space="preserve"> &amp; Home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(środków piorących i czystości) zwiększył udział w globalnym rynku produktów do mycia naczyń.</w:t>
      </w:r>
    </w:p>
    <w:p w14:paraId="04701CB1" w14:textId="3AFDB8BE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Od dłuższego czasu </w:t>
      </w:r>
      <w:r w:rsidRPr="00BD2C61">
        <w:rPr>
          <w:b/>
          <w:bCs/>
          <w:lang w:val="pl-PL"/>
        </w:rPr>
        <w:t>zrównoważony rozwój</w:t>
      </w:r>
      <w:r w:rsidRPr="00E11179">
        <w:rPr>
          <w:lang w:val="pl-PL"/>
        </w:rPr>
        <w:t xml:space="preserve"> należy do głównych atutów </w:t>
      </w:r>
      <w:r w:rsidR="00BD2C61">
        <w:rPr>
          <w:lang w:val="pl-PL"/>
        </w:rPr>
        <w:t xml:space="preserve">firmy </w:t>
      </w:r>
      <w:r w:rsidRPr="00E11179">
        <w:rPr>
          <w:lang w:val="pl-PL"/>
        </w:rPr>
        <w:t xml:space="preserve">Henkel. Spółka zajmuje pozycję lidera, czego dowodem są </w:t>
      </w:r>
      <w:r w:rsidR="004929F4">
        <w:rPr>
          <w:lang w:val="pl-PL"/>
        </w:rPr>
        <w:t>wysokie pozycje</w:t>
      </w:r>
      <w:r w:rsidRPr="00E11179">
        <w:rPr>
          <w:lang w:val="pl-PL"/>
        </w:rPr>
        <w:t xml:space="preserve"> w wielu różnych rankingach, i zamierza wykorzystać zrównoważony rozwój jako swój wyróżnik na rynku.</w:t>
      </w:r>
    </w:p>
    <w:p w14:paraId="6E506372" w14:textId="281E379E" w:rsidR="00E11179" w:rsidRPr="00E11179" w:rsidRDefault="00BD2C61" w:rsidP="00E11179">
      <w:pPr>
        <w:spacing w:before="120" w:after="240" w:line="240" w:lineRule="auto"/>
        <w:ind w:left="-5"/>
        <w:rPr>
          <w:lang w:val="pl-PL"/>
        </w:rPr>
      </w:pPr>
      <w:r>
        <w:rPr>
          <w:lang w:val="pl-PL"/>
        </w:rPr>
        <w:t xml:space="preserve">Dla przykładu </w:t>
      </w:r>
      <w:r w:rsidR="00E11179" w:rsidRPr="00E11179">
        <w:rPr>
          <w:lang w:val="pl-PL"/>
        </w:rPr>
        <w:t xml:space="preserve">Henkel znacząco rozszerzył współpracę z </w:t>
      </w:r>
      <w:r w:rsidR="00DF22B4">
        <w:rPr>
          <w:lang w:val="pl-PL"/>
        </w:rPr>
        <w:t xml:space="preserve">organizacją </w:t>
      </w:r>
      <w:r w:rsidR="00E11179" w:rsidRPr="00E11179">
        <w:rPr>
          <w:lang w:val="pl-PL"/>
        </w:rPr>
        <w:t>Plastic Bank. Celem partnerów w ramach współpracy jest zapobieganie przedostawaniu się odpadów z tworzyw sztucznych do środowiska oraz poprawa warunków życia ludzi najuboższych. Henkel i Plastic Bank otworzyli pierwsze trzy centra zbiórki odpadów plastikowych w okolicach Kairu w Egipcie. Projekt jest częścią długoterminowej</w:t>
      </w:r>
      <w:r>
        <w:rPr>
          <w:lang w:val="pl-PL"/>
        </w:rPr>
        <w:t>,</w:t>
      </w:r>
      <w:r w:rsidR="00E11179" w:rsidRPr="00E11179">
        <w:rPr>
          <w:lang w:val="pl-PL"/>
        </w:rPr>
        <w:t xml:space="preserve"> udanej współpracy pomiędzy Henkel i Plastic Bank.</w:t>
      </w:r>
    </w:p>
    <w:p w14:paraId="3F8199DA" w14:textId="226CC8E4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Postępy w obszarze zrównoważonego rozwoju są również widoczne w produktach dla konsumentów i klientów przemysłowych. Nowa marka Love Nature w sektorze biznesowym </w:t>
      </w:r>
      <w:proofErr w:type="spellStart"/>
      <w:r w:rsidRPr="00E11179">
        <w:rPr>
          <w:lang w:val="pl-PL"/>
        </w:rPr>
        <w:t>Laundry</w:t>
      </w:r>
      <w:proofErr w:type="spellEnd"/>
      <w:r w:rsidRPr="00E11179">
        <w:rPr>
          <w:lang w:val="pl-PL"/>
        </w:rPr>
        <w:t xml:space="preserve"> &amp; Home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(środki piorące i czystości) zajmuje już trzecią pozycję w szybko rozwijającym się segmencie ekologicznych środków piorących i czystości w Niemczech. Sektor </w:t>
      </w:r>
      <w:proofErr w:type="spellStart"/>
      <w:r w:rsidRPr="00E11179">
        <w:rPr>
          <w:lang w:val="pl-PL"/>
        </w:rPr>
        <w:t>Beauty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Care</w:t>
      </w:r>
      <w:proofErr w:type="spellEnd"/>
      <w:r w:rsidRPr="00E11179">
        <w:rPr>
          <w:lang w:val="pl-PL"/>
        </w:rPr>
        <w:t xml:space="preserve"> (kosmetyków) kontynuuje rozwój zrównoważonych opakowań. Dla marki Nature Box opracowano nadające się do recyklingu opakowania uzupełniające, w których wykorzystano o ponad 70% mniej plastiku niż w opakowaniach konwencjonalnych. Sektor </w:t>
      </w:r>
      <w:proofErr w:type="spellStart"/>
      <w:r w:rsidRPr="00E11179">
        <w:rPr>
          <w:lang w:val="pl-PL"/>
        </w:rPr>
        <w:t>Adhesive</w:t>
      </w:r>
      <w:proofErr w:type="spellEnd"/>
      <w:r w:rsidRPr="00E11179">
        <w:rPr>
          <w:lang w:val="pl-PL"/>
        </w:rPr>
        <w:t xml:space="preserve"> Technologies (kleje budowlane i konsumenckie oraz kleje i technologie dla przemysłu) wprowadził nową technologię klejenia obuwia na bazie wody,</w:t>
      </w:r>
      <w:r w:rsidR="00061C9E">
        <w:rPr>
          <w:lang w:val="pl-PL"/>
        </w:rPr>
        <w:t xml:space="preserve"> dzięki której można</w:t>
      </w:r>
      <w:r w:rsidRPr="00E11179">
        <w:rPr>
          <w:lang w:val="pl-PL"/>
        </w:rPr>
        <w:t xml:space="preserve"> </w:t>
      </w:r>
      <w:r w:rsidR="00061C9E">
        <w:rPr>
          <w:lang w:val="pl-PL"/>
        </w:rPr>
        <w:t>wyeliminować</w:t>
      </w:r>
      <w:r w:rsidRPr="00E11179">
        <w:rPr>
          <w:lang w:val="pl-PL"/>
        </w:rPr>
        <w:t xml:space="preserve"> kilka etapów produkcji i zmniejsz</w:t>
      </w:r>
      <w:r w:rsidR="00061C9E">
        <w:rPr>
          <w:lang w:val="pl-PL"/>
        </w:rPr>
        <w:t>yć</w:t>
      </w:r>
      <w:r w:rsidRPr="00E11179">
        <w:rPr>
          <w:lang w:val="pl-PL"/>
        </w:rPr>
        <w:t xml:space="preserve"> emisj</w:t>
      </w:r>
      <w:r w:rsidR="00061C9E">
        <w:rPr>
          <w:lang w:val="pl-PL"/>
        </w:rPr>
        <w:t>ę</w:t>
      </w:r>
      <w:r w:rsidRPr="00E11179">
        <w:rPr>
          <w:lang w:val="pl-PL"/>
        </w:rPr>
        <w:t xml:space="preserve"> CO₂ nawet o 30%.</w:t>
      </w:r>
    </w:p>
    <w:p w14:paraId="6E98769A" w14:textId="40835826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Obok innowacji i zrównoważonego rozwoju, kluczowym źródłem przewagi konkurencyjnej zdefiniowanym przez </w:t>
      </w:r>
      <w:r w:rsidR="00061C9E">
        <w:rPr>
          <w:lang w:val="pl-PL"/>
        </w:rPr>
        <w:t xml:space="preserve">firmę </w:t>
      </w:r>
      <w:r w:rsidRPr="00E11179">
        <w:rPr>
          <w:lang w:val="pl-PL"/>
        </w:rPr>
        <w:t xml:space="preserve">Henkel jest </w:t>
      </w:r>
      <w:r w:rsidRPr="00BD2C61">
        <w:rPr>
          <w:b/>
          <w:bCs/>
          <w:lang w:val="pl-PL"/>
        </w:rPr>
        <w:t>cyfryzacja</w:t>
      </w:r>
      <w:r w:rsidRPr="00E11179">
        <w:rPr>
          <w:lang w:val="pl-PL"/>
        </w:rPr>
        <w:t xml:space="preserve">. W pierwszej połowie roku nastąpił dalszy wzrost udziału sprzedaży generowanej za pośrednictwem kanałów cyfrowych we wszystkich sektorach biznesowych. Segmenty dóbr konsumpcyjnych łącznie odnotowały wzrost o ponad 30%. Także w sektorze </w:t>
      </w:r>
      <w:proofErr w:type="spellStart"/>
      <w:r w:rsidRPr="00E11179">
        <w:rPr>
          <w:lang w:val="pl-PL"/>
        </w:rPr>
        <w:t>Adhesive</w:t>
      </w:r>
      <w:proofErr w:type="spellEnd"/>
      <w:r w:rsidRPr="00E11179">
        <w:rPr>
          <w:lang w:val="pl-PL"/>
        </w:rPr>
        <w:t xml:space="preserve"> Technologies (kleje budowlane i konsumenckie oraz kleje i technologie dla przemysłu) nastąpił dalszy wzrost sprzedaży generowanej poprzez kanały cyfrowe. W pierwszym półroczu 2021 roku sektor ten osiągnął kilkunastoprocentowy wzrost sprzedaży dzięki platformie e-commerce. Udział sprzedaży realizowanej w tym sektorze za pośrednictwem sklep</w:t>
      </w:r>
      <w:r w:rsidR="00061C9E">
        <w:rPr>
          <w:lang w:val="pl-PL"/>
        </w:rPr>
        <w:t>ów</w:t>
      </w:r>
      <w:r w:rsidRPr="00E11179">
        <w:rPr>
          <w:lang w:val="pl-PL"/>
        </w:rPr>
        <w:t xml:space="preserve"> internetow</w:t>
      </w:r>
      <w:r w:rsidR="00061C9E">
        <w:rPr>
          <w:lang w:val="pl-PL"/>
        </w:rPr>
        <w:t>ych</w:t>
      </w:r>
      <w:r w:rsidRPr="00E11179">
        <w:rPr>
          <w:lang w:val="pl-PL"/>
        </w:rPr>
        <w:t xml:space="preserve"> wzrósł do przeszło 25%. Na poziomie Grupy udział sprzedaży w kanałach cyfrowych zwiększył się o 40% do ok. 18% sprzedaży ogółem.</w:t>
      </w:r>
    </w:p>
    <w:p w14:paraId="3F631FDD" w14:textId="09D9818D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Henkel nawiązał również strategiczną współpracę z Adobe, której celem jest dalsze wzmacnianie przewagi konkurencyjnej poprzez digitalizację wszystkich obszarów działalności. </w:t>
      </w:r>
      <w:r w:rsidRPr="00E11179">
        <w:rPr>
          <w:lang w:val="pl-PL"/>
        </w:rPr>
        <w:lastRenderedPageBreak/>
        <w:t xml:space="preserve">Nowoopracowana, oparta na danych platforma cyfrowa dla sektorów </w:t>
      </w:r>
      <w:proofErr w:type="spellStart"/>
      <w:r w:rsidRPr="00E11179">
        <w:rPr>
          <w:lang w:val="pl-PL"/>
        </w:rPr>
        <w:t>digital</w:t>
      </w:r>
      <w:proofErr w:type="spellEnd"/>
      <w:r w:rsidRPr="00E11179">
        <w:rPr>
          <w:lang w:val="pl-PL"/>
        </w:rPr>
        <w:t xml:space="preserve"> business oraz e-commerce ma na celu przyspieszenie rozwoju innowacji cyfrowych i stworzenie nowych szans biznesowych dla Henk</w:t>
      </w:r>
      <w:r w:rsidR="00BD2C61">
        <w:rPr>
          <w:lang w:val="pl-PL"/>
        </w:rPr>
        <w:t>la</w:t>
      </w:r>
      <w:r w:rsidRPr="00E11179">
        <w:rPr>
          <w:lang w:val="pl-PL"/>
        </w:rPr>
        <w:t>.</w:t>
      </w:r>
    </w:p>
    <w:p w14:paraId="5E684D88" w14:textId="382AA939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Dalszy rozwój kultury organizacyjnej i przyspieszenie </w:t>
      </w:r>
      <w:r w:rsidRPr="00BD2C61">
        <w:rPr>
          <w:b/>
          <w:bCs/>
          <w:lang w:val="pl-PL"/>
        </w:rPr>
        <w:t>transformacji kulturowej</w:t>
      </w:r>
      <w:r w:rsidRPr="00E11179">
        <w:rPr>
          <w:lang w:val="pl-PL"/>
        </w:rPr>
        <w:t xml:space="preserve"> również stanowią kluczowe elementy </w:t>
      </w:r>
      <w:r w:rsidR="00ED6AA5">
        <w:rPr>
          <w:lang w:val="pl-PL"/>
        </w:rPr>
        <w:t>Strategii</w:t>
      </w:r>
      <w:r w:rsidRPr="00E11179">
        <w:rPr>
          <w:lang w:val="pl-PL"/>
        </w:rPr>
        <w:t xml:space="preserve"> Ukierunkowanego Rozwoju. Firma </w:t>
      </w:r>
      <w:r w:rsidR="00061C9E">
        <w:rPr>
          <w:lang w:val="pl-PL"/>
        </w:rPr>
        <w:t>ma na celu stymulowanie rozwoju</w:t>
      </w:r>
      <w:r w:rsidRPr="00E11179">
        <w:rPr>
          <w:lang w:val="pl-PL"/>
        </w:rPr>
        <w:t xml:space="preserve"> kultury współpracy. W pierwszej połowie roku Henkel kontynuował realizację szeregu działań zmierzających do osiągnięcia tego celu oraz wzmocnienia swoich pracowników.</w:t>
      </w:r>
    </w:p>
    <w:p w14:paraId="7C14DF1C" w14:textId="3F5C6ECC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Henkel opracował i zaprezentował pracownikom nową, </w:t>
      </w:r>
      <w:r w:rsidRPr="00BD2C61">
        <w:rPr>
          <w:lang w:val="pl-PL"/>
        </w:rPr>
        <w:t>kompleksową koncepcję</w:t>
      </w:r>
      <w:r w:rsidRPr="00E11179">
        <w:rPr>
          <w:lang w:val="pl-PL"/>
        </w:rPr>
        <w:t xml:space="preserve"> dotyczącą przyszłości pracy pod nazwą Smart </w:t>
      </w:r>
      <w:proofErr w:type="spellStart"/>
      <w:r w:rsidRPr="00E11179">
        <w:rPr>
          <w:lang w:val="pl-PL"/>
        </w:rPr>
        <w:t>Work</w:t>
      </w:r>
      <w:proofErr w:type="spellEnd"/>
      <w:r w:rsidRPr="00E11179">
        <w:rPr>
          <w:lang w:val="pl-PL"/>
        </w:rPr>
        <w:t>. Odzwierciedla ona nowoczesne środowisko pracy w czasach po pandemii COVID-19, zwiększając elastyczność zatrudnienia i promując pracę hybrydową. W przypadku stanowisk, które nie wymagają stałej obecności pracownika na terenie zakładu pracy, koncepcja ta daje możliwość pracy zdalnej w wymiarze do 40% czasu pracy. Henkel zdefiniował na nowo cel spółki. W proces ten zaangażowano pracowników z całego świata, aby zapewnić, że deklarowany cel będzie autentyczny, a pracownicy będą się mogli z nim identyfikować. U jego podstaw leży pionierski duch, który charakteryzuje firmę i jej pracowników od początku jej istnienia i motywuje wszystkich pracowników. Zakłada on codzienne dążenie do wzbogacania i poprawy życia zarówno klientów, jak i całego społeczeństwa, a także do tworzenia trwałej wartości.</w:t>
      </w:r>
    </w:p>
    <w:p w14:paraId="351706D3" w14:textId="1F80318D" w:rsidR="00E11179" w:rsidRPr="00E11179" w:rsidRDefault="00E11179" w:rsidP="00E11179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– </w:t>
      </w:r>
      <w:r w:rsidR="00BD2C61" w:rsidRPr="00ED6AA5">
        <w:rPr>
          <w:i/>
          <w:iCs/>
          <w:lang w:val="pl-PL"/>
        </w:rPr>
        <w:t xml:space="preserve">Nasz </w:t>
      </w:r>
      <w:r w:rsidR="00061C9E">
        <w:rPr>
          <w:i/>
          <w:iCs/>
          <w:lang w:val="pl-PL"/>
        </w:rPr>
        <w:t>hasło przewodnie</w:t>
      </w:r>
      <w:r w:rsidRPr="00ED6AA5">
        <w:rPr>
          <w:i/>
          <w:iCs/>
          <w:lang w:val="pl-PL"/>
        </w:rPr>
        <w:t xml:space="preserve"> „Pionierski duch dla dobra </w:t>
      </w:r>
      <w:r w:rsidR="00BD2C61" w:rsidRPr="00ED6AA5">
        <w:rPr>
          <w:i/>
          <w:iCs/>
          <w:lang w:val="pl-PL"/>
        </w:rPr>
        <w:t xml:space="preserve">następnych </w:t>
      </w:r>
      <w:r w:rsidRPr="00ED6AA5">
        <w:rPr>
          <w:i/>
          <w:iCs/>
          <w:lang w:val="pl-PL"/>
        </w:rPr>
        <w:t xml:space="preserve">pokoleń” opisuje kim jesteśmy jako </w:t>
      </w:r>
      <w:r w:rsidR="00061C9E">
        <w:rPr>
          <w:i/>
          <w:iCs/>
          <w:lang w:val="pl-PL"/>
        </w:rPr>
        <w:t xml:space="preserve">firma </w:t>
      </w:r>
      <w:r w:rsidRPr="00ED6AA5">
        <w:rPr>
          <w:i/>
          <w:iCs/>
          <w:lang w:val="pl-PL"/>
        </w:rPr>
        <w:t xml:space="preserve">Henkel, co nas łączy i jaką rolę chcemy odgrywać w świecie. To znacznie więcej niż tylko slogan czy modne hasło. Z dużym zaangażowaniem </w:t>
      </w:r>
      <w:r w:rsidR="00AC7CAA">
        <w:rPr>
          <w:i/>
          <w:iCs/>
          <w:lang w:val="pl-PL"/>
        </w:rPr>
        <w:t xml:space="preserve">każdego dnia </w:t>
      </w:r>
      <w:r w:rsidR="00AC7CAA" w:rsidRPr="00ED6AA5">
        <w:rPr>
          <w:i/>
          <w:iCs/>
          <w:lang w:val="pl-PL"/>
        </w:rPr>
        <w:t xml:space="preserve">będziemy </w:t>
      </w:r>
      <w:r w:rsidRPr="00ED6AA5">
        <w:rPr>
          <w:i/>
          <w:iCs/>
          <w:lang w:val="pl-PL"/>
        </w:rPr>
        <w:t>się nim kierować. Chcemy wykorzystać naszego pionierskiego ducha i przedsiębiorczość dla dobra naszych pracowników, klientów i konsumentów, dla naszych akcjonariuszy oraz dla dobra obecnych i przyszłych pokoleń</w:t>
      </w:r>
      <w:r w:rsidRPr="00E11179">
        <w:rPr>
          <w:lang w:val="pl-PL"/>
        </w:rPr>
        <w:t xml:space="preserve"> – powiedział </w:t>
      </w:r>
      <w:proofErr w:type="spellStart"/>
      <w:r w:rsidRPr="00E11179">
        <w:rPr>
          <w:lang w:val="pl-PL"/>
        </w:rPr>
        <w:t>Carsten</w:t>
      </w:r>
      <w:proofErr w:type="spellEnd"/>
      <w:r w:rsidRPr="00E11179">
        <w:rPr>
          <w:lang w:val="pl-PL"/>
        </w:rPr>
        <w:t xml:space="preserve"> </w:t>
      </w:r>
      <w:proofErr w:type="spellStart"/>
      <w:r w:rsidRPr="00E11179">
        <w:rPr>
          <w:lang w:val="pl-PL"/>
        </w:rPr>
        <w:t>Knobel</w:t>
      </w:r>
      <w:proofErr w:type="spellEnd"/>
      <w:r w:rsidRPr="00E11179">
        <w:rPr>
          <w:lang w:val="pl-PL"/>
        </w:rPr>
        <w:t xml:space="preserve">. – </w:t>
      </w:r>
      <w:r w:rsidRPr="00ED6AA5">
        <w:rPr>
          <w:i/>
          <w:iCs/>
          <w:lang w:val="pl-PL"/>
        </w:rPr>
        <w:t xml:space="preserve">Dlatego tak istotne jest, abyśmy w ten sam sposób rozumieli nasz cel </w:t>
      </w:r>
      <w:proofErr w:type="spellStart"/>
      <w:r w:rsidRPr="00ED6AA5">
        <w:rPr>
          <w:i/>
          <w:iCs/>
          <w:lang w:val="pl-PL"/>
        </w:rPr>
        <w:t>i</w:t>
      </w:r>
      <w:r w:rsidR="00AC7CAA">
        <w:rPr>
          <w:i/>
          <w:iCs/>
          <w:lang w:val="pl-PL"/>
        </w:rPr>
        <w:t>n</w:t>
      </w:r>
      <w:r w:rsidRPr="00ED6AA5">
        <w:rPr>
          <w:i/>
          <w:iCs/>
          <w:lang w:val="pl-PL"/>
        </w:rPr>
        <w:t>abyśmy</w:t>
      </w:r>
      <w:proofErr w:type="spellEnd"/>
      <w:r w:rsidRPr="00ED6AA5">
        <w:rPr>
          <w:i/>
          <w:iCs/>
          <w:lang w:val="pl-PL"/>
        </w:rPr>
        <w:t xml:space="preserve"> świadomie dostosowywali do niego nasze działania</w:t>
      </w:r>
      <w:r w:rsidRPr="00E11179">
        <w:rPr>
          <w:lang w:val="pl-PL"/>
        </w:rPr>
        <w:t>.</w:t>
      </w:r>
    </w:p>
    <w:p w14:paraId="1B84E6E4" w14:textId="73F7A8BA" w:rsidR="00B72D53" w:rsidRPr="00B72D53" w:rsidRDefault="00E11179" w:rsidP="00ED6AA5">
      <w:pPr>
        <w:spacing w:before="120" w:after="240" w:line="240" w:lineRule="auto"/>
        <w:ind w:left="-5"/>
        <w:rPr>
          <w:lang w:val="pl-PL"/>
        </w:rPr>
      </w:pPr>
      <w:r w:rsidRPr="00E11179">
        <w:rPr>
          <w:lang w:val="pl-PL"/>
        </w:rPr>
        <w:t xml:space="preserve">– </w:t>
      </w:r>
      <w:r w:rsidRPr="00ED6AA5">
        <w:rPr>
          <w:i/>
          <w:iCs/>
          <w:lang w:val="pl-PL"/>
        </w:rPr>
        <w:t>Jesteśmy dumni z pomyślnego rozwoju działalności w pierwszym półroczu i znacznych postępów osiągniętych w realizacji naszego strategicznego planu pomimo utrzymujących się zawirowań wywołanych pandemią COVID-19</w:t>
      </w:r>
      <w:r w:rsidRPr="00E11179">
        <w:rPr>
          <w:lang w:val="pl-PL"/>
        </w:rPr>
        <w:t xml:space="preserve"> – wyjaśnił prezes </w:t>
      </w:r>
      <w:proofErr w:type="spellStart"/>
      <w:r w:rsidRPr="00E11179">
        <w:rPr>
          <w:lang w:val="pl-PL"/>
        </w:rPr>
        <w:t>Knobel</w:t>
      </w:r>
      <w:proofErr w:type="spellEnd"/>
      <w:r w:rsidRPr="00E11179">
        <w:rPr>
          <w:lang w:val="pl-PL"/>
        </w:rPr>
        <w:t xml:space="preserve">. – </w:t>
      </w:r>
      <w:r w:rsidRPr="00ED6AA5">
        <w:rPr>
          <w:i/>
          <w:iCs/>
          <w:lang w:val="pl-PL"/>
        </w:rPr>
        <w:t>Będziemy nadal konsekwentnie realizować</w:t>
      </w:r>
      <w:r w:rsidR="00ED6AA5">
        <w:rPr>
          <w:i/>
          <w:iCs/>
          <w:lang w:val="pl-PL"/>
        </w:rPr>
        <w:t xml:space="preserve"> Strategię</w:t>
      </w:r>
      <w:r w:rsidRPr="00ED6AA5">
        <w:rPr>
          <w:i/>
          <w:iCs/>
          <w:lang w:val="pl-PL"/>
        </w:rPr>
        <w:t xml:space="preserve"> </w:t>
      </w:r>
      <w:r w:rsidR="00ED6AA5">
        <w:rPr>
          <w:i/>
          <w:iCs/>
          <w:lang w:val="pl-PL"/>
        </w:rPr>
        <w:t>U</w:t>
      </w:r>
      <w:r w:rsidRPr="00ED6AA5">
        <w:rPr>
          <w:i/>
          <w:iCs/>
          <w:lang w:val="pl-PL"/>
        </w:rPr>
        <w:t xml:space="preserve">kierunkowanego </w:t>
      </w:r>
      <w:r w:rsidR="00ED6AA5">
        <w:rPr>
          <w:i/>
          <w:iCs/>
          <w:lang w:val="pl-PL"/>
        </w:rPr>
        <w:t>R</w:t>
      </w:r>
      <w:r w:rsidRPr="00ED6AA5">
        <w:rPr>
          <w:i/>
          <w:iCs/>
          <w:lang w:val="pl-PL"/>
        </w:rPr>
        <w:t>ozwoju i w kolejnych miesiącach roku będziemy niezwykle elastycznie reagować na zmiany zachodzące na rynkach, na których prowadzimy działalność, biorąc pod uwagę wyzwania związane z rosnącymi cenami surowców i napiętymi łańcuchami dostaw.</w:t>
      </w:r>
    </w:p>
    <w:p w14:paraId="549A6855" w14:textId="3A4E5711" w:rsidR="00B72D53" w:rsidRPr="000772EB" w:rsidRDefault="00B72D53" w:rsidP="000772EB">
      <w:pPr>
        <w:pStyle w:val="Nagwek2"/>
        <w:spacing w:before="120" w:after="240" w:line="240" w:lineRule="auto"/>
        <w:rPr>
          <w:b/>
          <w:bCs w:val="0"/>
          <w:lang w:val="pl-PL"/>
        </w:rPr>
      </w:pPr>
      <w:r w:rsidRPr="000772EB">
        <w:rPr>
          <w:b/>
          <w:bCs w:val="0"/>
          <w:color w:val="000000"/>
          <w:sz w:val="20"/>
          <w:lang w:val="pl"/>
        </w:rPr>
        <w:t xml:space="preserve">O </w:t>
      </w:r>
      <w:r w:rsidR="006C17B5" w:rsidRPr="000772EB">
        <w:rPr>
          <w:b/>
          <w:bCs w:val="0"/>
          <w:color w:val="000000"/>
          <w:sz w:val="20"/>
          <w:lang w:val="pl"/>
        </w:rPr>
        <w:t xml:space="preserve">firmie </w:t>
      </w:r>
      <w:r w:rsidRPr="000772EB">
        <w:rPr>
          <w:b/>
          <w:bCs w:val="0"/>
          <w:color w:val="000000"/>
          <w:sz w:val="20"/>
          <w:lang w:val="pl"/>
        </w:rPr>
        <w:t xml:space="preserve">Henkel </w:t>
      </w:r>
    </w:p>
    <w:p w14:paraId="42A164DD" w14:textId="4FD6001F" w:rsidR="00B72D53" w:rsidRDefault="00B72D53" w:rsidP="00AB2AF1">
      <w:pPr>
        <w:spacing w:before="120" w:after="240" w:line="240" w:lineRule="auto"/>
        <w:ind w:left="-5"/>
        <w:rPr>
          <w:sz w:val="18"/>
          <w:szCs w:val="18"/>
          <w:lang w:val="pl"/>
        </w:rPr>
      </w:pPr>
      <w:r w:rsidRPr="000772EB">
        <w:rPr>
          <w:sz w:val="18"/>
          <w:szCs w:val="18"/>
          <w:lang w:val="pl"/>
        </w:rPr>
        <w:t xml:space="preserve">Henkel jest firmą działającą globalnie, posiadającą zrównoważony i zdywersyfikowany </w:t>
      </w:r>
      <w:r w:rsidR="00ED6AA5">
        <w:rPr>
          <w:sz w:val="18"/>
          <w:szCs w:val="18"/>
          <w:lang w:val="pl"/>
        </w:rPr>
        <w:t>portfolio</w:t>
      </w:r>
      <w:r w:rsidRPr="000772EB">
        <w:rPr>
          <w:sz w:val="18"/>
          <w:szCs w:val="18"/>
          <w:lang w:val="pl"/>
        </w:rPr>
        <w:t xml:space="preserve"> produktów i usług. Dzięki silnym markom, innowacyjności i posiadanym technologiom, spółka zajmuje czołową pozycję w ramach wszystkich trzech sektorów biznesowych, zarówno w segmencie konsumentów indywidualnych, jak i klientów przemysłowych. Henkel </w:t>
      </w:r>
      <w:proofErr w:type="spellStart"/>
      <w:r w:rsidRPr="000772EB">
        <w:rPr>
          <w:sz w:val="18"/>
          <w:szCs w:val="18"/>
          <w:lang w:val="pl"/>
        </w:rPr>
        <w:t>Adhesive</w:t>
      </w:r>
      <w:proofErr w:type="spellEnd"/>
      <w:r w:rsidRPr="000772EB">
        <w:rPr>
          <w:sz w:val="18"/>
          <w:szCs w:val="18"/>
          <w:lang w:val="pl"/>
        </w:rPr>
        <w:t xml:space="preserve"> Technologies jest globalnym liderem rynku klejów budowlanych i konsumenckich oraz klejów i technologii dla przemysłu we wszystkich segmentach tej branży. W ramach sektorów biznesowych </w:t>
      </w:r>
      <w:proofErr w:type="spellStart"/>
      <w:r w:rsidRPr="000772EB">
        <w:rPr>
          <w:sz w:val="18"/>
          <w:szCs w:val="18"/>
          <w:lang w:val="pl"/>
        </w:rPr>
        <w:lastRenderedPageBreak/>
        <w:t>Laundry</w:t>
      </w:r>
      <w:proofErr w:type="spellEnd"/>
      <w:r w:rsidRPr="000772EB">
        <w:rPr>
          <w:sz w:val="18"/>
          <w:szCs w:val="18"/>
          <w:lang w:val="pl"/>
        </w:rPr>
        <w:t xml:space="preserve"> &amp; Home </w:t>
      </w:r>
      <w:proofErr w:type="spellStart"/>
      <w:r w:rsidRPr="000772EB">
        <w:rPr>
          <w:sz w:val="18"/>
          <w:szCs w:val="18"/>
          <w:lang w:val="pl"/>
        </w:rPr>
        <w:t>Care</w:t>
      </w:r>
      <w:proofErr w:type="spellEnd"/>
      <w:r w:rsidRPr="000772EB">
        <w:rPr>
          <w:sz w:val="18"/>
          <w:szCs w:val="18"/>
          <w:lang w:val="pl"/>
        </w:rPr>
        <w:t xml:space="preserve"> (środki piorące i czystości) oraz </w:t>
      </w:r>
      <w:proofErr w:type="spellStart"/>
      <w:r w:rsidRPr="000772EB">
        <w:rPr>
          <w:sz w:val="18"/>
          <w:szCs w:val="18"/>
          <w:lang w:val="pl"/>
        </w:rPr>
        <w:t>Beauty</w:t>
      </w:r>
      <w:proofErr w:type="spellEnd"/>
      <w:r w:rsidRPr="000772EB">
        <w:rPr>
          <w:sz w:val="18"/>
          <w:szCs w:val="18"/>
          <w:lang w:val="pl"/>
        </w:rPr>
        <w:t xml:space="preserve"> </w:t>
      </w:r>
      <w:proofErr w:type="spellStart"/>
      <w:r w:rsidRPr="000772EB">
        <w:rPr>
          <w:sz w:val="18"/>
          <w:szCs w:val="18"/>
          <w:lang w:val="pl"/>
        </w:rPr>
        <w:t>Care</w:t>
      </w:r>
      <w:proofErr w:type="spellEnd"/>
      <w:r w:rsidRPr="000772EB">
        <w:rPr>
          <w:sz w:val="18"/>
          <w:szCs w:val="18"/>
          <w:lang w:val="pl"/>
        </w:rPr>
        <w:t xml:space="preserve"> (kosmetyki) Henkel zajmuje czołowe miejsca na wielu rynkach i w wielu grupach asortymentowych na całym świecie. Firma została założona w 1876 roku i ma za sobą już ponad 140 lat pełnej sukcesów działalności. W 2020 r. Henkel osiągnął przychody ze sprzedaży na poziomie ponad 19 mld EUR oraz skorygowany zysk z działalności operacyjnej w wysokości około 2,6 mld EUR. Firma zatrudnia na całym świecie około 53 000 pracowników, tworzących zaangażowany i zróżnicowany zespół, który łączy silna kultura korporacyjna, wspólne dążenie do tworzenia trwałej wartości oraz wspólny system wartości. Jako uznany lider zrównoważonego rozwoju, Henkel zajmuje czołowe miejsca w wielu międzynarodowych indeksach i rankingach. Akcje uprzywilejowane spółki wchodzą w skład niemieckiego indeksu giełdowego DAX. Więcej informacji można znaleźć na stronie internetowej </w:t>
      </w:r>
      <w:hyperlink r:id="rId12" w:history="1">
        <w:r w:rsidR="006C17B5" w:rsidRPr="000772EB">
          <w:rPr>
            <w:rStyle w:val="Hipercze"/>
            <w:lang w:val="pl-PL"/>
          </w:rPr>
          <w:t>www.henkel.co</w:t>
        </w:r>
        <w:r w:rsidR="006C17B5" w:rsidRPr="008E6629">
          <w:rPr>
            <w:rStyle w:val="Hipercze"/>
            <w:lang w:val="pl"/>
          </w:rPr>
          <w:t>m</w:t>
        </w:r>
      </w:hyperlink>
      <w:r w:rsidRPr="000772EB">
        <w:rPr>
          <w:sz w:val="18"/>
          <w:szCs w:val="18"/>
          <w:lang w:val="pl"/>
        </w:rPr>
        <w:t>.</w:t>
      </w:r>
      <w:r w:rsidR="006C17B5">
        <w:rPr>
          <w:sz w:val="18"/>
          <w:szCs w:val="18"/>
          <w:lang w:val="pl"/>
        </w:rPr>
        <w:t xml:space="preserve"> </w:t>
      </w:r>
      <w:r w:rsidRPr="000772EB">
        <w:rPr>
          <w:sz w:val="18"/>
          <w:szCs w:val="18"/>
          <w:lang w:val="pl"/>
        </w:rPr>
        <w:t xml:space="preserve"> </w:t>
      </w:r>
    </w:p>
    <w:p w14:paraId="44A73FE9" w14:textId="77777777" w:rsidR="00B72D53" w:rsidRPr="00AC7CAA" w:rsidRDefault="00B72D53" w:rsidP="000772EB">
      <w:pPr>
        <w:spacing w:before="120" w:after="240" w:line="240" w:lineRule="auto"/>
        <w:ind w:left="-5"/>
        <w:rPr>
          <w:sz w:val="18"/>
          <w:szCs w:val="18"/>
          <w:lang w:val="pl"/>
        </w:rPr>
      </w:pPr>
      <w:r w:rsidRPr="00AC7CAA">
        <w:rPr>
          <w:sz w:val="18"/>
          <w:szCs w:val="18"/>
          <w:lang w:val="pl"/>
        </w:rPr>
        <w:t xml:space="preserve">Niniejszy dokument zawiera stwierdzenia dotyczące przyszłego rozwoju działalności, wyników finansowych i innych zdarzeń mających znaczenie dla Henkel, które mogą stanowić stwierdzenia dotyczące przyszłości. Stwierdzenia odnoszące się do przyszłości charakteryzują się użyciem słów takich, jak „oczekiwać”, „zamierzać”, „planować”, „przewidywać”, „uważać", „szacować" i podobnych wyrażeń. Niniejszy dokument zawiera stwierdzenia dotyczące przyszłości sformułowane na podstawie aktualnych założeń i szacunków zarządu Henkel AG &amp; Co. </w:t>
      </w:r>
      <w:proofErr w:type="spellStart"/>
      <w:r w:rsidRPr="00AC7CAA">
        <w:rPr>
          <w:sz w:val="18"/>
          <w:szCs w:val="18"/>
          <w:lang w:val="pl"/>
        </w:rPr>
        <w:t>KGaA</w:t>
      </w:r>
      <w:proofErr w:type="spellEnd"/>
      <w:r w:rsidRPr="00AC7CAA">
        <w:rPr>
          <w:sz w:val="18"/>
          <w:szCs w:val="18"/>
          <w:lang w:val="pl"/>
        </w:rPr>
        <w:t xml:space="preserve">.  Stwierdzeń dotyczących przyszłości nie należy traktować jako gwarancji, że określone założenia czy oczekiwania okażą się trafne. Faktyczne przyszłe wyniki spółki Henkel AG &amp; Co. </w:t>
      </w:r>
      <w:proofErr w:type="spellStart"/>
      <w:r w:rsidRPr="00AC7CAA">
        <w:rPr>
          <w:sz w:val="18"/>
          <w:szCs w:val="18"/>
          <w:lang w:val="pl"/>
        </w:rPr>
        <w:t>KGaA</w:t>
      </w:r>
      <w:proofErr w:type="spellEnd"/>
      <w:r w:rsidRPr="00AC7CAA">
        <w:rPr>
          <w:sz w:val="18"/>
          <w:szCs w:val="18"/>
          <w:lang w:val="pl"/>
        </w:rPr>
        <w:t xml:space="preserve"> i jej podmiotów powiązanych uzależnione są od szeregu czynników ryzyka i niepewności, w związku z czym mogą one istotnie odbiegać od wyników wskazanych w stwierdzeniach dotyczących przyszłości. Na wiele z tych czynników, np. przyszłą sytuację gospodarczą czy działania konkurencji i innych uczestników rynku, Henkel nie ma wpływu, a ich dokładne przewidzenie nie jest możliwe. Henkel nie zamierza ani nie podejmuje się aktualizować stwierdzeń dotyczących przyszłości. </w:t>
      </w:r>
    </w:p>
    <w:p w14:paraId="5F4BAE60" w14:textId="77777777" w:rsidR="00B72D53" w:rsidRPr="00AC7CAA" w:rsidRDefault="00B72D53" w:rsidP="000772EB">
      <w:pPr>
        <w:spacing w:before="120" w:after="240" w:line="240" w:lineRule="auto"/>
        <w:ind w:left="-5"/>
        <w:rPr>
          <w:sz w:val="18"/>
          <w:szCs w:val="18"/>
          <w:lang w:val="pl"/>
        </w:rPr>
      </w:pPr>
      <w:r w:rsidRPr="00AC7CAA">
        <w:rPr>
          <w:sz w:val="18"/>
          <w:szCs w:val="18"/>
          <w:lang w:val="pl"/>
        </w:rPr>
        <w:t xml:space="preserve">Niniejszy dokument zawiera dodatkowe wskaźniki finansowe, które nie zostały zdefiniowane wyraźnie w obowiązujących zasadach sprawozdawczości finansowej i które stanowią lub mogą stanowić alternatywne mierniki wyników. Takie dodatkowe wskaźniki finansowe nie powinny być analizowane w oderwaniu od wskaźników prezentujących aktywa netto, sytuację finansową lub wyniki działalności Henkel, które zostały przedstawione zgodnie z obowiązującymi zasadami sprawozdawczości finansowej w skonsolidowanym sprawozdaniu finansowym spółki, ani traktowane jako alternatywa dla tych wskaźników. Podobnie nazwane alternatywne mierniki wyników podawane lub opisywane przez inne spółki mogą być obliczane w inny sposób. </w:t>
      </w:r>
    </w:p>
    <w:p w14:paraId="756D85D1" w14:textId="77777777" w:rsidR="00B72D53" w:rsidRPr="00AC7CAA" w:rsidRDefault="00B72D53" w:rsidP="000772EB">
      <w:pPr>
        <w:spacing w:before="120" w:after="240" w:line="240" w:lineRule="auto"/>
        <w:ind w:left="-5"/>
        <w:rPr>
          <w:sz w:val="18"/>
          <w:szCs w:val="18"/>
          <w:lang w:val="pl"/>
        </w:rPr>
      </w:pPr>
      <w:r w:rsidRPr="00AC7CAA">
        <w:rPr>
          <w:sz w:val="18"/>
          <w:szCs w:val="18"/>
          <w:lang w:val="pl"/>
        </w:rPr>
        <w:t xml:space="preserve">Niniejszy dokument ma charakter wyłącznie informacyjny i nie stanowi porady inwestycyjnej ani oferty sprzedaży lub zaproszenia do składania ofert nabycia jakichkolwiek papierów wartościowych. </w:t>
      </w:r>
    </w:p>
    <w:p w14:paraId="3C5B6B8C" w14:textId="77777777" w:rsidR="00014767" w:rsidRPr="00B00B9A" w:rsidRDefault="00014767" w:rsidP="000772EB">
      <w:pPr>
        <w:spacing w:line="240" w:lineRule="auto"/>
        <w:rPr>
          <w:b/>
          <w:lang w:val="pl-PL"/>
        </w:rPr>
      </w:pPr>
      <w:r w:rsidRPr="00B00B9A">
        <w:rPr>
          <w:b/>
          <w:lang w:val="pl-PL"/>
        </w:rPr>
        <w:t>Kontakt dla prasy:</w:t>
      </w:r>
    </w:p>
    <w:p w14:paraId="1A39B37B" w14:textId="77777777" w:rsidR="00014767" w:rsidRPr="00014767" w:rsidRDefault="00014767" w:rsidP="000772EB">
      <w:pPr>
        <w:spacing w:line="240" w:lineRule="auto"/>
        <w:rPr>
          <w:sz w:val="18"/>
          <w:szCs w:val="18"/>
          <w:lang w:val="pl-PL"/>
        </w:rPr>
      </w:pPr>
      <w:r w:rsidRPr="00014767">
        <w:rPr>
          <w:sz w:val="18"/>
          <w:szCs w:val="18"/>
          <w:lang w:val="pl-PL"/>
        </w:rPr>
        <w:t>Dorota Strosznajder</w:t>
      </w:r>
      <w:r w:rsidRPr="00014767">
        <w:rPr>
          <w:sz w:val="18"/>
          <w:szCs w:val="18"/>
          <w:lang w:val="pl-PL"/>
        </w:rPr>
        <w:tab/>
      </w:r>
      <w:r w:rsidRPr="00014767">
        <w:rPr>
          <w:sz w:val="18"/>
          <w:szCs w:val="18"/>
          <w:lang w:val="pl-PL"/>
        </w:rPr>
        <w:tab/>
      </w:r>
      <w:r w:rsidRPr="00014767">
        <w:rPr>
          <w:sz w:val="18"/>
          <w:szCs w:val="18"/>
          <w:lang w:val="pl-PL"/>
        </w:rPr>
        <w:tab/>
      </w:r>
      <w:r w:rsidRPr="00014767">
        <w:rPr>
          <w:sz w:val="18"/>
          <w:szCs w:val="18"/>
          <w:lang w:val="pl-PL"/>
        </w:rPr>
        <w:tab/>
        <w:t xml:space="preserve">Magdalena Bryksa-Szymańczak </w:t>
      </w:r>
    </w:p>
    <w:p w14:paraId="32A72317" w14:textId="30D09161" w:rsidR="00014767" w:rsidRPr="00014767" w:rsidRDefault="00014767" w:rsidP="000772EB">
      <w:pPr>
        <w:spacing w:line="240" w:lineRule="auto"/>
        <w:rPr>
          <w:sz w:val="18"/>
          <w:szCs w:val="18"/>
        </w:rPr>
      </w:pPr>
      <w:r w:rsidRPr="00014767">
        <w:rPr>
          <w:sz w:val="18"/>
          <w:szCs w:val="18"/>
          <w:lang w:val="pl-PL"/>
        </w:rPr>
        <w:t>Henkel Polska Sp. z o.o.</w:t>
      </w:r>
      <w:r w:rsidRPr="00014767">
        <w:rPr>
          <w:sz w:val="18"/>
          <w:szCs w:val="18"/>
          <w:lang w:val="pl-PL"/>
        </w:rPr>
        <w:tab/>
      </w:r>
      <w:r w:rsidRPr="00014767">
        <w:rPr>
          <w:sz w:val="18"/>
          <w:szCs w:val="18"/>
          <w:lang w:val="pl-PL"/>
        </w:rPr>
        <w:tab/>
      </w:r>
      <w:r w:rsidRPr="00014767"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014767">
        <w:rPr>
          <w:sz w:val="18"/>
          <w:szCs w:val="18"/>
        </w:rPr>
        <w:t>Solski Communications</w:t>
      </w:r>
    </w:p>
    <w:p w14:paraId="50FA060B" w14:textId="77777777" w:rsidR="00014767" w:rsidRPr="00014767" w:rsidRDefault="00014767" w:rsidP="000772EB">
      <w:pPr>
        <w:spacing w:line="240" w:lineRule="auto"/>
        <w:rPr>
          <w:sz w:val="18"/>
          <w:szCs w:val="18"/>
          <w:lang w:val="en-GB"/>
        </w:rPr>
      </w:pPr>
      <w:proofErr w:type="spellStart"/>
      <w:r w:rsidRPr="00014767">
        <w:rPr>
          <w:sz w:val="18"/>
          <w:szCs w:val="18"/>
        </w:rPr>
        <w:t>tel</w:t>
      </w:r>
      <w:proofErr w:type="spellEnd"/>
      <w:r w:rsidRPr="00014767">
        <w:rPr>
          <w:sz w:val="18"/>
          <w:szCs w:val="18"/>
        </w:rPr>
        <w:t>: (022) 565 66 65</w:t>
      </w:r>
      <w:r w:rsidRPr="00014767">
        <w:rPr>
          <w:sz w:val="18"/>
          <w:szCs w:val="18"/>
        </w:rPr>
        <w:tab/>
      </w:r>
      <w:r w:rsidRPr="00014767">
        <w:rPr>
          <w:sz w:val="18"/>
          <w:szCs w:val="18"/>
        </w:rPr>
        <w:tab/>
      </w:r>
      <w:r w:rsidRPr="00014767">
        <w:rPr>
          <w:sz w:val="18"/>
          <w:szCs w:val="18"/>
        </w:rPr>
        <w:tab/>
      </w:r>
      <w:r w:rsidRPr="00014767">
        <w:rPr>
          <w:sz w:val="18"/>
          <w:szCs w:val="18"/>
        </w:rPr>
        <w:tab/>
      </w:r>
      <w:proofErr w:type="spellStart"/>
      <w:r w:rsidRPr="00014767">
        <w:rPr>
          <w:sz w:val="18"/>
          <w:szCs w:val="18"/>
        </w:rPr>
        <w:t>tel</w:t>
      </w:r>
      <w:proofErr w:type="spellEnd"/>
      <w:r w:rsidRPr="00014767">
        <w:rPr>
          <w:sz w:val="18"/>
          <w:szCs w:val="18"/>
        </w:rPr>
        <w:t>: (022) 242 86 43</w:t>
      </w:r>
    </w:p>
    <w:p w14:paraId="22C6A1EC" w14:textId="762D7580" w:rsidR="00014767" w:rsidRPr="00014767" w:rsidRDefault="004A6038" w:rsidP="000772EB">
      <w:pPr>
        <w:spacing w:line="240" w:lineRule="auto"/>
        <w:rPr>
          <w:sz w:val="18"/>
          <w:szCs w:val="18"/>
        </w:rPr>
      </w:pPr>
      <w:hyperlink r:id="rId13" w:history="1">
        <w:r w:rsidR="00014767" w:rsidRPr="00014767">
          <w:rPr>
            <w:rStyle w:val="Hipercze"/>
          </w:rPr>
          <w:t>dorota.strosznajder@henkel.com</w:t>
        </w:r>
      </w:hyperlink>
      <w:r w:rsidR="00014767" w:rsidRPr="00014767">
        <w:rPr>
          <w:sz w:val="18"/>
          <w:szCs w:val="18"/>
        </w:rPr>
        <w:tab/>
      </w:r>
      <w:r w:rsidR="00014767" w:rsidRPr="00014767">
        <w:rPr>
          <w:sz w:val="18"/>
          <w:szCs w:val="18"/>
        </w:rPr>
        <w:tab/>
      </w:r>
      <w:r w:rsidR="00014767">
        <w:rPr>
          <w:sz w:val="18"/>
          <w:szCs w:val="18"/>
        </w:rPr>
        <w:tab/>
      </w:r>
      <w:hyperlink r:id="rId14" w:history="1">
        <w:r w:rsidR="00014767" w:rsidRPr="00C34916">
          <w:rPr>
            <w:rStyle w:val="Hipercze"/>
          </w:rPr>
          <w:t>mszymanczak@solskipr.pl</w:t>
        </w:r>
      </w:hyperlink>
      <w:r w:rsidR="00014767" w:rsidRPr="00014767">
        <w:rPr>
          <w:sz w:val="18"/>
          <w:szCs w:val="18"/>
        </w:rPr>
        <w:t xml:space="preserve"> </w:t>
      </w:r>
    </w:p>
    <w:p w14:paraId="5C3F045C" w14:textId="50051FAB" w:rsidR="00E11179" w:rsidRDefault="00E11179" w:rsidP="000772EB">
      <w:pPr>
        <w:spacing w:before="120" w:after="240" w:line="240" w:lineRule="auto"/>
        <w:rPr>
          <w:rStyle w:val="AboutandContactBody"/>
        </w:rPr>
      </w:pPr>
    </w:p>
    <w:p w14:paraId="6F9CB624" w14:textId="77777777" w:rsidR="00E11179" w:rsidRDefault="00E11179">
      <w:pPr>
        <w:spacing w:line="240" w:lineRule="auto"/>
        <w:jc w:val="left"/>
        <w:rPr>
          <w:rStyle w:val="AboutandContactBody"/>
        </w:rPr>
      </w:pPr>
      <w:r>
        <w:rPr>
          <w:rStyle w:val="AboutandContactBody"/>
        </w:rPr>
        <w:br w:type="page"/>
      </w:r>
    </w:p>
    <w:p w14:paraId="14BC1DDF" w14:textId="77777777" w:rsidR="00E11179" w:rsidRPr="009B711C" w:rsidRDefault="00E11179" w:rsidP="00E11179">
      <w:pPr>
        <w:spacing w:line="288" w:lineRule="auto"/>
        <w:ind w:left="174"/>
        <w:rPr>
          <w:rFonts w:ascii="Arial" w:hAnsi="Arial" w:cs="Arial"/>
          <w:b/>
          <w:sz w:val="29"/>
          <w:lang w:val="pl-PL"/>
        </w:rPr>
      </w:pPr>
      <w:r w:rsidRPr="009B711C">
        <w:rPr>
          <w:rFonts w:ascii="Arial" w:hAnsi="Arial" w:cs="Arial"/>
          <w:b/>
          <w:bCs/>
          <w:color w:val="E1000F"/>
          <w:sz w:val="29"/>
          <w:lang w:val="pl-PL"/>
        </w:rPr>
        <w:lastRenderedPageBreak/>
        <w:t>Wybrane dane finansowe za drugi kwartał i za okres styczeń–czerwiec 2021 roku</w:t>
      </w:r>
    </w:p>
    <w:p w14:paraId="0FD2A146" w14:textId="77777777" w:rsidR="00E11179" w:rsidRPr="009B711C" w:rsidRDefault="00E11179" w:rsidP="00E11179">
      <w:pPr>
        <w:pStyle w:val="Tekstpodstawowy"/>
        <w:spacing w:line="288" w:lineRule="auto"/>
        <w:rPr>
          <w:rFonts w:ascii="Arial" w:hAnsi="Arial" w:cs="Arial"/>
          <w:b/>
          <w:sz w:val="20"/>
          <w:lang w:val="pl-PL"/>
        </w:rPr>
      </w:pPr>
    </w:p>
    <w:p w14:paraId="1E81A2D2" w14:textId="77777777" w:rsidR="00E11179" w:rsidRPr="009B711C" w:rsidRDefault="00E11179" w:rsidP="00E11179">
      <w:pPr>
        <w:pStyle w:val="Tekstpodstawowy"/>
        <w:spacing w:line="288" w:lineRule="auto"/>
        <w:rPr>
          <w:rFonts w:ascii="Arial" w:hAnsi="Arial" w:cs="Arial"/>
          <w:b/>
          <w:sz w:val="12"/>
          <w:lang w:val="pl-PL"/>
        </w:rPr>
      </w:pPr>
    </w:p>
    <w:tbl>
      <w:tblPr>
        <w:tblStyle w:val="TableNormal"/>
        <w:tblW w:w="11300" w:type="dxa"/>
        <w:tblInd w:w="-1106" w:type="dxa"/>
        <w:tblBorders>
          <w:top w:val="single" w:sz="4" w:space="0" w:color="AFB3B8"/>
          <w:left w:val="single" w:sz="4" w:space="0" w:color="AFB3B8"/>
          <w:bottom w:val="single" w:sz="4" w:space="0" w:color="AFB3B8"/>
          <w:right w:val="single" w:sz="4" w:space="0" w:color="AFB3B8"/>
          <w:insideH w:val="single" w:sz="4" w:space="0" w:color="AFB3B8"/>
          <w:insideV w:val="single" w:sz="4" w:space="0" w:color="AFB3B8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938"/>
        <w:gridCol w:w="281"/>
        <w:gridCol w:w="656"/>
        <w:gridCol w:w="1829"/>
        <w:gridCol w:w="1828"/>
      </w:tblGrid>
      <w:tr w:rsidR="00E11179" w:rsidRPr="008F621B" w14:paraId="1CCEE830" w14:textId="77777777" w:rsidTr="00ED6AA5">
        <w:trPr>
          <w:trHeight w:val="237"/>
        </w:trPr>
        <w:tc>
          <w:tcPr>
            <w:tcW w:w="5768" w:type="dxa"/>
            <w:vMerge w:val="restart"/>
            <w:tcBorders>
              <w:left w:val="nil"/>
              <w:right w:val="nil"/>
            </w:tcBorders>
          </w:tcPr>
          <w:p w14:paraId="6E500217" w14:textId="77777777" w:rsidR="00E11179" w:rsidRPr="008F621B" w:rsidRDefault="00E11179" w:rsidP="00871A67">
            <w:pPr>
              <w:pStyle w:val="TableParagraph"/>
              <w:spacing w:before="0" w:line="288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0E6D283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(mln EUR)</w:t>
            </w:r>
          </w:p>
        </w:tc>
        <w:tc>
          <w:tcPr>
            <w:tcW w:w="1219" w:type="dxa"/>
            <w:gridSpan w:val="2"/>
            <w:tcBorders>
              <w:left w:val="nil"/>
              <w:right w:val="nil"/>
            </w:tcBorders>
          </w:tcPr>
          <w:p w14:paraId="0CAC833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49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Sprzedaż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14:paraId="5131FE5D" w14:textId="77777777" w:rsidR="00E11179" w:rsidRPr="008F621B" w:rsidRDefault="00E11179" w:rsidP="00871A67">
            <w:pPr>
              <w:pStyle w:val="TableParagraph"/>
              <w:spacing w:before="0" w:line="288" w:lineRule="auto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05F8108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7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EBIT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189EBD3F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63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Marża EBIT</w:t>
            </w:r>
          </w:p>
        </w:tc>
      </w:tr>
      <w:tr w:rsidR="00E11179" w:rsidRPr="008F621B" w14:paraId="6F365D9F" w14:textId="77777777" w:rsidTr="00ED6AA5">
        <w:trPr>
          <w:trHeight w:val="237"/>
        </w:trPr>
        <w:tc>
          <w:tcPr>
            <w:tcW w:w="5768" w:type="dxa"/>
            <w:vMerge/>
            <w:tcBorders>
              <w:top w:val="nil"/>
              <w:left w:val="nil"/>
              <w:right w:val="nil"/>
            </w:tcBorders>
          </w:tcPr>
          <w:p w14:paraId="48AE4C28" w14:textId="77777777" w:rsidR="00E11179" w:rsidRPr="008F621B" w:rsidRDefault="00E11179" w:rsidP="00871A67">
            <w:pPr>
              <w:spacing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61AC88C0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35" w:right="286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Q2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3070F02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22" w:right="274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1-6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30D790BA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21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1-6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58D7F09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88" w:right="363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1-6</w:t>
            </w:r>
          </w:p>
        </w:tc>
      </w:tr>
      <w:tr w:rsidR="00E11179" w:rsidRPr="008F621B" w14:paraId="3C2C8506" w14:textId="77777777" w:rsidTr="00ED6AA5">
        <w:trPr>
          <w:trHeight w:val="194"/>
        </w:trPr>
        <w:tc>
          <w:tcPr>
            <w:tcW w:w="9472" w:type="dxa"/>
            <w:gridSpan w:val="5"/>
            <w:tcBorders>
              <w:left w:val="nil"/>
              <w:right w:val="single" w:sz="18" w:space="0" w:color="FFFFFF"/>
            </w:tcBorders>
          </w:tcPr>
          <w:p w14:paraId="13B28B82" w14:textId="77777777" w:rsidR="00E11179" w:rsidRPr="008F621B" w:rsidRDefault="00E11179" w:rsidP="00871A67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439EBFAF" w14:textId="77777777" w:rsidR="00E11179" w:rsidRPr="008F621B" w:rsidRDefault="00E11179" w:rsidP="00871A67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11179" w:rsidRPr="008F621B" w14:paraId="52E270C7" w14:textId="77777777" w:rsidTr="00ED6AA5">
        <w:trPr>
          <w:trHeight w:val="307"/>
        </w:trPr>
        <w:tc>
          <w:tcPr>
            <w:tcW w:w="11300" w:type="dxa"/>
            <w:gridSpan w:val="6"/>
            <w:tcBorders>
              <w:left w:val="nil"/>
              <w:right w:val="nil"/>
            </w:tcBorders>
            <w:shd w:val="clear" w:color="auto" w:fill="E6E6E6"/>
          </w:tcPr>
          <w:p w14:paraId="12F818F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spellStart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Adhesive</w:t>
            </w:r>
            <w:proofErr w:type="spellEnd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Technologies</w:t>
            </w:r>
          </w:p>
        </w:tc>
      </w:tr>
      <w:tr w:rsidR="00E11179" w:rsidRPr="008F621B" w14:paraId="5987B7AA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540D7336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2021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2309AE31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8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394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456C63E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752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6A4116B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814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5E11521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09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17,1%</w:t>
            </w:r>
          </w:p>
        </w:tc>
      </w:tr>
      <w:tr w:rsidR="00E11179" w:rsidRPr="008F621B" w14:paraId="23B4600F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469DD72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2020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30534683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8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944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05C4DF8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153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6CC083B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532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308970AD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09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12,8%</w:t>
            </w:r>
          </w:p>
        </w:tc>
      </w:tr>
      <w:tr w:rsidR="00E11179" w:rsidRPr="008F621B" w14:paraId="01FED7F6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59D5F6AA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wzrost w ujęciu organicznym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0064C216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67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28,5%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34766FC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1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20,2%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3EABF2F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6594369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5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E11179" w:rsidRPr="008F621B" w14:paraId="4B092451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28AFA61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2021 r. </w:t>
            </w:r>
            <w:r w:rsidRPr="008F621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7582F919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3C9B2EE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2862AF9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820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6CF696E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17,3%</w:t>
            </w:r>
          </w:p>
        </w:tc>
      </w:tr>
      <w:tr w:rsidR="00E11179" w:rsidRPr="008F621B" w14:paraId="6EC6DADE" w14:textId="77777777" w:rsidTr="00ED6AA5">
        <w:trPr>
          <w:trHeight w:val="305"/>
        </w:trPr>
        <w:tc>
          <w:tcPr>
            <w:tcW w:w="5768" w:type="dxa"/>
            <w:tcBorders>
              <w:left w:val="nil"/>
              <w:right w:val="nil"/>
            </w:tcBorders>
          </w:tcPr>
          <w:p w14:paraId="38C31B02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2020 r. </w:t>
            </w:r>
            <w:r w:rsidRPr="008F621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2FEFDE90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203A150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6F466C49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543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7BB5212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13,1%</w:t>
            </w:r>
          </w:p>
        </w:tc>
      </w:tr>
      <w:tr w:rsidR="00E11179" w:rsidRPr="008F621B" w14:paraId="4683ADD3" w14:textId="77777777" w:rsidTr="00ED6AA5">
        <w:trPr>
          <w:trHeight w:val="307"/>
        </w:trPr>
        <w:tc>
          <w:tcPr>
            <w:tcW w:w="11300" w:type="dxa"/>
            <w:gridSpan w:val="6"/>
            <w:tcBorders>
              <w:left w:val="nil"/>
              <w:right w:val="nil"/>
            </w:tcBorders>
            <w:shd w:val="clear" w:color="auto" w:fill="E6E6E6"/>
          </w:tcPr>
          <w:p w14:paraId="5DC76BE9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spellStart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Beauty</w:t>
            </w:r>
            <w:proofErr w:type="spellEnd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Care</w:t>
            </w:r>
            <w:proofErr w:type="spellEnd"/>
          </w:p>
        </w:tc>
      </w:tr>
      <w:tr w:rsidR="00E11179" w:rsidRPr="008F621B" w14:paraId="1C1E54AC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44B04BDF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2021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3A5B8A2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2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914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64CF8900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1839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08C7C3D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167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72B16FE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9,1%</w:t>
            </w:r>
          </w:p>
        </w:tc>
      </w:tr>
      <w:tr w:rsidR="00E11179" w:rsidRPr="008F621B" w14:paraId="6F03C4AC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52A3120A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2020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54F7F561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2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883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478D6BB8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1818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176A57C0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148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65B5156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8,1%</w:t>
            </w:r>
          </w:p>
        </w:tc>
      </w:tr>
      <w:tr w:rsidR="00E11179" w:rsidRPr="008F621B" w14:paraId="34F0C982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7E9CDEA9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wzrost w ujęciu organicznym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6316F40D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213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8,2%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029D7DE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5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5,2%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6EF3BEF6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5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17F1DE7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E11179" w:rsidRPr="008F621B" w14:paraId="4ABA6708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146F5C3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2021 r. </w:t>
            </w:r>
            <w:r w:rsidRPr="008F621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0F326C1A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1C69D00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225F5BD1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183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3F52134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10,0%</w:t>
            </w:r>
          </w:p>
        </w:tc>
      </w:tr>
      <w:tr w:rsidR="00E11179" w:rsidRPr="008F621B" w14:paraId="2FD8D136" w14:textId="77777777" w:rsidTr="00ED6AA5">
        <w:trPr>
          <w:trHeight w:val="305"/>
        </w:trPr>
        <w:tc>
          <w:tcPr>
            <w:tcW w:w="5768" w:type="dxa"/>
            <w:tcBorders>
              <w:left w:val="nil"/>
              <w:right w:val="nil"/>
            </w:tcBorders>
          </w:tcPr>
          <w:p w14:paraId="6C0F6862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2020 r. </w:t>
            </w:r>
            <w:r w:rsidRPr="008F621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2624669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5D7FC95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0A5B70A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172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70FCDDE0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09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9,4%</w:t>
            </w:r>
          </w:p>
        </w:tc>
      </w:tr>
      <w:tr w:rsidR="00E11179" w:rsidRPr="008F621B" w14:paraId="20877A7D" w14:textId="77777777" w:rsidTr="00ED6AA5">
        <w:trPr>
          <w:trHeight w:val="307"/>
        </w:trPr>
        <w:tc>
          <w:tcPr>
            <w:tcW w:w="11300" w:type="dxa"/>
            <w:gridSpan w:val="6"/>
            <w:tcBorders>
              <w:left w:val="nil"/>
              <w:right w:val="nil"/>
            </w:tcBorders>
            <w:shd w:val="clear" w:color="auto" w:fill="E6E6E6"/>
          </w:tcPr>
          <w:p w14:paraId="2BDEE1C1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spellStart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Laundry</w:t>
            </w:r>
            <w:proofErr w:type="spellEnd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&amp; Home </w:t>
            </w:r>
            <w:proofErr w:type="spellStart"/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Care</w:t>
            </w:r>
            <w:proofErr w:type="spellEnd"/>
          </w:p>
        </w:tc>
      </w:tr>
      <w:tr w:rsidR="00E11179" w:rsidRPr="008F621B" w14:paraId="181040A0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0872CAE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2021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36DFC4CF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8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619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418E037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275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0027533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433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7FAFD87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09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13,2%</w:t>
            </w:r>
          </w:p>
        </w:tc>
      </w:tr>
      <w:tr w:rsidR="00E11179" w:rsidRPr="008F621B" w14:paraId="08D59BB7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428BF17F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2020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0DBC77E5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8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705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12504F1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460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2DF77A2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2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500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0A15FE9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09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14,4%</w:t>
            </w:r>
          </w:p>
        </w:tc>
      </w:tr>
      <w:tr w:rsidR="00E11179" w:rsidRPr="008F621B" w14:paraId="2F927D1C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05C36452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wzrost w ujęciu organicznym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33EC510B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213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3,6%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0BEDCFC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5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3,9%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3D485198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5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1A6F0153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E11179" w:rsidRPr="008F621B" w14:paraId="607A20B5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21D6583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2021 r. </w:t>
            </w:r>
            <w:r w:rsidRPr="0008349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3703F76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2E37CD3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2DC88EC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490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021AFD7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15,0%</w:t>
            </w:r>
          </w:p>
        </w:tc>
      </w:tr>
      <w:tr w:rsidR="00E11179" w:rsidRPr="008F621B" w14:paraId="1B77123D" w14:textId="77777777" w:rsidTr="00ED6AA5">
        <w:trPr>
          <w:trHeight w:val="305"/>
        </w:trPr>
        <w:tc>
          <w:tcPr>
            <w:tcW w:w="5768" w:type="dxa"/>
            <w:tcBorders>
              <w:left w:val="nil"/>
              <w:right w:val="nil"/>
            </w:tcBorders>
          </w:tcPr>
          <w:p w14:paraId="4845AA3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2020 r. </w:t>
            </w:r>
            <w:r w:rsidRPr="0008349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33A0682F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2BC9A93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726E850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1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531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14F1CDF6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15,3%</w:t>
            </w:r>
          </w:p>
        </w:tc>
      </w:tr>
      <w:tr w:rsidR="00E11179" w:rsidRPr="008F621B" w14:paraId="1786133A" w14:textId="77777777" w:rsidTr="00ED6AA5">
        <w:trPr>
          <w:trHeight w:val="307"/>
        </w:trPr>
        <w:tc>
          <w:tcPr>
            <w:tcW w:w="11300" w:type="dxa"/>
            <w:gridSpan w:val="6"/>
            <w:tcBorders>
              <w:left w:val="nil"/>
              <w:right w:val="nil"/>
            </w:tcBorders>
            <w:shd w:val="clear" w:color="auto" w:fill="E6E6E6"/>
          </w:tcPr>
          <w:p w14:paraId="420366A8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Henkel</w:t>
            </w:r>
          </w:p>
        </w:tc>
      </w:tr>
      <w:tr w:rsidR="00E11179" w:rsidRPr="008F621B" w14:paraId="60F59E7E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0D9C4388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2021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3ED7795F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8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958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6B57F77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926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28BE8FA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296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31994B9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13,1%</w:t>
            </w:r>
          </w:p>
        </w:tc>
      </w:tr>
      <w:tr w:rsidR="00E11179" w:rsidRPr="008F621B" w14:paraId="15C052A3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49CE4248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2020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08D19D53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8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558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6C8D3278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485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7FD62412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094</w:t>
            </w:r>
          </w:p>
        </w:tc>
        <w:tc>
          <w:tcPr>
            <w:tcW w:w="1828" w:type="dxa"/>
            <w:tcBorders>
              <w:left w:val="single" w:sz="18" w:space="0" w:color="FFFFFF"/>
              <w:right w:val="single" w:sz="18" w:space="0" w:color="FFFFFF"/>
            </w:tcBorders>
          </w:tcPr>
          <w:p w14:paraId="5532B7C1" w14:textId="77777777" w:rsidR="00E11179" w:rsidRPr="008F621B" w:rsidRDefault="00E11179" w:rsidP="00871A67">
            <w:pPr>
              <w:pStyle w:val="TableParagraph"/>
              <w:spacing w:before="0" w:line="288" w:lineRule="auto"/>
              <w:ind w:left="610" w:right="564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11,5%</w:t>
            </w:r>
          </w:p>
        </w:tc>
      </w:tr>
      <w:tr w:rsidR="00E11179" w:rsidRPr="008F621B" w14:paraId="2647A466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0E2F03C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wzrost w ujęciu organicznym</w:t>
            </w:r>
          </w:p>
        </w:tc>
        <w:tc>
          <w:tcPr>
            <w:tcW w:w="938" w:type="dxa"/>
            <w:tcBorders>
              <w:left w:val="nil"/>
              <w:right w:val="single" w:sz="18" w:space="0" w:color="FFFFFF"/>
            </w:tcBorders>
          </w:tcPr>
          <w:p w14:paraId="3CB14EA6" w14:textId="77777777" w:rsidR="00E11179" w:rsidRPr="008F621B" w:rsidRDefault="00E11179" w:rsidP="00871A67">
            <w:pPr>
              <w:pStyle w:val="TableParagraph"/>
              <w:spacing w:before="0" w:line="288" w:lineRule="auto"/>
              <w:ind w:right="167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15,2%</w:t>
            </w:r>
          </w:p>
        </w:tc>
        <w:tc>
          <w:tcPr>
            <w:tcW w:w="937" w:type="dxa"/>
            <w:gridSpan w:val="2"/>
            <w:tcBorders>
              <w:left w:val="single" w:sz="18" w:space="0" w:color="FFFFFF"/>
              <w:right w:val="single" w:sz="18" w:space="0" w:color="FFFFFF"/>
            </w:tcBorders>
          </w:tcPr>
          <w:p w14:paraId="7923103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14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11,3%</w:t>
            </w:r>
          </w:p>
        </w:tc>
        <w:tc>
          <w:tcPr>
            <w:tcW w:w="1829" w:type="dxa"/>
            <w:tcBorders>
              <w:left w:val="single" w:sz="18" w:space="0" w:color="FFFFFF"/>
              <w:right w:val="single" w:sz="18" w:space="0" w:color="FFFFFF"/>
            </w:tcBorders>
          </w:tcPr>
          <w:p w14:paraId="51320CF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0828F4E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25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E11179" w:rsidRPr="008F621B" w14:paraId="0D5C1209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257AA12B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2021 r. </w:t>
            </w:r>
            <w:r w:rsidRPr="0008349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6C85A65E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5E4C4361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2EC1DB59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2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430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5E08A984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85" w:right="36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14,4%</w:t>
            </w:r>
          </w:p>
        </w:tc>
      </w:tr>
      <w:tr w:rsidR="00E11179" w:rsidRPr="008F621B" w14:paraId="28F4393D" w14:textId="77777777" w:rsidTr="00ED6AA5">
        <w:trPr>
          <w:trHeight w:val="307"/>
        </w:trPr>
        <w:tc>
          <w:tcPr>
            <w:tcW w:w="5768" w:type="dxa"/>
            <w:tcBorders>
              <w:left w:val="nil"/>
              <w:right w:val="nil"/>
            </w:tcBorders>
          </w:tcPr>
          <w:p w14:paraId="202C9805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9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 xml:space="preserve">Skorygowane dane za 2020 r. </w:t>
            </w:r>
            <w:r w:rsidRPr="008F621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69D0CCD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0A4FF3FC" w14:textId="77777777" w:rsidR="00E11179" w:rsidRPr="008F621B" w:rsidRDefault="00E11179" w:rsidP="00871A67">
            <w:pPr>
              <w:pStyle w:val="TableParagraph"/>
              <w:spacing w:before="0" w:line="288" w:lineRule="auto"/>
              <w:ind w:left="4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829" w:type="dxa"/>
            <w:tcBorders>
              <w:left w:val="nil"/>
              <w:right w:val="single" w:sz="18" w:space="0" w:color="FFFFFF"/>
            </w:tcBorders>
          </w:tcPr>
          <w:p w14:paraId="384FB8C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90" w:right="32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191</w:t>
            </w:r>
          </w:p>
        </w:tc>
        <w:tc>
          <w:tcPr>
            <w:tcW w:w="1828" w:type="dxa"/>
            <w:tcBorders>
              <w:left w:val="single" w:sz="18" w:space="0" w:color="FFFFFF"/>
              <w:right w:val="nil"/>
            </w:tcBorders>
          </w:tcPr>
          <w:p w14:paraId="657086E7" w14:textId="77777777" w:rsidR="00E11179" w:rsidRPr="008F621B" w:rsidRDefault="00E11179" w:rsidP="00871A67">
            <w:pPr>
              <w:pStyle w:val="TableParagraph"/>
              <w:spacing w:before="0" w:line="288" w:lineRule="auto"/>
              <w:ind w:left="385" w:right="36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F621B">
              <w:rPr>
                <w:rFonts w:ascii="Arial" w:hAnsi="Arial" w:cs="Arial"/>
                <w:sz w:val="16"/>
                <w:szCs w:val="16"/>
                <w:lang w:val="pl-PL"/>
              </w:rPr>
              <w:t>12,6%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28"/>
        <w:tblW w:w="11314" w:type="dxa"/>
        <w:tblLayout w:type="fixed"/>
        <w:tblLook w:val="01E0" w:firstRow="1" w:lastRow="1" w:firstColumn="1" w:lastColumn="1" w:noHBand="0" w:noVBand="0"/>
      </w:tblPr>
      <w:tblGrid>
        <w:gridCol w:w="4889"/>
        <w:gridCol w:w="1833"/>
        <w:gridCol w:w="1109"/>
        <w:gridCol w:w="3483"/>
      </w:tblGrid>
      <w:tr w:rsidR="00E11179" w:rsidRPr="0008607D" w14:paraId="26ABEC34" w14:textId="77777777" w:rsidTr="00ED6AA5">
        <w:trPr>
          <w:trHeight w:val="292"/>
        </w:trPr>
        <w:tc>
          <w:tcPr>
            <w:tcW w:w="4889" w:type="dxa"/>
            <w:tcBorders>
              <w:top w:val="single" w:sz="4" w:space="0" w:color="AFB3B8"/>
            </w:tcBorders>
          </w:tcPr>
          <w:p w14:paraId="66B7CB47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AFB3B8"/>
            </w:tcBorders>
          </w:tcPr>
          <w:p w14:paraId="33FE4314" w14:textId="77777777" w:rsidR="00E11179" w:rsidRPr="0008607D" w:rsidRDefault="00E11179" w:rsidP="00ED6AA5">
            <w:pPr>
              <w:pStyle w:val="TableParagraph"/>
              <w:spacing w:before="0" w:line="288" w:lineRule="auto"/>
              <w:ind w:right="315"/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1-6</w:t>
            </w:r>
          </w:p>
        </w:tc>
        <w:tc>
          <w:tcPr>
            <w:tcW w:w="1109" w:type="dxa"/>
            <w:tcBorders>
              <w:top w:val="single" w:sz="4" w:space="0" w:color="AFB3B8"/>
            </w:tcBorders>
          </w:tcPr>
          <w:p w14:paraId="3C601967" w14:textId="77777777" w:rsidR="00E11179" w:rsidRPr="0008607D" w:rsidRDefault="00E11179" w:rsidP="00ED6AA5">
            <w:pPr>
              <w:pStyle w:val="TableParagraph"/>
              <w:spacing w:before="0" w:line="288" w:lineRule="auto"/>
              <w:ind w:left="321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1-6</w:t>
            </w:r>
          </w:p>
        </w:tc>
        <w:tc>
          <w:tcPr>
            <w:tcW w:w="3483" w:type="dxa"/>
            <w:tcBorders>
              <w:top w:val="single" w:sz="4" w:space="0" w:color="AFB3B8"/>
            </w:tcBorders>
          </w:tcPr>
          <w:p w14:paraId="4DBB54AA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11179" w:rsidRPr="0008607D" w14:paraId="059EC8ED" w14:textId="77777777" w:rsidTr="00ED6AA5">
        <w:trPr>
          <w:trHeight w:val="288"/>
        </w:trPr>
        <w:tc>
          <w:tcPr>
            <w:tcW w:w="4889" w:type="dxa"/>
            <w:tcBorders>
              <w:bottom w:val="single" w:sz="4" w:space="0" w:color="AFB3B8"/>
            </w:tcBorders>
          </w:tcPr>
          <w:p w14:paraId="2C9156B1" w14:textId="77777777" w:rsidR="00E11179" w:rsidRPr="0008607D" w:rsidRDefault="00E11179" w:rsidP="00ED6AA5">
            <w:pPr>
              <w:pStyle w:val="TableParagraph"/>
              <w:spacing w:before="0" w:line="288" w:lineRule="auto"/>
              <w:ind w:left="33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Henkel</w:t>
            </w:r>
          </w:p>
        </w:tc>
        <w:tc>
          <w:tcPr>
            <w:tcW w:w="1833" w:type="dxa"/>
            <w:tcBorders>
              <w:bottom w:val="single" w:sz="4" w:space="0" w:color="AFB3B8"/>
            </w:tcBorders>
          </w:tcPr>
          <w:p w14:paraId="5EB788EF" w14:textId="77777777" w:rsidR="00E11179" w:rsidRPr="0008607D" w:rsidRDefault="00E11179" w:rsidP="00ED6AA5">
            <w:pPr>
              <w:pStyle w:val="TableParagraph"/>
              <w:spacing w:before="0" w:line="288" w:lineRule="auto"/>
              <w:ind w:right="253"/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2020</w:t>
            </w:r>
          </w:p>
        </w:tc>
        <w:tc>
          <w:tcPr>
            <w:tcW w:w="1109" w:type="dxa"/>
            <w:tcBorders>
              <w:bottom w:val="single" w:sz="4" w:space="0" w:color="AFB3B8"/>
            </w:tcBorders>
          </w:tcPr>
          <w:p w14:paraId="420D2159" w14:textId="77777777" w:rsidR="00E11179" w:rsidRPr="0008607D" w:rsidRDefault="00E11179" w:rsidP="00ED6AA5">
            <w:pPr>
              <w:pStyle w:val="TableParagraph"/>
              <w:spacing w:before="0" w:line="288" w:lineRule="auto"/>
              <w:ind w:left="256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2021</w:t>
            </w:r>
          </w:p>
        </w:tc>
        <w:tc>
          <w:tcPr>
            <w:tcW w:w="3483" w:type="dxa"/>
            <w:tcBorders>
              <w:bottom w:val="single" w:sz="4" w:space="0" w:color="AFB3B8"/>
            </w:tcBorders>
          </w:tcPr>
          <w:p w14:paraId="0CC53C16" w14:textId="77777777" w:rsidR="00E11179" w:rsidRPr="0008607D" w:rsidRDefault="00E11179" w:rsidP="00ED6AA5">
            <w:pPr>
              <w:pStyle w:val="TableParagraph"/>
              <w:spacing w:before="0" w:line="288" w:lineRule="auto"/>
              <w:ind w:left="417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Zmiana</w:t>
            </w:r>
          </w:p>
        </w:tc>
      </w:tr>
      <w:tr w:rsidR="00E11179" w:rsidRPr="0008607D" w14:paraId="54CB5005" w14:textId="77777777" w:rsidTr="00ED6AA5">
        <w:trPr>
          <w:trHeight w:val="289"/>
        </w:trPr>
        <w:tc>
          <w:tcPr>
            <w:tcW w:w="4889" w:type="dxa"/>
            <w:tcBorders>
              <w:top w:val="single" w:sz="4" w:space="0" w:color="AFB3B8"/>
              <w:bottom w:val="single" w:sz="4" w:space="0" w:color="AFB3B8"/>
            </w:tcBorders>
          </w:tcPr>
          <w:p w14:paraId="378ED0AA" w14:textId="77777777" w:rsidR="00E11179" w:rsidRPr="0008607D" w:rsidRDefault="00E11179" w:rsidP="00ED6AA5">
            <w:pPr>
              <w:pStyle w:val="TableParagraph"/>
              <w:spacing w:before="0" w:line="288" w:lineRule="auto"/>
              <w:ind w:left="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Zysk na akcję uprzywilejowaną (EUR)</w:t>
            </w:r>
          </w:p>
        </w:tc>
        <w:tc>
          <w:tcPr>
            <w:tcW w:w="1833" w:type="dxa"/>
            <w:tcBorders>
              <w:top w:val="single" w:sz="4" w:space="0" w:color="AFB3B8"/>
              <w:bottom w:val="single" w:sz="4" w:space="0" w:color="AFB3B8"/>
            </w:tcBorders>
          </w:tcPr>
          <w:p w14:paraId="7CE7D5CE" w14:textId="77777777" w:rsidR="00E11179" w:rsidRPr="0008607D" w:rsidRDefault="00E11179" w:rsidP="00ED6AA5">
            <w:pPr>
              <w:pStyle w:val="TableParagraph"/>
              <w:spacing w:before="0" w:line="288" w:lineRule="auto"/>
              <w:ind w:right="27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1,79</w:t>
            </w:r>
          </w:p>
        </w:tc>
        <w:tc>
          <w:tcPr>
            <w:tcW w:w="1109" w:type="dxa"/>
            <w:tcBorders>
              <w:top w:val="single" w:sz="4" w:space="0" w:color="AFB3B8"/>
              <w:bottom w:val="single" w:sz="4" w:space="0" w:color="AFB3B8"/>
            </w:tcBorders>
          </w:tcPr>
          <w:p w14:paraId="65024E0C" w14:textId="77777777" w:rsidR="00E11179" w:rsidRPr="0008607D" w:rsidRDefault="00E11179" w:rsidP="00ED6AA5">
            <w:pPr>
              <w:pStyle w:val="TableParagraph"/>
              <w:spacing w:before="0" w:line="288" w:lineRule="auto"/>
              <w:ind w:left="28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2,18</w:t>
            </w:r>
          </w:p>
        </w:tc>
        <w:tc>
          <w:tcPr>
            <w:tcW w:w="3483" w:type="dxa"/>
            <w:tcBorders>
              <w:top w:val="single" w:sz="4" w:space="0" w:color="AFB3B8"/>
              <w:bottom w:val="single" w:sz="4" w:space="0" w:color="AFB3B8"/>
            </w:tcBorders>
          </w:tcPr>
          <w:p w14:paraId="24791946" w14:textId="77777777" w:rsidR="00E11179" w:rsidRPr="0008607D" w:rsidRDefault="00E11179" w:rsidP="00ED6AA5">
            <w:pPr>
              <w:pStyle w:val="TableParagraph"/>
              <w:spacing w:before="0" w:line="288" w:lineRule="auto"/>
              <w:ind w:left="47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21,8%</w:t>
            </w:r>
          </w:p>
        </w:tc>
      </w:tr>
      <w:tr w:rsidR="00E11179" w:rsidRPr="0008607D" w14:paraId="3E7F5528" w14:textId="77777777" w:rsidTr="00ED6AA5">
        <w:trPr>
          <w:trHeight w:val="300"/>
        </w:trPr>
        <w:tc>
          <w:tcPr>
            <w:tcW w:w="4889" w:type="dxa"/>
            <w:tcBorders>
              <w:top w:val="single" w:sz="4" w:space="0" w:color="AFB3B8"/>
              <w:bottom w:val="single" w:sz="4" w:space="0" w:color="AFB3B8"/>
            </w:tcBorders>
          </w:tcPr>
          <w:p w14:paraId="16C9B57F" w14:textId="77777777" w:rsidR="00E11179" w:rsidRPr="0008607D" w:rsidRDefault="00E11179" w:rsidP="00ED6AA5">
            <w:pPr>
              <w:pStyle w:val="TableParagraph"/>
              <w:spacing w:before="0" w:line="288" w:lineRule="auto"/>
              <w:ind w:left="33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Skorygowany zysk na akcję uprzywilejowaną (EUR)</w:t>
            </w:r>
            <w:r w:rsidRPr="0008607D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1)</w:t>
            </w:r>
          </w:p>
        </w:tc>
        <w:tc>
          <w:tcPr>
            <w:tcW w:w="1833" w:type="dxa"/>
            <w:tcBorders>
              <w:top w:val="single" w:sz="4" w:space="0" w:color="AFB3B8"/>
              <w:bottom w:val="single" w:sz="4" w:space="0" w:color="AFB3B8"/>
            </w:tcBorders>
          </w:tcPr>
          <w:p w14:paraId="53448F45" w14:textId="77777777" w:rsidR="00E11179" w:rsidRPr="0008607D" w:rsidRDefault="00E11179" w:rsidP="00ED6AA5">
            <w:pPr>
              <w:pStyle w:val="TableParagraph"/>
              <w:spacing w:before="0" w:line="288" w:lineRule="auto"/>
              <w:ind w:right="275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1,96</w:t>
            </w:r>
          </w:p>
        </w:tc>
        <w:tc>
          <w:tcPr>
            <w:tcW w:w="1109" w:type="dxa"/>
            <w:tcBorders>
              <w:top w:val="single" w:sz="4" w:space="0" w:color="AFB3B8"/>
              <w:bottom w:val="single" w:sz="4" w:space="0" w:color="AFB3B8"/>
            </w:tcBorders>
          </w:tcPr>
          <w:p w14:paraId="08392482" w14:textId="77777777" w:rsidR="00E11179" w:rsidRPr="0008607D" w:rsidRDefault="00E11179" w:rsidP="00ED6AA5">
            <w:pPr>
              <w:pStyle w:val="TableParagraph"/>
              <w:spacing w:before="0" w:line="288" w:lineRule="auto"/>
              <w:ind w:left="28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2,40</w:t>
            </w:r>
          </w:p>
        </w:tc>
        <w:tc>
          <w:tcPr>
            <w:tcW w:w="3483" w:type="dxa"/>
            <w:tcBorders>
              <w:top w:val="single" w:sz="4" w:space="0" w:color="AFB3B8"/>
              <w:bottom w:val="single" w:sz="4" w:space="0" w:color="AFB3B8"/>
            </w:tcBorders>
          </w:tcPr>
          <w:p w14:paraId="133A4BEC" w14:textId="77777777" w:rsidR="00E11179" w:rsidRPr="0008607D" w:rsidRDefault="00E11179" w:rsidP="00ED6AA5">
            <w:pPr>
              <w:pStyle w:val="TableParagraph"/>
              <w:spacing w:before="0" w:line="288" w:lineRule="auto"/>
              <w:ind w:left="47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22,4%</w:t>
            </w:r>
          </w:p>
        </w:tc>
      </w:tr>
      <w:tr w:rsidR="00E11179" w:rsidRPr="0008607D" w14:paraId="1D321ED3" w14:textId="77777777" w:rsidTr="00ED6AA5">
        <w:trPr>
          <w:trHeight w:val="300"/>
        </w:trPr>
        <w:tc>
          <w:tcPr>
            <w:tcW w:w="4889" w:type="dxa"/>
            <w:tcBorders>
              <w:top w:val="single" w:sz="4" w:space="0" w:color="AFB3B8"/>
              <w:bottom w:val="single" w:sz="4" w:space="0" w:color="AFB3B8"/>
            </w:tcBorders>
          </w:tcPr>
          <w:p w14:paraId="35F2B0C1" w14:textId="77777777" w:rsidR="00E11179" w:rsidRPr="0008607D" w:rsidRDefault="00E11179" w:rsidP="00ED6AA5">
            <w:pPr>
              <w:pStyle w:val="TableParagraph"/>
              <w:spacing w:before="0" w:line="288" w:lineRule="auto"/>
              <w:ind w:left="53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wg stałych kursów wymiany</w:t>
            </w:r>
          </w:p>
        </w:tc>
        <w:tc>
          <w:tcPr>
            <w:tcW w:w="1833" w:type="dxa"/>
            <w:tcBorders>
              <w:top w:val="single" w:sz="4" w:space="0" w:color="AFB3B8"/>
              <w:bottom w:val="single" w:sz="4" w:space="0" w:color="AFB3B8"/>
            </w:tcBorders>
          </w:tcPr>
          <w:p w14:paraId="3A73B20F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09" w:type="dxa"/>
            <w:tcBorders>
              <w:top w:val="single" w:sz="4" w:space="0" w:color="AFB3B8"/>
              <w:bottom w:val="single" w:sz="4" w:space="0" w:color="AFB3B8"/>
            </w:tcBorders>
          </w:tcPr>
          <w:p w14:paraId="0382AA0B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483" w:type="dxa"/>
            <w:tcBorders>
              <w:top w:val="single" w:sz="4" w:space="0" w:color="AFB3B8"/>
              <w:bottom w:val="single" w:sz="4" w:space="0" w:color="AFB3B8"/>
            </w:tcBorders>
          </w:tcPr>
          <w:p w14:paraId="46C20B23" w14:textId="77777777" w:rsidR="00E11179" w:rsidRPr="0008607D" w:rsidRDefault="00E11179" w:rsidP="00ED6AA5">
            <w:pPr>
              <w:pStyle w:val="TableParagraph"/>
              <w:spacing w:before="0" w:line="288" w:lineRule="auto"/>
              <w:ind w:left="47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07D">
              <w:rPr>
                <w:rFonts w:ascii="Arial" w:hAnsi="Arial" w:cs="Arial"/>
                <w:sz w:val="16"/>
                <w:szCs w:val="16"/>
                <w:lang w:val="pl-PL"/>
              </w:rPr>
              <w:t>30,1%</w:t>
            </w:r>
          </w:p>
        </w:tc>
      </w:tr>
      <w:tr w:rsidR="00E11179" w:rsidRPr="004A6038" w14:paraId="407D8418" w14:textId="77777777" w:rsidTr="00ED6AA5">
        <w:trPr>
          <w:trHeight w:val="473"/>
        </w:trPr>
        <w:tc>
          <w:tcPr>
            <w:tcW w:w="4889" w:type="dxa"/>
            <w:tcBorders>
              <w:top w:val="single" w:sz="4" w:space="0" w:color="AFB3B8"/>
            </w:tcBorders>
          </w:tcPr>
          <w:p w14:paraId="26D547B7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5F2D00C2" w14:textId="77777777" w:rsidR="00E11179" w:rsidRPr="0008607D" w:rsidRDefault="00E11179" w:rsidP="00ED6AA5">
            <w:pPr>
              <w:pStyle w:val="TableParagraph"/>
              <w:spacing w:before="0" w:line="288" w:lineRule="auto"/>
              <w:ind w:left="19" w:right="-834"/>
              <w:rPr>
                <w:rFonts w:ascii="Arial" w:hAnsi="Arial" w:cs="Arial"/>
                <w:sz w:val="11"/>
                <w:szCs w:val="11"/>
                <w:lang w:val="pl-PL"/>
              </w:rPr>
            </w:pPr>
            <w:r w:rsidRPr="0008607D">
              <w:rPr>
                <w:rFonts w:ascii="Arial" w:hAnsi="Arial" w:cs="Arial"/>
                <w:sz w:val="11"/>
                <w:szCs w:val="11"/>
                <w:vertAlign w:val="superscript"/>
                <w:lang w:val="pl-PL"/>
              </w:rPr>
              <w:t>1)</w:t>
            </w:r>
            <w:r w:rsidRPr="0008607D">
              <w:rPr>
                <w:rFonts w:ascii="Arial" w:hAnsi="Arial" w:cs="Arial"/>
                <w:sz w:val="11"/>
                <w:szCs w:val="11"/>
                <w:lang w:val="pl-PL"/>
              </w:rPr>
              <w:t xml:space="preserve"> Po uwzględnieniu kosztów/zysków o charakterze jednorazowym oraz kosztów restrukturyzacji</w:t>
            </w:r>
          </w:p>
        </w:tc>
        <w:tc>
          <w:tcPr>
            <w:tcW w:w="1833" w:type="dxa"/>
            <w:tcBorders>
              <w:top w:val="single" w:sz="4" w:space="0" w:color="AFB3B8"/>
            </w:tcBorders>
          </w:tcPr>
          <w:p w14:paraId="5C83050A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09" w:type="dxa"/>
            <w:tcBorders>
              <w:top w:val="single" w:sz="4" w:space="0" w:color="AFB3B8"/>
            </w:tcBorders>
          </w:tcPr>
          <w:p w14:paraId="2965466C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483" w:type="dxa"/>
            <w:tcBorders>
              <w:top w:val="single" w:sz="4" w:space="0" w:color="AFB3B8"/>
            </w:tcBorders>
          </w:tcPr>
          <w:p w14:paraId="2D4B6564" w14:textId="77777777" w:rsidR="00E11179" w:rsidRPr="0008607D" w:rsidRDefault="00E11179" w:rsidP="00ED6AA5">
            <w:pPr>
              <w:pStyle w:val="TableParagraph"/>
              <w:spacing w:before="0" w:line="288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C44B386" w14:textId="77777777" w:rsidR="00E11179" w:rsidRPr="009B711C" w:rsidRDefault="00E11179" w:rsidP="00E11179">
      <w:pPr>
        <w:pStyle w:val="Tekstpodstawowy"/>
        <w:spacing w:line="288" w:lineRule="auto"/>
        <w:rPr>
          <w:rFonts w:ascii="Arial" w:hAnsi="Arial" w:cs="Arial"/>
          <w:b/>
          <w:lang w:val="pl-PL"/>
        </w:rPr>
      </w:pPr>
    </w:p>
    <w:p w14:paraId="66848FCF" w14:textId="77777777" w:rsidR="00E11179" w:rsidRPr="009B711C" w:rsidRDefault="00E11179" w:rsidP="00E11179">
      <w:pPr>
        <w:pStyle w:val="Tekstpodstawowy"/>
        <w:spacing w:line="288" w:lineRule="auto"/>
        <w:rPr>
          <w:rFonts w:ascii="Arial" w:hAnsi="Arial" w:cs="Arial"/>
          <w:b/>
          <w:sz w:val="6"/>
          <w:lang w:val="pl-PL"/>
        </w:rPr>
      </w:pPr>
    </w:p>
    <w:p w14:paraId="1A29C8B2" w14:textId="77777777" w:rsidR="00A20162" w:rsidRPr="00E11179" w:rsidRDefault="00A20162" w:rsidP="000772EB">
      <w:pPr>
        <w:spacing w:before="120" w:after="240" w:line="240" w:lineRule="auto"/>
        <w:rPr>
          <w:rStyle w:val="AboutandContactBody"/>
          <w:lang w:val="pl-PL"/>
        </w:rPr>
      </w:pPr>
    </w:p>
    <w:sectPr w:rsidR="00A20162" w:rsidRPr="00E1117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C72" w14:textId="77777777" w:rsidR="00A12F02" w:rsidRDefault="00A12F02">
      <w:r>
        <w:separator/>
      </w:r>
    </w:p>
  </w:endnote>
  <w:endnote w:type="continuationSeparator" w:id="0">
    <w:p w14:paraId="7582EA9F" w14:textId="77777777" w:rsidR="00A12F02" w:rsidRDefault="00A1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JK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52C3591B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014767">
      <w:t>Strona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A6038">
      <w:fldChar w:fldCharType="begin"/>
    </w:r>
    <w:r w:rsidR="004A6038">
      <w:instrText xml:space="preserve"> NUMPAGES  \* Arabic  \* MERGEFORMAT </w:instrText>
    </w:r>
    <w:r w:rsidR="004A6038">
      <w:fldChar w:fldCharType="separate"/>
    </w:r>
    <w:r>
      <w:t>2</w:t>
    </w:r>
    <w:r w:rsidR="004A603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532C" w14:textId="77777777" w:rsidR="00A12F02" w:rsidRDefault="00A12F02">
      <w:r>
        <w:separator/>
      </w:r>
    </w:p>
  </w:footnote>
  <w:footnote w:type="continuationSeparator" w:id="0">
    <w:p w14:paraId="66957ED3" w14:textId="77777777" w:rsidR="00A12F02" w:rsidRDefault="00A1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9755C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0252B8"/>
    <w:multiLevelType w:val="hybridMultilevel"/>
    <w:tmpl w:val="377C1B2C"/>
    <w:lvl w:ilvl="0" w:tplc="CC5A1EC6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265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AAE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8D7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807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CA5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92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616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02B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D3D88"/>
    <w:multiLevelType w:val="hybridMultilevel"/>
    <w:tmpl w:val="9926B6E6"/>
    <w:lvl w:ilvl="0" w:tplc="2708E9DA">
      <w:numFmt w:val="bullet"/>
      <w:lvlText w:val=""/>
      <w:lvlJc w:val="left"/>
      <w:pPr>
        <w:ind w:left="468" w:hanging="358"/>
      </w:pPr>
      <w:rPr>
        <w:rFonts w:ascii="Wingdings" w:eastAsia="Wingdings" w:hAnsi="Wingdings" w:cs="Wingdings" w:hint="default"/>
        <w:color w:val="E1000F"/>
        <w:w w:val="99"/>
        <w:sz w:val="24"/>
        <w:szCs w:val="24"/>
        <w:lang w:val="en-US" w:eastAsia="en-US" w:bidi="ar-SA"/>
      </w:rPr>
    </w:lvl>
    <w:lvl w:ilvl="1" w:tplc="E19E22AE">
      <w:numFmt w:val="bullet"/>
      <w:lvlText w:val="–"/>
      <w:lvlJc w:val="left"/>
      <w:pPr>
        <w:ind w:left="810" w:hanging="360"/>
      </w:pPr>
      <w:rPr>
        <w:rFonts w:ascii="UKIJ CJK" w:eastAsia="UKIJ CJK" w:hAnsi="UKIJ CJK" w:cs="UKIJ CJK" w:hint="default"/>
        <w:color w:val="D7000F"/>
        <w:w w:val="99"/>
        <w:sz w:val="22"/>
        <w:szCs w:val="22"/>
        <w:lang w:val="en-US" w:eastAsia="en-US" w:bidi="ar-SA"/>
      </w:rPr>
    </w:lvl>
    <w:lvl w:ilvl="2" w:tplc="F1F866B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F544FE0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1A3246A4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5" w:tplc="8F68146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1884EB96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872C1E5A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ECDE8714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8A9442F"/>
    <w:multiLevelType w:val="hybridMultilevel"/>
    <w:tmpl w:val="0CA44D7A"/>
    <w:lvl w:ilvl="0" w:tplc="A21ECCE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A8D28">
      <w:start w:val="1"/>
      <w:numFmt w:val="bullet"/>
      <w:lvlText w:val="–"/>
      <w:lvlJc w:val="left"/>
      <w:pPr>
        <w:ind w:left="685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AC1B6">
      <w:start w:val="1"/>
      <w:numFmt w:val="bullet"/>
      <w:lvlText w:val="▪"/>
      <w:lvlJc w:val="left"/>
      <w:pPr>
        <w:ind w:left="142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4EBD8">
      <w:start w:val="1"/>
      <w:numFmt w:val="bullet"/>
      <w:lvlText w:val="•"/>
      <w:lvlJc w:val="left"/>
      <w:pPr>
        <w:ind w:left="214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C8E72">
      <w:start w:val="1"/>
      <w:numFmt w:val="bullet"/>
      <w:lvlText w:val="o"/>
      <w:lvlJc w:val="left"/>
      <w:pPr>
        <w:ind w:left="286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614AE">
      <w:start w:val="1"/>
      <w:numFmt w:val="bullet"/>
      <w:lvlText w:val="▪"/>
      <w:lvlJc w:val="left"/>
      <w:pPr>
        <w:ind w:left="358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88CB0">
      <w:start w:val="1"/>
      <w:numFmt w:val="bullet"/>
      <w:lvlText w:val="•"/>
      <w:lvlJc w:val="left"/>
      <w:pPr>
        <w:ind w:left="430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6C204">
      <w:start w:val="1"/>
      <w:numFmt w:val="bullet"/>
      <w:lvlText w:val="o"/>
      <w:lvlJc w:val="left"/>
      <w:pPr>
        <w:ind w:left="502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0361C">
      <w:start w:val="1"/>
      <w:numFmt w:val="bullet"/>
      <w:lvlText w:val="▪"/>
      <w:lvlJc w:val="left"/>
      <w:pPr>
        <w:ind w:left="5740"/>
      </w:pPr>
      <w:rPr>
        <w:rFonts w:ascii="Segoe UI" w:eastAsia="Segoe UI" w:hAnsi="Segoe UI" w:cs="Segoe UI"/>
        <w:b w:val="0"/>
        <w:i w:val="0"/>
        <w:strike w:val="0"/>
        <w:dstrike w:val="0"/>
        <w:color w:val="D7000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767"/>
    <w:rsid w:val="00017362"/>
    <w:rsid w:val="00021C67"/>
    <w:rsid w:val="00030557"/>
    <w:rsid w:val="00030F51"/>
    <w:rsid w:val="00035A84"/>
    <w:rsid w:val="00040CC9"/>
    <w:rsid w:val="00051E86"/>
    <w:rsid w:val="000575F9"/>
    <w:rsid w:val="000618FC"/>
    <w:rsid w:val="00061C9E"/>
    <w:rsid w:val="00067071"/>
    <w:rsid w:val="000772EB"/>
    <w:rsid w:val="00080D10"/>
    <w:rsid w:val="0008357F"/>
    <w:rsid w:val="0009423E"/>
    <w:rsid w:val="000B695A"/>
    <w:rsid w:val="000C210A"/>
    <w:rsid w:val="000C56DD"/>
    <w:rsid w:val="000D1672"/>
    <w:rsid w:val="000E124F"/>
    <w:rsid w:val="000E2F62"/>
    <w:rsid w:val="000E38ED"/>
    <w:rsid w:val="000E7F24"/>
    <w:rsid w:val="000F03BE"/>
    <w:rsid w:val="000F1757"/>
    <w:rsid w:val="000F225B"/>
    <w:rsid w:val="000F3C29"/>
    <w:rsid w:val="000F669A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4BE"/>
    <w:rsid w:val="00256575"/>
    <w:rsid w:val="00256F0C"/>
    <w:rsid w:val="00262C05"/>
    <w:rsid w:val="00281D14"/>
    <w:rsid w:val="00282B3E"/>
    <w:rsid w:val="00282C13"/>
    <w:rsid w:val="00290B32"/>
    <w:rsid w:val="002A0DF7"/>
    <w:rsid w:val="002A2975"/>
    <w:rsid w:val="002A60E0"/>
    <w:rsid w:val="002B69BE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4405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5B5"/>
    <w:rsid w:val="00394C6B"/>
    <w:rsid w:val="003A4E62"/>
    <w:rsid w:val="003B1069"/>
    <w:rsid w:val="003B390A"/>
    <w:rsid w:val="003C15DE"/>
    <w:rsid w:val="003C3DDF"/>
    <w:rsid w:val="003C4EB2"/>
    <w:rsid w:val="003E7560"/>
    <w:rsid w:val="003F1AF3"/>
    <w:rsid w:val="003F4D8D"/>
    <w:rsid w:val="0041421C"/>
    <w:rsid w:val="004313E7"/>
    <w:rsid w:val="0044763B"/>
    <w:rsid w:val="004629B3"/>
    <w:rsid w:val="0046376E"/>
    <w:rsid w:val="0046690F"/>
    <w:rsid w:val="00472FEC"/>
    <w:rsid w:val="00490A03"/>
    <w:rsid w:val="004929F4"/>
    <w:rsid w:val="00493327"/>
    <w:rsid w:val="00494DBE"/>
    <w:rsid w:val="00495CE6"/>
    <w:rsid w:val="004A323C"/>
    <w:rsid w:val="004A6038"/>
    <w:rsid w:val="004B54E8"/>
    <w:rsid w:val="004C4FEB"/>
    <w:rsid w:val="004C6B79"/>
    <w:rsid w:val="004D059B"/>
    <w:rsid w:val="004D4CB6"/>
    <w:rsid w:val="004E3341"/>
    <w:rsid w:val="004F10C1"/>
    <w:rsid w:val="004F726A"/>
    <w:rsid w:val="00502E62"/>
    <w:rsid w:val="00506B8A"/>
    <w:rsid w:val="00521BD4"/>
    <w:rsid w:val="0052212B"/>
    <w:rsid w:val="00534B46"/>
    <w:rsid w:val="00540358"/>
    <w:rsid w:val="00540D47"/>
    <w:rsid w:val="00550864"/>
    <w:rsid w:val="0055571E"/>
    <w:rsid w:val="00556F67"/>
    <w:rsid w:val="0057449E"/>
    <w:rsid w:val="005833F0"/>
    <w:rsid w:val="00586CAF"/>
    <w:rsid w:val="005873E9"/>
    <w:rsid w:val="00591180"/>
    <w:rsid w:val="00595426"/>
    <w:rsid w:val="0059722C"/>
    <w:rsid w:val="00597D07"/>
    <w:rsid w:val="005A3846"/>
    <w:rsid w:val="005B6A58"/>
    <w:rsid w:val="005C6A0C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3192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86C0B"/>
    <w:rsid w:val="00690B19"/>
    <w:rsid w:val="006A0A3C"/>
    <w:rsid w:val="006A79F0"/>
    <w:rsid w:val="006B47EE"/>
    <w:rsid w:val="006B499F"/>
    <w:rsid w:val="006C17B5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2F9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09DA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2728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54301"/>
    <w:rsid w:val="00961893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2371"/>
    <w:rsid w:val="009C4D35"/>
    <w:rsid w:val="009C62DD"/>
    <w:rsid w:val="009C6FEC"/>
    <w:rsid w:val="009D1522"/>
    <w:rsid w:val="009D7252"/>
    <w:rsid w:val="009E34CB"/>
    <w:rsid w:val="009E5EB4"/>
    <w:rsid w:val="009F2A9E"/>
    <w:rsid w:val="009F6652"/>
    <w:rsid w:val="00A044D6"/>
    <w:rsid w:val="00A04ADB"/>
    <w:rsid w:val="00A11E0F"/>
    <w:rsid w:val="00A12F02"/>
    <w:rsid w:val="00A20162"/>
    <w:rsid w:val="00A2612B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76D9"/>
    <w:rsid w:val="00AB1CB6"/>
    <w:rsid w:val="00AB1D9A"/>
    <w:rsid w:val="00AB2AF1"/>
    <w:rsid w:val="00AC7CAA"/>
    <w:rsid w:val="00AD44FE"/>
    <w:rsid w:val="00AE49F1"/>
    <w:rsid w:val="00AF1BA8"/>
    <w:rsid w:val="00B05CCA"/>
    <w:rsid w:val="00B14271"/>
    <w:rsid w:val="00B16270"/>
    <w:rsid w:val="00B2685D"/>
    <w:rsid w:val="00B30351"/>
    <w:rsid w:val="00B33C2A"/>
    <w:rsid w:val="00B422EC"/>
    <w:rsid w:val="00B726D4"/>
    <w:rsid w:val="00B72D53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D2C61"/>
    <w:rsid w:val="00BE04C5"/>
    <w:rsid w:val="00BE793A"/>
    <w:rsid w:val="00BF2B82"/>
    <w:rsid w:val="00BF432A"/>
    <w:rsid w:val="00BF6E82"/>
    <w:rsid w:val="00C060C7"/>
    <w:rsid w:val="00C11298"/>
    <w:rsid w:val="00C24C17"/>
    <w:rsid w:val="00C3758F"/>
    <w:rsid w:val="00C40B88"/>
    <w:rsid w:val="00C47D87"/>
    <w:rsid w:val="00C5376E"/>
    <w:rsid w:val="00C808A6"/>
    <w:rsid w:val="00C97091"/>
    <w:rsid w:val="00C97260"/>
    <w:rsid w:val="00CA2001"/>
    <w:rsid w:val="00CB2782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4F29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3D6B"/>
    <w:rsid w:val="00DD512E"/>
    <w:rsid w:val="00DE1177"/>
    <w:rsid w:val="00DE2CEA"/>
    <w:rsid w:val="00DE6A3C"/>
    <w:rsid w:val="00DE74F4"/>
    <w:rsid w:val="00DE7F97"/>
    <w:rsid w:val="00DF1010"/>
    <w:rsid w:val="00DF22B4"/>
    <w:rsid w:val="00DF5AEA"/>
    <w:rsid w:val="00DF63F6"/>
    <w:rsid w:val="00E11179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AA5"/>
    <w:rsid w:val="00EE1A8C"/>
    <w:rsid w:val="00EE4643"/>
    <w:rsid w:val="00EE5E89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12BA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01476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B72D53"/>
    <w:rPr>
      <w:vertAlign w:val="superscript"/>
    </w:rPr>
  </w:style>
  <w:style w:type="character" w:styleId="Odwoaniedokomentarza">
    <w:name w:val="annotation reference"/>
    <w:basedOn w:val="Domylnaczcionkaakapitu"/>
    <w:rsid w:val="00077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7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7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77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72EB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111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1179"/>
    <w:pPr>
      <w:widowControl w:val="0"/>
      <w:autoSpaceDE w:val="0"/>
      <w:autoSpaceDN w:val="0"/>
      <w:spacing w:line="240" w:lineRule="auto"/>
      <w:jc w:val="left"/>
    </w:pPr>
    <w:rPr>
      <w:rFonts w:ascii="UKIJ CJK" w:eastAsia="UKIJ CJK" w:hAnsi="UKIJ CJK" w:cs="UKIJ CJK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179"/>
    <w:rPr>
      <w:rFonts w:ascii="UKIJ CJK" w:eastAsia="UKIJ CJK" w:hAnsi="UKIJ CJK" w:cs="UKIJ CJK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E11179"/>
    <w:pPr>
      <w:widowControl w:val="0"/>
      <w:autoSpaceDE w:val="0"/>
      <w:autoSpaceDN w:val="0"/>
      <w:spacing w:before="32" w:line="240" w:lineRule="auto"/>
      <w:jc w:val="left"/>
    </w:pPr>
    <w:rPr>
      <w:rFonts w:ascii="Carlito" w:eastAsia="Carlito" w:hAnsi="Carlito" w:cs="Carli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rota.strosznajder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szymanczak@solskipr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</TotalTime>
  <Pages>9</Pages>
  <Words>3397</Words>
  <Characters>21342</Characters>
  <Application>Microsoft Office Word</Application>
  <DocSecurity>0</DocSecurity>
  <Lines>177</Lines>
  <Paragraphs>49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24690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Joanna Sadowska</cp:lastModifiedBy>
  <cp:revision>2</cp:revision>
  <cp:lastPrinted>2021-03-05T09:25:00Z</cp:lastPrinted>
  <dcterms:created xsi:type="dcterms:W3CDTF">2021-08-13T12:20:00Z</dcterms:created>
  <dcterms:modified xsi:type="dcterms:W3CDTF">2021-08-13T12:20:00Z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