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9D4F" w14:textId="629739D2" w:rsidR="00B422EC" w:rsidRPr="00336469" w:rsidRDefault="004D4CB6" w:rsidP="00A66DB1">
      <w:pPr>
        <w:spacing w:before="120"/>
        <w:jc w:val="right"/>
        <w:rPr>
          <w:rFonts w:ascii="Segoe UI" w:hAnsi="Segoe UI" w:cs="Segoe UI"/>
          <w:sz w:val="24"/>
          <w:lang w:val="hu"/>
        </w:rPr>
      </w:pPr>
      <w:r w:rsidRPr="00EF2D0D">
        <w:rPr>
          <w:bCs/>
          <w:i/>
          <w:iCs/>
          <w:sz w:val="22"/>
          <w:szCs w:val="22"/>
          <w:lang w:val="en-US"/>
        </w:rPr>
        <w:t xml:space="preserve"> </w:t>
      </w:r>
      <w:r w:rsidR="00A86132" w:rsidRPr="00EF2D0D">
        <w:rPr>
          <w:rFonts w:ascii="Segoe UI" w:hAnsi="Segoe UI" w:cs="Segoe UI"/>
          <w:sz w:val="22"/>
          <w:szCs w:val="22"/>
          <w:lang w:val="hu"/>
        </w:rPr>
        <w:t>202</w:t>
      </w:r>
      <w:r w:rsidR="00751576">
        <w:rPr>
          <w:rFonts w:ascii="Segoe UI" w:hAnsi="Segoe UI" w:cs="Segoe UI"/>
          <w:sz w:val="22"/>
          <w:szCs w:val="22"/>
          <w:lang w:val="hu"/>
        </w:rPr>
        <w:t>1</w:t>
      </w:r>
      <w:r w:rsidR="00FF5527">
        <w:rPr>
          <w:rFonts w:ascii="Segoe UI" w:hAnsi="Segoe UI" w:cs="Segoe UI"/>
          <w:sz w:val="22"/>
          <w:szCs w:val="22"/>
          <w:lang w:val="hu"/>
        </w:rPr>
        <w:t xml:space="preserve">. </w:t>
      </w:r>
      <w:r w:rsidR="00354EE4">
        <w:rPr>
          <w:rFonts w:ascii="Segoe UI" w:hAnsi="Segoe UI" w:cs="Segoe UI"/>
          <w:sz w:val="22"/>
          <w:szCs w:val="22"/>
          <w:lang w:val="hu"/>
        </w:rPr>
        <w:t>augusztus 12</w:t>
      </w:r>
      <w:r w:rsidR="003C6A25" w:rsidRPr="00336469">
        <w:rPr>
          <w:rFonts w:ascii="Segoe UI" w:hAnsi="Segoe UI" w:cs="Segoe UI"/>
          <w:sz w:val="24"/>
          <w:lang w:val="hu"/>
        </w:rPr>
        <w:t>.</w:t>
      </w:r>
    </w:p>
    <w:p w14:paraId="41687DA8" w14:textId="77777777" w:rsidR="00354EE4" w:rsidRPr="00354EE4" w:rsidRDefault="00354EE4" w:rsidP="00354EE4">
      <w:pPr>
        <w:pStyle w:val="Topline"/>
        <w:spacing w:after="360"/>
        <w:rPr>
          <w:rFonts w:cs="Calibri Light"/>
          <w:lang w:val="hu-HU"/>
        </w:rPr>
      </w:pPr>
      <w:r w:rsidRPr="00793284">
        <w:rPr>
          <w:rFonts w:cs="Calibri Light"/>
          <w:lang w:val="hu"/>
        </w:rPr>
        <w:t>A stratégiai növekedési terv végrehajtása megfelelő mederben halad</w:t>
      </w:r>
    </w:p>
    <w:p w14:paraId="60A977F6" w14:textId="7FBAA475" w:rsidR="00354EE4" w:rsidRPr="00354EE4" w:rsidRDefault="00DD520D" w:rsidP="00354EE4">
      <w:pPr>
        <w:rPr>
          <w:rStyle w:val="Headline"/>
          <w:rFonts w:ascii="Segoe UI" w:hAnsi="Segoe UI" w:cs="Segoe UI"/>
          <w:lang w:val="hu-HU"/>
        </w:rPr>
      </w:pPr>
      <w:r w:rsidRPr="00DD520D">
        <w:rPr>
          <w:rStyle w:val="Headline"/>
          <w:rFonts w:ascii="Segoe UI" w:hAnsi="Segoe UI" w:cs="Segoe UI"/>
          <w:lang w:val="hu"/>
        </w:rPr>
        <w:t>A Henkel az első félévben nagyon jó teljesítményt nyújtott</w:t>
      </w:r>
      <w:r>
        <w:rPr>
          <w:rStyle w:val="Headline"/>
          <w:rFonts w:ascii="Segoe UI" w:hAnsi="Segoe UI" w:cs="Segoe UI"/>
          <w:lang w:val="hu"/>
        </w:rPr>
        <w:t xml:space="preserve"> </w:t>
      </w:r>
      <w:r w:rsidR="00354EE4" w:rsidRPr="00354EE4">
        <w:rPr>
          <w:rStyle w:val="Headline"/>
          <w:rFonts w:ascii="Segoe UI" w:hAnsi="Segoe UI" w:cs="Segoe UI"/>
          <w:lang w:val="hu"/>
        </w:rPr>
        <w:t>– kétszámjegyű növekedés a szerves árbevétel és az eredmény</w:t>
      </w:r>
      <w:r>
        <w:rPr>
          <w:rStyle w:val="Headline"/>
          <w:rFonts w:ascii="Segoe UI" w:hAnsi="Segoe UI" w:cs="Segoe UI"/>
          <w:lang w:val="hu"/>
        </w:rPr>
        <w:t xml:space="preserve"> tekinteté</w:t>
      </w:r>
      <w:r w:rsidR="00354EE4" w:rsidRPr="00354EE4">
        <w:rPr>
          <w:rStyle w:val="Headline"/>
          <w:rFonts w:ascii="Segoe UI" w:hAnsi="Segoe UI" w:cs="Segoe UI"/>
          <w:lang w:val="hu"/>
        </w:rPr>
        <w:t>ben</w:t>
      </w:r>
    </w:p>
    <w:p w14:paraId="606C01B7" w14:textId="77777777" w:rsidR="00354EE4" w:rsidRPr="00354EE4" w:rsidRDefault="00354EE4" w:rsidP="00354EE4">
      <w:pPr>
        <w:rPr>
          <w:rFonts w:ascii="Segoe UI" w:hAnsi="Segoe UI" w:cs="Segoe UI"/>
          <w:sz w:val="22"/>
          <w:szCs w:val="22"/>
          <w:lang w:val="hu-HU"/>
        </w:rPr>
      </w:pPr>
    </w:p>
    <w:p w14:paraId="756C91C3" w14:textId="77777777" w:rsidR="00415A70" w:rsidRPr="00415A70" w:rsidRDefault="00354EE4" w:rsidP="00415A70">
      <w:pPr>
        <w:pStyle w:val="Listaszerbekezds"/>
        <w:numPr>
          <w:ilvl w:val="0"/>
          <w:numId w:val="15"/>
        </w:numPr>
        <w:spacing w:after="80" w:line="276" w:lineRule="auto"/>
        <w:ind w:left="357" w:right="-108" w:hanging="357"/>
        <w:contextualSpacing w:val="0"/>
        <w:rPr>
          <w:rFonts w:ascii="Segoe UI" w:hAnsi="Segoe UI" w:cs="Segoe UI"/>
          <w:b/>
          <w:sz w:val="22"/>
          <w:szCs w:val="22"/>
          <w:lang w:val="hu-HU"/>
        </w:rPr>
      </w:pPr>
      <w:r w:rsidRPr="00415A70">
        <w:rPr>
          <w:rFonts w:ascii="Segoe UI" w:hAnsi="Segoe UI" w:cs="Segoe UI"/>
          <w:b/>
          <w:bCs/>
          <w:sz w:val="22"/>
          <w:szCs w:val="22"/>
          <w:lang w:val="hu"/>
        </w:rPr>
        <w:t xml:space="preserve">A csoport árbevétele +11,3 százalékos szerves növekedést mutat, mintegy 10 milliárd euróval (névleges +4,7 százalék), </w:t>
      </w:r>
      <w:r w:rsidR="00415A70" w:rsidRPr="00415A70">
        <w:rPr>
          <w:rFonts w:ascii="Segoe UI" w:hAnsi="Segoe UI" w:cs="Segoe UI"/>
          <w:b/>
          <w:bCs/>
          <w:sz w:val="22"/>
          <w:szCs w:val="22"/>
          <w:lang w:val="hu"/>
        </w:rPr>
        <w:t>melyhez mindegyik</w:t>
      </w:r>
      <w:r w:rsidRPr="00415A70">
        <w:rPr>
          <w:rFonts w:ascii="Segoe UI" w:hAnsi="Segoe UI" w:cs="Segoe UI"/>
          <w:b/>
          <w:bCs/>
          <w:sz w:val="22"/>
          <w:szCs w:val="22"/>
          <w:lang w:val="hu"/>
        </w:rPr>
        <w:t xml:space="preserve"> üzletág és régió h</w:t>
      </w:r>
      <w:r w:rsidR="00415A70" w:rsidRPr="00415A70">
        <w:rPr>
          <w:rFonts w:ascii="Segoe UI" w:hAnsi="Segoe UI" w:cs="Segoe UI"/>
          <w:b/>
          <w:bCs/>
          <w:sz w:val="22"/>
          <w:szCs w:val="22"/>
          <w:lang w:val="hu"/>
        </w:rPr>
        <w:t>ozzájárult</w:t>
      </w:r>
    </w:p>
    <w:p w14:paraId="25E178DB" w14:textId="1843A062" w:rsidR="00354EE4" w:rsidRPr="00415A70" w:rsidRDefault="00354EE4" w:rsidP="00415A70">
      <w:pPr>
        <w:pStyle w:val="Listaszerbekezds"/>
        <w:numPr>
          <w:ilvl w:val="0"/>
          <w:numId w:val="15"/>
        </w:numPr>
        <w:spacing w:after="80" w:line="276" w:lineRule="auto"/>
        <w:ind w:left="357" w:right="-108" w:hanging="357"/>
        <w:contextualSpacing w:val="0"/>
        <w:rPr>
          <w:rFonts w:ascii="Segoe UI" w:hAnsi="Segoe UI" w:cs="Segoe UI"/>
          <w:b/>
          <w:sz w:val="22"/>
          <w:szCs w:val="22"/>
          <w:lang w:val="hu-HU"/>
        </w:rPr>
      </w:pPr>
      <w:r w:rsidRPr="00415A70">
        <w:rPr>
          <w:rFonts w:ascii="Segoe UI" w:hAnsi="Segoe UI" w:cs="Segoe UI"/>
          <w:b/>
          <w:bCs/>
          <w:sz w:val="22"/>
          <w:szCs w:val="22"/>
          <w:lang w:val="hu"/>
        </w:rPr>
        <w:t>Az üzemi eredmény* 1430 millió euróra emelkedett, +20,1%</w:t>
      </w:r>
    </w:p>
    <w:p w14:paraId="55E6389B" w14:textId="77777777" w:rsidR="00354EE4" w:rsidRPr="00354EE4" w:rsidRDefault="00354EE4" w:rsidP="00415A70">
      <w:pPr>
        <w:pStyle w:val="Listaszerbekezds"/>
        <w:numPr>
          <w:ilvl w:val="0"/>
          <w:numId w:val="15"/>
        </w:numPr>
        <w:spacing w:after="80" w:line="276" w:lineRule="auto"/>
        <w:ind w:left="357" w:right="-108" w:hanging="357"/>
        <w:contextualSpacing w:val="0"/>
        <w:rPr>
          <w:rFonts w:ascii="Segoe UI" w:hAnsi="Segoe UI" w:cs="Segoe UI"/>
          <w:b/>
          <w:sz w:val="22"/>
          <w:szCs w:val="22"/>
          <w:lang w:val="hu-HU"/>
        </w:rPr>
      </w:pPr>
      <w:r w:rsidRPr="00354EE4">
        <w:rPr>
          <w:rFonts w:ascii="Segoe UI" w:hAnsi="Segoe UI" w:cs="Segoe UI"/>
          <w:b/>
          <w:bCs/>
          <w:sz w:val="22"/>
          <w:szCs w:val="22"/>
          <w:lang w:val="hu"/>
        </w:rPr>
        <w:t xml:space="preserve">Az EBIT </w:t>
      </w:r>
      <w:proofErr w:type="spellStart"/>
      <w:r w:rsidRPr="00354EE4">
        <w:rPr>
          <w:rFonts w:ascii="Segoe UI" w:hAnsi="Segoe UI" w:cs="Segoe UI"/>
          <w:b/>
          <w:bCs/>
          <w:sz w:val="22"/>
          <w:szCs w:val="22"/>
          <w:lang w:val="hu"/>
        </w:rPr>
        <w:t>marzs</w:t>
      </w:r>
      <w:proofErr w:type="spellEnd"/>
      <w:r w:rsidRPr="00354EE4">
        <w:rPr>
          <w:rFonts w:ascii="Segoe UI" w:hAnsi="Segoe UI" w:cs="Segoe UI"/>
          <w:b/>
          <w:bCs/>
          <w:sz w:val="22"/>
          <w:szCs w:val="22"/>
          <w:lang w:val="hu"/>
        </w:rPr>
        <w:t>* 14,4%-</w:t>
      </w:r>
      <w:proofErr w:type="spellStart"/>
      <w:r w:rsidRPr="00354EE4">
        <w:rPr>
          <w:rFonts w:ascii="Segoe UI" w:hAnsi="Segoe UI" w:cs="Segoe UI"/>
          <w:b/>
          <w:bCs/>
          <w:sz w:val="22"/>
          <w:szCs w:val="22"/>
          <w:lang w:val="hu"/>
        </w:rPr>
        <w:t>ra</w:t>
      </w:r>
      <w:proofErr w:type="spellEnd"/>
      <w:r w:rsidRPr="00354EE4">
        <w:rPr>
          <w:rFonts w:ascii="Segoe UI" w:hAnsi="Segoe UI" w:cs="Segoe UI"/>
          <w:b/>
          <w:bCs/>
          <w:sz w:val="22"/>
          <w:szCs w:val="22"/>
          <w:lang w:val="hu"/>
        </w:rPr>
        <w:t xml:space="preserve"> nőtt, +1,9 százalékpont</w:t>
      </w:r>
    </w:p>
    <w:p w14:paraId="7C168459" w14:textId="42A24E4C" w:rsidR="00354EE4" w:rsidRPr="00354EE4" w:rsidRDefault="00354EE4" w:rsidP="00415A70">
      <w:pPr>
        <w:pStyle w:val="Listaszerbekezds"/>
        <w:numPr>
          <w:ilvl w:val="0"/>
          <w:numId w:val="15"/>
        </w:numPr>
        <w:spacing w:after="80" w:line="276" w:lineRule="auto"/>
        <w:ind w:left="357" w:right="-108" w:hanging="357"/>
        <w:contextualSpacing w:val="0"/>
        <w:rPr>
          <w:rFonts w:ascii="Segoe UI" w:hAnsi="Segoe UI" w:cs="Segoe UI"/>
          <w:b/>
          <w:sz w:val="22"/>
          <w:szCs w:val="22"/>
          <w:lang w:val="hu-HU"/>
        </w:rPr>
      </w:pPr>
      <w:r w:rsidRPr="00354EE4">
        <w:rPr>
          <w:rFonts w:ascii="Segoe UI" w:hAnsi="Segoe UI" w:cs="Segoe UI"/>
          <w:b/>
          <w:bCs/>
          <w:sz w:val="22"/>
          <w:szCs w:val="22"/>
          <w:lang w:val="hu"/>
        </w:rPr>
        <w:t xml:space="preserve">Elsőbbségi részvények korrigált hozama (EPS)*: 22,4%-kal 2,40 euróra nőtt, </w:t>
      </w:r>
      <w:r w:rsidR="00415A70">
        <w:rPr>
          <w:rFonts w:ascii="Segoe UI" w:hAnsi="Segoe UI" w:cs="Segoe UI"/>
          <w:b/>
          <w:bCs/>
          <w:sz w:val="22"/>
          <w:szCs w:val="22"/>
          <w:lang w:val="hu"/>
        </w:rPr>
        <w:br/>
      </w:r>
      <w:r w:rsidRPr="00354EE4">
        <w:rPr>
          <w:rFonts w:ascii="Segoe UI" w:hAnsi="Segoe UI" w:cs="Segoe UI"/>
          <w:b/>
          <w:bCs/>
          <w:sz w:val="22"/>
          <w:szCs w:val="22"/>
          <w:lang w:val="hu"/>
        </w:rPr>
        <w:t xml:space="preserve">+30,1% állandó árfolyamon </w:t>
      </w:r>
    </w:p>
    <w:p w14:paraId="06E035B5" w14:textId="4B3C2F7C" w:rsidR="00354EE4" w:rsidRPr="00354EE4" w:rsidRDefault="00354EE4" w:rsidP="00415A70">
      <w:pPr>
        <w:pStyle w:val="Listaszerbekezds"/>
        <w:numPr>
          <w:ilvl w:val="0"/>
          <w:numId w:val="15"/>
        </w:numPr>
        <w:spacing w:after="80" w:line="276" w:lineRule="auto"/>
        <w:ind w:left="357" w:right="-108" w:hanging="357"/>
        <w:contextualSpacing w:val="0"/>
        <w:rPr>
          <w:rFonts w:ascii="Segoe UI" w:hAnsi="Segoe UI" w:cs="Segoe UI"/>
          <w:b/>
          <w:sz w:val="22"/>
          <w:szCs w:val="22"/>
          <w:lang w:val="hu-HU"/>
        </w:rPr>
      </w:pPr>
      <w:r w:rsidRPr="00354EE4">
        <w:rPr>
          <w:rFonts w:ascii="Segoe UI" w:hAnsi="Segoe UI" w:cs="Segoe UI"/>
          <w:b/>
          <w:bCs/>
          <w:sz w:val="22"/>
          <w:szCs w:val="22"/>
          <w:lang w:val="hu"/>
        </w:rPr>
        <w:t>Előrelépés a célzott növekedési terv minden területén</w:t>
      </w:r>
    </w:p>
    <w:p w14:paraId="62791F78" w14:textId="77777777" w:rsidR="00354EE4" w:rsidRPr="00354EE4" w:rsidRDefault="00354EE4" w:rsidP="00415A70">
      <w:pPr>
        <w:pStyle w:val="Listaszerbekezds"/>
        <w:numPr>
          <w:ilvl w:val="0"/>
          <w:numId w:val="15"/>
        </w:numPr>
        <w:spacing w:after="80" w:line="276" w:lineRule="auto"/>
        <w:ind w:left="357" w:right="-108" w:hanging="357"/>
        <w:contextualSpacing w:val="0"/>
        <w:rPr>
          <w:rFonts w:ascii="Segoe UI" w:hAnsi="Segoe UI" w:cs="Segoe UI"/>
          <w:b/>
          <w:sz w:val="22"/>
          <w:szCs w:val="22"/>
          <w:lang w:val="hu-HU"/>
        </w:rPr>
      </w:pPr>
      <w:r w:rsidRPr="00354EE4">
        <w:rPr>
          <w:rFonts w:ascii="Segoe UI" w:hAnsi="Segoe UI" w:cs="Segoe UI"/>
          <w:b/>
          <w:bCs/>
          <w:sz w:val="22"/>
          <w:szCs w:val="22"/>
          <w:lang w:val="hu"/>
        </w:rPr>
        <w:t>A 2021-es pénzügyi évre vonatkozó kilátások frissítve: nagyobb árbevétel-növekedés változatlan eredmény-iránymutatás mellett</w:t>
      </w:r>
    </w:p>
    <w:p w14:paraId="5BB919B5" w14:textId="77777777" w:rsidR="00354EE4" w:rsidRPr="00354EE4" w:rsidRDefault="00354EE4" w:rsidP="00354EE4">
      <w:pPr>
        <w:pStyle w:val="He01FlietextAufzhlung2Ebene"/>
        <w:jc w:val="both"/>
        <w:rPr>
          <w:rFonts w:cs="Segoe UI"/>
          <w:b/>
          <w:bCs/>
          <w:lang w:val="hu-HU"/>
        </w:rPr>
      </w:pPr>
      <w:r w:rsidRPr="00354EE4">
        <w:rPr>
          <w:rFonts w:cs="Segoe UI"/>
          <w:b/>
          <w:bCs/>
          <w:lang w:val="hu"/>
        </w:rPr>
        <w:t>Szerves árbevétel-növekedés: +6,0 és +8,0 százalék között (korábban: +4,0 és +6,0 százalék között)</w:t>
      </w:r>
    </w:p>
    <w:p w14:paraId="671C09CC" w14:textId="793AFACC" w:rsidR="00354EE4" w:rsidRPr="00354EE4" w:rsidRDefault="00354EE4" w:rsidP="00354EE4">
      <w:pPr>
        <w:pStyle w:val="He01FlietextAufzhlung2Ebene"/>
        <w:jc w:val="both"/>
        <w:rPr>
          <w:rFonts w:cs="Segoe UI"/>
          <w:b/>
          <w:bCs/>
          <w:lang w:val="hu-HU"/>
        </w:rPr>
      </w:pPr>
      <w:r w:rsidRPr="00354EE4">
        <w:rPr>
          <w:rFonts w:cs="Segoe UI"/>
          <w:b/>
          <w:bCs/>
          <w:lang w:val="hu"/>
        </w:rPr>
        <w:t xml:space="preserve">EBIT </w:t>
      </w:r>
      <w:proofErr w:type="spellStart"/>
      <w:r w:rsidRPr="00354EE4">
        <w:rPr>
          <w:rFonts w:cs="Segoe UI"/>
          <w:b/>
          <w:bCs/>
          <w:lang w:val="hu"/>
        </w:rPr>
        <w:t>marzs</w:t>
      </w:r>
      <w:proofErr w:type="spellEnd"/>
      <w:r w:rsidRPr="00354EE4">
        <w:rPr>
          <w:rFonts w:cs="Segoe UI"/>
          <w:b/>
          <w:bCs/>
          <w:lang w:val="hu"/>
        </w:rPr>
        <w:t>*:</w:t>
      </w:r>
      <w:r w:rsidRPr="00354EE4">
        <w:rPr>
          <w:rFonts w:cs="Segoe UI"/>
          <w:lang w:val="hu"/>
        </w:rPr>
        <w:t xml:space="preserve"> </w:t>
      </w:r>
      <w:r w:rsidRPr="00354EE4">
        <w:rPr>
          <w:rFonts w:cs="Segoe UI"/>
          <w:b/>
          <w:bCs/>
          <w:lang w:val="hu"/>
        </w:rPr>
        <w:t>13,5-14,5 százalék (korábban: 14,0-15,0 százalék)</w:t>
      </w:r>
    </w:p>
    <w:p w14:paraId="39B0B72B" w14:textId="19BAA2F7" w:rsidR="00354EE4" w:rsidRPr="00354EE4" w:rsidRDefault="00354EE4" w:rsidP="00354EE4">
      <w:pPr>
        <w:pStyle w:val="He01FlietextAufzhlung2Ebene"/>
        <w:jc w:val="both"/>
        <w:rPr>
          <w:rFonts w:cs="Segoe UI"/>
          <w:b/>
          <w:lang w:val="hu-HU"/>
        </w:rPr>
      </w:pPr>
      <w:r w:rsidRPr="00354EE4">
        <w:rPr>
          <w:rFonts w:cs="Segoe UI"/>
          <w:b/>
          <w:bCs/>
          <w:lang w:val="hu"/>
        </w:rPr>
        <w:t>Elsőbbségi részvények korrigált hozama (EPS)</w:t>
      </w:r>
      <w:r w:rsidR="00415A70" w:rsidRPr="00354EE4">
        <w:rPr>
          <w:rFonts w:cs="Segoe UI"/>
          <w:b/>
          <w:bCs/>
          <w:lang w:val="hu"/>
        </w:rPr>
        <w:t>*</w:t>
      </w:r>
      <w:r w:rsidRPr="00354EE4">
        <w:rPr>
          <w:rFonts w:cs="Segoe UI"/>
          <w:b/>
          <w:bCs/>
          <w:lang w:val="hu"/>
        </w:rPr>
        <w:t>:</w:t>
      </w:r>
      <w:r w:rsidRPr="00354EE4">
        <w:rPr>
          <w:rFonts w:cs="Segoe UI"/>
          <w:lang w:val="hu"/>
        </w:rPr>
        <w:t xml:space="preserve"> </w:t>
      </w:r>
      <w:r w:rsidRPr="00354EE4">
        <w:rPr>
          <w:rFonts w:cs="Segoe UI"/>
          <w:b/>
          <w:bCs/>
          <w:lang w:val="hu"/>
        </w:rPr>
        <w:t>Növekedés a magasabb egyszámjegyűtől</w:t>
      </w:r>
      <w:r w:rsidRPr="00354EE4">
        <w:rPr>
          <w:rFonts w:cs="Segoe UI"/>
          <w:lang w:val="hu"/>
        </w:rPr>
        <w:t xml:space="preserve"> </w:t>
      </w:r>
      <w:r w:rsidRPr="00354EE4">
        <w:rPr>
          <w:rFonts w:cs="Segoe UI"/>
          <w:b/>
          <w:bCs/>
          <w:lang w:val="hu"/>
        </w:rPr>
        <w:t>a tízszázalékos tartomány közepéig, állandó árfolyamon (változatlan)</w:t>
      </w:r>
    </w:p>
    <w:p w14:paraId="50119A39" w14:textId="4E56568C" w:rsidR="00354EE4" w:rsidRDefault="00354EE4" w:rsidP="00354EE4">
      <w:pPr>
        <w:rPr>
          <w:rFonts w:ascii="Segoe UI" w:hAnsi="Segoe UI" w:cs="Segoe UI"/>
          <w:i/>
          <w:iCs/>
          <w:sz w:val="16"/>
          <w:szCs w:val="16"/>
          <w:lang w:val="hu-HU"/>
        </w:rPr>
      </w:pPr>
      <w:r w:rsidRPr="00C2313E">
        <w:rPr>
          <w:rFonts w:ascii="Segoe UI" w:hAnsi="Segoe UI" w:cs="Segoe UI"/>
          <w:i/>
          <w:iCs/>
          <w:sz w:val="16"/>
          <w:szCs w:val="16"/>
          <w:lang w:val="hu-HU"/>
        </w:rPr>
        <w:t>* Az egyszeri költségekkel és bevétellel, valamint a szerkezetátalakítási költségekkel kiigazítva.</w:t>
      </w:r>
    </w:p>
    <w:p w14:paraId="61430A88" w14:textId="77777777" w:rsidR="00354EE4" w:rsidRDefault="00354EE4" w:rsidP="00354EE4">
      <w:pPr>
        <w:rPr>
          <w:rFonts w:ascii="Segoe UI" w:hAnsi="Segoe UI" w:cs="Segoe UI"/>
          <w:i/>
          <w:iCs/>
          <w:sz w:val="16"/>
          <w:szCs w:val="16"/>
          <w:lang w:val="hu-HU"/>
        </w:rPr>
      </w:pPr>
    </w:p>
    <w:p w14:paraId="6E349354" w14:textId="579EE543" w:rsidR="006E3262" w:rsidRPr="00DD520D" w:rsidRDefault="00354EE4" w:rsidP="00F112B9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 xml:space="preserve">Düsseldorf </w:t>
      </w:r>
      <w:r w:rsidR="00415A70" w:rsidRPr="00415A70">
        <w:rPr>
          <w:rFonts w:cs="Segoe UI"/>
          <w:b/>
          <w:bCs/>
          <w:szCs w:val="22"/>
          <w:lang w:val="hu-HU"/>
        </w:rPr>
        <w:t xml:space="preserve">– </w:t>
      </w: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 xml:space="preserve">A 2021-es pénzügyi év erőteljes kezdete után a Henkel ismét felgyorsította a növekedést az első félév során, és a devizahatásokhoz igazítva már meghaladta a 2019-es válság előtti szintet. </w:t>
      </w:r>
      <w:r w:rsidRPr="00DD520D">
        <w:rPr>
          <w:rFonts w:ascii="Segoe UI" w:hAnsi="Segoe UI" w:cs="Segoe UI"/>
          <w:b/>
          <w:bCs/>
          <w:sz w:val="22"/>
          <w:szCs w:val="22"/>
          <w:lang w:val="hu-HU"/>
        </w:rPr>
        <w:t xml:space="preserve">Annak ellenére, hogy a globális koronavírus-válság hatása továbbra is hátrányosan érinti a társadalmi és gazdasági környezetet a világ számos piacán, a Henkel jelentős árbevételt és eredményt ért el az év első felében. A szerves árbevétel növekedése </w:t>
      </w:r>
      <w:r w:rsidRPr="00DD520D">
        <w:rPr>
          <w:rFonts w:ascii="Segoe UI" w:hAnsi="Segoe UI" w:cs="Segoe UI"/>
          <w:b/>
          <w:bCs/>
          <w:sz w:val="22"/>
          <w:szCs w:val="22"/>
          <w:lang w:val="hu-HU"/>
        </w:rPr>
        <w:lastRenderedPageBreak/>
        <w:t>2021 első hat hónapjában elérte a 11,3 százalékot. A csoport árbevétele mintegy 10 milliárd euró volt, ami nominálisan 4,7 százalékos növekedést jelent.</w:t>
      </w:r>
    </w:p>
    <w:p w14:paraId="77A6570A" w14:textId="77777777" w:rsidR="00354EE4" w:rsidRPr="006E3262" w:rsidRDefault="00354EE4" w:rsidP="00F112B9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AB40517" w14:textId="76EDFCA6" w:rsidR="00354EE4" w:rsidRPr="00415A70" w:rsidRDefault="00354EE4" w:rsidP="00F112B9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 xml:space="preserve">A korrigált üzemi eredmény 20,1 százalékkal 1430 millió euróra nőtt, a korrigált EBIT </w:t>
      </w:r>
      <w:proofErr w:type="spellStart"/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>marzs</w:t>
      </w:r>
      <w:proofErr w:type="spellEnd"/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 xml:space="preserve"> pedig 1,9 százalékponttal nőtt, és elérte a 14,4 százalékot, amely 1,9 százalékpontos növekedést jelent az előző évhez képest. Állandó árfolyamok mellett az elsőbbségi részvények korrigált hozama 30,1 százalékkal </w:t>
      </w:r>
      <w:r w:rsidR="00415A70">
        <w:rPr>
          <w:rFonts w:ascii="Segoe UI" w:hAnsi="Segoe UI" w:cs="Segoe UI"/>
          <w:b/>
          <w:bCs/>
          <w:sz w:val="22"/>
          <w:szCs w:val="22"/>
          <w:lang w:val="hu-HU"/>
        </w:rPr>
        <w:t>nőtt</w:t>
      </w: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>. Az első félévben a magasabb nyersanyagköltségek hatásait különösen ellensúlyozta a nagyon erőteljes mennyiségi növekedés, valamint az áremelések, illetve a szigorú költséggazdálkodás és a hatékonyságnövelés.</w:t>
      </w:r>
    </w:p>
    <w:p w14:paraId="07340778" w14:textId="77777777" w:rsidR="00354EE4" w:rsidRPr="003527AD" w:rsidRDefault="00354EE4" w:rsidP="00F112B9">
      <w:pPr>
        <w:spacing w:line="276" w:lineRule="auto"/>
        <w:rPr>
          <w:rFonts w:cs="Segoe UI"/>
          <w:b/>
          <w:bCs/>
          <w:szCs w:val="22"/>
          <w:lang w:val="hu"/>
        </w:rPr>
      </w:pPr>
    </w:p>
    <w:p w14:paraId="720F3E56" w14:textId="1714EDC1" w:rsidR="00354EE4" w:rsidRPr="00415A70" w:rsidRDefault="00354EE4" w:rsidP="00F112B9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>„2021 első felében a Henkel továbbra is érintett volt a COVID-19 világjárványban. Ennek ellenére kétszámjegyű növekedést értünk el az árbevétel</w:t>
      </w:r>
      <w:r w:rsidR="0076157D">
        <w:rPr>
          <w:rFonts w:ascii="Segoe UI" w:hAnsi="Segoe UI" w:cs="Segoe UI"/>
          <w:b/>
          <w:bCs/>
          <w:sz w:val="22"/>
          <w:szCs w:val="22"/>
          <w:lang w:val="hu-HU"/>
        </w:rPr>
        <w:t xml:space="preserve"> é</w:t>
      </w: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>s az eredmény</w:t>
      </w:r>
      <w:r w:rsidR="0076157D">
        <w:rPr>
          <w:rFonts w:ascii="Segoe UI" w:hAnsi="Segoe UI" w:cs="Segoe UI"/>
          <w:b/>
          <w:bCs/>
          <w:sz w:val="22"/>
          <w:szCs w:val="22"/>
          <w:lang w:val="hu-HU"/>
        </w:rPr>
        <w:t xml:space="preserve"> tekinteté</w:t>
      </w: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 xml:space="preserve">ben. Az árbevételt </w:t>
      </w:r>
      <w:r w:rsidR="0076157D">
        <w:rPr>
          <w:rFonts w:ascii="Segoe UI" w:hAnsi="Segoe UI" w:cs="Segoe UI"/>
          <w:b/>
          <w:bCs/>
          <w:sz w:val="22"/>
          <w:szCs w:val="22"/>
          <w:lang w:val="hu-HU"/>
        </w:rPr>
        <w:t>nézve</w:t>
      </w: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 xml:space="preserve"> már sikerült túllépnünk a 2019-es válság előtti, devizahatásokkal kiigazított szintet. Ez elsősorban dolgozóink világszerte kiemelkedő csapatszellemének és elkötelezettségének, valamint a sikeres </w:t>
      </w:r>
      <w:r w:rsidR="0076157D">
        <w:rPr>
          <w:rFonts w:ascii="Segoe UI" w:hAnsi="Segoe UI" w:cs="Segoe UI"/>
          <w:b/>
          <w:bCs/>
          <w:sz w:val="22"/>
          <w:szCs w:val="22"/>
          <w:lang w:val="hu-HU"/>
        </w:rPr>
        <w:t xml:space="preserve">fogyasztási és ipari </w:t>
      </w: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>márká</w:t>
      </w:r>
      <w:r w:rsidR="0076157D">
        <w:rPr>
          <w:rFonts w:ascii="Segoe UI" w:hAnsi="Segoe UI" w:cs="Segoe UI"/>
          <w:b/>
          <w:bCs/>
          <w:sz w:val="22"/>
          <w:szCs w:val="22"/>
          <w:lang w:val="hu-HU"/>
        </w:rPr>
        <w:t>in</w:t>
      </w: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>k és innovatív technológiá</w:t>
      </w:r>
      <w:r w:rsidR="0076157D">
        <w:rPr>
          <w:rFonts w:ascii="Segoe UI" w:hAnsi="Segoe UI" w:cs="Segoe UI"/>
          <w:b/>
          <w:bCs/>
          <w:sz w:val="22"/>
          <w:szCs w:val="22"/>
          <w:lang w:val="hu-HU"/>
        </w:rPr>
        <w:t>in</w:t>
      </w: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>k kiegyensúlyozott és robusztus portfólió</w:t>
      </w:r>
      <w:r w:rsidR="0076157D">
        <w:rPr>
          <w:rFonts w:ascii="Segoe UI" w:hAnsi="Segoe UI" w:cs="Segoe UI"/>
          <w:b/>
          <w:bCs/>
          <w:sz w:val="22"/>
          <w:szCs w:val="22"/>
          <w:lang w:val="hu-HU"/>
        </w:rPr>
        <w:t>jának</w:t>
      </w: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 xml:space="preserve"> köszönhető” 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>–</w:t>
      </w:r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 xml:space="preserve"> mondta </w:t>
      </w:r>
      <w:proofErr w:type="spellStart"/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>Carsten</w:t>
      </w:r>
      <w:proofErr w:type="spellEnd"/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>Knobel</w:t>
      </w:r>
      <w:proofErr w:type="spellEnd"/>
      <w:r w:rsidRPr="00415A70">
        <w:rPr>
          <w:rFonts w:ascii="Segoe UI" w:hAnsi="Segoe UI" w:cs="Segoe UI"/>
          <w:b/>
          <w:bCs/>
          <w:sz w:val="22"/>
          <w:szCs w:val="22"/>
          <w:lang w:val="hu-HU"/>
        </w:rPr>
        <w:t>, a Henkel igazgatóságának elnöke.</w:t>
      </w:r>
    </w:p>
    <w:p w14:paraId="4DD76ED7" w14:textId="77777777" w:rsidR="00354EE4" w:rsidRPr="00415A70" w:rsidRDefault="00354EE4" w:rsidP="00415A70">
      <w:pPr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5CC402D9" w14:textId="53E190D5" w:rsidR="00354EE4" w:rsidRPr="00F112B9" w:rsidRDefault="00AB566F" w:rsidP="00F112B9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>2021 első felében</w:t>
      </w: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>
        <w:rPr>
          <w:rFonts w:ascii="Segoe UI" w:hAnsi="Segoe UI" w:cs="Segoe UI"/>
          <w:b/>
          <w:bCs/>
          <w:sz w:val="22"/>
          <w:szCs w:val="22"/>
          <w:lang w:val="hu-HU"/>
        </w:rPr>
        <w:t>mindegyik</w:t>
      </w:r>
      <w:r w:rsidR="00354EE4"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üzletág és régió hozzájárult a szerves árbevétel növekedéséhez. Az Adhesive Technologies üzletág érte el a legerősebb árbevétel-növekedést az év első felében. Az üzletág szervesen növelte az árbevételt minden régióban és üzleti területen, és összességében kétszámjegyű növekedést ért el. Ezt a fejlődést támogatta a globális gazdaság jelentős fellendülése. De 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a Henkel a </w:t>
      </w:r>
      <w:r w:rsidR="00354EE4"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Beauty Care és a Laundry &amp; Home 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üzletágai esetében </w:t>
      </w:r>
      <w:r w:rsidR="00354EE4"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is szerves árbevétel-növekedést ért el. A kép azonban vegyes volt az egyes üzleti területek tekintetében. A Beauty Care üzletágban a növekedést a Professional 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>terület</w:t>
      </w:r>
      <w:r w:rsidR="00354EE4"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hajtotta. A járvány miatt az előző évben tapasztalt gyengébb növekedés után kétszámjegyű növekedést sikerült elérni. A fogyasztási cikkek 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>területe</w:t>
      </w:r>
      <w:r w:rsidR="00354EE4"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viszont 2021 első felében az előző évi szint alatt volt, a testápolási kategória szerves árbevételének visszaesése miatt, 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és </w:t>
      </w:r>
      <w:r w:rsidR="00354EE4"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a piacok jelentős gyengülése következtében. A Laundry &amp; Home Care üzletágban a növekedést elsősorban a Home Care 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>terület</w:t>
      </w:r>
      <w:r w:rsidR="00354EE4"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hajtotta, amely jelentős szerves árbevétel-növekedést ért el. A Laundry Care 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>terület</w:t>
      </w:r>
      <w:r w:rsidR="00354EE4"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jó szerves árbevétel-növekedést könyvelt el.</w:t>
      </w:r>
    </w:p>
    <w:p w14:paraId="66AE2961" w14:textId="77777777" w:rsidR="00354EE4" w:rsidRPr="003527AD" w:rsidRDefault="00354EE4" w:rsidP="00354EE4">
      <w:pPr>
        <w:rPr>
          <w:rFonts w:cs="Segoe UI"/>
          <w:b/>
          <w:bCs/>
          <w:szCs w:val="22"/>
          <w:lang w:val="hu"/>
        </w:rPr>
      </w:pPr>
    </w:p>
    <w:p w14:paraId="42765351" w14:textId="6855DEB2" w:rsidR="00354EE4" w:rsidRPr="00F112B9" w:rsidRDefault="00354EE4" w:rsidP="00F112B9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>„</w:t>
      </w:r>
      <w:r w:rsidRPr="003909D1">
        <w:rPr>
          <w:rFonts w:ascii="Segoe UI" w:hAnsi="Segoe UI" w:cs="Segoe UI"/>
          <w:b/>
          <w:bCs/>
          <w:sz w:val="22"/>
          <w:szCs w:val="22"/>
          <w:lang w:val="hu-HU"/>
        </w:rPr>
        <w:t>Az év első felében továbbra is jó előrehaladást</w:t>
      </w: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értünk el a stratégiai növekedési menetrend végrehajtásában. Aktív portfóliókezelésünk részeként további márkák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>tól</w:t>
      </w: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és 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területektől </w:t>
      </w: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>vált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>unk meg</w:t>
      </w: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vagy szüntett</w:t>
      </w:r>
      <w:r w:rsidR="00F112B9">
        <w:rPr>
          <w:rFonts w:ascii="Segoe UI" w:hAnsi="Segoe UI" w:cs="Segoe UI"/>
          <w:b/>
          <w:bCs/>
          <w:sz w:val="22"/>
          <w:szCs w:val="22"/>
          <w:lang w:val="hu-HU"/>
        </w:rPr>
        <w:t>ünk</w:t>
      </w: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meg a terveknek megfelelően. Ugyanakkor célzott felvásárlásokat hajtottunk végre, különösen a fenntartható márkák portfóliójának bővítése érdekében. Ebben az évben kiemelt hangsúlyt fektetünk versenyképességünk további erősítésére az innováció, a fenntarthatóság és a digitalizáció területén, valamint </w:t>
      </w: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lastRenderedPageBreak/>
        <w:t>vállalati kultúránk továbbfejlesztésére. Nagyon jól teljesítettünk ezeken a területeken az év első felében, és úgy gondoljuk, hogy jó úton haladunk a céltudatos növekedési menetrend</w:t>
      </w:r>
      <w:r w:rsidR="00BF4CF7">
        <w:rPr>
          <w:rFonts w:ascii="Segoe UI" w:hAnsi="Segoe UI" w:cs="Segoe UI"/>
          <w:b/>
          <w:bCs/>
          <w:sz w:val="22"/>
          <w:szCs w:val="22"/>
          <w:lang w:val="hu-HU"/>
        </w:rPr>
        <w:t xml:space="preserve">ünk </w:t>
      </w: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megvalósításában” </w:t>
      </w:r>
      <w:r w:rsidR="00BF4CF7">
        <w:rPr>
          <w:rFonts w:ascii="Segoe UI" w:hAnsi="Segoe UI" w:cs="Segoe UI"/>
          <w:b/>
          <w:bCs/>
          <w:sz w:val="22"/>
          <w:szCs w:val="22"/>
          <w:lang w:val="hu-HU"/>
        </w:rPr>
        <w:t>–</w:t>
      </w: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tette hozzá </w:t>
      </w:r>
      <w:proofErr w:type="spellStart"/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>Carsten</w:t>
      </w:r>
      <w:proofErr w:type="spellEnd"/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>Knobel</w:t>
      </w:r>
      <w:proofErr w:type="spellEnd"/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>.</w:t>
      </w:r>
    </w:p>
    <w:p w14:paraId="5067258A" w14:textId="77777777" w:rsidR="00354EE4" w:rsidRPr="00F112B9" w:rsidRDefault="00354EE4" w:rsidP="00F112B9">
      <w:pPr>
        <w:spacing w:line="276" w:lineRule="auto"/>
        <w:ind w:right="-108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2017F42E" w14:textId="18CB7FBB" w:rsidR="00354EE4" w:rsidRPr="00F112B9" w:rsidRDefault="00354EE4" w:rsidP="006713EE">
      <w:pPr>
        <w:spacing w:after="120" w:line="276" w:lineRule="auto"/>
        <w:ind w:right="-108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A 2021-es pénzügyi évre vonatkozó kilátások frissítve: </w:t>
      </w:r>
      <w:r w:rsidR="003909D1" w:rsidRPr="003909D1">
        <w:rPr>
          <w:rFonts w:ascii="Segoe UI" w:hAnsi="Segoe UI" w:cs="Segoe UI"/>
          <w:b/>
          <w:bCs/>
          <w:sz w:val="22"/>
          <w:szCs w:val="22"/>
          <w:lang w:val="hu-HU"/>
        </w:rPr>
        <w:t xml:space="preserve">nagyobb </w:t>
      </w:r>
      <w:r w:rsidRPr="003909D1">
        <w:rPr>
          <w:rFonts w:ascii="Segoe UI" w:hAnsi="Segoe UI" w:cs="Segoe UI"/>
          <w:b/>
          <w:bCs/>
          <w:sz w:val="22"/>
          <w:szCs w:val="22"/>
          <w:lang w:val="hu-HU"/>
        </w:rPr>
        <w:t>árbevétel növekedés</w:t>
      </w:r>
      <w:r w:rsidR="006713EE" w:rsidRPr="003909D1">
        <w:rPr>
          <w:rFonts w:ascii="Segoe UI" w:hAnsi="Segoe UI" w:cs="Segoe UI"/>
          <w:b/>
          <w:bCs/>
          <w:sz w:val="22"/>
          <w:szCs w:val="22"/>
          <w:lang w:val="hu-HU"/>
        </w:rPr>
        <w:t xml:space="preserve"> és</w:t>
      </w:r>
      <w:r w:rsidRPr="003909D1">
        <w:rPr>
          <w:rFonts w:ascii="Segoe UI" w:hAnsi="Segoe UI" w:cs="Segoe UI"/>
          <w:b/>
          <w:bCs/>
          <w:sz w:val="22"/>
          <w:szCs w:val="22"/>
          <w:lang w:val="hu-HU"/>
        </w:rPr>
        <w:t xml:space="preserve"> elsőbbségi részvények hozamára vonatkozó</w:t>
      </w:r>
      <w:r w:rsidR="006713EE" w:rsidRPr="003909D1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3909D1" w:rsidRPr="003909D1">
        <w:rPr>
          <w:rFonts w:ascii="Segoe UI" w:hAnsi="Segoe UI" w:cs="Segoe UI"/>
          <w:b/>
          <w:bCs/>
          <w:sz w:val="22"/>
          <w:szCs w:val="22"/>
          <w:lang w:val="hu-HU"/>
        </w:rPr>
        <w:t xml:space="preserve">változatlan </w:t>
      </w:r>
      <w:r w:rsidR="006713EE" w:rsidRPr="003909D1">
        <w:rPr>
          <w:rFonts w:ascii="Segoe UI" w:hAnsi="Segoe UI" w:cs="Segoe UI"/>
          <w:b/>
          <w:bCs/>
          <w:sz w:val="22"/>
          <w:szCs w:val="22"/>
          <w:lang w:val="hu-HU"/>
        </w:rPr>
        <w:t>iránymutatás</w:t>
      </w:r>
    </w:p>
    <w:p w14:paraId="51FF4268" w14:textId="2803EA19" w:rsidR="00354EE4" w:rsidRPr="00F112B9" w:rsidRDefault="00354EE4" w:rsidP="00F112B9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A 2021-es pénzügyi év hátralévő részére nézve </w:t>
      </w:r>
      <w:proofErr w:type="spellStart"/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>Knobel</w:t>
      </w:r>
      <w:proofErr w:type="spellEnd"/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 a következőket mondta: „Összességében azt tapasztaljuk, hogy a legtöbb üzletágban normalizálódik a kereslet. És miután az ipari kereslet fellendülése sok régióban elkezdődött 2020 második felében, a növekedési ütemek valószínűleg jelentősen alacsonyabbak lesznek a 2021-es pénzügyi év második felében, a folyamatos gazdasági fellendülés ellenére. Ugyanakkor továbbra is nagy a bizonytalanság a járvány alakulásáról és annak a fogyasztásra, valamint az ipari termelésre gyakorolt hatásáról. Különösen a nyersanyagárak kivételesen erőteljes emelkedése és a feszült ellátási láncok fogják súlyosan befolyásolni a gazdaságot az év folyamán. Keményen dolgozunk, és kiterjedt intézkedésekkel korlátozzuk az üzleti tevékenységünkre és a jövedelmezőségre gyakorolt hatást. Ugyanakkor továbbra is rugalmasan és gyorsan reagálunk a piacainkon bekövetkező változásokra, és következetesen mozdítjuk előre növekedési ütemtervünk végrehajtását. Figyelembe véve a leírt környezetet és az első félév nagyon erős teljesítményét, ma frissítettük egész éves útmutatásunkat. Emeltük az árbevételre vonatkozó előrejelzésünket, és változatlanul tartottuk az elsőbbségi részvények hozamára vonatkozó várakozásainkat </w:t>
      </w:r>
      <w:r w:rsidR="004E6A6F">
        <w:rPr>
          <w:rFonts w:ascii="Segoe UI" w:hAnsi="Segoe UI" w:cs="Segoe UI"/>
          <w:b/>
          <w:bCs/>
          <w:sz w:val="22"/>
          <w:szCs w:val="22"/>
          <w:lang w:val="hu-HU"/>
        </w:rPr>
        <w:t xml:space="preserve">– </w:t>
      </w: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a nyersanyagköltséget érintő infláció miatt egyre nagyobb ellenszél </w:t>
      </w:r>
      <w:r w:rsidR="004E6A6F" w:rsidRPr="00F112B9">
        <w:rPr>
          <w:rFonts w:ascii="Segoe UI" w:hAnsi="Segoe UI" w:cs="Segoe UI"/>
          <w:b/>
          <w:bCs/>
          <w:sz w:val="22"/>
          <w:szCs w:val="22"/>
          <w:lang w:val="hu-HU"/>
        </w:rPr>
        <w:t>ellenére</w:t>
      </w: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>.”</w:t>
      </w:r>
    </w:p>
    <w:p w14:paraId="48A36460" w14:textId="77777777" w:rsidR="00354EE4" w:rsidRPr="00F112B9" w:rsidRDefault="00354EE4" w:rsidP="00F112B9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3F4E937D" w14:textId="48C7C1FF" w:rsidR="00354EE4" w:rsidRPr="00F112B9" w:rsidRDefault="00354EE4" w:rsidP="00F112B9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 xml:space="preserve">A Henkel +6,0 és +8,0 százalék közötti szerves árbevétel-növekedésre és a korrigált árbevétel-arányos megtérülés (EBIT </w:t>
      </w:r>
      <w:proofErr w:type="spellStart"/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>marzs</w:t>
      </w:r>
      <w:proofErr w:type="spellEnd"/>
      <w:r w:rsidRPr="00F112B9">
        <w:rPr>
          <w:rFonts w:ascii="Segoe UI" w:hAnsi="Segoe UI" w:cs="Segoe UI"/>
          <w:b/>
          <w:bCs/>
          <w:sz w:val="22"/>
          <w:szCs w:val="22"/>
          <w:lang w:val="hu-HU"/>
        </w:rPr>
        <w:t>) 13,5 és 14,5 százalék közötti tartományára számít. A korrigált, egy elsőbbségi részvények korrigált hozamának (EPS) vonatkozásában, változatlan árfolyamon a Henkel továbbra is a magas egyszámjegyűtől a tízszázalékos tartomány közepéig terjedő növekedést vár.</w:t>
      </w:r>
    </w:p>
    <w:p w14:paraId="447CE95E" w14:textId="77777777" w:rsidR="00354EE4" w:rsidRPr="003527AD" w:rsidRDefault="00354EE4" w:rsidP="00354EE4">
      <w:pPr>
        <w:autoSpaceDE w:val="0"/>
        <w:autoSpaceDN w:val="0"/>
        <w:adjustRightInd w:val="0"/>
        <w:rPr>
          <w:rFonts w:cs="Segoe UI"/>
          <w:szCs w:val="22"/>
          <w:lang w:val="hu"/>
        </w:rPr>
      </w:pPr>
    </w:p>
    <w:p w14:paraId="07119584" w14:textId="77777777" w:rsidR="00354EE4" w:rsidRPr="004E6A6F" w:rsidRDefault="00354EE4" w:rsidP="00354EE4">
      <w:pPr>
        <w:spacing w:after="120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4E6A6F">
        <w:rPr>
          <w:rFonts w:ascii="Segoe UI" w:hAnsi="Segoe UI" w:cs="Segoe UI"/>
          <w:b/>
          <w:bCs/>
          <w:sz w:val="22"/>
          <w:szCs w:val="22"/>
          <w:lang w:val="hu-HU"/>
        </w:rPr>
        <w:t>Csoport-szintű árbevétel és eredmény 2021 első felében</w:t>
      </w:r>
    </w:p>
    <w:p w14:paraId="48A19EAD" w14:textId="6C43CEDA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4E6A6F">
        <w:rPr>
          <w:rFonts w:ascii="Segoe UI" w:hAnsi="Segoe UI" w:cs="Segoe UI"/>
          <w:sz w:val="22"/>
          <w:szCs w:val="22"/>
          <w:lang w:val="hu"/>
        </w:rPr>
        <w:t xml:space="preserve">A Henkel-csoport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árbevétele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9926 millió euró mellett 2021 első felében +4,7 százalékkal volt magasabb az előző év azonos időszakához képest (2. negyedév: 4958 millió euró, +8,8 százalék). Az árfolyamhatások és a felvásárlások/befektetés-megszüntetések hatásainak kiszűrése utáni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szerves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árbevétel kétszámjegyű, +11,3 százalékos (2. negyedév: +15,2 százalék) növekedést mutatott. Az akvizíciókból és elidegenítésekből származó hozzájárulások mértéke +0,4</w:t>
      </w:r>
      <w:r w:rsidR="004E6A6F">
        <w:rPr>
          <w:rFonts w:ascii="Segoe UI" w:hAnsi="Segoe UI" w:cs="Segoe UI"/>
          <w:sz w:val="22"/>
          <w:szCs w:val="22"/>
          <w:lang w:val="hu"/>
        </w:rPr>
        <w:t xml:space="preserve"> százalék </w:t>
      </w:r>
      <w:r w:rsidRPr="004E6A6F">
        <w:rPr>
          <w:rFonts w:ascii="Segoe UI" w:hAnsi="Segoe UI" w:cs="Segoe UI"/>
          <w:sz w:val="22"/>
          <w:szCs w:val="22"/>
          <w:lang w:val="hu"/>
        </w:rPr>
        <w:t>(2. negyedév: +0,1</w:t>
      </w:r>
      <w:r w:rsidR="004E6A6F">
        <w:rPr>
          <w:rFonts w:ascii="Segoe UI" w:hAnsi="Segoe UI" w:cs="Segoe UI"/>
          <w:sz w:val="22"/>
          <w:szCs w:val="22"/>
          <w:lang w:val="hu"/>
        </w:rPr>
        <w:t xml:space="preserve"> százalék</w:t>
      </w:r>
      <w:r w:rsidRPr="004E6A6F">
        <w:rPr>
          <w:rFonts w:ascii="Segoe UI" w:hAnsi="Segoe UI" w:cs="Segoe UI"/>
          <w:sz w:val="22"/>
          <w:szCs w:val="22"/>
          <w:lang w:val="hu"/>
        </w:rPr>
        <w:t>) volt.  A valutahatások negatívan, -7,0 százalékkal csökkentették az árbevételt (2. negyedév: -6,5</w:t>
      </w:r>
      <w:r w:rsidR="004E6A6F">
        <w:rPr>
          <w:rFonts w:ascii="Segoe UI" w:hAnsi="Segoe UI" w:cs="Segoe UI"/>
          <w:sz w:val="22"/>
          <w:szCs w:val="22"/>
          <w:lang w:val="hu"/>
        </w:rPr>
        <w:t xml:space="preserve"> százalék</w:t>
      </w:r>
      <w:r w:rsidRPr="004E6A6F">
        <w:rPr>
          <w:rFonts w:ascii="Segoe UI" w:hAnsi="Segoe UI" w:cs="Segoe UI"/>
          <w:sz w:val="22"/>
          <w:szCs w:val="22"/>
          <w:lang w:val="hu"/>
        </w:rPr>
        <w:t>).</w:t>
      </w:r>
    </w:p>
    <w:p w14:paraId="7B5135C0" w14:textId="77777777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7587FDF5" w14:textId="77777777" w:rsidR="00354EE4" w:rsidRPr="004E6A6F" w:rsidRDefault="00354EE4" w:rsidP="004E6A6F">
      <w:pPr>
        <w:jc w:val="both"/>
        <w:rPr>
          <w:rFonts w:ascii="Segoe UI" w:hAnsi="Segoe UI" w:cs="Segoe UI"/>
          <w:sz w:val="22"/>
          <w:szCs w:val="22"/>
          <w:lang w:val="hu"/>
        </w:rPr>
      </w:pPr>
      <w:r w:rsidRPr="004E6A6F">
        <w:rPr>
          <w:rFonts w:ascii="Segoe UI" w:hAnsi="Segoe UI" w:cs="Segoe UI"/>
          <w:sz w:val="22"/>
          <w:szCs w:val="22"/>
          <w:lang w:val="hu"/>
        </w:rPr>
        <w:lastRenderedPageBreak/>
        <w:t xml:space="preserve">A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feltörekvő piacok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+21,5 százalékos szerves árbevétel-növekedést mutattak (2. negyedév: +24,7 százalék). Az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érett piacokon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folytatott üzleti tevékenység nagyon erős szerves árbevétel-növekedést mutatott (+4,5 százalék (2. negyedév: +8,8 százalék).</w:t>
      </w:r>
    </w:p>
    <w:p w14:paraId="7D269FE7" w14:textId="77777777" w:rsidR="00354EE4" w:rsidRPr="004E6A6F" w:rsidRDefault="00354EE4" w:rsidP="004E6A6F">
      <w:pPr>
        <w:jc w:val="both"/>
        <w:rPr>
          <w:rFonts w:ascii="Segoe UI" w:hAnsi="Segoe UI" w:cs="Segoe UI"/>
          <w:sz w:val="22"/>
          <w:szCs w:val="22"/>
          <w:lang w:val="hu"/>
        </w:rPr>
      </w:pPr>
    </w:p>
    <w:p w14:paraId="4DD16384" w14:textId="6BB337FA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4E6A6F">
        <w:rPr>
          <w:rFonts w:ascii="Segoe UI" w:hAnsi="Segoe UI" w:cs="Segoe UI"/>
          <w:sz w:val="22"/>
          <w:szCs w:val="22"/>
          <w:lang w:val="hu"/>
        </w:rPr>
        <w:t xml:space="preserve">Az első félév árbevétele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Nyugat-Európában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+5,5 százalékos szerves árbevétel-növekedést mutatott (2. negyedév: +10,7 százalék).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 xml:space="preserve">Kelet-Európa 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szerves árbevétel-növekedése +17,6 százalék volt (2. negyedév: +24,1 százalék).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Afrikában/</w:t>
      </w:r>
      <w:r w:rsidRPr="004E6A6F">
        <w:rPr>
          <w:rFonts w:ascii="Segoe UI" w:hAnsi="Segoe UI" w:cs="Segoe UI"/>
          <w:b/>
          <w:sz w:val="22"/>
          <w:szCs w:val="22"/>
          <w:lang w:val="hu"/>
        </w:rPr>
        <w:t>a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 xml:space="preserve"> Közel-Keleten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az árbevétel szerves növekedése +26,4 százalék volt (2. negyedév: +31,7 százalék). A szerves árbevétel növekedése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Észak-Amerikában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+3,0 százalék volt (2. negyedév: +6,3 százalék).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Latin-Amerika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+21,0 százalékos szerves árbevétel-növekedést könyvelt el (második negyedév: +34,2 százalék). Az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 xml:space="preserve">ázsiai-csendes-óceáni térségben </w:t>
      </w:r>
      <w:r w:rsidRPr="004E6A6F">
        <w:rPr>
          <w:rFonts w:ascii="Segoe UI" w:hAnsi="Segoe UI" w:cs="Segoe UI"/>
          <w:sz w:val="22"/>
          <w:szCs w:val="22"/>
          <w:lang w:val="hu"/>
        </w:rPr>
        <w:t>az árbevétel szervesen +20,8 százalékkal nőtt (2. negyedév: +17,3</w:t>
      </w:r>
      <w:r w:rsidR="0023641C">
        <w:rPr>
          <w:rFonts w:ascii="Segoe UI" w:hAnsi="Segoe UI" w:cs="Segoe UI"/>
          <w:sz w:val="22"/>
          <w:szCs w:val="22"/>
          <w:lang w:val="hu"/>
        </w:rPr>
        <w:t xml:space="preserve"> százalék</w:t>
      </w:r>
      <w:r w:rsidRPr="004E6A6F">
        <w:rPr>
          <w:rFonts w:ascii="Segoe UI" w:hAnsi="Segoe UI" w:cs="Segoe UI"/>
          <w:sz w:val="22"/>
          <w:szCs w:val="22"/>
          <w:lang w:val="hu"/>
        </w:rPr>
        <w:t>).</w:t>
      </w:r>
    </w:p>
    <w:p w14:paraId="74E3AFDE" w14:textId="77777777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"/>
        </w:rPr>
      </w:pPr>
    </w:p>
    <w:p w14:paraId="5DDECD96" w14:textId="77777777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  <w:r w:rsidRPr="004E6A6F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korrigált üzemi eredmény (korrigált EBIT)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+20,1 százalékkal nőtt, az előző év első félévének 1191 millió eurójáról 1430 millió euróra.</w:t>
      </w:r>
    </w:p>
    <w:p w14:paraId="4781C9BC" w14:textId="77777777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</w:p>
    <w:p w14:paraId="59250DC2" w14:textId="6CBC3EA2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  <w:r w:rsidRPr="004E6A6F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 xml:space="preserve">korrigált árbevétel-arányos megtérülés (korrigált EBIT </w:t>
      </w:r>
      <w:proofErr w:type="spellStart"/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marzs</w:t>
      </w:r>
      <w:proofErr w:type="spellEnd"/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)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1</w:t>
      </w:r>
      <w:r w:rsidR="0023641C">
        <w:rPr>
          <w:rFonts w:ascii="Segoe UI" w:hAnsi="Segoe UI" w:cs="Segoe UI"/>
          <w:sz w:val="22"/>
          <w:szCs w:val="22"/>
          <w:lang w:val="hu"/>
        </w:rPr>
        <w:t>,</w:t>
      </w:r>
      <w:r w:rsidRPr="004E6A6F">
        <w:rPr>
          <w:rFonts w:ascii="Segoe UI" w:hAnsi="Segoe UI" w:cs="Segoe UI"/>
          <w:sz w:val="22"/>
          <w:szCs w:val="22"/>
          <w:lang w:val="hu"/>
        </w:rPr>
        <w:t>9 százalékponttal nőtt, 12</w:t>
      </w:r>
      <w:r w:rsidR="0023641C">
        <w:rPr>
          <w:rFonts w:ascii="Segoe UI" w:hAnsi="Segoe UI" w:cs="Segoe UI"/>
          <w:sz w:val="22"/>
          <w:szCs w:val="22"/>
          <w:lang w:val="hu"/>
        </w:rPr>
        <w:t>,</w:t>
      </w:r>
      <w:r w:rsidRPr="004E6A6F">
        <w:rPr>
          <w:rFonts w:ascii="Segoe UI" w:hAnsi="Segoe UI" w:cs="Segoe UI"/>
          <w:sz w:val="22"/>
          <w:szCs w:val="22"/>
          <w:lang w:val="hu"/>
        </w:rPr>
        <w:t>6</w:t>
      </w:r>
      <w:r w:rsidR="0023641C">
        <w:rPr>
          <w:rFonts w:ascii="Segoe UI" w:hAnsi="Segoe UI" w:cs="Segoe UI"/>
          <w:sz w:val="22"/>
          <w:szCs w:val="22"/>
          <w:lang w:val="hu"/>
        </w:rPr>
        <w:t xml:space="preserve"> százalék</w:t>
      </w:r>
      <w:r w:rsidRPr="004E6A6F">
        <w:rPr>
          <w:rFonts w:ascii="Segoe UI" w:hAnsi="Segoe UI" w:cs="Segoe UI"/>
          <w:sz w:val="22"/>
          <w:szCs w:val="22"/>
          <w:lang w:val="hu"/>
        </w:rPr>
        <w:t>ról 14</w:t>
      </w:r>
      <w:r w:rsidR="0023641C">
        <w:rPr>
          <w:rFonts w:ascii="Segoe UI" w:hAnsi="Segoe UI" w:cs="Segoe UI"/>
          <w:sz w:val="22"/>
          <w:szCs w:val="22"/>
          <w:lang w:val="hu"/>
        </w:rPr>
        <w:t>,4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százalékra. </w:t>
      </w:r>
    </w:p>
    <w:p w14:paraId="7D8DAADB" w14:textId="77777777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</w:p>
    <w:p w14:paraId="3EE09C87" w14:textId="77777777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  <w:r w:rsidRPr="004E6A6F">
        <w:rPr>
          <w:rFonts w:ascii="Segoe UI" w:hAnsi="Segoe UI" w:cs="Segoe UI"/>
          <w:sz w:val="22"/>
          <w:szCs w:val="22"/>
          <w:lang w:val="hu"/>
        </w:rPr>
        <w:t xml:space="preserve">Az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 xml:space="preserve">elsőbbségi részvények korrigált hozama 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+22,4 százalékkal nőtt a 2020 első félévi 1,96 euróról 2,40 euróra. Állandó átváltási árfolyam mellett az egy elsőbbségi részvényre jutó korrigált eredmény +30,1 százalékkal nőtt. </w:t>
      </w:r>
    </w:p>
    <w:p w14:paraId="49E1C261" w14:textId="77777777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74EAED2F" w14:textId="77777777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A nettó forgótőke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tovább javult. Az árbevétel 3,6 százalékán 80 bázisponttal elmaradt az előző évi szinttől (4,4 százalék).</w:t>
      </w:r>
    </w:p>
    <w:p w14:paraId="739A1E21" w14:textId="77777777" w:rsidR="00354EE4" w:rsidRPr="004E6A6F" w:rsidRDefault="00354EE4" w:rsidP="004E6A6F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7A82D424" w14:textId="0CBBB53B" w:rsidR="00354EE4" w:rsidRPr="004E6A6F" w:rsidRDefault="00354EE4" w:rsidP="004E6A6F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4E6A6F">
        <w:rPr>
          <w:rFonts w:ascii="Segoe UI" w:hAnsi="Segoe UI" w:cs="Segoe UI"/>
          <w:sz w:val="22"/>
          <w:szCs w:val="22"/>
          <w:lang w:val="hu"/>
        </w:rPr>
        <w:t xml:space="preserve">A 471 millió eurós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szabad cash flow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alacsonyabb volt a 2020 első félévi adatnál (940 millió euró), különösen az üzleti tevékenységből származó alacsonyabb cash flow miatt. A magasabb üzemi eredmény mellett a csökkenés a nettó forgótőke jelentős növekedése miatt következett be a 2020-as pénzügyi év végéhez képest, ami részben az értékesítési volumen jelentős bővülésének volt köszönhető. </w:t>
      </w:r>
    </w:p>
    <w:p w14:paraId="08116889" w14:textId="77777777" w:rsidR="00354EE4" w:rsidRPr="004E6A6F" w:rsidRDefault="00354EE4" w:rsidP="004E6A6F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1EE40233" w14:textId="382F84B4" w:rsidR="00354EE4" w:rsidRPr="004E6A6F" w:rsidRDefault="00354EE4" w:rsidP="004E6A6F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4E6A6F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4E6A6F">
        <w:rPr>
          <w:rFonts w:ascii="Segoe UI" w:hAnsi="Segoe UI" w:cs="Segoe UI"/>
          <w:b/>
          <w:bCs/>
          <w:sz w:val="22"/>
          <w:szCs w:val="22"/>
          <w:lang w:val="hu"/>
        </w:rPr>
        <w:t>nettó pénzügyi helyzet</w:t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 2021. június 30-án -1035 millió eurót tett ki (2020. december 31.: </w:t>
      </w:r>
      <w:r w:rsidR="0023641C">
        <w:rPr>
          <w:rFonts w:ascii="Segoe UI" w:hAnsi="Segoe UI" w:cs="Segoe UI"/>
          <w:sz w:val="22"/>
          <w:szCs w:val="22"/>
          <w:lang w:val="hu"/>
        </w:rPr>
        <w:br/>
      </w:r>
      <w:r w:rsidRPr="004E6A6F">
        <w:rPr>
          <w:rFonts w:ascii="Segoe UI" w:hAnsi="Segoe UI" w:cs="Segoe UI"/>
          <w:sz w:val="22"/>
          <w:szCs w:val="22"/>
          <w:lang w:val="hu"/>
        </w:rPr>
        <w:t xml:space="preserve">-888 millió euró). </w:t>
      </w:r>
    </w:p>
    <w:p w14:paraId="2C351B5F" w14:textId="77777777" w:rsidR="00354EE4" w:rsidRPr="003527AD" w:rsidRDefault="00354EE4" w:rsidP="00354EE4">
      <w:pPr>
        <w:autoSpaceDE w:val="0"/>
        <w:autoSpaceDN w:val="0"/>
        <w:adjustRightInd w:val="0"/>
        <w:rPr>
          <w:rFonts w:cs="Segoe UI"/>
          <w:szCs w:val="22"/>
          <w:lang w:val="hu"/>
        </w:rPr>
      </w:pPr>
    </w:p>
    <w:p w14:paraId="0C67D1DF" w14:textId="77777777" w:rsidR="00354EE4" w:rsidRPr="0023641C" w:rsidRDefault="00354EE4" w:rsidP="0023641C">
      <w:pPr>
        <w:pStyle w:val="Cmsor2"/>
        <w:shd w:val="clear" w:color="auto" w:fill="FFFFFF"/>
        <w:spacing w:after="156" w:line="276" w:lineRule="auto"/>
        <w:jc w:val="both"/>
        <w:rPr>
          <w:rFonts w:ascii="Segoe UI" w:hAnsi="Segoe UI" w:cs="Segoe UI"/>
          <w:bCs w:val="0"/>
          <w:color w:val="000000"/>
          <w:szCs w:val="22"/>
          <w:lang w:val="hu"/>
        </w:rPr>
      </w:pPr>
      <w:r w:rsidRPr="0023641C">
        <w:rPr>
          <w:rFonts w:ascii="Segoe UI" w:hAnsi="Segoe UI" w:cs="Segoe UI"/>
          <w:b/>
          <w:iCs w:val="0"/>
          <w:color w:val="000000"/>
          <w:szCs w:val="22"/>
          <w:lang w:val="hu"/>
        </w:rPr>
        <w:t>Az üzletágak teljesítménye 2021 első felében</w:t>
      </w:r>
    </w:p>
    <w:p w14:paraId="05EB20FF" w14:textId="3D2C46A8" w:rsidR="00354EE4" w:rsidRPr="0023641C" w:rsidRDefault="00354EE4" w:rsidP="0023641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23641C">
        <w:rPr>
          <w:rFonts w:ascii="Segoe UI" w:hAnsi="Segoe UI" w:cs="Segoe UI"/>
          <w:sz w:val="22"/>
          <w:szCs w:val="22"/>
          <w:lang w:val="hu"/>
        </w:rPr>
        <w:t>2021 első félévében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 xml:space="preserve"> 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az 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Adhesive Technologies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üzletágban az 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árbevétel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nominálisan +14,4 százalékkal nőtt, az előző év azonos időszakában elért 4153 millió euróról 4752 millió euróra. (2. negyedév 2394 millió euró, +23,1 százalék). 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Szervesen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az árbevétel +20,2 százalékkal nőtt.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 xml:space="preserve"> 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(2. negyedév: +28,5 százalék). Az év első felében bekövetkezett fejlődést jelentősen befolyásolta a </w:t>
      </w:r>
      <w:r w:rsidRPr="0023641C">
        <w:rPr>
          <w:rFonts w:ascii="Segoe UI" w:hAnsi="Segoe UI" w:cs="Segoe UI"/>
          <w:sz w:val="22"/>
          <w:szCs w:val="22"/>
          <w:lang w:val="hu"/>
        </w:rPr>
        <w:lastRenderedPageBreak/>
        <w:t xml:space="preserve">globális gazdaság fellendülése minden régióban és üzleti területen. A 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korrigált üzemi eredmény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2021 első felében +50,9 százalékkal nőtt, és elérte a 820 millió eurót. A 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korrigált árbevétel-arányos megtérülés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17,3 százalék volt, amely 4,2</w:t>
      </w:r>
      <w:r w:rsidR="0023641C">
        <w:rPr>
          <w:rFonts w:ascii="Segoe UI" w:hAnsi="Segoe UI" w:cs="Segoe UI"/>
          <w:sz w:val="22"/>
          <w:szCs w:val="22"/>
          <w:lang w:val="hu"/>
        </w:rPr>
        <w:t xml:space="preserve"> százalékkal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haladta meg a 2020 első félévi szintet.</w:t>
      </w:r>
    </w:p>
    <w:p w14:paraId="285D86F8" w14:textId="77777777" w:rsidR="00354EE4" w:rsidRPr="0023641C" w:rsidRDefault="00354EE4" w:rsidP="0023641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270F91A4" w14:textId="0B9B4B8B" w:rsidR="00354EE4" w:rsidRPr="0023641C" w:rsidRDefault="00354EE4" w:rsidP="0023641C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  <w:r w:rsidRPr="0023641C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Beauty Care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üzletágban az 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árbevétel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2021 első felében +5,2 százalékos szerves növekedést mutatott (2. negyedév: +8,2</w:t>
      </w:r>
      <w:r w:rsidR="0023641C">
        <w:rPr>
          <w:rFonts w:ascii="Segoe UI" w:hAnsi="Segoe UI" w:cs="Segoe UI"/>
          <w:sz w:val="22"/>
          <w:szCs w:val="22"/>
          <w:lang w:val="hu"/>
        </w:rPr>
        <w:t xml:space="preserve"> százalék</w:t>
      </w:r>
      <w:r w:rsidRPr="0023641C">
        <w:rPr>
          <w:rFonts w:ascii="Segoe UI" w:hAnsi="Segoe UI" w:cs="Segoe UI"/>
          <w:sz w:val="22"/>
          <w:szCs w:val="22"/>
          <w:lang w:val="hu"/>
        </w:rPr>
        <w:t>). Nominálisan az árbevétel +1,1 százalékkal nőtt, elérve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az 1839 millió eurót (2. negyedév: 914 millió euró, +3,5 százalék). Az árbevétel növekedése elsősorban a Professional </w:t>
      </w:r>
      <w:r w:rsid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terület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erőteljes fellendülésének tudható be, amelyet az előző év második negyedévében jelentősen befolyásolt a fodrászszalonok járványhoz kapcsolódó bezárása. 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korrigált üzemi eredmény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2021 első felében +6,8 százalékkal haladta meg az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előző évi szintet, és elérte a 183 millió eurót. 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korrigált árbevétel-arányos megtérülés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10,0 százalék volt, amely szintén meghaladta az előző évi szintet.</w:t>
      </w:r>
    </w:p>
    <w:p w14:paraId="1B53073D" w14:textId="77777777" w:rsidR="00354EE4" w:rsidRPr="003527AD" w:rsidRDefault="00354EE4" w:rsidP="00354EE4">
      <w:pPr>
        <w:rPr>
          <w:rFonts w:cs="Segoe UI"/>
          <w:szCs w:val="22"/>
          <w:lang w:val="hu"/>
        </w:rPr>
      </w:pPr>
    </w:p>
    <w:p w14:paraId="5B496DA6" w14:textId="2AD0965F" w:rsidR="00354EE4" w:rsidRPr="0023641C" w:rsidRDefault="00354EE4" w:rsidP="0023641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23641C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Laundry &amp; Home Care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üzletág +3,9</w:t>
      </w:r>
      <w:r w:rsidR="00FC7E43">
        <w:rPr>
          <w:rFonts w:ascii="Segoe UI" w:hAnsi="Segoe UI" w:cs="Segoe UI"/>
          <w:sz w:val="22"/>
          <w:szCs w:val="22"/>
          <w:lang w:val="hu"/>
        </w:rPr>
        <w:t xml:space="preserve"> százaléko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s </w:t>
      </w:r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szerves árbevétel-</w:t>
      </w:r>
      <w:r w:rsidRPr="0023641C">
        <w:rPr>
          <w:rFonts w:ascii="Segoe UI" w:hAnsi="Segoe UI" w:cs="Segoe UI"/>
          <w:sz w:val="22"/>
          <w:szCs w:val="22"/>
          <w:lang w:val="hu"/>
        </w:rPr>
        <w:t>növekedést ért el 2021 első felében (2. negyedév:</w:t>
      </w:r>
      <w:r w:rsidR="00FC7E43">
        <w:rPr>
          <w:rFonts w:ascii="Segoe UI" w:hAnsi="Segoe UI" w:cs="Segoe UI"/>
          <w:sz w:val="22"/>
          <w:szCs w:val="22"/>
          <w:lang w:val="hu"/>
        </w:rPr>
        <w:t xml:space="preserve"> </w:t>
      </w:r>
      <w:r w:rsidRPr="0023641C">
        <w:rPr>
          <w:rFonts w:ascii="Segoe UI" w:hAnsi="Segoe UI" w:cs="Segoe UI"/>
          <w:sz w:val="22"/>
          <w:szCs w:val="22"/>
          <w:lang w:val="hu"/>
        </w:rPr>
        <w:t>+3,6</w:t>
      </w:r>
      <w:r w:rsidR="00FC7E43">
        <w:rPr>
          <w:rFonts w:ascii="Segoe UI" w:hAnsi="Segoe UI" w:cs="Segoe UI"/>
          <w:sz w:val="22"/>
          <w:szCs w:val="22"/>
          <w:lang w:val="hu"/>
        </w:rPr>
        <w:t xml:space="preserve"> százalék</w:t>
      </w:r>
      <w:r w:rsidRPr="0023641C">
        <w:rPr>
          <w:rFonts w:ascii="Segoe UI" w:hAnsi="Segoe UI" w:cs="Segoe UI"/>
          <w:sz w:val="22"/>
          <w:szCs w:val="22"/>
          <w:lang w:val="hu"/>
        </w:rPr>
        <w:t>).</w:t>
      </w:r>
      <w:r w:rsidR="00FC7E43">
        <w:rPr>
          <w:rFonts w:ascii="Segoe UI" w:hAnsi="Segoe UI" w:cs="Segoe UI"/>
          <w:sz w:val="22"/>
          <w:szCs w:val="22"/>
          <w:lang w:val="hu"/>
        </w:rPr>
        <w:t xml:space="preserve"> 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Nominálisan az árbevétel -5,3 százalékkal 3275 millió euróra csökkent (2. negyedév: 1619 millió euró; -5,1</w:t>
      </w:r>
      <w:r w:rsidR="00FC7E43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százalék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). A 490 millió eurós </w:t>
      </w:r>
      <w:r w:rsidRPr="0023641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lang w:val="hu"/>
        </w:rPr>
        <w:t>korrigált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</w:t>
      </w:r>
      <w:r w:rsidRPr="0023641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lang w:val="hu"/>
        </w:rPr>
        <w:t>üzemi eredmény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-7,7 százalékkal maradt el az előző évitől, elsősorban az erős deviza</w:t>
      </w:r>
      <w:r w:rsidR="00FC7E43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ellenszél miatt. 15,0 százalékon a </w:t>
      </w:r>
      <w:r w:rsidRPr="0023641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lang w:val="hu"/>
        </w:rPr>
        <w:t>korrigált árbevétel-arányos megtérülés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valamivel alatta maradt a 2020 első félévi szintnek, különösen a magasabb nyersanyagköltségek és a negatív devizahatások miatt.</w:t>
      </w:r>
    </w:p>
    <w:p w14:paraId="2B0065E1" w14:textId="77777777" w:rsidR="00354EE4" w:rsidRPr="0023641C" w:rsidRDefault="00354EE4" w:rsidP="0023641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495123C8" w14:textId="77777777" w:rsidR="00354EE4" w:rsidRPr="0023641C" w:rsidRDefault="00354EE4" w:rsidP="0023641C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  <w:lang w:val="hu"/>
        </w:rPr>
      </w:pPr>
      <w:bookmarkStart w:id="0" w:name="_Hlk77942675"/>
      <w:r w:rsidRPr="0023641C">
        <w:rPr>
          <w:rFonts w:ascii="Segoe UI" w:hAnsi="Segoe UI" w:cs="Segoe UI"/>
          <w:b/>
          <w:bCs/>
          <w:sz w:val="22"/>
          <w:szCs w:val="22"/>
          <w:lang w:val="hu"/>
        </w:rPr>
        <w:t>„Céltudatos növekedés” ütemterv: jó haladás</w:t>
      </w:r>
    </w:p>
    <w:p w14:paraId="48D68E97" w14:textId="2C2DC9E1" w:rsidR="00354EE4" w:rsidRPr="0023641C" w:rsidRDefault="00354EE4" w:rsidP="0023641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23641C">
        <w:rPr>
          <w:rFonts w:ascii="Segoe UI" w:hAnsi="Segoe UI" w:cs="Segoe UI"/>
          <w:sz w:val="22"/>
          <w:szCs w:val="22"/>
          <w:lang w:val="hu"/>
        </w:rPr>
        <w:t xml:space="preserve">„2021 első felében következetesen dolgoztunk növekedési ütemtervünk végrehajtásán” </w:t>
      </w:r>
      <w:r w:rsidR="00FC7E43">
        <w:rPr>
          <w:rFonts w:ascii="Segoe UI" w:hAnsi="Segoe UI" w:cs="Segoe UI"/>
          <w:sz w:val="22"/>
          <w:szCs w:val="22"/>
          <w:lang w:val="hu"/>
        </w:rPr>
        <w:t>–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mondta </w:t>
      </w:r>
      <w:proofErr w:type="spellStart"/>
      <w:r w:rsidRPr="0023641C">
        <w:rPr>
          <w:rFonts w:ascii="Segoe UI" w:hAnsi="Segoe UI" w:cs="Segoe UI"/>
          <w:sz w:val="22"/>
          <w:szCs w:val="22"/>
          <w:lang w:val="hu"/>
        </w:rPr>
        <w:t>Carsten</w:t>
      </w:r>
      <w:proofErr w:type="spellEnd"/>
      <w:r w:rsidRPr="0023641C">
        <w:rPr>
          <w:rFonts w:ascii="Segoe UI" w:hAnsi="Segoe UI" w:cs="Segoe UI"/>
          <w:sz w:val="22"/>
          <w:szCs w:val="22"/>
          <w:lang w:val="hu"/>
        </w:rPr>
        <w:t xml:space="preserve"> </w:t>
      </w:r>
      <w:proofErr w:type="spellStart"/>
      <w:r w:rsidRPr="0023641C">
        <w:rPr>
          <w:rFonts w:ascii="Segoe UI" w:hAnsi="Segoe UI" w:cs="Segoe UI"/>
          <w:sz w:val="22"/>
          <w:szCs w:val="22"/>
          <w:lang w:val="hu"/>
        </w:rPr>
        <w:t>Knobel</w:t>
      </w:r>
      <w:proofErr w:type="spellEnd"/>
      <w:r w:rsidRPr="0023641C">
        <w:rPr>
          <w:rFonts w:ascii="Segoe UI" w:hAnsi="Segoe UI" w:cs="Segoe UI"/>
          <w:sz w:val="22"/>
          <w:szCs w:val="22"/>
          <w:lang w:val="hu"/>
        </w:rPr>
        <w:t>.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A Henkel az aktív portfoliókezelés mellett a folyó évi növekedési menetrendjének két aspektusára összpontosít: először is, a Henkel az innováció, a fenntarthatóság és a digitalizáció további erősítésével szeretné bővíteni versenyelőnyét. Másodsorban, a vállalat tovább kívánja fejleszteni vállalati kultúráját.</w:t>
      </w:r>
      <w:r w:rsidRPr="0023641C">
        <w:rPr>
          <w:rFonts w:ascii="Segoe UI" w:hAnsi="Segoe UI" w:cs="Segoe UI"/>
          <w:sz w:val="22"/>
          <w:szCs w:val="22"/>
          <w:lang w:val="hu"/>
        </w:rPr>
        <w:t xml:space="preserve"> A vállalat 2021 első felében minden területen jó eredményeket ért el.</w:t>
      </w:r>
    </w:p>
    <w:p w14:paraId="6A291603" w14:textId="77777777" w:rsidR="00354EE4" w:rsidRPr="0023641C" w:rsidRDefault="00354EE4" w:rsidP="0023641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453E6527" w14:textId="20A809B4" w:rsidR="00354EE4" w:rsidRPr="0023641C" w:rsidRDefault="00354EE4" w:rsidP="0023641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Aktív portfóliókezelésének részeként a Henkel olyan márkákat és kategóriákat azonosított, amelyek teljes forgalma meghaladja az egymilliárd eurót, és ennek </w:t>
      </w:r>
      <w:r w:rsidR="00FC7E43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mintegy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50 százalékát 2021 végéig értékesít</w:t>
      </w:r>
      <w:r w:rsidR="00FC7E43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i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vagy megszüntetni. A fennmaradó márkák és üzleti tevékenységek várhatóan fenntartható teljesítmény-javulást mutatnak. </w:t>
      </w:r>
      <w:proofErr w:type="spellStart"/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Ezidáig</w:t>
      </w:r>
      <w:proofErr w:type="spellEnd"/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e</w:t>
      </w:r>
      <w:r w:rsidR="00FC7E43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zen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márkák és üzleti tevékenységek bevételi alapjának már 60 százaléka javította árbevételét. A továbbra is fennálló piaci bizonytalanságok ellenére a Henkel összességében már megszüntette vagy eladta azokat az üzleti tevékenységeket, amelyek teljes forgalma körülbelül 350 millió euró volt - elsősorban a fogyasztói üzletágakban. Ezenkívül a </w:t>
      </w:r>
      <w:proofErr w:type="spellStart"/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Swania</w:t>
      </w:r>
      <w:proofErr w:type="spellEnd"/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SAS 2021 júliusában befejezett felvásárlásával a Henkel megerősítette pozícióját a fenntartható</w:t>
      </w:r>
      <w:r w:rsidR="00FC7E43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l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aundry</w:t>
      </w:r>
      <w:r w:rsidR="00FC7E43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&amp;</w:t>
      </w:r>
      <w:r w:rsidR="00FC7E43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home care termékek piacán, és portfólióját kiegészítő márkákkal bővítette.</w:t>
      </w:r>
    </w:p>
    <w:p w14:paraId="05BB70DF" w14:textId="77777777" w:rsidR="00354EE4" w:rsidRPr="0023641C" w:rsidRDefault="00354EE4" w:rsidP="0023641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</w:p>
    <w:p w14:paraId="02E5DD7A" w14:textId="68BC4293" w:rsidR="00354EE4" w:rsidRPr="0023641C" w:rsidRDefault="00354EE4" w:rsidP="0023641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Annak érdekében, hogy tovább erősítse </w:t>
      </w:r>
      <w:r w:rsidRPr="0023641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lang w:val="hu"/>
        </w:rPr>
        <w:t>versenyképességét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, a Henkel a hatásos </w:t>
      </w:r>
      <w:r w:rsidRPr="0023641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lang w:val="hu"/>
        </w:rPr>
        <w:t>innovációk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felgyorsítására, a </w:t>
      </w:r>
      <w:r w:rsidRPr="0023641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lang w:val="hu"/>
        </w:rPr>
        <w:t>fenntarthatóság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mint megkülönböztető tényező fellendítésére, és a vállalat </w:t>
      </w:r>
      <w:r w:rsidRPr="0023641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lang w:val="hu"/>
        </w:rPr>
        <w:t xml:space="preserve">digitális </w:t>
      </w:r>
      <w:r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átalakításá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nak e</w:t>
      </w:r>
      <w:r w:rsidR="00317369"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lőmozdít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ására</w:t>
      </w:r>
      <w:r w:rsidR="00317369"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</w:t>
      </w:r>
      <w:r w:rsidR="00317369" w:rsidRPr="0023641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fog összpontosítani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.</w:t>
      </w:r>
    </w:p>
    <w:p w14:paraId="476E4937" w14:textId="77777777" w:rsidR="00354EE4" w:rsidRPr="0023641C" w:rsidRDefault="00354EE4" w:rsidP="0023641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</w:p>
    <w:p w14:paraId="6CFBB027" w14:textId="1EE5A9B8" w:rsidR="00354EE4" w:rsidRPr="00317369" w:rsidRDefault="00354EE4" w:rsidP="003173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A Henkel stratégiájának kulcsfontosságú pillére a sikeres </w:t>
      </w:r>
      <w:r w:rsidRPr="00317369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lang w:val="hu"/>
        </w:rPr>
        <w:t xml:space="preserve">innovációk </w:t>
      </w: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révén elért piaci megkülönböztethetőség. Ezek jelentősen támogatták a növekedést az év első felében. Az Adhesive Technologies üzletágban a Henkel a középső kétszámjegyű százalékos tartományban tudott növekedést elérni az 5G alkalmazásokhoz való innovatív termikus felületanyagokkal, a nagy ügyfelekkel végzett közös fejlesztéseknek köszönhetően. A Beauty Care a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Natural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&amp;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Easy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és a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Palette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márkanevek alatt bevezetett markáns újításokkal felülmúlta a 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hajfestékek</w:t>
      </w: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piaci növekedését, és piaci részesedést szerzett a 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koronavírus-járvány</w:t>
      </w: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előtti időszakhoz képest. A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Hair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Salon 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területen</w:t>
      </w: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az IGORA Royal márka újraindítása hozzájárult a növekedéshez. A sikeres újítások, például a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Somat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Excellence 4in1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Caps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és a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Pril</w:t>
      </w:r>
      <w:proofErr w:type="spellEnd"/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/</w:t>
      </w:r>
      <w:proofErr w:type="spellStart"/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Pur</w:t>
      </w:r>
      <w:proofErr w:type="spellEnd"/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Antibacterial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támogatásával a Laundry &amp; Home Care üzletág kibővítette globális piaci részesedését a 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mosogatás</w:t>
      </w: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te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rén</w:t>
      </w: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.</w:t>
      </w:r>
    </w:p>
    <w:p w14:paraId="0EA1AB9A" w14:textId="77777777" w:rsidR="00354EE4" w:rsidRPr="00317369" w:rsidRDefault="00354EE4" w:rsidP="003173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</w:p>
    <w:p w14:paraId="6B40E7EB" w14:textId="61514AD5" w:rsidR="00354EE4" w:rsidRPr="00317369" w:rsidRDefault="00354EE4" w:rsidP="003173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  <w:r w:rsidRPr="00317369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317369">
        <w:rPr>
          <w:rFonts w:ascii="Segoe UI" w:hAnsi="Segoe UI" w:cs="Segoe UI"/>
          <w:b/>
          <w:bCs/>
          <w:sz w:val="22"/>
          <w:szCs w:val="22"/>
          <w:lang w:val="hu"/>
        </w:rPr>
        <w:t>fenntarthatóság</w:t>
      </w:r>
      <w:r w:rsidRPr="00317369">
        <w:rPr>
          <w:rFonts w:ascii="Segoe UI" w:hAnsi="Segoe UI" w:cs="Segoe UI"/>
          <w:sz w:val="22"/>
          <w:szCs w:val="22"/>
          <w:lang w:val="hu"/>
        </w:rPr>
        <w:t xml:space="preserve"> hosszú ideje a Henkel egyik legnagyobb erőssége. A vállalat vezető szerepet tölt be, amelyet rendszeresen megerősítenek a minősítésekben és besorolásokban</w:t>
      </w:r>
      <w:r w:rsidR="00317369">
        <w:rPr>
          <w:rFonts w:ascii="Segoe UI" w:hAnsi="Segoe UI" w:cs="Segoe UI"/>
          <w:sz w:val="22"/>
          <w:szCs w:val="22"/>
          <w:lang w:val="hu"/>
        </w:rPr>
        <w:t>. A</w:t>
      </w:r>
      <w:r w:rsidRPr="00317369">
        <w:rPr>
          <w:rFonts w:ascii="Segoe UI" w:hAnsi="Segoe UI" w:cs="Segoe UI"/>
          <w:sz w:val="22"/>
          <w:szCs w:val="22"/>
          <w:lang w:val="hu"/>
        </w:rPr>
        <w:t xml:space="preserve"> Henkel célja a fenntarthatóság, mint versenyelőnyt jelentő, megkülönböztető tényező kihasználása. </w:t>
      </w:r>
    </w:p>
    <w:p w14:paraId="340E0C52" w14:textId="77777777" w:rsidR="00354EE4" w:rsidRPr="00317369" w:rsidRDefault="00354EE4" w:rsidP="003173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</w:p>
    <w:p w14:paraId="19FB79A3" w14:textId="77777777" w:rsidR="00354EE4" w:rsidRPr="00317369" w:rsidRDefault="00354EE4" w:rsidP="003173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A Henkel például jelentősen kibővítette partneri kapcsolatát a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Plastic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Bankkal. A partnerség közös célja, hogy megakadályozza a műanyag hulladékok környezetbe kerülését, miközben javítja a szegénységben élő emberek életét. A Henkel és a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Plastic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Bank megnyitotta az első három műanyaghulladék gyűjtő központot Egyiptomban, Kairó közelében. A projekt a Henkel és a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Plastic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Bank sikeres hosszú távú partnerségének része. </w:t>
      </w:r>
    </w:p>
    <w:p w14:paraId="5F761F81" w14:textId="77777777" w:rsidR="00354EE4" w:rsidRPr="00317369" w:rsidRDefault="00354EE4" w:rsidP="003173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</w:p>
    <w:p w14:paraId="51A38808" w14:textId="13009009" w:rsidR="00354EE4" w:rsidRPr="00317369" w:rsidRDefault="00354EE4" w:rsidP="003173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A fenntarthatóság terén elért haladás visszatükröződik a fogyasztóknak és az ipari 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vevőknek</w:t>
      </w: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szánt termékekben is. A Laundry &amp; Home üzletágban az új Love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Nature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márka Németországban már a harmadik helyen áll a fenntartható 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l</w:t>
      </w: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aundry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</w:t>
      </w: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&amp;</w:t>
      </w:r>
      <w:r w:rsid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</w:t>
      </w:r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Home Care termékek gyorsan növekvő szegmensében. A Beauty Care tovább bővítette a fenntartható csomagolási megoldásokat. Az újrahasznosítható utántöltő csomagolást a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Nature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</w:t>
      </w:r>
      <w:proofErr w:type="spellStart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Box</w:t>
      </w:r>
      <w:proofErr w:type="spellEnd"/>
      <w:r w:rsidRPr="0031736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márkához fejlesztették ki, a hagyományos csomagoláshoz képest több mint 70 százalékkal kevesebb műanyagot felhasználva. Az Adhesive Technologies új vízbázisú ragasztási technológiát vezetett be a lábbelikhez, több gyártási lépést kiküszöbölve, és lehetővé tette a CO₂ akár 30 százalékos csökkentését.</w:t>
      </w:r>
    </w:p>
    <w:p w14:paraId="09A67187" w14:textId="77777777" w:rsidR="00354EE4" w:rsidRPr="00317369" w:rsidRDefault="00354EE4" w:rsidP="003173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</w:p>
    <w:p w14:paraId="515DFA9E" w14:textId="7B258C6B" w:rsidR="00354EE4" w:rsidRPr="00317369" w:rsidRDefault="00354EE4" w:rsidP="003173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317369">
        <w:rPr>
          <w:rFonts w:ascii="Segoe UI" w:hAnsi="Segoe UI" w:cs="Segoe UI"/>
          <w:sz w:val="22"/>
          <w:szCs w:val="22"/>
          <w:lang w:val="hu"/>
        </w:rPr>
        <w:t xml:space="preserve">Az innováció és a fenntarthatóság mellett a Henkel a </w:t>
      </w:r>
      <w:r w:rsidRPr="00317369">
        <w:rPr>
          <w:rFonts w:ascii="Segoe UI" w:hAnsi="Segoe UI" w:cs="Segoe UI"/>
          <w:b/>
          <w:bCs/>
          <w:sz w:val="22"/>
          <w:szCs w:val="22"/>
          <w:lang w:val="hu"/>
        </w:rPr>
        <w:t>digitalizációt</w:t>
      </w:r>
      <w:r w:rsidRPr="00317369">
        <w:rPr>
          <w:rFonts w:ascii="Segoe UI" w:hAnsi="Segoe UI" w:cs="Segoe UI"/>
          <w:sz w:val="22"/>
          <w:szCs w:val="22"/>
          <w:lang w:val="hu"/>
        </w:rPr>
        <w:t xml:space="preserve"> is kulcsfontosságú </w:t>
      </w:r>
      <w:r w:rsidR="003E3B61">
        <w:rPr>
          <w:rFonts w:ascii="Segoe UI" w:hAnsi="Segoe UI" w:cs="Segoe UI"/>
          <w:sz w:val="22"/>
          <w:szCs w:val="22"/>
          <w:lang w:val="hu"/>
        </w:rPr>
        <w:t>tényezőként</w:t>
      </w:r>
      <w:r w:rsidRPr="00317369">
        <w:rPr>
          <w:rFonts w:ascii="Segoe UI" w:hAnsi="Segoe UI" w:cs="Segoe UI"/>
          <w:sz w:val="22"/>
          <w:szCs w:val="22"/>
          <w:lang w:val="hu"/>
        </w:rPr>
        <w:t xml:space="preserve"> határozta meg versenyképességének megerősítésében. Az év első felében a digitális csatornákon keresztül</w:t>
      </w:r>
      <w:r w:rsidR="003E3B61">
        <w:rPr>
          <w:rFonts w:ascii="Segoe UI" w:hAnsi="Segoe UI" w:cs="Segoe UI"/>
          <w:sz w:val="22"/>
          <w:szCs w:val="22"/>
          <w:lang w:val="hu"/>
        </w:rPr>
        <w:t>i</w:t>
      </w:r>
      <w:r w:rsidRPr="00317369">
        <w:rPr>
          <w:rFonts w:ascii="Segoe UI" w:hAnsi="Segoe UI" w:cs="Segoe UI"/>
          <w:sz w:val="22"/>
          <w:szCs w:val="22"/>
          <w:lang w:val="hu"/>
        </w:rPr>
        <w:t xml:space="preserve"> értékesí</w:t>
      </w:r>
      <w:r w:rsidR="003E3B61">
        <w:rPr>
          <w:rFonts w:ascii="Segoe UI" w:hAnsi="Segoe UI" w:cs="Segoe UI"/>
          <w:sz w:val="22"/>
          <w:szCs w:val="22"/>
          <w:lang w:val="hu"/>
        </w:rPr>
        <w:t xml:space="preserve">tés </w:t>
      </w:r>
      <w:r w:rsidRPr="00317369">
        <w:rPr>
          <w:rFonts w:ascii="Segoe UI" w:hAnsi="Segoe UI" w:cs="Segoe UI"/>
          <w:sz w:val="22"/>
          <w:szCs w:val="22"/>
          <w:lang w:val="hu"/>
        </w:rPr>
        <w:t xml:space="preserve">aránya tovább nőtt </w:t>
      </w:r>
      <w:r w:rsidR="003E3B61">
        <w:rPr>
          <w:rFonts w:ascii="Segoe UI" w:hAnsi="Segoe UI" w:cs="Segoe UI"/>
          <w:sz w:val="22"/>
          <w:szCs w:val="22"/>
          <w:lang w:val="hu"/>
        </w:rPr>
        <w:t>mindegyik</w:t>
      </w:r>
      <w:r w:rsidRPr="00317369">
        <w:rPr>
          <w:rFonts w:ascii="Segoe UI" w:hAnsi="Segoe UI" w:cs="Segoe UI"/>
          <w:sz w:val="22"/>
          <w:szCs w:val="22"/>
          <w:lang w:val="hu"/>
        </w:rPr>
        <w:t xml:space="preserve"> üzletágban. A fogyasztói üzletágakban összesen 30 százalék feletti növekedést </w:t>
      </w:r>
      <w:r w:rsidR="003E3B61">
        <w:rPr>
          <w:rFonts w:ascii="Segoe UI" w:hAnsi="Segoe UI" w:cs="Segoe UI"/>
          <w:sz w:val="22"/>
          <w:szCs w:val="22"/>
          <w:lang w:val="hu"/>
        </w:rPr>
        <w:t>sikerült elérni</w:t>
      </w:r>
      <w:r w:rsidRPr="00317369">
        <w:rPr>
          <w:rFonts w:ascii="Segoe UI" w:hAnsi="Segoe UI" w:cs="Segoe UI"/>
          <w:sz w:val="22"/>
          <w:szCs w:val="22"/>
          <w:lang w:val="hu"/>
        </w:rPr>
        <w:t xml:space="preserve">. Az Adhesive </w:t>
      </w:r>
      <w:r w:rsidRPr="00317369">
        <w:rPr>
          <w:rFonts w:ascii="Segoe UI" w:hAnsi="Segoe UI" w:cs="Segoe UI"/>
          <w:sz w:val="22"/>
          <w:szCs w:val="22"/>
          <w:lang w:val="hu"/>
        </w:rPr>
        <w:lastRenderedPageBreak/>
        <w:t xml:space="preserve">Technologies üzletágban </w:t>
      </w:r>
      <w:r w:rsidR="003E3B61">
        <w:rPr>
          <w:rFonts w:ascii="Segoe UI" w:hAnsi="Segoe UI" w:cs="Segoe UI"/>
          <w:sz w:val="22"/>
          <w:szCs w:val="22"/>
          <w:lang w:val="hu"/>
        </w:rPr>
        <w:t xml:space="preserve">is </w:t>
      </w:r>
      <w:r w:rsidRPr="00317369">
        <w:rPr>
          <w:rFonts w:ascii="Segoe UI" w:hAnsi="Segoe UI" w:cs="Segoe UI"/>
          <w:sz w:val="22"/>
          <w:szCs w:val="22"/>
          <w:lang w:val="hu"/>
        </w:rPr>
        <w:t xml:space="preserve">tovább </w:t>
      </w:r>
      <w:r w:rsidR="003E3B61">
        <w:rPr>
          <w:rFonts w:ascii="Segoe UI" w:hAnsi="Segoe UI" w:cs="Segoe UI"/>
          <w:sz w:val="22"/>
          <w:szCs w:val="22"/>
          <w:lang w:val="hu"/>
        </w:rPr>
        <w:t>nőtt</w:t>
      </w:r>
      <w:r w:rsidR="00F27996">
        <w:rPr>
          <w:rFonts w:ascii="Segoe UI" w:hAnsi="Segoe UI" w:cs="Segoe UI"/>
          <w:sz w:val="22"/>
          <w:szCs w:val="22"/>
          <w:lang w:val="hu"/>
        </w:rPr>
        <w:t xml:space="preserve"> a</w:t>
      </w:r>
      <w:r w:rsidRPr="00317369">
        <w:rPr>
          <w:rFonts w:ascii="Segoe UI" w:hAnsi="Segoe UI" w:cs="Segoe UI"/>
          <w:sz w:val="22"/>
          <w:szCs w:val="22"/>
          <w:lang w:val="hu"/>
        </w:rPr>
        <w:t xml:space="preserve"> digitálisan generált árbevétel. </w:t>
      </w:r>
      <w:r w:rsidR="00F27996" w:rsidRPr="00317369">
        <w:rPr>
          <w:rFonts w:ascii="Segoe UI" w:hAnsi="Segoe UI" w:cs="Segoe UI"/>
          <w:sz w:val="22"/>
          <w:szCs w:val="22"/>
          <w:lang w:val="hu"/>
        </w:rPr>
        <w:t xml:space="preserve">2021 első felében a </w:t>
      </w:r>
      <w:r w:rsidR="00F27996" w:rsidRPr="00F27996">
        <w:rPr>
          <w:rFonts w:ascii="Segoe UI" w:hAnsi="Segoe UI" w:cs="Segoe UI"/>
          <w:sz w:val="22"/>
          <w:szCs w:val="22"/>
          <w:lang w:val="hu"/>
        </w:rPr>
        <w:t xml:space="preserve">középső kétszámjegyű százalékos tartományú növekedést saját </w:t>
      </w:r>
      <w:r w:rsidRPr="00F27996">
        <w:rPr>
          <w:rFonts w:ascii="Segoe UI" w:hAnsi="Segoe UI" w:cs="Segoe UI"/>
          <w:sz w:val="22"/>
          <w:szCs w:val="22"/>
          <w:lang w:val="hu"/>
        </w:rPr>
        <w:t>e-kereskedelmi platform</w:t>
      </w:r>
      <w:r w:rsidR="00F27996" w:rsidRPr="00F27996">
        <w:rPr>
          <w:rFonts w:ascii="Segoe UI" w:hAnsi="Segoe UI" w:cs="Segoe UI"/>
          <w:sz w:val="22"/>
          <w:szCs w:val="22"/>
          <w:lang w:val="hu"/>
        </w:rPr>
        <w:t>ján keresztül érték el</w:t>
      </w:r>
      <w:r w:rsidRPr="00F27996">
        <w:rPr>
          <w:rFonts w:ascii="Segoe UI" w:hAnsi="Segoe UI" w:cs="Segoe UI"/>
          <w:sz w:val="22"/>
          <w:szCs w:val="22"/>
          <w:lang w:val="hu"/>
        </w:rPr>
        <w:t>. Ennek eredményeképpen az e-shopon keresztül a</w:t>
      </w:r>
      <w:r w:rsidR="00FF2B7E" w:rsidRPr="00F27996">
        <w:rPr>
          <w:rFonts w:ascii="Segoe UI" w:hAnsi="Segoe UI" w:cs="Segoe UI"/>
          <w:sz w:val="22"/>
          <w:szCs w:val="22"/>
          <w:lang w:val="hu"/>
        </w:rPr>
        <w:t xml:space="preserve"> ragasztás terület </w:t>
      </w:r>
      <w:r w:rsidRPr="00F27996">
        <w:rPr>
          <w:rFonts w:ascii="Segoe UI" w:hAnsi="Segoe UI" w:cs="Segoe UI"/>
          <w:sz w:val="22"/>
          <w:szCs w:val="22"/>
          <w:lang w:val="hu"/>
        </w:rPr>
        <w:t xml:space="preserve">árbevétel aránya meghaladta a 25 százalékot. Csoportszinten a digitális értékesítés részesedése 40 százalékkal, a teljes árbevétel </w:t>
      </w:r>
      <w:r w:rsidR="00F27996" w:rsidRPr="00F27996">
        <w:rPr>
          <w:rFonts w:ascii="Segoe UI" w:hAnsi="Segoe UI" w:cs="Segoe UI"/>
          <w:sz w:val="22"/>
          <w:szCs w:val="22"/>
          <w:lang w:val="hu"/>
        </w:rPr>
        <w:t xml:space="preserve">mintegy </w:t>
      </w:r>
      <w:r w:rsidRPr="00F27996">
        <w:rPr>
          <w:rFonts w:ascii="Segoe UI" w:hAnsi="Segoe UI" w:cs="Segoe UI"/>
          <w:sz w:val="22"/>
          <w:szCs w:val="22"/>
          <w:lang w:val="hu"/>
        </w:rPr>
        <w:t>18 százalékára nőtt.</w:t>
      </w:r>
    </w:p>
    <w:p w14:paraId="1D64708B" w14:textId="77777777" w:rsidR="00354EE4" w:rsidRPr="00317369" w:rsidRDefault="00354EE4" w:rsidP="003173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313E429D" w14:textId="4814E41E" w:rsidR="00354EE4" w:rsidRPr="00317369" w:rsidRDefault="00354EE4" w:rsidP="003173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317369">
        <w:rPr>
          <w:rFonts w:ascii="Segoe UI" w:hAnsi="Segoe UI" w:cs="Segoe UI"/>
          <w:sz w:val="22"/>
          <w:szCs w:val="22"/>
          <w:lang w:val="hu"/>
        </w:rPr>
        <w:t>Ezenkívül a Henkel stratégiai partnerséget alakított ki az Adobe-</w:t>
      </w:r>
      <w:proofErr w:type="spellStart"/>
      <w:r w:rsidRPr="00317369">
        <w:rPr>
          <w:rFonts w:ascii="Segoe UI" w:hAnsi="Segoe UI" w:cs="Segoe UI"/>
          <w:sz w:val="22"/>
          <w:szCs w:val="22"/>
          <w:lang w:val="hu"/>
        </w:rPr>
        <w:t>val</w:t>
      </w:r>
      <w:proofErr w:type="spellEnd"/>
      <w:r w:rsidRPr="00317369">
        <w:rPr>
          <w:rFonts w:ascii="Segoe UI" w:hAnsi="Segoe UI" w:cs="Segoe UI"/>
          <w:sz w:val="22"/>
          <w:szCs w:val="22"/>
          <w:lang w:val="hu"/>
        </w:rPr>
        <w:t xml:space="preserve"> </w:t>
      </w:r>
      <w:r w:rsidR="00FF2B7E">
        <w:rPr>
          <w:rFonts w:ascii="Segoe UI" w:hAnsi="Segoe UI" w:cs="Segoe UI"/>
          <w:sz w:val="22"/>
          <w:szCs w:val="22"/>
          <w:lang w:val="hu"/>
        </w:rPr>
        <w:t>–</w:t>
      </w:r>
      <w:r w:rsidRPr="00317369">
        <w:rPr>
          <w:rFonts w:ascii="Segoe UI" w:hAnsi="Segoe UI" w:cs="Segoe UI"/>
          <w:sz w:val="22"/>
          <w:szCs w:val="22"/>
          <w:lang w:val="hu"/>
        </w:rPr>
        <w:t xml:space="preserve"> azzal a céllal, hogy tovább erősítse a vállalat versenyelőnyét a digitalizáció révén, minden üzletágban. A digitális üzleti tevékenységhez és az e-kereskedelemhez újonnan kifejlesztett, </w:t>
      </w:r>
      <w:proofErr w:type="spellStart"/>
      <w:r w:rsidRPr="00317369">
        <w:rPr>
          <w:rFonts w:ascii="Segoe UI" w:hAnsi="Segoe UI" w:cs="Segoe UI"/>
          <w:sz w:val="22"/>
          <w:szCs w:val="22"/>
          <w:lang w:val="hu"/>
        </w:rPr>
        <w:t>adatvezérelt</w:t>
      </w:r>
      <w:proofErr w:type="spellEnd"/>
      <w:r w:rsidRPr="00317369">
        <w:rPr>
          <w:rFonts w:ascii="Segoe UI" w:hAnsi="Segoe UI" w:cs="Segoe UI"/>
          <w:sz w:val="22"/>
          <w:szCs w:val="22"/>
          <w:lang w:val="hu"/>
        </w:rPr>
        <w:t xml:space="preserve"> digitális platform azt a célt szolgálja, hogy felgyorsítsa a digitális innovációkat</w:t>
      </w:r>
      <w:r w:rsidR="00FF2B7E">
        <w:rPr>
          <w:rFonts w:ascii="Segoe UI" w:hAnsi="Segoe UI" w:cs="Segoe UI"/>
          <w:sz w:val="22"/>
          <w:szCs w:val="22"/>
          <w:lang w:val="hu"/>
        </w:rPr>
        <w:t xml:space="preserve">, </w:t>
      </w:r>
      <w:r w:rsidRPr="00317369">
        <w:rPr>
          <w:rFonts w:ascii="Segoe UI" w:hAnsi="Segoe UI" w:cs="Segoe UI"/>
          <w:sz w:val="22"/>
          <w:szCs w:val="22"/>
          <w:lang w:val="hu"/>
        </w:rPr>
        <w:t>és új üzleti lehetőségeket teremtsen a Henkel számára.</w:t>
      </w:r>
    </w:p>
    <w:p w14:paraId="3C8E4AC4" w14:textId="77777777" w:rsidR="00354EE4" w:rsidRPr="003527AD" w:rsidRDefault="00354EE4" w:rsidP="00354EE4">
      <w:pPr>
        <w:autoSpaceDE w:val="0"/>
        <w:autoSpaceDN w:val="0"/>
        <w:adjustRightInd w:val="0"/>
        <w:rPr>
          <w:rFonts w:cs="Segoe UI"/>
          <w:bCs/>
          <w:szCs w:val="22"/>
          <w:lang w:val="hu"/>
        </w:rPr>
      </w:pPr>
    </w:p>
    <w:p w14:paraId="39D710DA" w14:textId="77777777" w:rsidR="00354EE4" w:rsidRPr="00FF2B7E" w:rsidRDefault="00354EE4" w:rsidP="00FF2B7E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FF2B7E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A Henkel vállalati kultúrájának továbbfejlesztése és a </w:t>
      </w:r>
      <w:r w:rsidRPr="00FF2B7E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lang w:val="hu"/>
        </w:rPr>
        <w:t xml:space="preserve">kulturális átalakulás </w:t>
      </w:r>
      <w:r w:rsidRPr="00FF2B7E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felgyorsítása további kulcsfontosságú elemei a „Céltudatos növekedés” cselekvési tervnek. A társaság célja az együttműködésen alapuló kultúra ápolása. Az év első felében a Henkel számos további intézkedést hozott e cél elérése és az alkalmazottak megerősítése érdekében.</w:t>
      </w:r>
    </w:p>
    <w:p w14:paraId="0AAE5843" w14:textId="77777777" w:rsidR="00354EE4" w:rsidRPr="00FF2B7E" w:rsidRDefault="00354EE4" w:rsidP="00FF2B7E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5D7CA661" w14:textId="1C51A9A1" w:rsidR="00354EE4" w:rsidRPr="00FF2B7E" w:rsidRDefault="00354EE4" w:rsidP="00FF2B7E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FF2B7E">
        <w:rPr>
          <w:rFonts w:ascii="Segoe UI" w:hAnsi="Segoe UI" w:cs="Segoe UI"/>
          <w:sz w:val="22"/>
          <w:szCs w:val="22"/>
          <w:lang w:val="hu"/>
        </w:rPr>
        <w:t>A Henkel kifejlesztett egy új, holisztikus koncepciót „</w:t>
      </w:r>
      <w:proofErr w:type="spellStart"/>
      <w:r w:rsidR="00FF2B7E" w:rsidRPr="00FF2B7E">
        <w:rPr>
          <w:rFonts w:ascii="Segoe UI" w:hAnsi="Segoe UI" w:cs="Segoe UI"/>
          <w:sz w:val="22"/>
          <w:szCs w:val="22"/>
          <w:lang w:val="hu"/>
        </w:rPr>
        <w:t>Smart</w:t>
      </w:r>
      <w:proofErr w:type="spellEnd"/>
      <w:r w:rsidR="00FF2B7E" w:rsidRPr="00FF2B7E">
        <w:rPr>
          <w:rFonts w:ascii="Segoe UI" w:hAnsi="Segoe UI" w:cs="Segoe UI"/>
          <w:sz w:val="22"/>
          <w:szCs w:val="22"/>
          <w:lang w:val="hu"/>
        </w:rPr>
        <w:t xml:space="preserve"> </w:t>
      </w:r>
      <w:proofErr w:type="spellStart"/>
      <w:r w:rsidR="00FF2B7E" w:rsidRPr="00FF2B7E">
        <w:rPr>
          <w:rFonts w:ascii="Segoe UI" w:hAnsi="Segoe UI" w:cs="Segoe UI"/>
          <w:sz w:val="22"/>
          <w:szCs w:val="22"/>
          <w:lang w:val="hu"/>
        </w:rPr>
        <w:t>Work</w:t>
      </w:r>
      <w:proofErr w:type="spellEnd"/>
      <w:r w:rsidRPr="00FF2B7E">
        <w:rPr>
          <w:rFonts w:ascii="Segoe UI" w:hAnsi="Segoe UI" w:cs="Segoe UI"/>
          <w:sz w:val="22"/>
          <w:szCs w:val="22"/>
          <w:lang w:val="hu"/>
        </w:rPr>
        <w:t xml:space="preserve">” néven a munka jövőjéről, és bemutatta azt alkalmazottainak. Ez tükrözi a modern munkakörnyezetet a COVID-19 utáni időszakra, nagyobb rugalmasságot tesz lehetővé, és elősegíti a hibrid munkavégzést. Azoknál a munkáknál, amelyek nem igényelnek állandó </w:t>
      </w:r>
      <w:r w:rsidR="007E36F8">
        <w:rPr>
          <w:rFonts w:ascii="Segoe UI" w:hAnsi="Segoe UI" w:cs="Segoe UI"/>
          <w:sz w:val="22"/>
          <w:szCs w:val="22"/>
          <w:lang w:val="hu"/>
        </w:rPr>
        <w:t xml:space="preserve">irodai 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jelenlétet, ez a koncepció lehetőséget kínál az alkalmazottaknak, hogy akár a munkaidő 40 százalékáig mobilisan dolgozzanak. A Henkel </w:t>
      </w:r>
      <w:proofErr w:type="spellStart"/>
      <w:r w:rsidRPr="00FF2B7E">
        <w:rPr>
          <w:rFonts w:ascii="Segoe UI" w:hAnsi="Segoe UI" w:cs="Segoe UI"/>
          <w:sz w:val="22"/>
          <w:szCs w:val="22"/>
          <w:lang w:val="hu"/>
        </w:rPr>
        <w:t>újradefiniálta</w:t>
      </w:r>
      <w:proofErr w:type="spellEnd"/>
      <w:r w:rsidRPr="00FF2B7E">
        <w:rPr>
          <w:rFonts w:ascii="Segoe UI" w:hAnsi="Segoe UI" w:cs="Segoe UI"/>
          <w:sz w:val="22"/>
          <w:szCs w:val="22"/>
          <w:lang w:val="hu"/>
        </w:rPr>
        <w:t xml:space="preserve"> vállalati célját is. </w:t>
      </w:r>
      <w:r w:rsidR="007E36F8">
        <w:rPr>
          <w:rFonts w:ascii="Segoe UI" w:hAnsi="Segoe UI" w:cs="Segoe UI"/>
          <w:sz w:val="22"/>
          <w:szCs w:val="22"/>
          <w:lang w:val="hu"/>
        </w:rPr>
        <w:t xml:space="preserve">Az újragondolásában a munkatársak is részt vettek, </w:t>
      </w:r>
      <w:r w:rsidRPr="00FF2B7E">
        <w:rPr>
          <w:rFonts w:ascii="Segoe UI" w:hAnsi="Segoe UI" w:cs="Segoe UI"/>
          <w:sz w:val="22"/>
          <w:szCs w:val="22"/>
          <w:lang w:val="hu"/>
        </w:rPr>
        <w:t>biztosít</w:t>
      </w:r>
      <w:r w:rsidR="007E36F8">
        <w:rPr>
          <w:rFonts w:ascii="Segoe UI" w:hAnsi="Segoe UI" w:cs="Segoe UI"/>
          <w:sz w:val="22"/>
          <w:szCs w:val="22"/>
          <w:lang w:val="hu"/>
        </w:rPr>
        <w:t xml:space="preserve">va azt hogy az új irány 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hiteles és releváns legyen </w:t>
      </w:r>
      <w:r w:rsidR="007E36F8">
        <w:rPr>
          <w:rFonts w:ascii="Segoe UI" w:hAnsi="Segoe UI" w:cs="Segoe UI"/>
          <w:sz w:val="22"/>
          <w:szCs w:val="22"/>
          <w:lang w:val="hu"/>
        </w:rPr>
        <w:t xml:space="preserve">minden </w:t>
      </w:r>
      <w:r w:rsidRPr="00FF2B7E">
        <w:rPr>
          <w:rFonts w:ascii="Segoe UI" w:hAnsi="Segoe UI" w:cs="Segoe UI"/>
          <w:sz w:val="22"/>
          <w:szCs w:val="22"/>
          <w:lang w:val="hu"/>
        </w:rPr>
        <w:t>alkalmazott számára. Lényegében arról az úttörő szellemről szól, amely az alapítástól kezdve jellemz</w:t>
      </w:r>
      <w:r w:rsidR="007E36F8">
        <w:rPr>
          <w:rFonts w:ascii="Segoe UI" w:hAnsi="Segoe UI" w:cs="Segoe UI"/>
          <w:sz w:val="22"/>
          <w:szCs w:val="22"/>
          <w:lang w:val="hu"/>
        </w:rPr>
        <w:t>i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 a vállalatot és alkalmazottait, és amely minden </w:t>
      </w:r>
      <w:r w:rsidR="007E36F8">
        <w:rPr>
          <w:rFonts w:ascii="Segoe UI" w:hAnsi="Segoe UI" w:cs="Segoe UI"/>
          <w:sz w:val="22"/>
          <w:szCs w:val="22"/>
          <w:lang w:val="hu"/>
        </w:rPr>
        <w:t>munkatársat meg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mozgat. </w:t>
      </w:r>
      <w:r w:rsidR="007E36F8">
        <w:rPr>
          <w:rFonts w:ascii="Segoe UI" w:hAnsi="Segoe UI" w:cs="Segoe UI"/>
          <w:sz w:val="22"/>
          <w:szCs w:val="22"/>
          <w:lang w:val="hu"/>
        </w:rPr>
        <w:t>A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rról </w:t>
      </w:r>
      <w:r w:rsidR="007E36F8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FF2B7E">
        <w:rPr>
          <w:rFonts w:ascii="Segoe UI" w:hAnsi="Segoe UI" w:cs="Segoe UI"/>
          <w:sz w:val="22"/>
          <w:szCs w:val="22"/>
          <w:lang w:val="hu"/>
        </w:rPr>
        <w:t>törek</w:t>
      </w:r>
      <w:r w:rsidR="007E36F8">
        <w:rPr>
          <w:rFonts w:ascii="Segoe UI" w:hAnsi="Segoe UI" w:cs="Segoe UI"/>
          <w:sz w:val="22"/>
          <w:szCs w:val="22"/>
          <w:lang w:val="hu"/>
        </w:rPr>
        <w:t>vésről szól</w:t>
      </w:r>
      <w:r w:rsidR="000700D7">
        <w:rPr>
          <w:rFonts w:ascii="Segoe UI" w:hAnsi="Segoe UI" w:cs="Segoe UI"/>
          <w:sz w:val="22"/>
          <w:szCs w:val="22"/>
          <w:lang w:val="hu"/>
        </w:rPr>
        <w:t xml:space="preserve">, mely arra </w:t>
      </w:r>
      <w:proofErr w:type="spellStart"/>
      <w:r w:rsidR="000700D7">
        <w:rPr>
          <w:rFonts w:ascii="Segoe UI" w:hAnsi="Segoe UI" w:cs="Segoe UI"/>
          <w:sz w:val="22"/>
          <w:szCs w:val="22"/>
          <w:lang w:val="hu"/>
        </w:rPr>
        <w:t>irányúl</w:t>
      </w:r>
      <w:proofErr w:type="spellEnd"/>
      <w:r w:rsidRPr="00FF2B7E">
        <w:rPr>
          <w:rFonts w:ascii="Segoe UI" w:hAnsi="Segoe UI" w:cs="Segoe UI"/>
          <w:sz w:val="22"/>
          <w:szCs w:val="22"/>
          <w:lang w:val="hu"/>
        </w:rPr>
        <w:t>, hogy minden nap gazdagítsuk és javítsuk az életet, az ügyfelek és a társadalom számára, maradandó értéket teremtve.</w:t>
      </w:r>
    </w:p>
    <w:p w14:paraId="1207BF3E" w14:textId="77777777" w:rsidR="00354EE4" w:rsidRPr="00FF2B7E" w:rsidRDefault="00354EE4" w:rsidP="00FF2B7E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4E40657F" w14:textId="2A15D4A0" w:rsidR="00354EE4" w:rsidRPr="00FF2B7E" w:rsidRDefault="00354EE4" w:rsidP="00FF2B7E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  <w:r w:rsidRPr="00FF2B7E">
        <w:rPr>
          <w:rFonts w:ascii="Segoe UI" w:hAnsi="Segoe UI" w:cs="Segoe UI"/>
          <w:sz w:val="22"/>
          <w:szCs w:val="22"/>
          <w:lang w:val="hu"/>
        </w:rPr>
        <w:t>„A célkitűzés</w:t>
      </w:r>
      <w:r w:rsidR="000700D7">
        <w:rPr>
          <w:rFonts w:ascii="Segoe UI" w:hAnsi="Segoe UI" w:cs="Segoe UI"/>
          <w:sz w:val="22"/>
          <w:szCs w:val="22"/>
          <w:lang w:val="hu"/>
        </w:rPr>
        <w:t>ünk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 „</w:t>
      </w:r>
      <w:proofErr w:type="spellStart"/>
      <w:r w:rsidR="007E36F8" w:rsidRPr="007E36F8">
        <w:rPr>
          <w:rFonts w:ascii="Segoe UI" w:hAnsi="Segoe UI" w:cs="Segoe UI"/>
          <w:sz w:val="22"/>
          <w:szCs w:val="22"/>
          <w:lang w:val="hu"/>
        </w:rPr>
        <w:t>Pioneers</w:t>
      </w:r>
      <w:proofErr w:type="spellEnd"/>
      <w:r w:rsidR="007E36F8" w:rsidRPr="007E36F8">
        <w:rPr>
          <w:rFonts w:ascii="Segoe UI" w:hAnsi="Segoe UI" w:cs="Segoe UI"/>
          <w:sz w:val="22"/>
          <w:szCs w:val="22"/>
          <w:lang w:val="hu"/>
        </w:rPr>
        <w:t xml:space="preserve"> </w:t>
      </w:r>
      <w:proofErr w:type="spellStart"/>
      <w:r w:rsidR="007E36F8" w:rsidRPr="007E36F8">
        <w:rPr>
          <w:rFonts w:ascii="Segoe UI" w:hAnsi="Segoe UI" w:cs="Segoe UI"/>
          <w:sz w:val="22"/>
          <w:szCs w:val="22"/>
          <w:lang w:val="hu"/>
        </w:rPr>
        <w:t>at</w:t>
      </w:r>
      <w:proofErr w:type="spellEnd"/>
      <w:r w:rsidR="007E36F8" w:rsidRPr="007E36F8">
        <w:rPr>
          <w:rFonts w:ascii="Segoe UI" w:hAnsi="Segoe UI" w:cs="Segoe UI"/>
          <w:sz w:val="22"/>
          <w:szCs w:val="22"/>
          <w:lang w:val="hu"/>
        </w:rPr>
        <w:t xml:space="preserve"> </w:t>
      </w:r>
      <w:proofErr w:type="spellStart"/>
      <w:r w:rsidR="007E36F8" w:rsidRPr="007E36F8">
        <w:rPr>
          <w:rFonts w:ascii="Segoe UI" w:hAnsi="Segoe UI" w:cs="Segoe UI"/>
          <w:sz w:val="22"/>
          <w:szCs w:val="22"/>
          <w:lang w:val="hu"/>
        </w:rPr>
        <w:t>heart</w:t>
      </w:r>
      <w:proofErr w:type="spellEnd"/>
      <w:r w:rsidR="007E36F8" w:rsidRPr="007E36F8">
        <w:rPr>
          <w:rFonts w:ascii="Segoe UI" w:hAnsi="Segoe UI" w:cs="Segoe UI"/>
          <w:sz w:val="22"/>
          <w:szCs w:val="22"/>
          <w:lang w:val="hu"/>
        </w:rPr>
        <w:t xml:space="preserve"> </w:t>
      </w:r>
      <w:proofErr w:type="spellStart"/>
      <w:r w:rsidR="007E36F8" w:rsidRPr="007E36F8">
        <w:rPr>
          <w:rFonts w:ascii="Segoe UI" w:hAnsi="Segoe UI" w:cs="Segoe UI"/>
          <w:sz w:val="22"/>
          <w:szCs w:val="22"/>
          <w:lang w:val="hu"/>
        </w:rPr>
        <w:t>for</w:t>
      </w:r>
      <w:proofErr w:type="spellEnd"/>
      <w:r w:rsidR="007E36F8" w:rsidRPr="007E36F8">
        <w:rPr>
          <w:rFonts w:ascii="Segoe UI" w:hAnsi="Segoe UI" w:cs="Segoe UI"/>
          <w:sz w:val="22"/>
          <w:szCs w:val="22"/>
          <w:lang w:val="hu"/>
        </w:rPr>
        <w:t xml:space="preserve"> </w:t>
      </w:r>
      <w:proofErr w:type="spellStart"/>
      <w:r w:rsidR="007E36F8" w:rsidRPr="007E36F8">
        <w:rPr>
          <w:rFonts w:ascii="Segoe UI" w:hAnsi="Segoe UI" w:cs="Segoe UI"/>
          <w:sz w:val="22"/>
          <w:szCs w:val="22"/>
          <w:lang w:val="hu"/>
        </w:rPr>
        <w:t>the</w:t>
      </w:r>
      <w:proofErr w:type="spellEnd"/>
      <w:r w:rsidR="007E36F8" w:rsidRPr="007E36F8">
        <w:rPr>
          <w:rFonts w:ascii="Segoe UI" w:hAnsi="Segoe UI" w:cs="Segoe UI"/>
          <w:sz w:val="22"/>
          <w:szCs w:val="22"/>
          <w:lang w:val="hu"/>
        </w:rPr>
        <w:t xml:space="preserve"> </w:t>
      </w:r>
      <w:proofErr w:type="spellStart"/>
      <w:r w:rsidR="007E36F8" w:rsidRPr="007E36F8">
        <w:rPr>
          <w:rFonts w:ascii="Segoe UI" w:hAnsi="Segoe UI" w:cs="Segoe UI"/>
          <w:sz w:val="22"/>
          <w:szCs w:val="22"/>
          <w:lang w:val="hu"/>
        </w:rPr>
        <w:t>good</w:t>
      </w:r>
      <w:proofErr w:type="spellEnd"/>
      <w:r w:rsidR="007E36F8" w:rsidRPr="007E36F8">
        <w:rPr>
          <w:rFonts w:ascii="Segoe UI" w:hAnsi="Segoe UI" w:cs="Segoe UI"/>
          <w:sz w:val="22"/>
          <w:szCs w:val="22"/>
          <w:lang w:val="hu"/>
        </w:rPr>
        <w:t xml:space="preserve"> of </w:t>
      </w:r>
      <w:proofErr w:type="spellStart"/>
      <w:r w:rsidR="007E36F8" w:rsidRPr="007E36F8">
        <w:rPr>
          <w:rFonts w:ascii="Segoe UI" w:hAnsi="Segoe UI" w:cs="Segoe UI"/>
          <w:sz w:val="22"/>
          <w:szCs w:val="22"/>
          <w:lang w:val="hu"/>
        </w:rPr>
        <w:t>generations</w:t>
      </w:r>
      <w:proofErr w:type="spellEnd"/>
      <w:r w:rsidR="007E36F8" w:rsidRPr="007E36F8">
        <w:rPr>
          <w:rFonts w:ascii="Segoe UI" w:hAnsi="Segoe UI" w:cs="Segoe UI"/>
          <w:sz w:val="22"/>
          <w:szCs w:val="22"/>
          <w:lang w:val="hu"/>
        </w:rPr>
        <w:t>'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” </w:t>
      </w:r>
      <w:r w:rsidR="000700D7">
        <w:rPr>
          <w:rFonts w:ascii="Segoe UI" w:hAnsi="Segoe UI" w:cs="Segoe UI"/>
          <w:sz w:val="22"/>
          <w:szCs w:val="22"/>
          <w:lang w:val="hu"/>
        </w:rPr>
        <w:t>megfogalmazza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, </w:t>
      </w:r>
      <w:r w:rsidR="000700D7">
        <w:rPr>
          <w:rFonts w:ascii="Segoe UI" w:hAnsi="Segoe UI" w:cs="Segoe UI"/>
          <w:sz w:val="22"/>
          <w:szCs w:val="22"/>
          <w:lang w:val="hu"/>
        </w:rPr>
        <w:t xml:space="preserve">hogy </w:t>
      </w:r>
      <w:r w:rsidRPr="00FF2B7E">
        <w:rPr>
          <w:rFonts w:ascii="Segoe UI" w:hAnsi="Segoe UI" w:cs="Segoe UI"/>
          <w:sz w:val="22"/>
          <w:szCs w:val="22"/>
          <w:lang w:val="hu"/>
        </w:rPr>
        <w:t>kik vagyunk</w:t>
      </w:r>
      <w:r w:rsidR="00F27996">
        <w:rPr>
          <w:rFonts w:ascii="Segoe UI" w:hAnsi="Segoe UI" w:cs="Segoe UI"/>
          <w:sz w:val="22"/>
          <w:szCs w:val="22"/>
          <w:lang w:val="hu"/>
        </w:rPr>
        <w:t>,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 mi</w:t>
      </w:r>
      <w:r w:rsidR="00F27996">
        <w:rPr>
          <w:rFonts w:ascii="Segoe UI" w:hAnsi="Segoe UI" w:cs="Segoe UI"/>
          <w:sz w:val="22"/>
          <w:szCs w:val="22"/>
          <w:lang w:val="hu"/>
        </w:rPr>
        <w:t xml:space="preserve"> köt össze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 bennünket és milyen szerepet</w:t>
      </w:r>
      <w:r w:rsidR="000700D7">
        <w:rPr>
          <w:rFonts w:ascii="Segoe UI" w:hAnsi="Segoe UI" w:cs="Segoe UI"/>
          <w:sz w:val="22"/>
          <w:szCs w:val="22"/>
          <w:lang w:val="hu"/>
        </w:rPr>
        <w:t xml:space="preserve"> kívánunk </w:t>
      </w:r>
      <w:r w:rsidR="00F27996">
        <w:rPr>
          <w:rFonts w:ascii="Segoe UI" w:hAnsi="Segoe UI" w:cs="Segoe UI"/>
          <w:sz w:val="22"/>
          <w:szCs w:val="22"/>
          <w:lang w:val="hu"/>
        </w:rPr>
        <w:t xml:space="preserve">vállalatként </w:t>
      </w:r>
      <w:r w:rsidR="000700D7">
        <w:rPr>
          <w:rFonts w:ascii="Segoe UI" w:hAnsi="Segoe UI" w:cs="Segoe UI"/>
          <w:sz w:val="22"/>
          <w:szCs w:val="22"/>
          <w:lang w:val="hu"/>
        </w:rPr>
        <w:t>betölteni a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 világban. Ez sokkal több, mint egy szlogen</w:t>
      </w:r>
      <w:r w:rsidR="000700D7">
        <w:rPr>
          <w:rFonts w:ascii="Segoe UI" w:hAnsi="Segoe UI" w:cs="Segoe UI"/>
          <w:sz w:val="22"/>
          <w:szCs w:val="22"/>
          <w:lang w:val="hu"/>
        </w:rPr>
        <w:t xml:space="preserve">, vagy </w:t>
      </w:r>
      <w:r w:rsidR="00F27996">
        <w:rPr>
          <w:rFonts w:ascii="Segoe UI" w:hAnsi="Segoe UI" w:cs="Segoe UI"/>
          <w:sz w:val="22"/>
          <w:szCs w:val="22"/>
          <w:lang w:val="hu"/>
        </w:rPr>
        <w:t>állítás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. Mélyen elkötelezettek vagyunk, hogy ennek minden nap eleget tegyünk. Ki akarjuk használni úttörő és vállalkozó szellemünket - </w:t>
      </w:r>
      <w:proofErr w:type="spellStart"/>
      <w:r w:rsidRPr="00FF2B7E">
        <w:rPr>
          <w:rFonts w:ascii="Segoe UI" w:hAnsi="Segoe UI" w:cs="Segoe UI"/>
          <w:sz w:val="22"/>
          <w:szCs w:val="22"/>
          <w:lang w:val="hu"/>
        </w:rPr>
        <w:t>alkalmazottaink</w:t>
      </w:r>
      <w:proofErr w:type="spellEnd"/>
      <w:r w:rsidRPr="00FF2B7E">
        <w:rPr>
          <w:rFonts w:ascii="Segoe UI" w:hAnsi="Segoe UI" w:cs="Segoe UI"/>
          <w:sz w:val="22"/>
          <w:szCs w:val="22"/>
          <w:lang w:val="hu"/>
        </w:rPr>
        <w:t>, ügyfeleink</w:t>
      </w:r>
      <w:r w:rsidR="00552357">
        <w:rPr>
          <w:rFonts w:ascii="Segoe UI" w:hAnsi="Segoe UI" w:cs="Segoe UI"/>
          <w:sz w:val="22"/>
          <w:szCs w:val="22"/>
          <w:lang w:val="hu"/>
        </w:rPr>
        <w:t xml:space="preserve"> és </w:t>
      </w:r>
      <w:r w:rsidRPr="00FF2B7E">
        <w:rPr>
          <w:rFonts w:ascii="Segoe UI" w:hAnsi="Segoe UI" w:cs="Segoe UI"/>
          <w:sz w:val="22"/>
          <w:szCs w:val="22"/>
          <w:lang w:val="hu"/>
        </w:rPr>
        <w:t>fogyasztóink, részvényeseink, valamint a jelenlegi és a jövő</w:t>
      </w:r>
      <w:r w:rsidR="00552357">
        <w:rPr>
          <w:rFonts w:ascii="Segoe UI" w:hAnsi="Segoe UI" w:cs="Segoe UI"/>
          <w:sz w:val="22"/>
          <w:szCs w:val="22"/>
          <w:lang w:val="hu"/>
        </w:rPr>
        <w:t>beli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 generációik</w:t>
      </w:r>
      <w:r w:rsidR="00552357">
        <w:rPr>
          <w:rFonts w:ascii="Segoe UI" w:hAnsi="Segoe UI" w:cs="Segoe UI"/>
          <w:sz w:val="22"/>
          <w:szCs w:val="22"/>
          <w:lang w:val="hu"/>
        </w:rPr>
        <w:t xml:space="preserve"> jóléte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 érdekében” </w:t>
      </w:r>
      <w:r w:rsidR="00FF2B7E">
        <w:rPr>
          <w:rFonts w:ascii="Segoe UI" w:hAnsi="Segoe UI" w:cs="Segoe UI"/>
          <w:sz w:val="22"/>
          <w:szCs w:val="22"/>
          <w:lang w:val="hu"/>
        </w:rPr>
        <w:t>–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 mondta </w:t>
      </w:r>
      <w:proofErr w:type="spellStart"/>
      <w:r w:rsidRPr="00FF2B7E">
        <w:rPr>
          <w:rFonts w:ascii="Segoe UI" w:hAnsi="Segoe UI" w:cs="Segoe UI"/>
          <w:sz w:val="22"/>
          <w:szCs w:val="22"/>
          <w:lang w:val="hu"/>
        </w:rPr>
        <w:t>Carsten</w:t>
      </w:r>
      <w:proofErr w:type="spellEnd"/>
      <w:r w:rsidRPr="00FF2B7E">
        <w:rPr>
          <w:rFonts w:ascii="Segoe UI" w:hAnsi="Segoe UI" w:cs="Segoe UI"/>
          <w:sz w:val="22"/>
          <w:szCs w:val="22"/>
          <w:lang w:val="hu"/>
        </w:rPr>
        <w:t xml:space="preserve"> </w:t>
      </w:r>
      <w:proofErr w:type="spellStart"/>
      <w:r w:rsidRPr="00FF2B7E">
        <w:rPr>
          <w:rFonts w:ascii="Segoe UI" w:hAnsi="Segoe UI" w:cs="Segoe UI"/>
          <w:sz w:val="22"/>
          <w:szCs w:val="22"/>
          <w:lang w:val="hu"/>
        </w:rPr>
        <w:t>Knobel</w:t>
      </w:r>
      <w:proofErr w:type="spellEnd"/>
      <w:r w:rsidRPr="00FF2B7E">
        <w:rPr>
          <w:rFonts w:ascii="Segoe UI" w:hAnsi="Segoe UI" w:cs="Segoe UI"/>
          <w:sz w:val="22"/>
          <w:szCs w:val="22"/>
          <w:lang w:val="hu"/>
        </w:rPr>
        <w:t>. „Ezért fontos, hogy közösen megértsük cél</w:t>
      </w:r>
      <w:r w:rsidR="00552357">
        <w:rPr>
          <w:rFonts w:ascii="Segoe UI" w:hAnsi="Segoe UI" w:cs="Segoe UI"/>
          <w:sz w:val="22"/>
          <w:szCs w:val="22"/>
          <w:lang w:val="hu"/>
        </w:rPr>
        <w:t>un</w:t>
      </w:r>
      <w:r w:rsidRPr="00FF2B7E">
        <w:rPr>
          <w:rFonts w:ascii="Segoe UI" w:hAnsi="Segoe UI" w:cs="Segoe UI"/>
          <w:sz w:val="22"/>
          <w:szCs w:val="22"/>
          <w:lang w:val="hu"/>
        </w:rPr>
        <w:t xml:space="preserve">kat, és tudatosan </w:t>
      </w:r>
      <w:r w:rsidR="00552357">
        <w:rPr>
          <w:rFonts w:ascii="Segoe UI" w:hAnsi="Segoe UI" w:cs="Segoe UI"/>
          <w:sz w:val="22"/>
          <w:szCs w:val="22"/>
          <w:lang w:val="hu"/>
        </w:rPr>
        <w:t>ennek megfelelően cselekedjünk</w:t>
      </w:r>
      <w:r w:rsidRPr="00FF2B7E">
        <w:rPr>
          <w:rFonts w:ascii="Segoe UI" w:hAnsi="Segoe UI" w:cs="Segoe UI"/>
          <w:sz w:val="22"/>
          <w:szCs w:val="22"/>
          <w:lang w:val="hu"/>
        </w:rPr>
        <w:t>.”</w:t>
      </w:r>
    </w:p>
    <w:p w14:paraId="178286EA" w14:textId="77777777" w:rsidR="00354EE4" w:rsidRPr="00FF2B7E" w:rsidRDefault="00354EE4" w:rsidP="00FF2B7E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</w:p>
    <w:p w14:paraId="057E8751" w14:textId="2626F94A" w:rsidR="00354EE4" w:rsidRPr="00FF2B7E" w:rsidRDefault="00354EE4" w:rsidP="00FF2B7E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  <w:r w:rsidRPr="00FF2B7E">
        <w:rPr>
          <w:rFonts w:ascii="Segoe UI" w:hAnsi="Segoe UI" w:cs="Segoe UI"/>
          <w:sz w:val="22"/>
          <w:szCs w:val="22"/>
          <w:lang w:val="hu"/>
        </w:rPr>
        <w:t>„Büszkék vagyunk az év első felében elért sikeres üzletfejlesztésre és a stratégiai menetrendünk végrehajtásában elért jó előrehaladásra, annak ellenére, hogy a világjárvány miatt továbbra is ellenszélben vitorlázunk”</w:t>
      </w:r>
      <w:r w:rsidR="00FF2B7E">
        <w:rPr>
          <w:rFonts w:ascii="Segoe UI" w:hAnsi="Segoe UI" w:cs="Segoe UI"/>
          <w:sz w:val="22"/>
          <w:szCs w:val="22"/>
          <w:lang w:val="hu"/>
        </w:rPr>
        <w:t xml:space="preserve"> – tette hozzá </w:t>
      </w:r>
      <w:proofErr w:type="spellStart"/>
      <w:r w:rsidRPr="00FF2B7E">
        <w:rPr>
          <w:rFonts w:ascii="Segoe UI" w:hAnsi="Segoe UI" w:cs="Segoe UI"/>
          <w:sz w:val="22"/>
          <w:szCs w:val="22"/>
          <w:lang w:val="hu"/>
        </w:rPr>
        <w:t>Knobel</w:t>
      </w:r>
      <w:proofErr w:type="spellEnd"/>
      <w:r w:rsidRPr="00FF2B7E">
        <w:rPr>
          <w:rFonts w:ascii="Segoe UI" w:hAnsi="Segoe UI" w:cs="Segoe UI"/>
          <w:sz w:val="22"/>
          <w:szCs w:val="22"/>
          <w:lang w:val="hu"/>
        </w:rPr>
        <w:t>.</w:t>
      </w:r>
      <w:r w:rsidRPr="00FF2B7E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„Továbbra is következetesen folytatjuk céltudatos </w:t>
      </w:r>
      <w:r w:rsidRPr="00FF2B7E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lastRenderedPageBreak/>
        <w:t>növekedési menetrendünket, és az év hátralévő részében rendkívül rugalmasa</w:t>
      </w:r>
      <w:r w:rsidR="00552357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n reagálunk a piacainkon bekövetkező</w:t>
      </w:r>
      <w:r w:rsidRPr="00FF2B7E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változásokra, tekintettel a</w:t>
      </w:r>
      <w:r w:rsidR="00552357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z emelkedő</w:t>
      </w:r>
      <w:r w:rsidRPr="00FF2B7E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 nyersanyagárak és a feszült ellátási láncok jelentette kihívásokra.”</w:t>
      </w:r>
      <w:bookmarkEnd w:id="0"/>
    </w:p>
    <w:p w14:paraId="6219ECC4" w14:textId="77777777" w:rsidR="00354EE4" w:rsidRPr="00FF2B7E" w:rsidRDefault="00354EE4" w:rsidP="00FF2B7E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556B0260" w14:textId="77777777" w:rsidR="00C2313E" w:rsidRPr="00FF2B7E" w:rsidRDefault="00C2313E" w:rsidP="00FF2B7E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244939D1" w14:textId="0FC0B18D" w:rsidR="001B6914" w:rsidRPr="00986EBE" w:rsidRDefault="001B6914" w:rsidP="001B6914">
      <w:pPr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986EBE">
        <w:rPr>
          <w:rFonts w:ascii="Segoe UI" w:hAnsi="Segoe UI" w:cs="Segoe UI"/>
          <w:b/>
          <w:bCs/>
          <w:sz w:val="18"/>
          <w:szCs w:val="18"/>
          <w:lang w:val="hu-HU"/>
        </w:rPr>
        <w:t>A Henkelről</w:t>
      </w:r>
    </w:p>
    <w:p w14:paraId="283BCDA9" w14:textId="26FF203E" w:rsidR="001B6914" w:rsidRPr="00986EBE" w:rsidRDefault="001B6914" w:rsidP="001B6914">
      <w:pPr>
        <w:jc w:val="both"/>
        <w:rPr>
          <w:rFonts w:ascii="Segoe UI" w:hAnsi="Segoe UI" w:cs="Segoe UI"/>
          <w:sz w:val="18"/>
          <w:szCs w:val="18"/>
          <w:lang w:val="hu-HU"/>
        </w:rPr>
      </w:pPr>
      <w:r w:rsidRPr="00986EBE">
        <w:rPr>
          <w:rFonts w:ascii="Segoe UI" w:hAnsi="Segoe UI" w:cs="Segoe UI"/>
          <w:sz w:val="18"/>
          <w:szCs w:val="18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2020-ban több mint 19 milliárd euró árbevételt és mintegy 2,6 milliárd euró korrigált üzemi eredményt ért el. A Henkel világszerte mintegy 53 000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="00986EBE" w:rsidRPr="00986EBE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="00986EBE" w:rsidRPr="00986EBE">
        <w:rPr>
          <w:rFonts w:ascii="Segoe UI" w:hAnsi="Segoe UI" w:cs="Segoe UI"/>
          <w:sz w:val="18"/>
          <w:szCs w:val="18"/>
          <w:lang w:val="hu-HU"/>
        </w:rPr>
        <w:t>.</w:t>
      </w:r>
    </w:p>
    <w:p w14:paraId="194D91DB" w14:textId="77777777" w:rsidR="001B6914" w:rsidRPr="001B6914" w:rsidRDefault="001B6914" w:rsidP="001B6914">
      <w:pPr>
        <w:rPr>
          <w:rFonts w:ascii="Segoe UI" w:hAnsi="Segoe UI" w:cs="Segoe UI"/>
          <w:szCs w:val="22"/>
          <w:lang w:val="hu-HU"/>
        </w:rPr>
      </w:pPr>
    </w:p>
    <w:p w14:paraId="0F79DBBA" w14:textId="60910090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1B6914">
        <w:rPr>
          <w:rFonts w:ascii="Segoe UI" w:hAnsi="Segoe UI" w:cs="Segoe UI"/>
          <w:sz w:val="14"/>
          <w:szCs w:val="14"/>
          <w:lang w:val="hu-HU"/>
        </w:rPr>
        <w:t xml:space="preserve">Ez a tájékoztatás a jövőre vonatkozó állításokat tartalmaz, amelyek a Henkel AG &amp; Co. </w:t>
      </w:r>
      <w:proofErr w:type="spellStart"/>
      <w:r w:rsidRPr="001B6914">
        <w:rPr>
          <w:rFonts w:ascii="Segoe UI" w:hAnsi="Segoe UI" w:cs="Segoe UI"/>
          <w:sz w:val="14"/>
          <w:szCs w:val="14"/>
          <w:lang w:val="hu-HU"/>
        </w:rPr>
        <w:t>KGaA</w:t>
      </w:r>
      <w:proofErr w:type="spellEnd"/>
      <w:r w:rsidRPr="001B6914">
        <w:rPr>
          <w:rFonts w:ascii="Segoe UI" w:hAnsi="Segoe UI" w:cs="Segoe UI"/>
          <w:sz w:val="14"/>
          <w:szCs w:val="14"/>
          <w:lang w:val="hu-HU"/>
        </w:rPr>
        <w:t xml:space="preserve"> vállalati vezetősége jelenlegi becslésein és feltételezésein alapulnak. A jövőre vonatkozó állításokat olyan és hasonló szavakkal fejezzük ki, mint a </w:t>
      </w:r>
      <w:r w:rsidR="007A5391">
        <w:rPr>
          <w:rFonts w:ascii="Segoe UI" w:hAnsi="Segoe UI" w:cs="Segoe UI"/>
          <w:sz w:val="14"/>
          <w:szCs w:val="14"/>
          <w:lang w:val="hu-HU"/>
        </w:rPr>
        <w:t>„</w:t>
      </w:r>
      <w:r w:rsidRPr="001B6914">
        <w:rPr>
          <w:rFonts w:ascii="Segoe UI" w:hAnsi="Segoe UI" w:cs="Segoe UI"/>
          <w:sz w:val="14"/>
          <w:szCs w:val="14"/>
          <w:lang w:val="hu-HU"/>
        </w:rPr>
        <w:t xml:space="preserve">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 w:rsidRPr="001B6914">
        <w:rPr>
          <w:rFonts w:ascii="Segoe UI" w:hAnsi="Segoe UI" w:cs="Segoe UI"/>
          <w:sz w:val="14"/>
          <w:szCs w:val="14"/>
          <w:lang w:val="hu-HU"/>
        </w:rPr>
        <w:t>KGaA</w:t>
      </w:r>
      <w:proofErr w:type="spellEnd"/>
      <w:r w:rsidRPr="001B6914">
        <w:rPr>
          <w:rFonts w:ascii="Segoe UI" w:hAnsi="Segoe UI" w:cs="Segoe UI"/>
          <w:sz w:val="14"/>
          <w:szCs w:val="14"/>
          <w:lang w:val="hu-HU"/>
        </w:rPr>
        <w:t xml:space="preserve">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14:paraId="50EF239E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</w:p>
    <w:p w14:paraId="01365552" w14:textId="39FC199F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1B6914">
        <w:rPr>
          <w:rFonts w:ascii="Segoe UI" w:hAnsi="Segoe UI" w:cs="Segoe UI"/>
          <w:sz w:val="14"/>
          <w:szCs w:val="14"/>
          <w:lang w:val="hu-HU"/>
        </w:rPr>
        <w:t xml:space="preserve">Ez a dokumentum - az alkalmazandó pénzügyi beszámolási keretrendszerben nem egyértelműen meghatározva - tartalmazza azokat a kiegészítő pénzügyi intézkedéseket, amelyek alternatív teljesítménymutatók, vagy azok lehetnek (nem GAAP-intézkedések). </w:t>
      </w:r>
      <w:r w:rsidR="007A5391" w:rsidRPr="007A5391">
        <w:rPr>
          <w:rFonts w:ascii="Segoe UI" w:hAnsi="Segoe UI" w:cs="Segoe UI"/>
          <w:sz w:val="14"/>
          <w:szCs w:val="14"/>
          <w:lang w:val="hu-HU"/>
        </w:rPr>
        <w:t>Ezeket a kiegészítő pénzügyi intézkedéseket nem szabad elszigetelten vagy a Henkel nettó eszközállományának és pénzügyi helyzetének, illetve a műveletek eredményei alternatívájaként tekinteni, ahogyan azt a konszolidált pénzügyi kimutatásokban a vonatkozó pénzügyi beszámoló kereteivel összhangban bemutatják</w:t>
      </w:r>
      <w:r w:rsidR="007A5391">
        <w:rPr>
          <w:rFonts w:ascii="Segoe UI" w:hAnsi="Segoe UI" w:cs="Segoe UI"/>
          <w:sz w:val="14"/>
          <w:szCs w:val="14"/>
          <w:lang w:val="hu-HU"/>
        </w:rPr>
        <w:t xml:space="preserve">. </w:t>
      </w:r>
      <w:r w:rsidRPr="001B6914">
        <w:rPr>
          <w:rFonts w:ascii="Segoe UI" w:hAnsi="Segoe UI" w:cs="Segoe UI"/>
          <w:sz w:val="14"/>
          <w:szCs w:val="14"/>
          <w:lang w:val="hu-HU"/>
        </w:rPr>
        <w:t>Más, hasonlóan megnevezett alternatív teljesítménymutatókat jelentő vagy leíró vállalatok eltérő módon számíthatják ki őket.</w:t>
      </w:r>
    </w:p>
    <w:p w14:paraId="1C73D401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</w:p>
    <w:p w14:paraId="2298DA19" w14:textId="48B2D3C7" w:rsid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1B6914">
        <w:rPr>
          <w:rFonts w:ascii="Segoe UI" w:hAnsi="Segoe UI" w:cs="Segoe UI"/>
          <w:sz w:val="14"/>
          <w:szCs w:val="14"/>
          <w:lang w:val="hu-HU"/>
        </w:rPr>
        <w:t>Ezt a dokumentumot csak tájékoztatási célból bocsátották ki, és nem célja befektetési tanácsadás, vagy értékpapírokra vonatkozó eladási ajánlat, vagy vételi ajánlat kérése.</w:t>
      </w:r>
    </w:p>
    <w:p w14:paraId="0F735682" w14:textId="7474AC96" w:rsidR="007A5391" w:rsidRDefault="007A5391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</w:p>
    <w:p w14:paraId="49C6ED3D" w14:textId="77777777" w:rsidR="0095742C" w:rsidRPr="00C31F37" w:rsidRDefault="0095742C" w:rsidP="00C31F37">
      <w:pPr>
        <w:rPr>
          <w:rFonts w:ascii="Segoe UI" w:hAnsi="Segoe UI" w:cs="Segoe UI"/>
          <w:szCs w:val="22"/>
          <w:lang w:val="hu-HU"/>
        </w:rPr>
      </w:pPr>
    </w:p>
    <w:p w14:paraId="247945F9" w14:textId="77777777" w:rsidR="00833D51" w:rsidRPr="001B6914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>Kapcsolatok</w:t>
      </w:r>
    </w:p>
    <w:p w14:paraId="5B7E22F2" w14:textId="77777777" w:rsidR="00833D51" w:rsidRPr="001B6914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110F8551" w14:textId="77777777" w:rsidR="00833D51" w:rsidRPr="001B6914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 xml:space="preserve">Befektetők és elemzők </w:t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  <w:t xml:space="preserve">     Sajtó és Média</w:t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</w:p>
    <w:p w14:paraId="3C2AEE9F" w14:textId="77777777" w:rsidR="00833D51" w:rsidRPr="00A114EB" w:rsidRDefault="00833D51" w:rsidP="00833D51">
      <w:pPr>
        <w:tabs>
          <w:tab w:val="left" w:pos="851"/>
          <w:tab w:val="left" w:pos="4536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Lars</w:t>
      </w:r>
      <w:proofErr w:type="spellEnd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 </w:t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Korinth</w:t>
      </w:r>
      <w:proofErr w:type="spellEnd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ab/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Lars</w:t>
      </w:r>
      <w:proofErr w:type="spellEnd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 </w:t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Witteck</w:t>
      </w:r>
      <w:proofErr w:type="spellEnd"/>
    </w:p>
    <w:p w14:paraId="56110F12" w14:textId="77777777" w:rsidR="00833D51" w:rsidRPr="00A114EB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Tel.: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+49 211 797 - 1631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Tel.: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+49 211 797 - 2606</w:t>
      </w:r>
    </w:p>
    <w:p w14:paraId="677C000D" w14:textId="77777777" w:rsidR="00833D51" w:rsidRPr="00A114EB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hyperlink r:id="rId9" w:history="1">
        <w:r w:rsidRPr="00A114EB">
          <w:rPr>
            <w:rStyle w:val="Hiperhivatkozs"/>
            <w:rFonts w:ascii="Segoe UI" w:hAnsi="Segoe UI" w:cs="Segoe UI"/>
            <w:sz w:val="18"/>
            <w:szCs w:val="18"/>
            <w:lang w:val="hu"/>
          </w:rPr>
          <w:t>lars.korinth@henkel.com</w:t>
        </w:r>
      </w:hyperlink>
      <w:r w:rsidRPr="00A114EB">
        <w:rPr>
          <w:rFonts w:ascii="Segoe UI" w:hAnsi="Segoe UI" w:cs="Segoe UI"/>
          <w:sz w:val="18"/>
          <w:szCs w:val="18"/>
          <w:lang w:val="hu"/>
        </w:rPr>
        <w:tab/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>Email: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hyperlink r:id="rId10" w:history="1">
        <w:r w:rsidRPr="00A114EB">
          <w:rPr>
            <w:rStyle w:val="Hiperhivatkozs"/>
            <w:rFonts w:ascii="Segoe UI" w:hAnsi="Segoe UI" w:cs="Segoe UI"/>
            <w:sz w:val="18"/>
            <w:szCs w:val="18"/>
            <w:lang w:val="hu"/>
          </w:rPr>
          <w:t>lars.witteck@henkel.com</w:t>
        </w:r>
      </w:hyperlink>
    </w:p>
    <w:p w14:paraId="1B1ADCC0" w14:textId="77777777" w:rsidR="00833D51" w:rsidRPr="00A114EB" w:rsidRDefault="00833D51" w:rsidP="00833D51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sz w:val="18"/>
          <w:szCs w:val="18"/>
          <w:lang w:val="en-US"/>
        </w:rPr>
      </w:pPr>
    </w:p>
    <w:p w14:paraId="7093660C" w14:textId="07F37391" w:rsidR="00833D51" w:rsidRPr="00A114EB" w:rsidRDefault="00A114EB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</w:rPr>
      </w:pPr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Manuel </w:t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Bösing</w:t>
      </w:r>
      <w:proofErr w:type="spellEnd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ab/>
      </w:r>
      <w:proofErr w:type="spellStart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>Wulf</w:t>
      </w:r>
      <w:proofErr w:type="spellEnd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 </w:t>
      </w:r>
      <w:proofErr w:type="spellStart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>Klüppelholz</w:t>
      </w:r>
      <w:proofErr w:type="spellEnd"/>
    </w:p>
    <w:p w14:paraId="61BED251" w14:textId="1642035D" w:rsidR="00833D51" w:rsidRPr="00A114EB" w:rsidRDefault="00833D51" w:rsidP="00833D51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Tel:</w:t>
      </w:r>
      <w:r w:rsidRPr="00A114EB">
        <w:rPr>
          <w:rFonts w:ascii="Segoe UI" w:hAnsi="Segoe UI" w:cs="Segoe UI"/>
          <w:sz w:val="18"/>
          <w:szCs w:val="18"/>
          <w:lang w:val="hu"/>
        </w:rPr>
        <w:tab/>
      </w:r>
      <w:r w:rsidR="00A114EB" w:rsidRPr="00A114EB">
        <w:rPr>
          <w:rFonts w:ascii="Segoe UI" w:hAnsi="Segoe UI" w:cs="Segoe UI"/>
          <w:sz w:val="18"/>
          <w:szCs w:val="18"/>
          <w:lang w:val="hu"/>
        </w:rPr>
        <w:t>+49 211 797 - 6459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 xml:space="preserve">Tel: 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+49 211 797 - 1875</w:t>
      </w:r>
    </w:p>
    <w:p w14:paraId="70976648" w14:textId="66C34A41" w:rsidR="00833D51" w:rsidRPr="00A114EB" w:rsidRDefault="00833D51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color w:val="0000FF"/>
          <w:sz w:val="18"/>
          <w:szCs w:val="18"/>
          <w:lang w:val="en-US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r w:rsidR="00A114EB" w:rsidRPr="00A114EB">
        <w:rPr>
          <w:rStyle w:val="Hiperhivatkozs"/>
          <w:rFonts w:ascii="Segoe UI" w:hAnsi="Segoe UI" w:cs="Segoe UI"/>
          <w:sz w:val="18"/>
          <w:szCs w:val="18"/>
          <w:lang w:val="hu"/>
        </w:rPr>
        <w:t>manuel.boesing@henkel.com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Email:</w:t>
      </w:r>
      <w:r w:rsidRPr="00A114EB">
        <w:rPr>
          <w:rFonts w:ascii="Segoe UI" w:hAnsi="Segoe UI" w:cs="Segoe UI"/>
          <w:color w:val="0000FF"/>
          <w:sz w:val="18"/>
          <w:szCs w:val="18"/>
          <w:lang w:val="hu"/>
        </w:rPr>
        <w:tab/>
      </w:r>
      <w:r w:rsidRPr="00A114EB">
        <w:rPr>
          <w:rFonts w:ascii="Segoe UI" w:hAnsi="Segoe UI" w:cs="Segoe UI"/>
          <w:color w:val="0000FF"/>
          <w:sz w:val="18"/>
          <w:szCs w:val="18"/>
          <w:u w:val="single"/>
          <w:lang w:val="hu"/>
        </w:rPr>
        <w:t>wulf.klueppelholz@henkel.com</w:t>
      </w:r>
    </w:p>
    <w:p w14:paraId="7B3BD7D5" w14:textId="77777777" w:rsidR="00833D51" w:rsidRPr="00A114EB" w:rsidRDefault="00833D51" w:rsidP="00833D51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</w:p>
    <w:p w14:paraId="41D3F400" w14:textId="170479B8" w:rsidR="00833D51" w:rsidRPr="001F3EF2" w:rsidRDefault="00833D51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b/>
          <w:bCs/>
          <w:color w:val="000000"/>
          <w:sz w:val="18"/>
          <w:szCs w:val="18"/>
          <w:lang w:val="hu"/>
        </w:rPr>
        <w:t>Jennifer Ott</w:t>
      </w:r>
      <w:r w:rsidR="00A114EB" w:rsidRPr="00A114EB">
        <w:rPr>
          <w:rFonts w:ascii="Segoe UI" w:hAnsi="Segoe UI" w:cs="Segoe UI"/>
          <w:b/>
          <w:bCs/>
          <w:color w:val="000000"/>
          <w:sz w:val="18"/>
          <w:szCs w:val="18"/>
          <w:lang w:val="hu"/>
        </w:rPr>
        <w:tab/>
      </w:r>
      <w:r w:rsidR="00F52D05" w:rsidRPr="00F52D05">
        <w:rPr>
          <w:rStyle w:val="AboutandContactBody"/>
          <w:rFonts w:cs="Segoe UI"/>
          <w:b/>
          <w:szCs w:val="18"/>
          <w:lang w:val="en-US"/>
        </w:rPr>
        <w:t>Hanna Philipps</w:t>
      </w:r>
    </w:p>
    <w:p w14:paraId="007E0D4E" w14:textId="756A7370" w:rsidR="00A114EB" w:rsidRPr="00A114EB" w:rsidRDefault="00833D51" w:rsidP="00A114EB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Tel: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 xml:space="preserve">+49 211 797 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>–</w:t>
      </w:r>
      <w:r w:rsidRPr="00A114EB">
        <w:rPr>
          <w:rFonts w:ascii="Segoe UI" w:hAnsi="Segoe UI" w:cs="Segoe UI"/>
          <w:sz w:val="18"/>
          <w:szCs w:val="18"/>
          <w:lang w:val="hu"/>
        </w:rPr>
        <w:t xml:space="preserve"> 2756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ab/>
        <w:t>Tel: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ab/>
      </w:r>
      <w:r w:rsidR="00F52D05" w:rsidRPr="00F52D05">
        <w:rPr>
          <w:rFonts w:ascii="Segoe UI" w:hAnsi="Segoe UI" w:cs="Segoe UI"/>
          <w:sz w:val="18"/>
          <w:szCs w:val="18"/>
          <w:lang w:val="hu"/>
        </w:rPr>
        <w:t>+49 211 797 - 3626</w:t>
      </w:r>
    </w:p>
    <w:p w14:paraId="0C2103DA" w14:textId="1AAF3E9A" w:rsidR="00833D51" w:rsidRPr="00F52D05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Email:</w:t>
      </w:r>
      <w:r w:rsidRPr="00A114EB">
        <w:rPr>
          <w:rFonts w:ascii="Segoe UI" w:hAnsi="Segoe UI" w:cs="Segoe UI"/>
          <w:sz w:val="18"/>
          <w:szCs w:val="18"/>
          <w:lang w:val="hu"/>
        </w:rPr>
        <w:tab/>
      </w:r>
      <w:hyperlink r:id="rId11" w:history="1">
        <w:r w:rsidRPr="00A114EB">
          <w:rPr>
            <w:rStyle w:val="Hiperhivatkozs"/>
            <w:rFonts w:ascii="Segoe UI" w:hAnsi="Segoe UI" w:cs="Segoe UI"/>
            <w:sz w:val="18"/>
            <w:szCs w:val="18"/>
            <w:lang w:val="hu"/>
          </w:rPr>
          <w:t>jennifer.ott@henkel.com</w:t>
        </w:r>
      </w:hyperlink>
      <w:r w:rsidR="00A114EB" w:rsidRPr="00A114EB">
        <w:rPr>
          <w:rStyle w:val="Hiperhivatkozs"/>
          <w:rFonts w:ascii="Segoe UI" w:hAnsi="Segoe UI" w:cs="Segoe UI"/>
          <w:sz w:val="18"/>
          <w:szCs w:val="18"/>
          <w:u w:val="none"/>
          <w:lang w:val="hu"/>
        </w:rPr>
        <w:tab/>
      </w:r>
      <w:r w:rsidR="00A114EB" w:rsidRPr="00A114EB">
        <w:rPr>
          <w:rFonts w:ascii="Segoe UI" w:hAnsi="Segoe UI" w:cs="Segoe UI"/>
          <w:sz w:val="18"/>
          <w:szCs w:val="18"/>
          <w:lang w:val="hu"/>
        </w:rPr>
        <w:t>Email: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ab/>
      </w:r>
      <w:r w:rsidR="00F52D05" w:rsidRPr="00F52D05">
        <w:rPr>
          <w:rStyle w:val="Hiperhivatkozs"/>
          <w:rFonts w:ascii="Segoe UI" w:hAnsi="Segoe UI" w:cs="Segoe UI"/>
          <w:sz w:val="18"/>
          <w:szCs w:val="18"/>
          <w:lang w:val="hu"/>
        </w:rPr>
        <w:t>hanna.philipps@henkel.com</w:t>
      </w:r>
    </w:p>
    <w:p w14:paraId="35BE9359" w14:textId="7AD59FAF" w:rsidR="00833D51" w:rsidRPr="00A114EB" w:rsidRDefault="00833D51" w:rsidP="002D37A9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</w:p>
    <w:p w14:paraId="758C15C9" w14:textId="57BF6A19" w:rsidR="00F52D05" w:rsidRPr="006E3262" w:rsidRDefault="0095742C" w:rsidP="00F52D05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  <w:lang w:val="hu-HU"/>
        </w:rPr>
      </w:pPr>
      <w:r>
        <w:rPr>
          <w:rFonts w:ascii="Segoe UI" w:hAnsi="Segoe UI" w:cs="Segoe UI"/>
          <w:b/>
          <w:color w:val="000000"/>
          <w:sz w:val="18"/>
          <w:szCs w:val="18"/>
          <w:lang w:val="hu"/>
        </w:rPr>
        <w:t xml:space="preserve">Dr. </w:t>
      </w:r>
      <w:r w:rsidR="00A114EB" w:rsidRPr="00A114EB">
        <w:rPr>
          <w:rFonts w:ascii="Segoe UI" w:hAnsi="Segoe UI" w:cs="Segoe UI"/>
          <w:b/>
          <w:color w:val="000000"/>
          <w:sz w:val="18"/>
          <w:szCs w:val="18"/>
          <w:lang w:val="hu"/>
        </w:rPr>
        <w:t xml:space="preserve">Dennis </w:t>
      </w:r>
      <w:proofErr w:type="spellStart"/>
      <w:r w:rsidR="00A114EB" w:rsidRPr="00A114EB">
        <w:rPr>
          <w:rFonts w:ascii="Segoe UI" w:hAnsi="Segoe UI" w:cs="Segoe UI"/>
          <w:b/>
          <w:color w:val="000000"/>
          <w:sz w:val="18"/>
          <w:szCs w:val="18"/>
          <w:lang w:val="hu"/>
        </w:rPr>
        <w:t>Starke</w:t>
      </w:r>
      <w:proofErr w:type="spellEnd"/>
      <w:r w:rsidR="00F52D05">
        <w:rPr>
          <w:rFonts w:ascii="Segoe UI" w:hAnsi="Segoe UI" w:cs="Segoe UI"/>
          <w:b/>
          <w:color w:val="000000"/>
          <w:sz w:val="18"/>
          <w:szCs w:val="18"/>
          <w:lang w:val="hu"/>
        </w:rPr>
        <w:tab/>
      </w:r>
      <w:r w:rsidR="00F52D05" w:rsidRPr="006E3262">
        <w:rPr>
          <w:rStyle w:val="AboutandContactBody"/>
          <w:rFonts w:cs="Segoe UI"/>
          <w:b/>
          <w:szCs w:val="18"/>
          <w:lang w:val="hu-HU"/>
        </w:rPr>
        <w:t xml:space="preserve">Linda </w:t>
      </w:r>
      <w:proofErr w:type="spellStart"/>
      <w:r w:rsidR="00F52D05" w:rsidRPr="006E3262">
        <w:rPr>
          <w:rStyle w:val="AboutandContactBody"/>
          <w:rFonts w:cs="Segoe UI"/>
          <w:b/>
          <w:szCs w:val="18"/>
          <w:lang w:val="hu-HU"/>
        </w:rPr>
        <w:t>Gehring</w:t>
      </w:r>
      <w:proofErr w:type="spellEnd"/>
    </w:p>
    <w:p w14:paraId="7DEA28A6" w14:textId="2FB0E650" w:rsidR="001B6914" w:rsidRPr="00A114EB" w:rsidRDefault="001B6914" w:rsidP="001B6914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color w:val="000000"/>
          <w:sz w:val="18"/>
          <w:szCs w:val="18"/>
          <w:lang w:val="hu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>Tel: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r w:rsidR="00A114EB" w:rsidRPr="00A114EB">
        <w:rPr>
          <w:rFonts w:ascii="Segoe UI" w:hAnsi="Segoe UI" w:cs="Segoe UI"/>
          <w:color w:val="000000"/>
          <w:sz w:val="18"/>
          <w:szCs w:val="18"/>
          <w:lang w:val="hu"/>
        </w:rPr>
        <w:t xml:space="preserve">+49 211 797 </w:t>
      </w:r>
      <w:r w:rsidR="00F52D05">
        <w:rPr>
          <w:rFonts w:ascii="Segoe UI" w:hAnsi="Segoe UI" w:cs="Segoe UI"/>
          <w:color w:val="000000"/>
          <w:sz w:val="18"/>
          <w:szCs w:val="18"/>
          <w:lang w:val="hu"/>
        </w:rPr>
        <w:t>–</w:t>
      </w:r>
      <w:r w:rsidR="00A114EB" w:rsidRPr="00A114EB">
        <w:rPr>
          <w:rFonts w:ascii="Segoe UI" w:hAnsi="Segoe UI" w:cs="Segoe UI"/>
          <w:color w:val="000000"/>
          <w:sz w:val="18"/>
          <w:szCs w:val="18"/>
          <w:lang w:val="hu"/>
        </w:rPr>
        <w:t xml:space="preserve"> 5601</w:t>
      </w:r>
      <w:r w:rsidR="00F52D05">
        <w:rPr>
          <w:rFonts w:ascii="Segoe UI" w:hAnsi="Segoe UI" w:cs="Segoe UI"/>
          <w:color w:val="000000"/>
          <w:sz w:val="18"/>
          <w:szCs w:val="18"/>
          <w:lang w:val="hu"/>
        </w:rPr>
        <w:tab/>
      </w:r>
      <w:r w:rsidR="00F52D05" w:rsidRPr="00A114EB">
        <w:rPr>
          <w:rFonts w:ascii="Segoe UI" w:hAnsi="Segoe UI" w:cs="Segoe UI"/>
          <w:sz w:val="18"/>
          <w:szCs w:val="18"/>
          <w:lang w:val="hu"/>
        </w:rPr>
        <w:t>Tel:</w:t>
      </w:r>
      <w:r w:rsidR="00F52D05" w:rsidRPr="00A114EB">
        <w:rPr>
          <w:rFonts w:ascii="Segoe UI" w:hAnsi="Segoe UI" w:cs="Segoe UI"/>
          <w:sz w:val="18"/>
          <w:szCs w:val="18"/>
          <w:lang w:val="hu"/>
        </w:rPr>
        <w:tab/>
        <w:t>+49 211 797 - 2756</w:t>
      </w:r>
    </w:p>
    <w:p w14:paraId="705BE984" w14:textId="3D9A89E5" w:rsidR="003227DF" w:rsidRPr="006E3262" w:rsidRDefault="001B6914" w:rsidP="00A114EB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  <w:u w:val="single"/>
          <w:lang w:val="hu-HU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hyperlink r:id="rId12" w:history="1">
        <w:r w:rsidR="00A114EB" w:rsidRPr="006E3262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dennis.starke@henkel.com</w:t>
        </w:r>
      </w:hyperlink>
      <w:r w:rsidR="00F52D05" w:rsidRPr="006E3262">
        <w:rPr>
          <w:rStyle w:val="Hiperhivatkozs"/>
          <w:rFonts w:ascii="Segoe UI" w:hAnsi="Segoe UI" w:cs="Segoe UI"/>
          <w:sz w:val="18"/>
          <w:szCs w:val="18"/>
          <w:u w:val="none"/>
          <w:lang w:val="hu-HU"/>
        </w:rPr>
        <w:tab/>
      </w:r>
      <w:r w:rsidR="00F52D05" w:rsidRPr="00A114EB">
        <w:rPr>
          <w:rFonts w:ascii="Segoe UI" w:hAnsi="Segoe UI" w:cs="Segoe UI"/>
          <w:sz w:val="18"/>
          <w:szCs w:val="18"/>
          <w:lang w:val="hu"/>
        </w:rPr>
        <w:t>Email:</w:t>
      </w:r>
      <w:r w:rsidR="00F52D05" w:rsidRPr="00A114EB">
        <w:rPr>
          <w:rFonts w:ascii="Segoe UI" w:hAnsi="Segoe UI" w:cs="Segoe UI"/>
          <w:sz w:val="18"/>
          <w:szCs w:val="18"/>
          <w:lang w:val="hu"/>
        </w:rPr>
        <w:tab/>
      </w:r>
      <w:hyperlink r:id="rId13" w:history="1">
        <w:r w:rsidR="00F52D05" w:rsidRPr="00A114EB">
          <w:rPr>
            <w:rFonts w:ascii="Segoe UI" w:hAnsi="Segoe UI" w:cs="Segoe UI"/>
            <w:color w:val="0000FF"/>
            <w:sz w:val="18"/>
            <w:szCs w:val="18"/>
            <w:u w:val="single"/>
            <w:lang w:val="hu"/>
          </w:rPr>
          <w:t>linda.gehring@henkel.com</w:t>
        </w:r>
      </w:hyperlink>
    </w:p>
    <w:p w14:paraId="13356D65" w14:textId="11F50BB9" w:rsidR="00B17243" w:rsidRPr="001B6914" w:rsidRDefault="00B17243" w:rsidP="00B1724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1B6914">
        <w:rPr>
          <w:rFonts w:ascii="Segoe UI" w:hAnsi="Segoe UI" w:cs="Segoe UI"/>
          <w:sz w:val="18"/>
          <w:szCs w:val="18"/>
          <w:lang w:val="hu-HU"/>
        </w:rPr>
        <w:lastRenderedPageBreak/>
        <w:t>Henkel Magyarország Kft.</w:t>
      </w:r>
    </w:p>
    <w:p w14:paraId="03B27910" w14:textId="77777777" w:rsidR="00B17243" w:rsidRPr="001B6914" w:rsidRDefault="00B17243" w:rsidP="00B17243">
      <w:pPr>
        <w:pStyle w:val="lfej"/>
        <w:jc w:val="both"/>
        <w:rPr>
          <w:rFonts w:ascii="Segoe UI" w:hAnsi="Segoe UI" w:cs="Segoe UI"/>
          <w:sz w:val="18"/>
          <w:szCs w:val="18"/>
          <w:lang w:val="hu-HU"/>
        </w:rPr>
      </w:pPr>
      <w:r w:rsidRPr="001B6914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4A30DDFC" w14:textId="13CCE01E" w:rsidR="002D37A9" w:rsidRPr="001B6914" w:rsidRDefault="002D37A9" w:rsidP="002D37A9">
      <w:pPr>
        <w:spacing w:line="280" w:lineRule="exact"/>
        <w:rPr>
          <w:rFonts w:ascii="Segoe UI" w:hAnsi="Segoe UI" w:cs="Segoe UI"/>
          <w:b/>
          <w:bCs/>
          <w:sz w:val="18"/>
          <w:szCs w:val="18"/>
          <w:lang w:val="hu-HU" w:eastAsia="de-DE"/>
        </w:rPr>
      </w:pPr>
      <w:r w:rsidRPr="001B6914">
        <w:rPr>
          <w:rFonts w:ascii="Segoe UI" w:hAnsi="Segoe UI" w:cs="Segoe UI"/>
          <w:b/>
          <w:bCs/>
          <w:sz w:val="18"/>
          <w:szCs w:val="18"/>
          <w:lang w:val="hu-HU" w:eastAsia="de-DE"/>
        </w:rPr>
        <w:t>Dispiter Dorottya</w:t>
      </w:r>
    </w:p>
    <w:p w14:paraId="4FC0EBDB" w14:textId="5D8D4A61" w:rsidR="002D37A9" w:rsidRPr="001B6914" w:rsidRDefault="002D37A9" w:rsidP="002D37A9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B6914">
        <w:rPr>
          <w:rFonts w:ascii="Segoe UI" w:hAnsi="Segoe UI" w:cs="Segoe UI"/>
          <w:sz w:val="18"/>
          <w:szCs w:val="18"/>
          <w:lang w:val="hu-HU" w:eastAsia="de-DE"/>
        </w:rPr>
        <w:t>Tel</w:t>
      </w:r>
      <w:r w:rsidR="00B17243" w:rsidRPr="001B6914">
        <w:rPr>
          <w:rFonts w:ascii="Segoe UI" w:hAnsi="Segoe UI" w:cs="Segoe UI"/>
          <w:sz w:val="18"/>
          <w:szCs w:val="18"/>
          <w:lang w:val="hu-HU" w:eastAsia="de-DE"/>
        </w:rPr>
        <w:t>:</w:t>
      </w:r>
      <w:r w:rsidRPr="001B6914">
        <w:rPr>
          <w:rFonts w:ascii="Segoe UI" w:hAnsi="Segoe UI" w:cs="Segoe UI"/>
          <w:sz w:val="18"/>
          <w:szCs w:val="18"/>
          <w:lang w:val="hu-HU" w:eastAsia="de-DE"/>
        </w:rPr>
        <w:tab/>
        <w:t>(1) 372-5555</w:t>
      </w:r>
    </w:p>
    <w:p w14:paraId="033FA476" w14:textId="111A715B" w:rsidR="002D37A9" w:rsidRPr="001B6914" w:rsidRDefault="002D37A9" w:rsidP="003227DF">
      <w:pPr>
        <w:spacing w:line="280" w:lineRule="exact"/>
        <w:rPr>
          <w:rFonts w:ascii="Segoe UI" w:hAnsi="Segoe UI" w:cs="Segoe UI"/>
          <w:sz w:val="18"/>
          <w:szCs w:val="18"/>
          <w:lang w:val="hu-HU"/>
        </w:rPr>
      </w:pPr>
      <w:proofErr w:type="gramStart"/>
      <w:r w:rsidRPr="001B691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B17243" w:rsidRPr="001B691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  </w:t>
      </w:r>
      <w:proofErr w:type="gramEnd"/>
      <w:r w:rsidR="00B17243" w:rsidRPr="001B691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   </w:t>
      </w:r>
      <w:hyperlink r:id="rId14" w:history="1">
        <w:r w:rsidR="00B17243" w:rsidRPr="001B6914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2D37A9" w:rsidRPr="001B6914" w:rsidSect="00782139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65B4" w14:textId="77777777" w:rsidR="004D4C8F" w:rsidRDefault="004D4C8F">
      <w:r>
        <w:separator/>
      </w:r>
    </w:p>
  </w:endnote>
  <w:endnote w:type="continuationSeparator" w:id="0">
    <w:p w14:paraId="3FA1D508" w14:textId="77777777" w:rsidR="004D4C8F" w:rsidRDefault="004D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8AF2" w14:textId="3F632F1D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F52D05">
      <w:rPr>
        <w:rFonts w:ascii="Segoe UI" w:hAnsi="Segoe UI" w:cs="Segoe UI"/>
        <w:b w:val="0"/>
        <w:bCs/>
        <w:color w:val="auto"/>
        <w:sz w:val="12"/>
        <w:szCs w:val="12"/>
      </w:rPr>
      <w:t xml:space="preserve">Henkel AG &amp; Co. </w:t>
    </w:r>
    <w:proofErr w:type="gramStart"/>
    <w:r w:rsidRPr="00F52D05">
      <w:rPr>
        <w:rFonts w:ascii="Segoe UI" w:hAnsi="Segoe UI" w:cs="Segoe UI"/>
        <w:b w:val="0"/>
        <w:bCs/>
        <w:color w:val="auto"/>
        <w:sz w:val="12"/>
        <w:szCs w:val="12"/>
      </w:rPr>
      <w:t>KGaA  /</w:t>
    </w:r>
    <w:proofErr w:type="gramEnd"/>
    <w:r w:rsidRPr="00F52D05">
      <w:rPr>
        <w:rFonts w:ascii="Segoe UI" w:hAnsi="Segoe UI" w:cs="Segoe UI"/>
        <w:b w:val="0"/>
        <w:bCs/>
        <w:color w:val="auto"/>
        <w:sz w:val="12"/>
        <w:szCs w:val="12"/>
      </w:rPr>
      <w:t xml:space="preserve"> </w:t>
    </w:r>
    <w:r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t>Henkel Magyarország Kft. Vállalati kommunikáció</w:t>
    </w:r>
    <w:r w:rsidR="005370CF"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br/>
    </w:r>
    <w:r w:rsidR="00CF6F33" w:rsidRPr="00B80304">
      <w:rPr>
        <w:color w:val="auto"/>
      </w:rPr>
      <w:tab/>
    </w:r>
    <w:r w:rsidR="00B80304" w:rsidRPr="0057267B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356714C6" w:rsidR="00CF6F33" w:rsidRPr="00B17243" w:rsidRDefault="003C38EC" w:rsidP="00D260A2">
    <w:pPr>
      <w:pStyle w:val="llb"/>
      <w:jc w:val="right"/>
      <w:rPr>
        <w:rFonts w:ascii="Segoe UI" w:hAnsi="Segoe UI" w:cs="Segoe UI"/>
        <w:color w:val="auto"/>
      </w:rPr>
    </w:pPr>
    <w:r w:rsidRPr="00B17243">
      <w:rPr>
        <w:rFonts w:ascii="Segoe UI" w:hAnsi="Segoe UI" w:cs="Segoe UI"/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 w:rsidRPr="00B17243">
      <w:rPr>
        <w:rFonts w:ascii="Segoe UI" w:hAnsi="Segoe UI" w:cs="Segoe UI"/>
        <w:b w:val="0"/>
        <w:noProof/>
        <w:color w:val="auto"/>
        <w:lang w:val="hu-HU" w:eastAsia="hu-HU"/>
      </w:rPr>
      <w:t>Oldal</w:t>
    </w:r>
    <w:r w:rsidR="00CF6F33" w:rsidRPr="00B17243">
      <w:rPr>
        <w:rFonts w:ascii="Segoe UI" w:hAnsi="Segoe UI" w:cs="Segoe UI"/>
        <w:b w:val="0"/>
        <w:color w:val="auto"/>
      </w:rPr>
      <w:t xml:space="preserve"> 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PAGE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BA51DB" w:rsidRPr="00B17243">
      <w:rPr>
        <w:rFonts w:ascii="Segoe UI" w:hAnsi="Segoe UI" w:cs="Segoe UI"/>
        <w:b w:val="0"/>
        <w:noProof/>
        <w:color w:val="auto"/>
      </w:rPr>
      <w:t>1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  <w:r w:rsidR="00CF6F33" w:rsidRPr="00B17243">
      <w:rPr>
        <w:rFonts w:ascii="Segoe UI" w:hAnsi="Segoe UI" w:cs="Segoe UI"/>
        <w:b w:val="0"/>
        <w:color w:val="auto"/>
      </w:rPr>
      <w:t>/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NUMPAGES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BA51DB" w:rsidRPr="00B17243">
      <w:rPr>
        <w:rFonts w:ascii="Segoe UI" w:hAnsi="Segoe UI" w:cs="Segoe UI"/>
        <w:b w:val="0"/>
        <w:noProof/>
        <w:color w:val="auto"/>
      </w:rPr>
      <w:t>3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766C" w14:textId="77777777" w:rsidR="004D4C8F" w:rsidRDefault="004D4C8F">
      <w:r>
        <w:separator/>
      </w:r>
    </w:p>
  </w:footnote>
  <w:footnote w:type="continuationSeparator" w:id="0">
    <w:p w14:paraId="783C767A" w14:textId="77777777" w:rsidR="004D4C8F" w:rsidRDefault="004D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51A94A22">
          <wp:simplePos x="0" y="0"/>
          <wp:positionH relativeFrom="margin">
            <wp:posOffset>4915157</wp:posOffset>
          </wp:positionH>
          <wp:positionV relativeFrom="margin">
            <wp:posOffset>-1615931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336469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Segoe UI" w:hAnsi="Segoe UI" w:cs="Segoe UI"/>
        <w:b/>
        <w:bCs/>
        <w:sz w:val="40"/>
        <w:szCs w:val="40"/>
      </w:rPr>
    </w:pPr>
  </w:p>
  <w:p w14:paraId="711D2F8E" w14:textId="11682BE4" w:rsidR="004E26E2" w:rsidRPr="00EF0AA4" w:rsidRDefault="00A273FB" w:rsidP="00A273FB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b/>
        <w:bCs/>
      </w:rPr>
    </w:pPr>
    <w:r w:rsidRPr="00336469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67701D44" wp14:editId="531FB92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B9835A" id="Group 16" o:spid="_x0000_s1026" style="position:absolute;margin-left:14.2pt;margin-top:297.7pt;width:14.15pt;height:297.65pt;z-index:2516659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  <w:r w:rsidRPr="00336469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4538A2"/>
    <w:multiLevelType w:val="hybridMultilevel"/>
    <w:tmpl w:val="C4D24CCA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71608"/>
    <w:multiLevelType w:val="hybridMultilevel"/>
    <w:tmpl w:val="D8B08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2EEE"/>
    <w:multiLevelType w:val="hybridMultilevel"/>
    <w:tmpl w:val="71925D90"/>
    <w:lvl w:ilvl="0" w:tplc="7C427AAA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71B5"/>
    <w:multiLevelType w:val="hybridMultilevel"/>
    <w:tmpl w:val="0EB808AA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35AD4"/>
    <w:multiLevelType w:val="hybridMultilevel"/>
    <w:tmpl w:val="783C01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F0F34"/>
    <w:multiLevelType w:val="hybridMultilevel"/>
    <w:tmpl w:val="F68E2982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2"/>
  </w:num>
  <w:num w:numId="5">
    <w:abstractNumId w:val="6"/>
  </w:num>
  <w:num w:numId="6">
    <w:abstractNumId w:val="16"/>
  </w:num>
  <w:num w:numId="7">
    <w:abstractNumId w:val="4"/>
  </w:num>
  <w:num w:numId="8">
    <w:abstractNumId w:val="4"/>
  </w:num>
  <w:num w:numId="9">
    <w:abstractNumId w:val="2"/>
  </w:num>
  <w:num w:numId="10">
    <w:abstractNumId w:val="19"/>
  </w:num>
  <w:num w:numId="11">
    <w:abstractNumId w:val="13"/>
  </w:num>
  <w:num w:numId="12">
    <w:abstractNumId w:val="14"/>
  </w:num>
  <w:num w:numId="13">
    <w:abstractNumId w:val="15"/>
  </w:num>
  <w:num w:numId="14">
    <w:abstractNumId w:val="8"/>
  </w:num>
  <w:num w:numId="15">
    <w:abstractNumId w:val="11"/>
  </w:num>
  <w:num w:numId="16">
    <w:abstractNumId w:val="7"/>
  </w:num>
  <w:num w:numId="17">
    <w:abstractNumId w:val="18"/>
  </w:num>
  <w:num w:numId="18">
    <w:abstractNumId w:val="10"/>
  </w:num>
  <w:num w:numId="19">
    <w:abstractNumId w:val="9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1A91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00D7"/>
    <w:rsid w:val="000732FB"/>
    <w:rsid w:val="00077DAF"/>
    <w:rsid w:val="00080A02"/>
    <w:rsid w:val="00080D10"/>
    <w:rsid w:val="00081BA0"/>
    <w:rsid w:val="0008241F"/>
    <w:rsid w:val="00094C2C"/>
    <w:rsid w:val="000A7050"/>
    <w:rsid w:val="000C301B"/>
    <w:rsid w:val="000C3BE5"/>
    <w:rsid w:val="000C56DD"/>
    <w:rsid w:val="000C7402"/>
    <w:rsid w:val="000D1672"/>
    <w:rsid w:val="000E3034"/>
    <w:rsid w:val="000E6536"/>
    <w:rsid w:val="000E7F24"/>
    <w:rsid w:val="000F03BE"/>
    <w:rsid w:val="000F07E6"/>
    <w:rsid w:val="000F225B"/>
    <w:rsid w:val="000F7C51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51ED7"/>
    <w:rsid w:val="0018279F"/>
    <w:rsid w:val="0018495C"/>
    <w:rsid w:val="00191F39"/>
    <w:rsid w:val="001A5DFF"/>
    <w:rsid w:val="001B0474"/>
    <w:rsid w:val="001B6914"/>
    <w:rsid w:val="001C0B32"/>
    <w:rsid w:val="001C4BE1"/>
    <w:rsid w:val="001D398E"/>
    <w:rsid w:val="001E0F71"/>
    <w:rsid w:val="001E6D05"/>
    <w:rsid w:val="001E7C28"/>
    <w:rsid w:val="001F1BDF"/>
    <w:rsid w:val="001F3EF2"/>
    <w:rsid w:val="001F7110"/>
    <w:rsid w:val="001F7E96"/>
    <w:rsid w:val="00212488"/>
    <w:rsid w:val="00220628"/>
    <w:rsid w:val="00225227"/>
    <w:rsid w:val="00226695"/>
    <w:rsid w:val="0023641C"/>
    <w:rsid w:val="00237F62"/>
    <w:rsid w:val="00244CDB"/>
    <w:rsid w:val="0024586A"/>
    <w:rsid w:val="00253042"/>
    <w:rsid w:val="00262C05"/>
    <w:rsid w:val="00270F6D"/>
    <w:rsid w:val="00281723"/>
    <w:rsid w:val="00284042"/>
    <w:rsid w:val="00285B75"/>
    <w:rsid w:val="00287396"/>
    <w:rsid w:val="0029735B"/>
    <w:rsid w:val="002A0DF7"/>
    <w:rsid w:val="002A39A8"/>
    <w:rsid w:val="002A43C0"/>
    <w:rsid w:val="002A45C8"/>
    <w:rsid w:val="002A59B4"/>
    <w:rsid w:val="002A60E0"/>
    <w:rsid w:val="002A6AB9"/>
    <w:rsid w:val="002B6C10"/>
    <w:rsid w:val="002C2275"/>
    <w:rsid w:val="002C252E"/>
    <w:rsid w:val="002C28C1"/>
    <w:rsid w:val="002C6773"/>
    <w:rsid w:val="002D37A9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17369"/>
    <w:rsid w:val="00320A26"/>
    <w:rsid w:val="00321344"/>
    <w:rsid w:val="003227DF"/>
    <w:rsid w:val="00326717"/>
    <w:rsid w:val="00336469"/>
    <w:rsid w:val="0034015C"/>
    <w:rsid w:val="00340508"/>
    <w:rsid w:val="00341FA4"/>
    <w:rsid w:val="00342839"/>
    <w:rsid w:val="00353705"/>
    <w:rsid w:val="00353C13"/>
    <w:rsid w:val="00354EE4"/>
    <w:rsid w:val="003562E8"/>
    <w:rsid w:val="00357719"/>
    <w:rsid w:val="0036051F"/>
    <w:rsid w:val="0036357D"/>
    <w:rsid w:val="00364E9E"/>
    <w:rsid w:val="0036554D"/>
    <w:rsid w:val="00367AA1"/>
    <w:rsid w:val="00367F22"/>
    <w:rsid w:val="00372E36"/>
    <w:rsid w:val="00377CBB"/>
    <w:rsid w:val="003877B6"/>
    <w:rsid w:val="003909D1"/>
    <w:rsid w:val="00393887"/>
    <w:rsid w:val="00394C6B"/>
    <w:rsid w:val="00397057"/>
    <w:rsid w:val="003A3559"/>
    <w:rsid w:val="003B1069"/>
    <w:rsid w:val="003B390A"/>
    <w:rsid w:val="003C15DE"/>
    <w:rsid w:val="003C38EC"/>
    <w:rsid w:val="003C4EB2"/>
    <w:rsid w:val="003C6A25"/>
    <w:rsid w:val="003D08E0"/>
    <w:rsid w:val="003E3B61"/>
    <w:rsid w:val="003E4234"/>
    <w:rsid w:val="003F1AF3"/>
    <w:rsid w:val="003F4D8D"/>
    <w:rsid w:val="0040489E"/>
    <w:rsid w:val="00406921"/>
    <w:rsid w:val="0040727E"/>
    <w:rsid w:val="00410A24"/>
    <w:rsid w:val="0041408D"/>
    <w:rsid w:val="00415A70"/>
    <w:rsid w:val="00417A82"/>
    <w:rsid w:val="00422A87"/>
    <w:rsid w:val="004313E7"/>
    <w:rsid w:val="0044763B"/>
    <w:rsid w:val="00462102"/>
    <w:rsid w:val="004629B3"/>
    <w:rsid w:val="0046376E"/>
    <w:rsid w:val="0046690F"/>
    <w:rsid w:val="00477B58"/>
    <w:rsid w:val="00483BD6"/>
    <w:rsid w:val="00490A03"/>
    <w:rsid w:val="00494DBE"/>
    <w:rsid w:val="00495CE6"/>
    <w:rsid w:val="004A1F07"/>
    <w:rsid w:val="004A323C"/>
    <w:rsid w:val="004A3D35"/>
    <w:rsid w:val="004A7915"/>
    <w:rsid w:val="004B54E8"/>
    <w:rsid w:val="004C1803"/>
    <w:rsid w:val="004C4FEB"/>
    <w:rsid w:val="004D059B"/>
    <w:rsid w:val="004D4C8F"/>
    <w:rsid w:val="004D4CB6"/>
    <w:rsid w:val="004E26E2"/>
    <w:rsid w:val="004E27B2"/>
    <w:rsid w:val="004E6A6F"/>
    <w:rsid w:val="004F10C1"/>
    <w:rsid w:val="00501953"/>
    <w:rsid w:val="00502E62"/>
    <w:rsid w:val="0051106A"/>
    <w:rsid w:val="005150EB"/>
    <w:rsid w:val="0052212B"/>
    <w:rsid w:val="005234A3"/>
    <w:rsid w:val="0052553E"/>
    <w:rsid w:val="00534B46"/>
    <w:rsid w:val="005370CF"/>
    <w:rsid w:val="00540358"/>
    <w:rsid w:val="005446C0"/>
    <w:rsid w:val="00547E79"/>
    <w:rsid w:val="00552357"/>
    <w:rsid w:val="005531B0"/>
    <w:rsid w:val="00553455"/>
    <w:rsid w:val="00555A2F"/>
    <w:rsid w:val="00556F67"/>
    <w:rsid w:val="0057267B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0BBC"/>
    <w:rsid w:val="005D1562"/>
    <w:rsid w:val="005D22F6"/>
    <w:rsid w:val="005E0C30"/>
    <w:rsid w:val="005E69D9"/>
    <w:rsid w:val="005F25AF"/>
    <w:rsid w:val="005F27F4"/>
    <w:rsid w:val="005F3239"/>
    <w:rsid w:val="005F5678"/>
    <w:rsid w:val="005F58CE"/>
    <w:rsid w:val="00600F4C"/>
    <w:rsid w:val="00602C7F"/>
    <w:rsid w:val="00607256"/>
    <w:rsid w:val="006144B1"/>
    <w:rsid w:val="00617ECF"/>
    <w:rsid w:val="006335F1"/>
    <w:rsid w:val="006345B6"/>
    <w:rsid w:val="00635712"/>
    <w:rsid w:val="00636D3E"/>
    <w:rsid w:val="00637741"/>
    <w:rsid w:val="00652229"/>
    <w:rsid w:val="00652793"/>
    <w:rsid w:val="006610A4"/>
    <w:rsid w:val="006626CA"/>
    <w:rsid w:val="00663487"/>
    <w:rsid w:val="00670210"/>
    <w:rsid w:val="00670A2E"/>
    <w:rsid w:val="006713EE"/>
    <w:rsid w:val="00672382"/>
    <w:rsid w:val="006861DB"/>
    <w:rsid w:val="00690B19"/>
    <w:rsid w:val="00697656"/>
    <w:rsid w:val="006A3639"/>
    <w:rsid w:val="006A4D1B"/>
    <w:rsid w:val="006B499F"/>
    <w:rsid w:val="006C51CA"/>
    <w:rsid w:val="006C52CD"/>
    <w:rsid w:val="006D343E"/>
    <w:rsid w:val="006D4996"/>
    <w:rsid w:val="006D54AB"/>
    <w:rsid w:val="006E02A0"/>
    <w:rsid w:val="006E21FF"/>
    <w:rsid w:val="006E3262"/>
    <w:rsid w:val="006E3ED2"/>
    <w:rsid w:val="006E5032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1576"/>
    <w:rsid w:val="00753A24"/>
    <w:rsid w:val="0076157D"/>
    <w:rsid w:val="00763189"/>
    <w:rsid w:val="007654C7"/>
    <w:rsid w:val="00772188"/>
    <w:rsid w:val="00774B6F"/>
    <w:rsid w:val="00775D8E"/>
    <w:rsid w:val="00780C94"/>
    <w:rsid w:val="00781D40"/>
    <w:rsid w:val="00782139"/>
    <w:rsid w:val="00786BA3"/>
    <w:rsid w:val="007965DD"/>
    <w:rsid w:val="007A1667"/>
    <w:rsid w:val="007A1BBD"/>
    <w:rsid w:val="007A4432"/>
    <w:rsid w:val="007A5391"/>
    <w:rsid w:val="007A78C1"/>
    <w:rsid w:val="007B499C"/>
    <w:rsid w:val="007B4D4B"/>
    <w:rsid w:val="007C3976"/>
    <w:rsid w:val="007C6C17"/>
    <w:rsid w:val="007D2A02"/>
    <w:rsid w:val="007E36F8"/>
    <w:rsid w:val="007E6EA1"/>
    <w:rsid w:val="007F15FB"/>
    <w:rsid w:val="007F1928"/>
    <w:rsid w:val="007F26BD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3D51"/>
    <w:rsid w:val="008356A6"/>
    <w:rsid w:val="008372D2"/>
    <w:rsid w:val="0084153E"/>
    <w:rsid w:val="008430B6"/>
    <w:rsid w:val="00844C17"/>
    <w:rsid w:val="00847726"/>
    <w:rsid w:val="00852511"/>
    <w:rsid w:val="008541D2"/>
    <w:rsid w:val="00855F28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0D32"/>
    <w:rsid w:val="008C445C"/>
    <w:rsid w:val="008C5796"/>
    <w:rsid w:val="008D294B"/>
    <w:rsid w:val="008D76C5"/>
    <w:rsid w:val="008E0AFA"/>
    <w:rsid w:val="008E75D3"/>
    <w:rsid w:val="008F125E"/>
    <w:rsid w:val="008F4D2F"/>
    <w:rsid w:val="009017DB"/>
    <w:rsid w:val="009026EC"/>
    <w:rsid w:val="009042F7"/>
    <w:rsid w:val="00911B05"/>
    <w:rsid w:val="00917162"/>
    <w:rsid w:val="0092465B"/>
    <w:rsid w:val="009251CC"/>
    <w:rsid w:val="0092714E"/>
    <w:rsid w:val="009318D6"/>
    <w:rsid w:val="00933950"/>
    <w:rsid w:val="00935F6F"/>
    <w:rsid w:val="00942002"/>
    <w:rsid w:val="00947885"/>
    <w:rsid w:val="00950C9C"/>
    <w:rsid w:val="00952168"/>
    <w:rsid w:val="009527FE"/>
    <w:rsid w:val="009528EB"/>
    <w:rsid w:val="0095742C"/>
    <w:rsid w:val="009739A0"/>
    <w:rsid w:val="009767C7"/>
    <w:rsid w:val="0098579A"/>
    <w:rsid w:val="00986EBE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2064"/>
    <w:rsid w:val="009F36B2"/>
    <w:rsid w:val="009F6026"/>
    <w:rsid w:val="00A044D6"/>
    <w:rsid w:val="00A04ADB"/>
    <w:rsid w:val="00A114EB"/>
    <w:rsid w:val="00A11E0F"/>
    <w:rsid w:val="00A12330"/>
    <w:rsid w:val="00A17EB3"/>
    <w:rsid w:val="00A244C2"/>
    <w:rsid w:val="00A26CB6"/>
    <w:rsid w:val="00A273FB"/>
    <w:rsid w:val="00A305DE"/>
    <w:rsid w:val="00A309CD"/>
    <w:rsid w:val="00A32F82"/>
    <w:rsid w:val="00A32F8B"/>
    <w:rsid w:val="00A45A62"/>
    <w:rsid w:val="00A54AC5"/>
    <w:rsid w:val="00A561C8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A3BDF"/>
    <w:rsid w:val="00AB1CB6"/>
    <w:rsid w:val="00AB1D9A"/>
    <w:rsid w:val="00AB566F"/>
    <w:rsid w:val="00AB733B"/>
    <w:rsid w:val="00AC1852"/>
    <w:rsid w:val="00AC7550"/>
    <w:rsid w:val="00AD44FE"/>
    <w:rsid w:val="00AE49F1"/>
    <w:rsid w:val="00AE76BB"/>
    <w:rsid w:val="00B02FC0"/>
    <w:rsid w:val="00B0432A"/>
    <w:rsid w:val="00B04496"/>
    <w:rsid w:val="00B05CCA"/>
    <w:rsid w:val="00B14271"/>
    <w:rsid w:val="00B17243"/>
    <w:rsid w:val="00B2685D"/>
    <w:rsid w:val="00B30351"/>
    <w:rsid w:val="00B33C2A"/>
    <w:rsid w:val="00B422EC"/>
    <w:rsid w:val="00B44A68"/>
    <w:rsid w:val="00B47369"/>
    <w:rsid w:val="00B56839"/>
    <w:rsid w:val="00B60007"/>
    <w:rsid w:val="00B6125D"/>
    <w:rsid w:val="00B80248"/>
    <w:rsid w:val="00B80304"/>
    <w:rsid w:val="00B85D91"/>
    <w:rsid w:val="00B86A03"/>
    <w:rsid w:val="00B86A4F"/>
    <w:rsid w:val="00B958E8"/>
    <w:rsid w:val="00BA09B2"/>
    <w:rsid w:val="00BA51DB"/>
    <w:rsid w:val="00BC0995"/>
    <w:rsid w:val="00BE2F3F"/>
    <w:rsid w:val="00BE793A"/>
    <w:rsid w:val="00BF432A"/>
    <w:rsid w:val="00BF4CF7"/>
    <w:rsid w:val="00BF6E82"/>
    <w:rsid w:val="00C0159B"/>
    <w:rsid w:val="00C04A99"/>
    <w:rsid w:val="00C2313E"/>
    <w:rsid w:val="00C24C17"/>
    <w:rsid w:val="00C24C2F"/>
    <w:rsid w:val="00C31F37"/>
    <w:rsid w:val="00C40B88"/>
    <w:rsid w:val="00C47D87"/>
    <w:rsid w:val="00C5376E"/>
    <w:rsid w:val="00C60BCE"/>
    <w:rsid w:val="00C76F73"/>
    <w:rsid w:val="00C83A21"/>
    <w:rsid w:val="00C84EC6"/>
    <w:rsid w:val="00C94516"/>
    <w:rsid w:val="00C97091"/>
    <w:rsid w:val="00CA2001"/>
    <w:rsid w:val="00CB13F9"/>
    <w:rsid w:val="00CB5B6C"/>
    <w:rsid w:val="00CC4922"/>
    <w:rsid w:val="00CC7B25"/>
    <w:rsid w:val="00CD21EB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4174"/>
    <w:rsid w:val="00D17099"/>
    <w:rsid w:val="00D17E3B"/>
    <w:rsid w:val="00D23C09"/>
    <w:rsid w:val="00D23CED"/>
    <w:rsid w:val="00D24BD2"/>
    <w:rsid w:val="00D260A2"/>
    <w:rsid w:val="00D30CC6"/>
    <w:rsid w:val="00D3260C"/>
    <w:rsid w:val="00D32FB3"/>
    <w:rsid w:val="00D35790"/>
    <w:rsid w:val="00D371A0"/>
    <w:rsid w:val="00D41BC5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014E"/>
    <w:rsid w:val="00DC1ED9"/>
    <w:rsid w:val="00DC366F"/>
    <w:rsid w:val="00DD512E"/>
    <w:rsid w:val="00DD520D"/>
    <w:rsid w:val="00DE1177"/>
    <w:rsid w:val="00DE2CEA"/>
    <w:rsid w:val="00DE6535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5C53"/>
    <w:rsid w:val="00E3735E"/>
    <w:rsid w:val="00E37F70"/>
    <w:rsid w:val="00E446C1"/>
    <w:rsid w:val="00E56038"/>
    <w:rsid w:val="00E61CB9"/>
    <w:rsid w:val="00E758B9"/>
    <w:rsid w:val="00E85569"/>
    <w:rsid w:val="00E856AF"/>
    <w:rsid w:val="00E90E08"/>
    <w:rsid w:val="00E92D7D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E3871"/>
    <w:rsid w:val="00EF15FF"/>
    <w:rsid w:val="00EF2D0D"/>
    <w:rsid w:val="00EF3CC1"/>
    <w:rsid w:val="00EF7111"/>
    <w:rsid w:val="00EF7AD1"/>
    <w:rsid w:val="00EF7D1A"/>
    <w:rsid w:val="00F0448F"/>
    <w:rsid w:val="00F112B9"/>
    <w:rsid w:val="00F142F3"/>
    <w:rsid w:val="00F223A3"/>
    <w:rsid w:val="00F238D4"/>
    <w:rsid w:val="00F275C0"/>
    <w:rsid w:val="00F27996"/>
    <w:rsid w:val="00F36145"/>
    <w:rsid w:val="00F37BDD"/>
    <w:rsid w:val="00F41503"/>
    <w:rsid w:val="00F466C8"/>
    <w:rsid w:val="00F50B46"/>
    <w:rsid w:val="00F52372"/>
    <w:rsid w:val="00F52D05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97E23"/>
    <w:rsid w:val="00FA2E19"/>
    <w:rsid w:val="00FA570C"/>
    <w:rsid w:val="00FB2D3D"/>
    <w:rsid w:val="00FB610D"/>
    <w:rsid w:val="00FC7E43"/>
    <w:rsid w:val="00FD4CCA"/>
    <w:rsid w:val="00FE2A9E"/>
    <w:rsid w:val="00FE2F73"/>
    <w:rsid w:val="00FF2B7E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34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  <w:style w:type="paragraph" w:customStyle="1" w:styleId="Style12ptJustifiedLinespacing15lines1">
    <w:name w:val="Style 12 pt Justified Line spacing:  1.5 lines1"/>
    <w:basedOn w:val="Norml"/>
    <w:rsid w:val="00336469"/>
    <w:pPr>
      <w:spacing w:before="120" w:line="276" w:lineRule="auto"/>
      <w:jc w:val="both"/>
    </w:pPr>
    <w:rPr>
      <w:rFonts w:ascii="Segoe UI" w:hAnsi="Segoe UI"/>
      <w:sz w:val="22"/>
      <w:szCs w:val="20"/>
      <w:lang w:val="en-US"/>
    </w:rPr>
  </w:style>
  <w:style w:type="character" w:customStyle="1" w:styleId="Headline">
    <w:name w:val="Headline"/>
    <w:basedOn w:val="Bekezdsalapbettpusa"/>
    <w:rsid w:val="00336469"/>
    <w:rPr>
      <w:rFonts w:cs="Times New Roman"/>
      <w:b/>
      <w:bCs/>
      <w:sz w:val="32"/>
    </w:rPr>
  </w:style>
  <w:style w:type="paragraph" w:customStyle="1" w:styleId="Topline">
    <w:name w:val="Topline"/>
    <w:basedOn w:val="Norml"/>
    <w:qFormat/>
    <w:rsid w:val="00336469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character" w:customStyle="1" w:styleId="AboutandContactHeadline">
    <w:name w:val="About and Contact Headline"/>
    <w:basedOn w:val="Bekezdsalapbettpusa"/>
    <w:rsid w:val="00336469"/>
    <w:rPr>
      <w:rFonts w:ascii="Segoe UI" w:hAnsi="Segoe UI" w:cs="Times New Roman"/>
      <w:b/>
      <w:bCs/>
      <w:sz w:val="18"/>
    </w:rPr>
  </w:style>
  <w:style w:type="character" w:customStyle="1" w:styleId="AboutandContactBody">
    <w:name w:val="About and Contact Body"/>
    <w:basedOn w:val="Bekezdsalapbettpusa"/>
    <w:rsid w:val="00B17243"/>
    <w:rPr>
      <w:rFonts w:ascii="Segoe UI" w:hAnsi="Segoe UI"/>
      <w:sz w:val="18"/>
    </w:rPr>
  </w:style>
  <w:style w:type="paragraph" w:customStyle="1" w:styleId="He01FlietextAufzhlung1Ebene">
    <w:name w:val="_He_01_Fließtext Aufzählung 1. Ebene"/>
    <w:next w:val="Norml"/>
    <w:qFormat/>
    <w:rsid w:val="004E26E2"/>
    <w:pPr>
      <w:numPr>
        <w:numId w:val="20"/>
      </w:numPr>
      <w:spacing w:after="113" w:line="276" w:lineRule="auto"/>
    </w:pPr>
    <w:rPr>
      <w:rFonts w:ascii="Arial" w:eastAsiaTheme="minorHAnsi" w:hAnsi="Arial" w:cstheme="minorBidi"/>
      <w:sz w:val="24"/>
      <w:szCs w:val="22"/>
      <w:lang w:val="en-US" w:eastAsia="en-US"/>
    </w:rPr>
  </w:style>
  <w:style w:type="paragraph" w:customStyle="1" w:styleId="He02berschriftEbene1">
    <w:name w:val="_He_02_Überschrift Ebene 1"/>
    <w:next w:val="Norml"/>
    <w:qFormat/>
    <w:rsid w:val="004E26E2"/>
    <w:pPr>
      <w:pageBreakBefore/>
      <w:spacing w:after="113"/>
    </w:pPr>
    <w:rPr>
      <w:rFonts w:ascii="Arial" w:eastAsiaTheme="minorHAnsi" w:hAnsi="Arial" w:cstheme="minorBidi"/>
      <w:color w:val="D7000F"/>
      <w:sz w:val="48"/>
      <w:szCs w:val="22"/>
      <w:lang w:val="en-US" w:eastAsia="en-US"/>
    </w:rPr>
  </w:style>
  <w:style w:type="paragraph" w:customStyle="1" w:styleId="He02berschriftEbene2">
    <w:name w:val="_He_02_Überschrift Ebene 2"/>
    <w:next w:val="Norml"/>
    <w:qFormat/>
    <w:rsid w:val="004E26E2"/>
    <w:pPr>
      <w:spacing w:after="113"/>
    </w:pPr>
    <w:rPr>
      <w:rFonts w:ascii="Arial" w:eastAsiaTheme="minorHAnsi" w:hAnsi="Arial" w:cstheme="minorBidi"/>
      <w:b/>
      <w:sz w:val="28"/>
      <w:szCs w:val="22"/>
      <w:lang w:val="en-US" w:eastAsia="en-US"/>
    </w:rPr>
  </w:style>
  <w:style w:type="paragraph" w:customStyle="1" w:styleId="He01FlietextAufzhlung2Ebene">
    <w:name w:val="_He_01_Fließtext Aufzählung 2. Ebene"/>
    <w:next w:val="Norml"/>
    <w:qFormat/>
    <w:rsid w:val="00354EE4"/>
    <w:pPr>
      <w:numPr>
        <w:numId w:val="21"/>
      </w:numPr>
      <w:spacing w:after="160"/>
    </w:pPr>
    <w:rPr>
      <w:rFonts w:ascii="Segoe UI" w:hAnsi="Segoe U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linda.gehring@henke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nnis.starke@henke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nifer.ott@henke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rs.witteck@henke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rs.korinth@henkel.com" TargetMode="External"/><Relationship Id="rId14" Type="http://schemas.openxmlformats.org/officeDocument/2006/relationships/hyperlink" Target="mailto:vallalati.kommunikacio@henke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9E30-622E-40DE-B00F-8A2C010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9</Pages>
  <Words>2906</Words>
  <Characters>20055</Characters>
  <Application>Microsoft Office Word</Application>
  <DocSecurity>0</DocSecurity>
  <Lines>167</Lines>
  <Paragraphs>45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22916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9</cp:revision>
  <cp:lastPrinted>2016-11-16T08:11:00Z</cp:lastPrinted>
  <dcterms:created xsi:type="dcterms:W3CDTF">2021-08-12T15:31:00Z</dcterms:created>
  <dcterms:modified xsi:type="dcterms:W3CDTF">2021-08-12T18:00:00Z</dcterms:modified>
</cp:coreProperties>
</file>