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6CF6" w14:textId="77777777" w:rsidR="00B422EC" w:rsidRPr="0037148A" w:rsidRDefault="00E41377" w:rsidP="00E41377">
      <w:pPr>
        <w:pStyle w:val="MonthDayYear"/>
        <w:tabs>
          <w:tab w:val="left" w:pos="7513"/>
        </w:tabs>
        <w:jc w:val="left"/>
      </w:pPr>
      <w:r w:rsidRPr="0037148A">
        <w:tab/>
      </w:r>
      <w:r w:rsidR="00AD58A5">
        <w:t>12. august</w:t>
      </w:r>
      <w:r w:rsidR="00BF6E82" w:rsidRPr="0037148A">
        <w:t xml:space="preserve"> 20</w:t>
      </w:r>
      <w:r w:rsidR="00F635FC" w:rsidRPr="0037148A">
        <w:t>2</w:t>
      </w:r>
      <w:r w:rsidR="004C0138" w:rsidRPr="0037148A">
        <w:t>1</w:t>
      </w:r>
    </w:p>
    <w:p w14:paraId="66D3F108" w14:textId="77777777" w:rsidR="007F0F63" w:rsidRPr="00C057E5" w:rsidRDefault="004E4140" w:rsidP="002D63B8">
      <w:pPr>
        <w:pStyle w:val="Topline"/>
        <w:spacing w:after="360" w:line="280" w:lineRule="auto"/>
        <w:rPr>
          <w:rFonts w:asciiTheme="majorHAnsi" w:hAnsiTheme="majorHAnsi" w:cstheme="majorHAnsi"/>
        </w:rPr>
      </w:pPr>
      <w:r w:rsidRPr="002D63B8">
        <w:rPr>
          <w:rFonts w:asciiTheme="majorHAnsi" w:hAnsiTheme="majorHAnsi" w:cstheme="majorHAnsi"/>
          <w:lang w:val="sk-SK"/>
        </w:rPr>
        <w:t>Implementácia strategickej agendy rastu je na dobrej ceste</w:t>
      </w:r>
    </w:p>
    <w:p w14:paraId="6BD2ADAD" w14:textId="77777777" w:rsidR="007F0F63" w:rsidRPr="007F4562" w:rsidRDefault="002D63B8" w:rsidP="002D63B8">
      <w:pPr>
        <w:spacing w:line="280" w:lineRule="auto"/>
        <w:jc w:val="left"/>
        <w:rPr>
          <w:rStyle w:val="Headline"/>
          <w:rFonts w:asciiTheme="majorHAnsi" w:hAnsiTheme="majorHAnsi" w:cstheme="majorHAnsi"/>
        </w:rPr>
      </w:pPr>
      <w:r w:rsidRPr="002D63B8">
        <w:rPr>
          <w:rFonts w:asciiTheme="majorHAnsi" w:hAnsiTheme="majorHAnsi" w:cstheme="majorHAnsi"/>
          <w:b/>
          <w:bCs/>
          <w:sz w:val="32"/>
          <w:lang w:val="sk-SK"/>
        </w:rPr>
        <w:t>Spoločnosť Henkel zaznamenala v prvom polroku veľmi silné hospodárske výsledky – dvojciferný rast obratu aj výnosov</w:t>
      </w:r>
    </w:p>
    <w:p w14:paraId="0C5DA3A9" w14:textId="77777777" w:rsidR="00852511" w:rsidRPr="007F4562" w:rsidRDefault="00852511" w:rsidP="00365E44"/>
    <w:p w14:paraId="7F5C4DC0" w14:textId="77777777" w:rsidR="00C057E5" w:rsidRPr="00245660" w:rsidRDefault="009616A8" w:rsidP="009616A8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bookmarkStart w:id="0" w:name="_Hlk43712519"/>
      <w:r w:rsidRPr="009616A8">
        <w:rPr>
          <w:rFonts w:asciiTheme="majorHAnsi" w:hAnsiTheme="majorHAnsi" w:cstheme="majorHAnsi"/>
          <w:b/>
          <w:szCs w:val="22"/>
          <w:lang w:val="sk-SK"/>
        </w:rPr>
        <w:t>Obrat skupiny organicky rástol o 11,3</w:t>
      </w:r>
      <w:r w:rsidRPr="009616A8">
        <w:rPr>
          <w:b/>
          <w:lang w:val="sk-SK"/>
        </w:rPr>
        <w:t> %</w:t>
      </w:r>
      <w:r w:rsidRPr="009616A8">
        <w:rPr>
          <w:rFonts w:asciiTheme="majorHAnsi" w:hAnsiTheme="majorHAnsi" w:cstheme="majorHAnsi"/>
          <w:b/>
          <w:szCs w:val="22"/>
          <w:lang w:val="sk-SK"/>
        </w:rPr>
        <w:t xml:space="preserve"> na približne 10</w:t>
      </w:r>
      <w:r w:rsidRPr="009616A8">
        <w:rPr>
          <w:b/>
          <w:lang w:val="sk-SK"/>
        </w:rPr>
        <w:t> miliár</w:t>
      </w:r>
      <w:r w:rsidRPr="009616A8">
        <w:rPr>
          <w:rFonts w:asciiTheme="majorHAnsi" w:hAnsiTheme="majorHAnsi" w:cstheme="majorHAnsi"/>
          <w:b/>
          <w:szCs w:val="22"/>
          <w:lang w:val="sk-SK"/>
        </w:rPr>
        <w:t>d eur (nominálne +4,7 %), ku ktorému prispeli všetky obchodné divízie a regióny</w:t>
      </w:r>
    </w:p>
    <w:p w14:paraId="131FCA45" w14:textId="71BDDC33" w:rsidR="00391A5F" w:rsidRPr="00C057E5" w:rsidRDefault="00335EDB" w:rsidP="00371470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371470">
        <w:rPr>
          <w:rFonts w:asciiTheme="majorHAnsi" w:hAnsiTheme="majorHAnsi" w:cstheme="majorHAnsi"/>
          <w:b/>
          <w:szCs w:val="22"/>
          <w:lang w:val="sk-SK"/>
        </w:rPr>
        <w:t>Prevádzkový zisk</w:t>
      </w:r>
      <w:r w:rsidR="00AE4627" w:rsidRPr="00AE4627">
        <w:rPr>
          <w:rStyle w:val="FootnoteReference"/>
          <w:rFonts w:asciiTheme="majorHAnsi" w:hAnsiTheme="majorHAnsi" w:cstheme="majorHAnsi"/>
          <w:b/>
          <w:szCs w:val="22"/>
          <w:lang w:val="sk-SK"/>
        </w:rPr>
        <w:footnoteReference w:customMarkFollows="1" w:id="1"/>
        <w:t>*</w:t>
      </w:r>
      <w:r w:rsidRPr="00371470">
        <w:rPr>
          <w:rFonts w:asciiTheme="majorHAnsi" w:hAnsiTheme="majorHAnsi" w:cstheme="majorHAnsi"/>
          <w:b/>
          <w:szCs w:val="22"/>
          <w:lang w:val="sk-SK"/>
        </w:rPr>
        <w:t xml:space="preserve"> sa zvýšili na 1 430 </w:t>
      </w:r>
      <w:r w:rsidR="00D018C4">
        <w:rPr>
          <w:rFonts w:asciiTheme="majorHAnsi" w:hAnsiTheme="majorHAnsi" w:cstheme="majorHAnsi"/>
          <w:b/>
          <w:szCs w:val="22"/>
          <w:lang w:val="sk-SK"/>
        </w:rPr>
        <w:t>mil.</w:t>
      </w:r>
      <w:r w:rsidRPr="00371470">
        <w:rPr>
          <w:rFonts w:asciiTheme="majorHAnsi" w:hAnsiTheme="majorHAnsi" w:cstheme="majorHAnsi"/>
          <w:b/>
          <w:szCs w:val="22"/>
          <w:lang w:val="sk-SK"/>
        </w:rPr>
        <w:t xml:space="preserve"> EUR</w:t>
      </w:r>
      <w:r w:rsidR="003A69DC" w:rsidRPr="00371470">
        <w:rPr>
          <w:rFonts w:asciiTheme="majorHAnsi" w:hAnsiTheme="majorHAnsi" w:cstheme="majorHAnsi"/>
          <w:b/>
          <w:szCs w:val="22"/>
          <w:lang w:val="sk-SK"/>
        </w:rPr>
        <w:t>:</w:t>
      </w:r>
      <w:r w:rsidRPr="00371470">
        <w:rPr>
          <w:rFonts w:asciiTheme="majorHAnsi" w:hAnsiTheme="majorHAnsi" w:cstheme="majorHAnsi"/>
          <w:b/>
          <w:szCs w:val="22"/>
          <w:lang w:val="sk-SK"/>
        </w:rPr>
        <w:t xml:space="preserve"> +20,1 %</w:t>
      </w:r>
    </w:p>
    <w:p w14:paraId="459F74EF" w14:textId="77777777" w:rsidR="00391A5F" w:rsidRPr="005F2787" w:rsidRDefault="00371470" w:rsidP="00371470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371470">
        <w:rPr>
          <w:rFonts w:asciiTheme="majorHAnsi" w:hAnsiTheme="majorHAnsi" w:cstheme="majorHAnsi"/>
          <w:b/>
          <w:szCs w:val="22"/>
          <w:lang w:val="sk-SK"/>
        </w:rPr>
        <w:t>Marža EBIT</w:t>
      </w:r>
      <w:r w:rsidR="00316F7A" w:rsidRPr="005F2787">
        <w:rPr>
          <w:rFonts w:asciiTheme="majorHAnsi" w:hAnsiTheme="majorHAnsi" w:cstheme="majorHAnsi"/>
          <w:b/>
          <w:vertAlign w:val="superscript"/>
          <w:lang w:val="it-IT"/>
        </w:rPr>
        <w:t>*</w:t>
      </w:r>
      <w:r>
        <w:rPr>
          <w:rFonts w:asciiTheme="majorHAnsi" w:hAnsiTheme="majorHAnsi" w:cstheme="majorHAnsi"/>
          <w:b/>
          <w:szCs w:val="22"/>
          <w:lang w:val="sk-SK"/>
        </w:rPr>
        <w:t xml:space="preserve"> sa zvýšila na 14,4 %: +1,9 percentuálneho bodu</w:t>
      </w:r>
    </w:p>
    <w:p w14:paraId="1155D3B0" w14:textId="77777777" w:rsidR="00391A5F" w:rsidRPr="005F2787" w:rsidRDefault="00EF0067" w:rsidP="00AE4627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AE4627">
        <w:rPr>
          <w:rFonts w:asciiTheme="majorHAnsi" w:hAnsiTheme="majorHAnsi" w:cstheme="majorHAnsi"/>
          <w:b/>
          <w:szCs w:val="22"/>
          <w:lang w:val="sk-SK"/>
        </w:rPr>
        <w:t>Výnos na prioritnú akciu (EPS)</w:t>
      </w:r>
      <w:r w:rsidR="00C02E71" w:rsidRPr="005F2787">
        <w:rPr>
          <w:rFonts w:asciiTheme="majorHAnsi" w:hAnsiTheme="majorHAnsi" w:cstheme="majorHAnsi"/>
          <w:b/>
          <w:vertAlign w:val="superscript"/>
          <w:lang w:val="it-IT"/>
        </w:rPr>
        <w:t xml:space="preserve"> *</w:t>
      </w:r>
      <w:r w:rsidRPr="00AE4627">
        <w:rPr>
          <w:rFonts w:asciiTheme="majorHAnsi" w:hAnsiTheme="majorHAnsi" w:cstheme="majorHAnsi"/>
          <w:b/>
          <w:szCs w:val="22"/>
          <w:lang w:val="sk-SK"/>
        </w:rPr>
        <w:t xml:space="preserve"> sa zvýšili o 22,4 % na 2,40 eur: +30,1 %, pri konštantných menových kurzoch</w:t>
      </w:r>
    </w:p>
    <w:p w14:paraId="24A6B8C4" w14:textId="77777777" w:rsidR="005567E2" w:rsidRPr="005F2787" w:rsidRDefault="00AE4627" w:rsidP="00CA55FD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CA55FD">
        <w:rPr>
          <w:rFonts w:asciiTheme="majorHAnsi" w:hAnsiTheme="majorHAnsi" w:cstheme="majorHAnsi"/>
          <w:b/>
          <w:szCs w:val="22"/>
          <w:lang w:val="sk-SK"/>
        </w:rPr>
        <w:t>Pokrok dosahujeme vo všetkých oblastiach agendy pre zmysluplný rast</w:t>
      </w:r>
    </w:p>
    <w:p w14:paraId="2B0B0907" w14:textId="77777777" w:rsidR="00391A5F" w:rsidRPr="005F2787" w:rsidRDefault="00CA55FD" w:rsidP="00B54181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B54181">
        <w:rPr>
          <w:rFonts w:asciiTheme="majorHAnsi" w:hAnsiTheme="majorHAnsi" w:cstheme="majorHAnsi"/>
          <w:b/>
          <w:szCs w:val="22"/>
          <w:lang w:val="sk-SK"/>
        </w:rPr>
        <w:t>Aktualizovaný výhľad na finančný rok 2021: vyšší rast obratu pri neznemených výnosoch</w:t>
      </w:r>
    </w:p>
    <w:p w14:paraId="61661281" w14:textId="77777777" w:rsidR="000760C4" w:rsidRPr="005F2787" w:rsidRDefault="00B54181" w:rsidP="000760C4">
      <w:pPr>
        <w:pStyle w:val="He01FlietextAufzhlung2Ebene"/>
        <w:rPr>
          <w:b/>
          <w:bCs/>
          <w:lang w:val="it-IT"/>
        </w:rPr>
      </w:pPr>
      <w:r w:rsidRPr="00B54181">
        <w:rPr>
          <w:b/>
          <w:lang w:val="sk-SK"/>
        </w:rPr>
        <w:t>Organický rast obratu:</w:t>
      </w:r>
      <w:r w:rsidR="000760C4" w:rsidRPr="005F2787">
        <w:rPr>
          <w:b/>
          <w:lang w:val="it-IT"/>
        </w:rPr>
        <w:t xml:space="preserve"> </w:t>
      </w:r>
      <w:r w:rsidR="00C36AFD">
        <w:rPr>
          <w:b/>
          <w:lang w:val="sk-SK"/>
        </w:rPr>
        <w:t xml:space="preserve">zo </w:t>
      </w:r>
      <w:r w:rsidRPr="00C36AFD">
        <w:rPr>
          <w:b/>
          <w:lang w:val="sk-SK"/>
        </w:rPr>
        <w:t xml:space="preserve">6,0 na 8,0 percent (predtým: </w:t>
      </w:r>
      <w:r w:rsidR="00C36AFD">
        <w:rPr>
          <w:b/>
          <w:lang w:val="sk-SK"/>
        </w:rPr>
        <w:t>zo 4</w:t>
      </w:r>
      <w:r w:rsidRPr="00C36AFD">
        <w:rPr>
          <w:b/>
          <w:lang w:val="sk-SK"/>
        </w:rPr>
        <w:t>,0 na 6,0 percent)</w:t>
      </w:r>
    </w:p>
    <w:p w14:paraId="23E0CB36" w14:textId="77777777" w:rsidR="000760C4" w:rsidRPr="005F2787" w:rsidRDefault="00C36AFD" w:rsidP="000760C4">
      <w:pPr>
        <w:pStyle w:val="He01FlietextAufzhlung2Ebene"/>
        <w:rPr>
          <w:b/>
          <w:bCs/>
          <w:lang w:val="it-IT"/>
        </w:rPr>
      </w:pPr>
      <w:r w:rsidRPr="00D840BD">
        <w:rPr>
          <w:b/>
          <w:lang w:val="sk-SK"/>
        </w:rPr>
        <w:t xml:space="preserve">Marža </w:t>
      </w:r>
      <w:r w:rsidRPr="007A4D0C">
        <w:rPr>
          <w:b/>
          <w:lang w:val="sk-SK"/>
        </w:rPr>
        <w:t>EBIT</w:t>
      </w:r>
      <w:r w:rsidR="007A4D0C" w:rsidRPr="005F2787">
        <w:rPr>
          <w:rFonts w:asciiTheme="majorHAnsi" w:hAnsiTheme="majorHAnsi" w:cstheme="majorHAnsi"/>
          <w:b/>
          <w:vertAlign w:val="superscript"/>
          <w:lang w:val="it-IT"/>
        </w:rPr>
        <w:t>*</w:t>
      </w:r>
      <w:r w:rsidRPr="007A4D0C">
        <w:rPr>
          <w:b/>
          <w:lang w:val="sk-SK"/>
        </w:rPr>
        <w:t>:</w:t>
      </w:r>
      <w:r w:rsidR="000760C4" w:rsidRPr="005F2787">
        <w:rPr>
          <w:b/>
          <w:lang w:val="it-IT"/>
        </w:rPr>
        <w:t xml:space="preserve"> </w:t>
      </w:r>
      <w:r w:rsidR="00D840BD" w:rsidRPr="007A4D0C">
        <w:rPr>
          <w:b/>
          <w:lang w:val="sk-SK"/>
        </w:rPr>
        <w:t>z 13,5 na 14,5 percent (predtým: zo 14,0 na 1</w:t>
      </w:r>
      <w:r w:rsidR="002F2B25" w:rsidRPr="007A4D0C">
        <w:rPr>
          <w:b/>
          <w:lang w:val="sk-SK"/>
        </w:rPr>
        <w:t>5</w:t>
      </w:r>
      <w:r w:rsidR="00D840BD" w:rsidRPr="007A4D0C">
        <w:rPr>
          <w:b/>
          <w:lang w:val="sk-SK"/>
        </w:rPr>
        <w:t>,0 percent)</w:t>
      </w:r>
    </w:p>
    <w:p w14:paraId="01E0A320" w14:textId="77777777" w:rsidR="0001002C" w:rsidRPr="005F2787" w:rsidRDefault="007A4D0C" w:rsidP="000760C4">
      <w:pPr>
        <w:pStyle w:val="He01FlietextAufzhlung2Ebene"/>
        <w:rPr>
          <w:b/>
          <w:lang w:val="it-IT"/>
        </w:rPr>
      </w:pPr>
      <w:r w:rsidRPr="00F12A22">
        <w:rPr>
          <w:b/>
          <w:lang w:val="sk-SK"/>
        </w:rPr>
        <w:t>Výnos na prioritnú akciu (EPS)</w:t>
      </w:r>
      <w:r w:rsidRPr="00F12A22">
        <w:rPr>
          <w:rFonts w:asciiTheme="majorHAnsi" w:hAnsiTheme="majorHAnsi" w:cstheme="majorHAnsi"/>
          <w:b/>
          <w:vertAlign w:val="superscript"/>
          <w:lang w:val="sk-SK"/>
        </w:rPr>
        <w:t xml:space="preserve"> *</w:t>
      </w:r>
      <w:r w:rsidRPr="00F12A22">
        <w:rPr>
          <w:b/>
          <w:lang w:val="sk-SK"/>
        </w:rPr>
        <w:t>:</w:t>
      </w:r>
      <w:r w:rsidR="000760C4" w:rsidRPr="005F2787">
        <w:rPr>
          <w:b/>
          <w:lang w:val="it-IT"/>
        </w:rPr>
        <w:t xml:space="preserve"> </w:t>
      </w:r>
      <w:r w:rsidR="004408BA" w:rsidRPr="006F35BB">
        <w:rPr>
          <w:b/>
          <w:lang w:val="sk-SK"/>
        </w:rPr>
        <w:t>Percentuálne zvýšenie</w:t>
      </w:r>
      <w:r w:rsidR="00F047B1" w:rsidRPr="006F35BB">
        <w:rPr>
          <w:b/>
          <w:lang w:val="sk-SK"/>
        </w:rPr>
        <w:t xml:space="preserve"> </w:t>
      </w:r>
      <w:r w:rsidR="003148CB" w:rsidRPr="006F35BB">
        <w:rPr>
          <w:b/>
          <w:lang w:val="sk-SK"/>
        </w:rPr>
        <w:t xml:space="preserve">v rozsahu od </w:t>
      </w:r>
      <w:r w:rsidR="0002540A" w:rsidRPr="006F35BB">
        <w:rPr>
          <w:b/>
          <w:lang w:val="sk-SK"/>
        </w:rPr>
        <w:t xml:space="preserve">hornej </w:t>
      </w:r>
      <w:r w:rsidR="00CB3BF7" w:rsidRPr="006F35BB">
        <w:rPr>
          <w:b/>
          <w:lang w:val="sk-SK"/>
        </w:rPr>
        <w:t>časti</w:t>
      </w:r>
      <w:r w:rsidR="0002540A" w:rsidRPr="006F35BB">
        <w:rPr>
          <w:b/>
          <w:lang w:val="sk-SK"/>
        </w:rPr>
        <w:t xml:space="preserve"> prvej do polovice druhej desiatky </w:t>
      </w:r>
      <w:r w:rsidR="003148CB" w:rsidRPr="006F35BB">
        <w:rPr>
          <w:b/>
          <w:lang w:val="sk-SK"/>
        </w:rPr>
        <w:t>pri nezmenených sadzbách (nezmenený výhľad)</w:t>
      </w:r>
    </w:p>
    <w:p w14:paraId="21DEA133" w14:textId="77777777" w:rsidR="000760C4" w:rsidRPr="005F2787" w:rsidRDefault="000760C4" w:rsidP="000760C4">
      <w:pPr>
        <w:rPr>
          <w:lang w:val="it-IT"/>
        </w:rPr>
      </w:pPr>
    </w:p>
    <w:p w14:paraId="74DAD933" w14:textId="77777777" w:rsidR="00BB21EC" w:rsidRPr="005F2787" w:rsidRDefault="0001002C" w:rsidP="00176CE9">
      <w:pPr>
        <w:spacing w:line="280" w:lineRule="auto"/>
        <w:rPr>
          <w:rFonts w:cs="Segoe UI"/>
          <w:b/>
          <w:bCs/>
          <w:szCs w:val="22"/>
          <w:lang w:val="it-IT"/>
        </w:rPr>
      </w:pPr>
      <w:r w:rsidRPr="005F2787">
        <w:rPr>
          <w:rFonts w:cs="Segoe UI"/>
          <w:b/>
          <w:bCs/>
          <w:szCs w:val="22"/>
          <w:lang w:val="it-IT"/>
        </w:rPr>
        <w:t xml:space="preserve">Düsseldorf – </w:t>
      </w:r>
      <w:r w:rsidR="003148CB" w:rsidRPr="000109E6">
        <w:rPr>
          <w:rFonts w:cs="Segoe UI"/>
          <w:b/>
          <w:bCs/>
          <w:szCs w:val="22"/>
          <w:lang w:val="sk-SK"/>
        </w:rPr>
        <w:t xml:space="preserve">Po dobrom štarte do finančného roka 2021 spoločnosť Henkel </w:t>
      </w:r>
      <w:r w:rsidR="000109E6" w:rsidRPr="000109E6">
        <w:rPr>
          <w:rFonts w:cs="Segoe UI"/>
          <w:b/>
          <w:bCs/>
          <w:szCs w:val="22"/>
          <w:lang w:val="sk-SK"/>
        </w:rPr>
        <w:t xml:space="preserve">v prvom polroku </w:t>
      </w:r>
      <w:r w:rsidR="003148CB" w:rsidRPr="000109E6">
        <w:rPr>
          <w:rFonts w:cs="Segoe UI"/>
          <w:b/>
          <w:bCs/>
          <w:szCs w:val="22"/>
          <w:lang w:val="sk-SK"/>
        </w:rPr>
        <w:t xml:space="preserve">opäť zrýchlila </w:t>
      </w:r>
      <w:r w:rsidR="000109E6" w:rsidRPr="000109E6">
        <w:rPr>
          <w:rFonts w:cs="Segoe UI"/>
          <w:b/>
          <w:bCs/>
          <w:szCs w:val="22"/>
          <w:lang w:val="sk-SK"/>
        </w:rPr>
        <w:t xml:space="preserve">svoj </w:t>
      </w:r>
      <w:r w:rsidR="003148CB" w:rsidRPr="000109E6">
        <w:rPr>
          <w:rFonts w:cs="Segoe UI"/>
          <w:b/>
          <w:bCs/>
          <w:szCs w:val="22"/>
          <w:lang w:val="sk-SK"/>
        </w:rPr>
        <w:t xml:space="preserve">rast, ktorý po očistení o kurzové vplyvy </w:t>
      </w:r>
      <w:r w:rsidR="000109E6" w:rsidRPr="000109E6">
        <w:rPr>
          <w:rFonts w:cs="Segoe UI"/>
          <w:b/>
          <w:bCs/>
          <w:szCs w:val="22"/>
          <w:lang w:val="sk-SK"/>
        </w:rPr>
        <w:t xml:space="preserve">už </w:t>
      </w:r>
      <w:r w:rsidR="003148CB" w:rsidRPr="000109E6">
        <w:rPr>
          <w:rFonts w:cs="Segoe UI"/>
          <w:b/>
          <w:bCs/>
          <w:szCs w:val="22"/>
          <w:lang w:val="sk-SK"/>
        </w:rPr>
        <w:t>prevýšil predkrízovú úroveň z roku 2019.</w:t>
      </w:r>
      <w:r w:rsidR="00DB4782" w:rsidRPr="005F2787">
        <w:rPr>
          <w:rFonts w:cs="Segoe UI"/>
          <w:b/>
          <w:bCs/>
          <w:szCs w:val="22"/>
          <w:lang w:val="it-IT"/>
        </w:rPr>
        <w:t xml:space="preserve"> </w:t>
      </w:r>
      <w:r w:rsidR="000109E6" w:rsidRPr="000109E6">
        <w:rPr>
          <w:rFonts w:cs="Segoe UI"/>
          <w:b/>
          <w:bCs/>
          <w:szCs w:val="22"/>
          <w:lang w:val="sk-SK"/>
        </w:rPr>
        <w:t xml:space="preserve">Napriek pretrvávajúcim nepriaznivým dosahom globálnej </w:t>
      </w:r>
      <w:proofErr w:type="spellStart"/>
      <w:r w:rsidR="000109E6" w:rsidRPr="000109E6">
        <w:rPr>
          <w:rFonts w:cs="Segoe UI"/>
          <w:b/>
          <w:bCs/>
          <w:szCs w:val="22"/>
          <w:lang w:val="sk-SK"/>
        </w:rPr>
        <w:t>koronakrízy</w:t>
      </w:r>
      <w:proofErr w:type="spellEnd"/>
      <w:r w:rsidR="000109E6" w:rsidRPr="000109E6">
        <w:rPr>
          <w:rFonts w:cs="Segoe UI"/>
          <w:b/>
          <w:bCs/>
          <w:szCs w:val="22"/>
          <w:lang w:val="sk-SK"/>
        </w:rPr>
        <w:t xml:space="preserve"> na sociálne a hospodárske prostredie v mnohých krajinách sveta </w:t>
      </w:r>
      <w:r w:rsidR="000109E6" w:rsidRPr="000109E6">
        <w:rPr>
          <w:rFonts w:cs="Segoe UI"/>
          <w:b/>
          <w:bCs/>
          <w:szCs w:val="22"/>
          <w:lang w:val="sk-SK"/>
        </w:rPr>
        <w:lastRenderedPageBreak/>
        <w:t>Henkel v prvom polroku dosiahol výrazný rast obratu aj výnosov.</w:t>
      </w:r>
      <w:r w:rsidR="009435FB" w:rsidRPr="005F2787">
        <w:rPr>
          <w:rFonts w:cs="Segoe UI"/>
          <w:b/>
          <w:bCs/>
          <w:szCs w:val="22"/>
          <w:lang w:val="it-IT"/>
        </w:rPr>
        <w:t xml:space="preserve"> </w:t>
      </w:r>
      <w:r w:rsidR="000109E6">
        <w:rPr>
          <w:rFonts w:cs="Segoe UI"/>
          <w:b/>
          <w:bCs/>
          <w:szCs w:val="22"/>
          <w:lang w:val="sk-SK"/>
        </w:rPr>
        <w:t>O</w:t>
      </w:r>
      <w:r w:rsidR="000109E6" w:rsidRPr="000109E6">
        <w:rPr>
          <w:rFonts w:cs="Segoe UI"/>
          <w:b/>
          <w:bCs/>
          <w:szCs w:val="22"/>
          <w:lang w:val="sk-SK"/>
        </w:rPr>
        <w:t xml:space="preserve">rganický rast obratu </w:t>
      </w:r>
      <w:r w:rsidR="000109E6">
        <w:rPr>
          <w:rFonts w:cs="Segoe UI"/>
          <w:b/>
          <w:bCs/>
          <w:szCs w:val="22"/>
          <w:lang w:val="sk-SK"/>
        </w:rPr>
        <w:t>bol z</w:t>
      </w:r>
      <w:r w:rsidR="000109E6" w:rsidRPr="000109E6">
        <w:rPr>
          <w:rFonts w:cs="Segoe UI"/>
          <w:b/>
          <w:bCs/>
          <w:szCs w:val="22"/>
          <w:lang w:val="sk-SK"/>
        </w:rPr>
        <w:t xml:space="preserve">a prvých šesť mesiacov roka 2021 </w:t>
      </w:r>
      <w:r w:rsidR="000109E6">
        <w:rPr>
          <w:rFonts w:cs="Segoe UI"/>
          <w:b/>
          <w:bCs/>
          <w:szCs w:val="22"/>
          <w:lang w:val="sk-SK"/>
        </w:rPr>
        <w:t>na úrovni</w:t>
      </w:r>
      <w:r w:rsidR="000109E6" w:rsidRPr="000109E6">
        <w:rPr>
          <w:rFonts w:cs="Segoe UI"/>
          <w:b/>
          <w:bCs/>
          <w:szCs w:val="22"/>
          <w:lang w:val="sk-SK"/>
        </w:rPr>
        <w:t xml:space="preserve"> 11,3 %.</w:t>
      </w:r>
      <w:r w:rsidR="007C13D5" w:rsidRPr="005F2787">
        <w:rPr>
          <w:rFonts w:cs="Segoe UI"/>
          <w:b/>
          <w:bCs/>
          <w:szCs w:val="22"/>
          <w:lang w:val="it-IT"/>
        </w:rPr>
        <w:t xml:space="preserve"> </w:t>
      </w:r>
      <w:bookmarkEnd w:id="0"/>
      <w:r w:rsidR="000109E6" w:rsidRPr="00176CE9">
        <w:rPr>
          <w:rFonts w:cs="Segoe UI"/>
          <w:b/>
          <w:bCs/>
          <w:szCs w:val="22"/>
          <w:lang w:val="sk-SK"/>
        </w:rPr>
        <w:t xml:space="preserve">Obrat na úrovni skupiny dosiahol približne 10 miliárd eur, čo nominálne predstavuje zvýšenie o 4,7 %. </w:t>
      </w:r>
      <w:r w:rsidR="009435FB" w:rsidRPr="005F2787">
        <w:rPr>
          <w:rFonts w:cs="Segoe UI"/>
          <w:b/>
          <w:bCs/>
          <w:szCs w:val="22"/>
          <w:lang w:val="it-IT"/>
        </w:rPr>
        <w:t xml:space="preserve"> </w:t>
      </w:r>
    </w:p>
    <w:p w14:paraId="0ACB68CD" w14:textId="77777777" w:rsidR="00BB21EC" w:rsidRPr="005F2787" w:rsidRDefault="00BB21EC" w:rsidP="009435FB">
      <w:pPr>
        <w:rPr>
          <w:rFonts w:cs="Segoe UI"/>
          <w:b/>
          <w:bCs/>
          <w:szCs w:val="22"/>
          <w:lang w:val="it-IT"/>
        </w:rPr>
      </w:pPr>
    </w:p>
    <w:p w14:paraId="388029E9" w14:textId="77777777" w:rsidR="009435FB" w:rsidRPr="005F2787" w:rsidRDefault="00176CE9" w:rsidP="00C85931">
      <w:pPr>
        <w:spacing w:line="280" w:lineRule="auto"/>
        <w:rPr>
          <w:rFonts w:cs="Segoe UI"/>
          <w:b/>
          <w:bCs/>
          <w:szCs w:val="22"/>
          <w:lang w:val="it-IT"/>
        </w:rPr>
      </w:pPr>
      <w:r w:rsidRPr="00176CE9">
        <w:rPr>
          <w:rFonts w:cs="Segoe UI"/>
          <w:b/>
          <w:bCs/>
          <w:szCs w:val="22"/>
          <w:lang w:val="sk-SK"/>
        </w:rPr>
        <w:t xml:space="preserve">Upravený prevádzkový zisk sa zvýšil o 20,1 % na 1 430 </w:t>
      </w:r>
      <w:r w:rsidR="00D018C4">
        <w:rPr>
          <w:rFonts w:cs="Segoe UI"/>
          <w:b/>
          <w:bCs/>
          <w:szCs w:val="22"/>
          <w:lang w:val="sk-SK"/>
        </w:rPr>
        <w:t>mil.</w:t>
      </w:r>
      <w:r w:rsidRPr="00176CE9">
        <w:rPr>
          <w:rFonts w:cs="Segoe UI"/>
          <w:b/>
          <w:bCs/>
          <w:szCs w:val="22"/>
          <w:lang w:val="sk-SK"/>
        </w:rPr>
        <w:t xml:space="preserve"> eur a upravená marža EBIT zaznamenala v medziročnom porovnaní zvýšenie o 1,9 percentuálneho bodu na hodnotu 14,4 %.</w:t>
      </w:r>
      <w:r w:rsidR="009435FB" w:rsidRPr="005F2787">
        <w:rPr>
          <w:rFonts w:cs="Segoe UI"/>
          <w:b/>
          <w:bCs/>
          <w:szCs w:val="22"/>
          <w:lang w:val="it-IT"/>
        </w:rPr>
        <w:t xml:space="preserve"> </w:t>
      </w:r>
      <w:r w:rsidR="0079372E" w:rsidRPr="007026FE">
        <w:rPr>
          <w:rFonts w:cs="Segoe UI"/>
          <w:b/>
          <w:bCs/>
          <w:szCs w:val="22"/>
          <w:lang w:val="sk-SK"/>
        </w:rPr>
        <w:t xml:space="preserve">Upravený výnos na prioritnú akciu sa pri konštantných </w:t>
      </w:r>
      <w:r w:rsidR="00F062A3" w:rsidRPr="007026FE">
        <w:rPr>
          <w:rFonts w:cs="Segoe UI"/>
          <w:b/>
          <w:bCs/>
          <w:szCs w:val="22"/>
          <w:lang w:val="sk-SK"/>
        </w:rPr>
        <w:t>kurzových</w:t>
      </w:r>
      <w:r w:rsidR="0079372E" w:rsidRPr="007026FE">
        <w:rPr>
          <w:rFonts w:cs="Segoe UI"/>
          <w:b/>
          <w:bCs/>
          <w:szCs w:val="22"/>
          <w:lang w:val="sk-SK"/>
        </w:rPr>
        <w:t xml:space="preserve"> sadzbách zvýšil o 30,1 %.</w:t>
      </w:r>
      <w:r w:rsidR="009435FB" w:rsidRPr="005F2787">
        <w:rPr>
          <w:rFonts w:cs="Segoe UI"/>
          <w:b/>
          <w:bCs/>
          <w:szCs w:val="22"/>
          <w:lang w:val="it-IT"/>
        </w:rPr>
        <w:t xml:space="preserve"> </w:t>
      </w:r>
      <w:r w:rsidR="007026FE" w:rsidRPr="00C85931">
        <w:rPr>
          <w:rFonts w:cs="Segoe UI"/>
          <w:b/>
          <w:bCs/>
          <w:szCs w:val="22"/>
          <w:lang w:val="sk-SK"/>
        </w:rPr>
        <w:t>Vplyv vysokých cien vstupných surovín v prvom polroku sa podarilo vyrovnať vysokým rastom objemu predaja a vyššími cenami, ako aj prísnym riadením nákladov a zlepšením efektívnosti.</w:t>
      </w:r>
    </w:p>
    <w:p w14:paraId="27D49448" w14:textId="77777777" w:rsidR="00C10EA4" w:rsidRPr="005F2787" w:rsidRDefault="00C10EA4" w:rsidP="00C10EA4">
      <w:pPr>
        <w:rPr>
          <w:rFonts w:cs="Segoe UI"/>
          <w:b/>
          <w:bCs/>
          <w:szCs w:val="22"/>
          <w:lang w:val="it-IT"/>
        </w:rPr>
      </w:pPr>
    </w:p>
    <w:p w14:paraId="21495052" w14:textId="77777777" w:rsidR="00BD20E5" w:rsidRPr="005F2787" w:rsidRDefault="00C85931" w:rsidP="0050361E">
      <w:pPr>
        <w:spacing w:line="280" w:lineRule="auto"/>
        <w:rPr>
          <w:rFonts w:cs="Segoe UI"/>
          <w:b/>
          <w:bCs/>
          <w:szCs w:val="22"/>
          <w:lang w:val="it-IT"/>
        </w:rPr>
      </w:pPr>
      <w:r w:rsidRPr="00C85931">
        <w:rPr>
          <w:rFonts w:cs="Segoe UI"/>
          <w:b/>
          <w:bCs/>
          <w:szCs w:val="22"/>
          <w:lang w:val="sk-SK"/>
        </w:rPr>
        <w:t>„Aj v prvom polroku 2021 bola spoločnosť Henkel ovplyvnená pandémiou ochorenia COVID-19.</w:t>
      </w:r>
      <w:r w:rsidR="00B54D71" w:rsidRPr="005F2787">
        <w:rPr>
          <w:rFonts w:cs="Segoe UI"/>
          <w:b/>
          <w:bCs/>
          <w:szCs w:val="22"/>
          <w:lang w:val="it-IT"/>
        </w:rPr>
        <w:t xml:space="preserve"> </w:t>
      </w:r>
      <w:r w:rsidRPr="00C85931">
        <w:rPr>
          <w:rFonts w:cs="Segoe UI"/>
          <w:b/>
          <w:bCs/>
          <w:szCs w:val="22"/>
          <w:lang w:val="sk-SK"/>
        </w:rPr>
        <w:t>Napriek tomu sme dosiahli dvojciferný rast obratu aj výnosov.</w:t>
      </w:r>
      <w:r w:rsidR="00BB21EC" w:rsidRPr="005F2787">
        <w:rPr>
          <w:rFonts w:cs="Segoe UI"/>
          <w:b/>
          <w:bCs/>
          <w:szCs w:val="22"/>
          <w:lang w:val="it-IT"/>
        </w:rPr>
        <w:t xml:space="preserve"> </w:t>
      </w:r>
      <w:r w:rsidRPr="0081074E">
        <w:rPr>
          <w:rFonts w:cs="Segoe UI"/>
          <w:b/>
          <w:bCs/>
          <w:szCs w:val="22"/>
          <w:lang w:val="sk-SK"/>
        </w:rPr>
        <w:t>Po úprave o kurzové vplyvy sme z pohľadu obratu už prekonali predkrízovú úroveň z roku 2019.</w:t>
      </w:r>
      <w:r w:rsidR="00D308B8" w:rsidRPr="005F2787">
        <w:rPr>
          <w:rFonts w:cs="Segoe UI"/>
          <w:b/>
          <w:bCs/>
          <w:szCs w:val="22"/>
          <w:lang w:val="it-IT"/>
        </w:rPr>
        <w:t xml:space="preserve"> </w:t>
      </w:r>
      <w:r w:rsidR="0081074E" w:rsidRPr="0050361E">
        <w:rPr>
          <w:rFonts w:cs="Segoe UI"/>
          <w:b/>
          <w:bCs/>
          <w:szCs w:val="22"/>
          <w:lang w:val="sk-SK"/>
        </w:rPr>
        <w:t xml:space="preserve">Vďačíme za to najmä výnimočnému tímovému duchu a nasadeniu našich zamestnancov na celom svete, ako aj vyváženému a odolnému portfóliu </w:t>
      </w:r>
      <w:r w:rsidR="00281D6A" w:rsidRPr="0050361E">
        <w:rPr>
          <w:rFonts w:cs="Segoe UI"/>
          <w:b/>
          <w:bCs/>
          <w:szCs w:val="22"/>
          <w:lang w:val="sk-SK"/>
        </w:rPr>
        <w:t xml:space="preserve">našich </w:t>
      </w:r>
      <w:r w:rsidR="0081074E" w:rsidRPr="0050361E">
        <w:rPr>
          <w:rFonts w:cs="Segoe UI"/>
          <w:b/>
          <w:bCs/>
          <w:szCs w:val="22"/>
          <w:lang w:val="sk-SK"/>
        </w:rPr>
        <w:t xml:space="preserve">úspešných značiek a inovatívnych technológií v spotrebiteľských aj priemyselných segmentoch,“ povedal predseda predstavenstva spoločnosti Henkel Carsten </w:t>
      </w:r>
      <w:proofErr w:type="spellStart"/>
      <w:r w:rsidR="0081074E" w:rsidRPr="0050361E">
        <w:rPr>
          <w:rFonts w:cs="Segoe UI"/>
          <w:b/>
          <w:bCs/>
          <w:szCs w:val="22"/>
          <w:lang w:val="sk-SK"/>
        </w:rPr>
        <w:t>Knobel</w:t>
      </w:r>
      <w:proofErr w:type="spellEnd"/>
      <w:r w:rsidR="0081074E" w:rsidRPr="0050361E">
        <w:rPr>
          <w:rFonts w:cs="Segoe UI"/>
          <w:b/>
          <w:bCs/>
          <w:szCs w:val="22"/>
          <w:lang w:val="sk-SK"/>
        </w:rPr>
        <w:t>.</w:t>
      </w:r>
    </w:p>
    <w:p w14:paraId="149B1C2E" w14:textId="77777777" w:rsidR="00391A5F" w:rsidRPr="005F2787" w:rsidRDefault="00391A5F" w:rsidP="00C10EA4">
      <w:pPr>
        <w:rPr>
          <w:rFonts w:cs="Segoe UI"/>
          <w:b/>
          <w:bCs/>
          <w:szCs w:val="22"/>
          <w:lang w:val="it-IT"/>
        </w:rPr>
      </w:pPr>
    </w:p>
    <w:p w14:paraId="1D94C1A4" w14:textId="77777777" w:rsidR="005567E2" w:rsidRPr="005F2787" w:rsidRDefault="0050361E" w:rsidP="00203AF4">
      <w:pPr>
        <w:spacing w:line="280" w:lineRule="auto"/>
        <w:rPr>
          <w:rFonts w:cs="Segoe UI"/>
          <w:b/>
          <w:bCs/>
          <w:szCs w:val="22"/>
          <w:lang w:val="sk-SK"/>
        </w:rPr>
      </w:pPr>
      <w:r w:rsidRPr="0050361E">
        <w:rPr>
          <w:rFonts w:cs="Segoe UI"/>
          <w:b/>
          <w:bCs/>
          <w:szCs w:val="22"/>
          <w:lang w:val="sk-SK"/>
        </w:rPr>
        <w:t>Na organickom raste obratu sa v prvom polroku 2021 podieľali všetky obchodné divízie a regióny.</w:t>
      </w:r>
      <w:r w:rsidR="00B4092D" w:rsidRPr="005F2787">
        <w:rPr>
          <w:rFonts w:cs="Segoe UI"/>
          <w:b/>
          <w:bCs/>
          <w:szCs w:val="22"/>
          <w:lang w:val="it-IT"/>
        </w:rPr>
        <w:t xml:space="preserve"> </w:t>
      </w:r>
      <w:r w:rsidRPr="0050361E">
        <w:rPr>
          <w:rFonts w:cs="Segoe UI"/>
          <w:b/>
          <w:bCs/>
          <w:szCs w:val="22"/>
          <w:lang w:val="sk-SK"/>
        </w:rPr>
        <w:t>Silný rast obratu zaznamenala divízia Adhesive Technologies.</w:t>
      </w:r>
      <w:r w:rsidR="0080006E" w:rsidRPr="005F2787">
        <w:rPr>
          <w:rFonts w:cs="Segoe UI"/>
          <w:b/>
          <w:bCs/>
          <w:szCs w:val="22"/>
          <w:lang w:val="it-IT"/>
        </w:rPr>
        <w:t xml:space="preserve"> </w:t>
      </w:r>
      <w:r w:rsidRPr="002436BC">
        <w:rPr>
          <w:rFonts w:cs="Segoe UI"/>
          <w:b/>
          <w:bCs/>
          <w:szCs w:val="22"/>
          <w:lang w:val="sk-SK"/>
        </w:rPr>
        <w:t xml:space="preserve">Organický obrat sa jej podarilo zvýšiť vo všetkých regiónoch a </w:t>
      </w:r>
      <w:r w:rsidR="00D91B87" w:rsidRPr="002436BC">
        <w:rPr>
          <w:rFonts w:cs="Segoe UI"/>
          <w:b/>
          <w:bCs/>
          <w:szCs w:val="22"/>
          <w:lang w:val="sk-SK"/>
        </w:rPr>
        <w:t>obchodných segmentoch, pričom celkovo dosiahla dvojciferný rast.</w:t>
      </w:r>
      <w:r w:rsidR="0080006E" w:rsidRPr="005F2787">
        <w:rPr>
          <w:rFonts w:cs="Segoe UI"/>
          <w:b/>
          <w:bCs/>
          <w:szCs w:val="22"/>
          <w:lang w:val="it-IT"/>
        </w:rPr>
        <w:t xml:space="preserve"> </w:t>
      </w:r>
      <w:r w:rsidR="002436BC" w:rsidRPr="00E77EB9">
        <w:rPr>
          <w:rFonts w:cs="Segoe UI"/>
          <w:b/>
          <w:bCs/>
          <w:szCs w:val="22"/>
          <w:lang w:val="sk-SK"/>
        </w:rPr>
        <w:t>K tomuto priaznivému vývoju prispelo výrazne oživenie svetového hospodárstva.</w:t>
      </w:r>
      <w:r w:rsidR="0080006E" w:rsidRPr="005F2787">
        <w:rPr>
          <w:rFonts w:cs="Segoe UI"/>
          <w:b/>
          <w:bCs/>
          <w:szCs w:val="22"/>
          <w:lang w:val="it-IT"/>
        </w:rPr>
        <w:t xml:space="preserve"> </w:t>
      </w:r>
      <w:r w:rsidR="00E77EB9" w:rsidRPr="00D52436">
        <w:rPr>
          <w:rFonts w:cs="Segoe UI"/>
          <w:b/>
          <w:bCs/>
          <w:szCs w:val="22"/>
          <w:lang w:val="sk-SK"/>
        </w:rPr>
        <w:t xml:space="preserve">Zvýšenie organického obratu zaznamenali aj divízie </w:t>
      </w:r>
      <w:proofErr w:type="spellStart"/>
      <w:r w:rsidR="00E77EB9" w:rsidRPr="00D52436">
        <w:rPr>
          <w:rFonts w:cs="Segoe UI"/>
          <w:b/>
          <w:bCs/>
          <w:szCs w:val="22"/>
          <w:lang w:val="sk-SK"/>
        </w:rPr>
        <w:t>Beauty</w:t>
      </w:r>
      <w:proofErr w:type="spellEnd"/>
      <w:r w:rsidR="00E77EB9" w:rsidRPr="00D52436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="00E77EB9" w:rsidRPr="00D52436">
        <w:rPr>
          <w:rFonts w:cs="Segoe UI"/>
          <w:b/>
          <w:bCs/>
          <w:szCs w:val="22"/>
          <w:lang w:val="sk-SK"/>
        </w:rPr>
        <w:t>Care</w:t>
      </w:r>
      <w:proofErr w:type="spellEnd"/>
      <w:r w:rsidR="00E77EB9" w:rsidRPr="00D52436">
        <w:rPr>
          <w:rFonts w:cs="Segoe UI"/>
          <w:b/>
          <w:bCs/>
          <w:szCs w:val="22"/>
          <w:lang w:val="sk-SK"/>
        </w:rPr>
        <w:t xml:space="preserve"> a Laundry &amp; Home </w:t>
      </w:r>
      <w:proofErr w:type="spellStart"/>
      <w:r w:rsidR="00E77EB9" w:rsidRPr="00D52436">
        <w:rPr>
          <w:rFonts w:cs="Segoe UI"/>
          <w:b/>
          <w:bCs/>
          <w:szCs w:val="22"/>
          <w:lang w:val="sk-SK"/>
        </w:rPr>
        <w:t>Care</w:t>
      </w:r>
      <w:proofErr w:type="spellEnd"/>
      <w:r w:rsidR="00E77EB9" w:rsidRPr="00D52436">
        <w:rPr>
          <w:rFonts w:cs="Segoe UI"/>
          <w:b/>
          <w:bCs/>
          <w:szCs w:val="22"/>
          <w:lang w:val="sk-SK"/>
        </w:rPr>
        <w:t>.</w:t>
      </w:r>
      <w:r w:rsidR="000211FD" w:rsidRPr="005F2787">
        <w:rPr>
          <w:rFonts w:cs="Segoe UI"/>
          <w:b/>
          <w:bCs/>
          <w:szCs w:val="22"/>
          <w:lang w:val="it-IT"/>
        </w:rPr>
        <w:t xml:space="preserve"> </w:t>
      </w:r>
      <w:r w:rsidR="00D52436" w:rsidRPr="00F461A1">
        <w:rPr>
          <w:rFonts w:cs="Segoe UI"/>
          <w:b/>
          <w:bCs/>
          <w:szCs w:val="22"/>
          <w:lang w:val="sk-SK"/>
        </w:rPr>
        <w:t>Obraz v jednotlivých obchodných segmentoch bol však zmiešaný.</w:t>
      </w:r>
      <w:r w:rsidR="000211FD" w:rsidRPr="005F2787">
        <w:rPr>
          <w:rFonts w:cs="Segoe UI"/>
          <w:b/>
          <w:bCs/>
          <w:szCs w:val="22"/>
          <w:lang w:val="it-IT"/>
        </w:rPr>
        <w:t xml:space="preserve"> </w:t>
      </w:r>
      <w:r w:rsidR="00F461A1" w:rsidRPr="003116CE">
        <w:rPr>
          <w:rFonts w:cs="Segoe UI"/>
          <w:b/>
          <w:bCs/>
          <w:szCs w:val="22"/>
          <w:lang w:val="sk-SK"/>
        </w:rPr>
        <w:t xml:space="preserve">V prípade divízie </w:t>
      </w:r>
      <w:proofErr w:type="spellStart"/>
      <w:r w:rsidR="00F461A1" w:rsidRPr="003116CE">
        <w:rPr>
          <w:rFonts w:cs="Segoe UI"/>
          <w:b/>
          <w:bCs/>
          <w:szCs w:val="22"/>
          <w:lang w:val="sk-SK"/>
        </w:rPr>
        <w:t>Beauty</w:t>
      </w:r>
      <w:proofErr w:type="spellEnd"/>
      <w:r w:rsidR="00F461A1" w:rsidRPr="003116CE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="00F461A1" w:rsidRPr="003116CE">
        <w:rPr>
          <w:rFonts w:cs="Segoe UI"/>
          <w:b/>
          <w:bCs/>
          <w:szCs w:val="22"/>
          <w:lang w:val="sk-SK"/>
        </w:rPr>
        <w:t>Care</w:t>
      </w:r>
      <w:proofErr w:type="spellEnd"/>
      <w:r w:rsidR="00F461A1" w:rsidRPr="003116CE">
        <w:rPr>
          <w:rFonts w:cs="Segoe UI"/>
          <w:b/>
          <w:bCs/>
          <w:szCs w:val="22"/>
          <w:lang w:val="sk-SK"/>
        </w:rPr>
        <w:t xml:space="preserve"> bol hlavným zdrojom rastu segment profesionálnej kozmetiky. </w:t>
      </w:r>
      <w:r w:rsidR="003116CE" w:rsidRPr="00875594">
        <w:rPr>
          <w:rFonts w:cs="Segoe UI"/>
          <w:b/>
          <w:bCs/>
          <w:szCs w:val="22"/>
          <w:lang w:val="sk-SK"/>
        </w:rPr>
        <w:t xml:space="preserve">Po slabšom raste v predchádzajúcom roku, ktorý spôsobila pandémia, sa </w:t>
      </w:r>
      <w:r w:rsidR="00C40A4A" w:rsidRPr="00875594">
        <w:rPr>
          <w:rFonts w:cs="Segoe UI"/>
          <w:b/>
          <w:bCs/>
          <w:szCs w:val="22"/>
          <w:lang w:val="sk-SK"/>
        </w:rPr>
        <w:t xml:space="preserve">jej </w:t>
      </w:r>
      <w:r w:rsidR="00791742">
        <w:rPr>
          <w:rFonts w:cs="Segoe UI"/>
          <w:b/>
          <w:bCs/>
          <w:szCs w:val="22"/>
          <w:lang w:val="sk-SK"/>
        </w:rPr>
        <w:t xml:space="preserve">výsledok </w:t>
      </w:r>
      <w:r w:rsidR="003116CE" w:rsidRPr="00875594">
        <w:rPr>
          <w:rFonts w:cs="Segoe UI"/>
          <w:b/>
          <w:bCs/>
          <w:szCs w:val="22"/>
          <w:lang w:val="sk-SK"/>
        </w:rPr>
        <w:t>vrátil do dvojciferných čísel.</w:t>
      </w:r>
      <w:r w:rsidR="00855D87" w:rsidRPr="005F2787">
        <w:rPr>
          <w:rFonts w:cs="Segoe UI"/>
          <w:b/>
          <w:bCs/>
          <w:szCs w:val="22"/>
          <w:lang w:val="sk-SK"/>
        </w:rPr>
        <w:t xml:space="preserve"> </w:t>
      </w:r>
      <w:r w:rsidR="00875594" w:rsidRPr="0078083F">
        <w:rPr>
          <w:rFonts w:cs="Segoe UI"/>
          <w:b/>
          <w:bCs/>
          <w:szCs w:val="22"/>
          <w:lang w:val="sk-SK"/>
        </w:rPr>
        <w:t>Na druhej strane, rast v segmente spotrebného tovaru v prvom polroku 2021 zaostal za hodnotami z rovnakého obdobia predchádzajúceho roka v dôsledku poklesu organického obratu v kategórii telovej kozmetiky, ktorý bol zapríčinený aj výrazným oslabením trhov.</w:t>
      </w:r>
      <w:r w:rsidR="00C0163E">
        <w:rPr>
          <w:rFonts w:cs="Segoe UI"/>
          <w:b/>
          <w:bCs/>
          <w:szCs w:val="22"/>
          <w:lang w:val="sk-SK"/>
        </w:rPr>
        <w:t xml:space="preserve"> </w:t>
      </w:r>
      <w:r w:rsidR="00203AF4" w:rsidRPr="00203AF4">
        <w:rPr>
          <w:rFonts w:cs="Segoe UI"/>
          <w:b/>
          <w:bCs/>
          <w:szCs w:val="22"/>
          <w:lang w:val="sk-SK"/>
        </w:rPr>
        <w:t>Rast d</w:t>
      </w:r>
      <w:r w:rsidR="0078083F" w:rsidRPr="00203AF4">
        <w:rPr>
          <w:rFonts w:cs="Segoe UI"/>
          <w:b/>
          <w:bCs/>
          <w:szCs w:val="22"/>
          <w:lang w:val="sk-SK"/>
        </w:rPr>
        <w:t>ivízi</w:t>
      </w:r>
      <w:r w:rsidR="00203AF4" w:rsidRPr="00203AF4">
        <w:rPr>
          <w:rFonts w:cs="Segoe UI"/>
          <w:b/>
          <w:bCs/>
          <w:szCs w:val="22"/>
          <w:lang w:val="sk-SK"/>
        </w:rPr>
        <w:t>e</w:t>
      </w:r>
      <w:r w:rsidR="0078083F" w:rsidRPr="00203AF4">
        <w:rPr>
          <w:rFonts w:cs="Segoe UI"/>
          <w:b/>
          <w:bCs/>
          <w:szCs w:val="22"/>
          <w:lang w:val="sk-SK"/>
        </w:rPr>
        <w:t xml:space="preserve"> Laundry &amp; Home </w:t>
      </w:r>
      <w:proofErr w:type="spellStart"/>
      <w:r w:rsidR="0078083F" w:rsidRPr="00203AF4">
        <w:rPr>
          <w:rFonts w:cs="Segoe UI"/>
          <w:b/>
          <w:bCs/>
          <w:szCs w:val="22"/>
          <w:lang w:val="sk-SK"/>
        </w:rPr>
        <w:t>Care</w:t>
      </w:r>
      <w:proofErr w:type="spellEnd"/>
      <w:r w:rsidR="0078083F" w:rsidRPr="00203AF4">
        <w:rPr>
          <w:rFonts w:cs="Segoe UI"/>
          <w:b/>
          <w:bCs/>
          <w:szCs w:val="22"/>
          <w:lang w:val="sk-SK"/>
        </w:rPr>
        <w:t xml:space="preserve"> </w:t>
      </w:r>
      <w:r w:rsidR="00203AF4" w:rsidRPr="00203AF4">
        <w:rPr>
          <w:rFonts w:cs="Segoe UI"/>
          <w:b/>
          <w:bCs/>
          <w:szCs w:val="22"/>
          <w:lang w:val="sk-SK"/>
        </w:rPr>
        <w:t>bol ťahaný predovšetkým segmentom čistiacich produktov pre domácnosti, v ktorom zaznamenala výrazný rast organického obratu.</w:t>
      </w:r>
      <w:r w:rsidR="0014352D" w:rsidRPr="005F2787">
        <w:rPr>
          <w:rFonts w:cs="Segoe UI"/>
          <w:b/>
          <w:bCs/>
          <w:szCs w:val="22"/>
          <w:lang w:val="sk-SK"/>
        </w:rPr>
        <w:t xml:space="preserve"> </w:t>
      </w:r>
      <w:r w:rsidR="00203AF4" w:rsidRPr="00203AF4">
        <w:rPr>
          <w:rFonts w:cs="Segoe UI"/>
          <w:b/>
          <w:bCs/>
          <w:szCs w:val="22"/>
          <w:lang w:val="sk-SK"/>
        </w:rPr>
        <w:t>Segment pracích prostriedkov dosiahol dobrý nárast organického obratu.</w:t>
      </w:r>
    </w:p>
    <w:p w14:paraId="6ED57B81" w14:textId="77777777" w:rsidR="005567E2" w:rsidRPr="005F2787" w:rsidRDefault="005567E2" w:rsidP="005567E2">
      <w:pPr>
        <w:rPr>
          <w:rFonts w:cs="Segoe UI"/>
          <w:b/>
          <w:bCs/>
          <w:szCs w:val="22"/>
          <w:lang w:val="sk-SK"/>
        </w:rPr>
      </w:pPr>
    </w:p>
    <w:p w14:paraId="0EEFF648" w14:textId="1BB5833F" w:rsidR="005567E2" w:rsidRPr="005F2787" w:rsidRDefault="00203AF4" w:rsidP="00401D5C">
      <w:pPr>
        <w:spacing w:line="280" w:lineRule="auto"/>
        <w:rPr>
          <w:rFonts w:cs="Segoe UI"/>
          <w:b/>
          <w:bCs/>
          <w:szCs w:val="22"/>
          <w:lang w:val="sk-SK"/>
        </w:rPr>
      </w:pPr>
      <w:r w:rsidRPr="00CA441E">
        <w:rPr>
          <w:rFonts w:cs="Segoe UI"/>
          <w:b/>
          <w:bCs/>
          <w:szCs w:val="22"/>
          <w:lang w:val="sk-SK"/>
        </w:rPr>
        <w:t>„V prvom polroku sme pokračovali v implementácii našej strategickej agendy rastu.</w:t>
      </w:r>
      <w:r w:rsidR="005567E2" w:rsidRPr="005F2787">
        <w:rPr>
          <w:rFonts w:cs="Segoe UI"/>
          <w:b/>
          <w:bCs/>
          <w:szCs w:val="22"/>
          <w:lang w:val="sk-SK"/>
        </w:rPr>
        <w:t xml:space="preserve"> </w:t>
      </w:r>
      <w:r w:rsidR="00CA441E" w:rsidRPr="00336888">
        <w:rPr>
          <w:rFonts w:cs="Segoe UI"/>
          <w:b/>
          <w:bCs/>
          <w:szCs w:val="22"/>
          <w:lang w:val="sk-SK"/>
        </w:rPr>
        <w:t>V rámci aktívneho riadenia nášho portfólia sme podľa plánov odpredali alebo zrušili ďalšie značky a obchodné činnosti.</w:t>
      </w:r>
      <w:r w:rsidR="005567E2" w:rsidRPr="005F2787">
        <w:rPr>
          <w:rFonts w:cs="Segoe UI"/>
          <w:b/>
          <w:bCs/>
          <w:szCs w:val="22"/>
          <w:lang w:val="sk-SK"/>
        </w:rPr>
        <w:t xml:space="preserve"> </w:t>
      </w:r>
      <w:r w:rsidR="00336888" w:rsidRPr="00770177">
        <w:rPr>
          <w:rFonts w:cs="Segoe UI"/>
          <w:b/>
          <w:bCs/>
          <w:szCs w:val="22"/>
          <w:lang w:val="sk-SK"/>
        </w:rPr>
        <w:t xml:space="preserve">Zároveň sme urobili cielené akvizície na rozšírenie portfólia </w:t>
      </w:r>
      <w:r w:rsidR="00336888" w:rsidRPr="00770177">
        <w:rPr>
          <w:rFonts w:cs="Segoe UI"/>
          <w:b/>
          <w:bCs/>
          <w:szCs w:val="22"/>
          <w:lang w:val="sk-SK"/>
        </w:rPr>
        <w:lastRenderedPageBreak/>
        <w:t>udržateľných značiek.</w:t>
      </w:r>
      <w:r w:rsidR="005567E2" w:rsidRPr="005F2787">
        <w:rPr>
          <w:rFonts w:cs="Segoe UI"/>
          <w:b/>
          <w:bCs/>
          <w:szCs w:val="22"/>
          <w:lang w:val="sk-SK"/>
        </w:rPr>
        <w:t xml:space="preserve"> </w:t>
      </w:r>
      <w:r w:rsidR="00770177" w:rsidRPr="00042545">
        <w:rPr>
          <w:rFonts w:cs="Segoe UI"/>
          <w:b/>
          <w:bCs/>
          <w:szCs w:val="22"/>
          <w:lang w:val="sk-SK"/>
        </w:rPr>
        <w:t>Tento rok sa osobitne zameriavame na posilnenie svojej konkurencieschopnosti v oblasti inovácií, udržateľnosti a digitalizácie a na ďalší rozvoj firemnej kultúry.</w:t>
      </w:r>
      <w:r w:rsidR="005567E2" w:rsidRPr="005F2787">
        <w:rPr>
          <w:rFonts w:cs="Segoe UI"/>
          <w:b/>
          <w:bCs/>
          <w:szCs w:val="22"/>
          <w:lang w:val="sk-SK"/>
        </w:rPr>
        <w:t xml:space="preserve"> </w:t>
      </w:r>
      <w:r w:rsidR="00401D5C" w:rsidRPr="00401D5C">
        <w:rPr>
          <w:rFonts w:cs="Segoe UI"/>
          <w:b/>
          <w:bCs/>
          <w:szCs w:val="22"/>
          <w:lang w:val="sk-SK"/>
        </w:rPr>
        <w:t>V týchto oblastiach sa nám v prvom polroku darilo veľmi dobre a sme presvedčení, že implementácia našej agendy pre zmysluplný rast je na dobrej ceste</w:t>
      </w:r>
      <w:r w:rsidR="00377856">
        <w:rPr>
          <w:rFonts w:cs="Segoe UI"/>
          <w:b/>
          <w:bCs/>
          <w:szCs w:val="22"/>
          <w:lang w:val="sk-SK"/>
        </w:rPr>
        <w:t>,</w:t>
      </w:r>
      <w:r w:rsidR="00401D5C" w:rsidRPr="00401D5C">
        <w:rPr>
          <w:rFonts w:cs="Segoe UI"/>
          <w:b/>
          <w:bCs/>
          <w:szCs w:val="22"/>
          <w:lang w:val="sk-SK"/>
        </w:rPr>
        <w:t xml:space="preserve">“ dodal Carsten </w:t>
      </w:r>
      <w:proofErr w:type="spellStart"/>
      <w:r w:rsidR="00401D5C" w:rsidRPr="00401D5C">
        <w:rPr>
          <w:rFonts w:cs="Segoe UI"/>
          <w:b/>
          <w:bCs/>
          <w:szCs w:val="22"/>
          <w:lang w:val="sk-SK"/>
        </w:rPr>
        <w:t>Knobel</w:t>
      </w:r>
      <w:proofErr w:type="spellEnd"/>
      <w:r w:rsidR="00401D5C" w:rsidRPr="00401D5C">
        <w:rPr>
          <w:rFonts w:cs="Segoe UI"/>
          <w:b/>
          <w:bCs/>
          <w:szCs w:val="22"/>
          <w:lang w:val="sk-SK"/>
        </w:rPr>
        <w:t>.</w:t>
      </w:r>
    </w:p>
    <w:p w14:paraId="26C7E9B8" w14:textId="77777777" w:rsidR="00BB21EC" w:rsidRPr="005F2787" w:rsidRDefault="00BB21EC" w:rsidP="00DB4782">
      <w:pPr>
        <w:spacing w:after="120"/>
        <w:ind w:right="-108"/>
        <w:jc w:val="left"/>
        <w:rPr>
          <w:rFonts w:cs="Segoe UI"/>
          <w:b/>
          <w:bCs/>
          <w:szCs w:val="22"/>
          <w:lang w:val="sk-SK"/>
        </w:rPr>
      </w:pPr>
    </w:p>
    <w:p w14:paraId="5E5E0F35" w14:textId="23DF9627" w:rsidR="00DB4782" w:rsidRPr="005F2787" w:rsidRDefault="00401D5C" w:rsidP="00011DDA">
      <w:pPr>
        <w:spacing w:after="120" w:line="280" w:lineRule="auto"/>
        <w:ind w:right="-108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401D5C">
        <w:rPr>
          <w:rFonts w:cs="Segoe UI"/>
          <w:b/>
          <w:bCs/>
          <w:szCs w:val="22"/>
          <w:lang w:val="sk-SK"/>
        </w:rPr>
        <w:t>Aktualizovaný výhľad na finančný rok 2021:</w:t>
      </w:r>
      <w:r w:rsidR="00DB4782" w:rsidRPr="005F2787">
        <w:rPr>
          <w:rFonts w:cs="Segoe UI"/>
          <w:b/>
          <w:bCs/>
          <w:szCs w:val="22"/>
          <w:lang w:val="sk-SK"/>
        </w:rPr>
        <w:t xml:space="preserve"> </w:t>
      </w:r>
      <w:r w:rsidR="00011DDA" w:rsidRPr="00011DDA">
        <w:rPr>
          <w:rFonts w:cs="Segoe UI"/>
          <w:b/>
          <w:bCs/>
          <w:szCs w:val="22"/>
          <w:lang w:val="sk-SK"/>
        </w:rPr>
        <w:t>vyšší rast obratu pri nezme</w:t>
      </w:r>
      <w:r w:rsidR="00377856">
        <w:rPr>
          <w:rFonts w:cs="Segoe UI"/>
          <w:b/>
          <w:bCs/>
          <w:szCs w:val="22"/>
          <w:lang w:val="sk-SK"/>
        </w:rPr>
        <w:t>ne</w:t>
      </w:r>
      <w:r w:rsidR="00011DDA" w:rsidRPr="00011DDA">
        <w:rPr>
          <w:rFonts w:cs="Segoe UI"/>
          <w:b/>
          <w:bCs/>
          <w:szCs w:val="22"/>
          <w:lang w:val="sk-SK"/>
        </w:rPr>
        <w:t>ných výnosoch</w:t>
      </w:r>
    </w:p>
    <w:p w14:paraId="597A5C83" w14:textId="4CCF2835" w:rsidR="00D51350" w:rsidRPr="005F2787" w:rsidRDefault="00011DDA" w:rsidP="008974F8">
      <w:pPr>
        <w:spacing w:line="280" w:lineRule="auto"/>
        <w:rPr>
          <w:rFonts w:cs="Segoe UI"/>
          <w:b/>
          <w:bCs/>
          <w:szCs w:val="22"/>
          <w:lang w:val="sk-SK"/>
        </w:rPr>
      </w:pPr>
      <w:r w:rsidRPr="00282DC1">
        <w:rPr>
          <w:rFonts w:cs="Segoe UI"/>
          <w:b/>
          <w:bCs/>
          <w:szCs w:val="22"/>
          <w:lang w:val="sk-SK"/>
        </w:rPr>
        <w:t>Pri pohľad</w:t>
      </w:r>
      <w:r w:rsidR="002105AB">
        <w:rPr>
          <w:rFonts w:cs="Segoe UI"/>
          <w:b/>
          <w:bCs/>
          <w:szCs w:val="22"/>
          <w:lang w:val="sk-SK"/>
        </w:rPr>
        <w:t>e</w:t>
      </w:r>
      <w:r w:rsidRPr="00282DC1">
        <w:rPr>
          <w:rFonts w:cs="Segoe UI"/>
          <w:b/>
          <w:bCs/>
          <w:szCs w:val="22"/>
          <w:lang w:val="sk-SK"/>
        </w:rPr>
        <w:t xml:space="preserve"> na zvyšok finančného roka 2021 </w:t>
      </w:r>
      <w:proofErr w:type="spellStart"/>
      <w:r w:rsidRPr="00282DC1">
        <w:rPr>
          <w:rFonts w:cs="Segoe UI"/>
          <w:b/>
          <w:bCs/>
          <w:szCs w:val="22"/>
          <w:lang w:val="sk-SK"/>
        </w:rPr>
        <w:t>Knobel</w:t>
      </w:r>
      <w:proofErr w:type="spellEnd"/>
      <w:r w:rsidRPr="00282DC1">
        <w:rPr>
          <w:rFonts w:cs="Segoe UI"/>
          <w:b/>
          <w:bCs/>
          <w:szCs w:val="22"/>
          <w:lang w:val="sk-SK"/>
        </w:rPr>
        <w:t xml:space="preserve"> povedal:</w:t>
      </w:r>
      <w:r w:rsidR="001A1DBC" w:rsidRPr="005F2787">
        <w:rPr>
          <w:rFonts w:cs="Segoe UI"/>
          <w:b/>
          <w:bCs/>
          <w:szCs w:val="22"/>
          <w:lang w:val="sk-SK"/>
        </w:rPr>
        <w:t xml:space="preserve"> </w:t>
      </w:r>
      <w:r w:rsidR="00282DC1" w:rsidRPr="00157B7A">
        <w:rPr>
          <w:rFonts w:cs="Segoe UI"/>
          <w:b/>
          <w:bCs/>
          <w:szCs w:val="22"/>
          <w:lang w:val="sk-SK"/>
        </w:rPr>
        <w:t>„Vidíme, že dopyt vo väčšine našich obchodných segmentov sa celkovo normalizuje.</w:t>
      </w:r>
      <w:r w:rsidR="001A1DBC" w:rsidRPr="005F2787">
        <w:rPr>
          <w:rFonts w:cs="Segoe UI"/>
          <w:b/>
          <w:bCs/>
          <w:szCs w:val="22"/>
          <w:lang w:val="sk-SK"/>
        </w:rPr>
        <w:t xml:space="preserve"> </w:t>
      </w:r>
      <w:r w:rsidR="00AE44DA" w:rsidRPr="00914011">
        <w:rPr>
          <w:rFonts w:cs="Segoe UI"/>
          <w:b/>
          <w:bCs/>
          <w:szCs w:val="22"/>
          <w:lang w:val="sk-SK"/>
        </w:rPr>
        <w:t xml:space="preserve">A potom, ako </w:t>
      </w:r>
      <w:r w:rsidR="00272999" w:rsidRPr="00914011">
        <w:rPr>
          <w:rFonts w:cs="Segoe UI"/>
          <w:b/>
          <w:bCs/>
          <w:szCs w:val="22"/>
          <w:lang w:val="sk-SK"/>
        </w:rPr>
        <w:t xml:space="preserve">sa </w:t>
      </w:r>
      <w:r w:rsidR="00AE44DA" w:rsidRPr="00914011">
        <w:rPr>
          <w:rFonts w:cs="Segoe UI"/>
          <w:b/>
          <w:bCs/>
          <w:szCs w:val="22"/>
          <w:lang w:val="sk-SK"/>
        </w:rPr>
        <w:t xml:space="preserve">v druhom polroku 2020 </w:t>
      </w:r>
      <w:r w:rsidR="00272999" w:rsidRPr="00914011">
        <w:rPr>
          <w:rFonts w:cs="Segoe UI"/>
          <w:b/>
          <w:bCs/>
          <w:szCs w:val="22"/>
          <w:lang w:val="sk-SK"/>
        </w:rPr>
        <w:t>začal priemyselný dopyt v mnohých regiónoch oživovať</w:t>
      </w:r>
      <w:r w:rsidR="00AE44DA" w:rsidRPr="00914011">
        <w:rPr>
          <w:rFonts w:cs="Segoe UI"/>
          <w:b/>
          <w:bCs/>
          <w:szCs w:val="22"/>
          <w:lang w:val="sk-SK"/>
        </w:rPr>
        <w:t>, rast v druhej polovici finančného roka 2021 bude pravdepodobne aj napriek pokračujúce</w:t>
      </w:r>
      <w:r w:rsidR="002105AB">
        <w:rPr>
          <w:rFonts w:cs="Segoe UI"/>
          <w:b/>
          <w:bCs/>
          <w:szCs w:val="22"/>
          <w:lang w:val="sk-SK"/>
        </w:rPr>
        <w:t>mu</w:t>
      </w:r>
      <w:r w:rsidR="00AE44DA" w:rsidRPr="00914011">
        <w:rPr>
          <w:rFonts w:cs="Segoe UI"/>
          <w:b/>
          <w:bCs/>
          <w:szCs w:val="22"/>
          <w:lang w:val="sk-SK"/>
        </w:rPr>
        <w:t xml:space="preserve"> hospodárskemu oživovaniu dosahovať výrazne nižšie úrovne.</w:t>
      </w:r>
      <w:r w:rsidR="0080006E" w:rsidRPr="005F2787">
        <w:rPr>
          <w:rFonts w:cs="Segoe UI"/>
          <w:b/>
          <w:bCs/>
          <w:szCs w:val="22"/>
          <w:lang w:val="sk-SK"/>
        </w:rPr>
        <w:t xml:space="preserve"> </w:t>
      </w:r>
      <w:r w:rsidR="00914011" w:rsidRPr="00B522C7">
        <w:rPr>
          <w:rFonts w:cs="Segoe UI"/>
          <w:b/>
          <w:bCs/>
          <w:szCs w:val="22"/>
          <w:lang w:val="sk-SK"/>
        </w:rPr>
        <w:t>Zároveň však stále panuje veľká neistota, ako sa bude pandémia vyvíjať a ako zasiahne spotrebu a priemyselnú produkciu.</w:t>
      </w:r>
      <w:r w:rsidR="008F6D25" w:rsidRPr="005F2787">
        <w:rPr>
          <w:rFonts w:cs="Segoe UI"/>
          <w:b/>
          <w:bCs/>
          <w:szCs w:val="22"/>
          <w:lang w:val="sk-SK"/>
        </w:rPr>
        <w:t xml:space="preserve"> </w:t>
      </w:r>
      <w:r w:rsidR="00B522C7" w:rsidRPr="00C31FC7">
        <w:rPr>
          <w:rFonts w:cs="Segoe UI"/>
          <w:b/>
          <w:bCs/>
          <w:szCs w:val="22"/>
          <w:lang w:val="sk-SK"/>
        </w:rPr>
        <w:t xml:space="preserve">Predovšetkým výnimočne prudký rast cien surovín a vyťažené dodávateľské reťazce </w:t>
      </w:r>
      <w:r w:rsidR="00C31FC7" w:rsidRPr="00C31FC7">
        <w:rPr>
          <w:rFonts w:cs="Segoe UI"/>
          <w:b/>
          <w:bCs/>
          <w:szCs w:val="22"/>
          <w:lang w:val="sk-SK"/>
        </w:rPr>
        <w:t>budú silno ovplyvňovať</w:t>
      </w:r>
      <w:r w:rsidR="00B522C7" w:rsidRPr="00C31FC7">
        <w:rPr>
          <w:rFonts w:cs="Segoe UI"/>
          <w:b/>
          <w:bCs/>
          <w:szCs w:val="22"/>
          <w:lang w:val="sk-SK"/>
        </w:rPr>
        <w:t xml:space="preserve"> </w:t>
      </w:r>
      <w:r w:rsidR="00C31FC7" w:rsidRPr="00C31FC7">
        <w:rPr>
          <w:rFonts w:cs="Segoe UI"/>
          <w:b/>
          <w:bCs/>
          <w:szCs w:val="22"/>
          <w:lang w:val="sk-SK"/>
        </w:rPr>
        <w:t>ekonomiku</w:t>
      </w:r>
      <w:r w:rsidR="00B522C7" w:rsidRPr="00C31FC7">
        <w:rPr>
          <w:rFonts w:cs="Segoe UI"/>
          <w:b/>
          <w:bCs/>
          <w:szCs w:val="22"/>
          <w:lang w:val="sk-SK"/>
        </w:rPr>
        <w:t xml:space="preserve"> v</w:t>
      </w:r>
      <w:r w:rsidR="00377856">
        <w:rPr>
          <w:rFonts w:cs="Segoe UI"/>
          <w:b/>
          <w:bCs/>
          <w:szCs w:val="22"/>
          <w:lang w:val="sk-SK"/>
        </w:rPr>
        <w:t>o</w:t>
      </w:r>
      <w:r w:rsidR="00B522C7" w:rsidRPr="00C31FC7">
        <w:rPr>
          <w:rFonts w:cs="Segoe UI"/>
          <w:b/>
          <w:bCs/>
          <w:szCs w:val="22"/>
          <w:lang w:val="sk-SK"/>
        </w:rPr>
        <w:t xml:space="preserve"> zvyšnom období tohto roka.</w:t>
      </w:r>
      <w:r w:rsidR="00FA1A9C" w:rsidRPr="005F2787">
        <w:rPr>
          <w:rFonts w:cs="Segoe UI"/>
          <w:b/>
          <w:bCs/>
          <w:szCs w:val="22"/>
          <w:lang w:val="sk-SK"/>
        </w:rPr>
        <w:t xml:space="preserve"> </w:t>
      </w:r>
      <w:r w:rsidR="00FE6B14" w:rsidRPr="0010521E">
        <w:rPr>
          <w:rFonts w:cs="Segoe UI"/>
          <w:b/>
          <w:bCs/>
          <w:szCs w:val="22"/>
          <w:lang w:val="sk-SK"/>
        </w:rPr>
        <w:t xml:space="preserve">Usilovne pracujeme a prijímame rozsiahle opatrenia, aby sme tieto </w:t>
      </w:r>
      <w:r w:rsidR="00431B4B" w:rsidRPr="0010521E">
        <w:rPr>
          <w:rFonts w:cs="Segoe UI"/>
          <w:b/>
          <w:bCs/>
          <w:szCs w:val="22"/>
          <w:lang w:val="sk-SK"/>
        </w:rPr>
        <w:t xml:space="preserve">negatívne </w:t>
      </w:r>
      <w:r w:rsidR="00FE6B14" w:rsidRPr="0010521E">
        <w:rPr>
          <w:rFonts w:cs="Segoe UI"/>
          <w:b/>
          <w:bCs/>
          <w:szCs w:val="22"/>
          <w:lang w:val="sk-SK"/>
        </w:rPr>
        <w:t>vplyvy na naše podnikanie a ziskovosť obmedzili.</w:t>
      </w:r>
      <w:r w:rsidR="00245660" w:rsidRPr="005F2787">
        <w:rPr>
          <w:rFonts w:cs="Segoe UI"/>
          <w:b/>
          <w:bCs/>
          <w:szCs w:val="22"/>
          <w:lang w:val="sk-SK"/>
        </w:rPr>
        <w:t xml:space="preserve"> </w:t>
      </w:r>
      <w:r w:rsidR="0010521E" w:rsidRPr="0026241D">
        <w:rPr>
          <w:rFonts w:cs="Segoe UI"/>
          <w:b/>
          <w:bCs/>
          <w:szCs w:val="22"/>
          <w:lang w:val="sk-SK"/>
        </w:rPr>
        <w:t>Zároveň budeme naďalej flexibilne a rýchlo reagovať na zmeny na našich trhoch a neprestávame v dôslednej implementácii našej agendy rastu.</w:t>
      </w:r>
      <w:r w:rsidR="008F6D25" w:rsidRPr="005F2787">
        <w:rPr>
          <w:rFonts w:cs="Segoe UI"/>
          <w:b/>
          <w:bCs/>
          <w:szCs w:val="22"/>
          <w:lang w:val="sk-SK"/>
        </w:rPr>
        <w:t xml:space="preserve"> </w:t>
      </w:r>
      <w:r w:rsidR="0026241D" w:rsidRPr="00032BC0">
        <w:rPr>
          <w:rFonts w:cs="Segoe UI"/>
          <w:b/>
          <w:bCs/>
          <w:szCs w:val="22"/>
          <w:lang w:val="sk-SK"/>
        </w:rPr>
        <w:t xml:space="preserve">Vzhľadom na vyššie uvedené podmienky a na základe našich veľmi silných výsledkov za prvý polrok sme dnes aktualizovali svoj celoročný výhľad. </w:t>
      </w:r>
      <w:r w:rsidR="00032BC0" w:rsidRPr="008974F8">
        <w:rPr>
          <w:rFonts w:cs="Segoe UI"/>
          <w:b/>
          <w:bCs/>
          <w:szCs w:val="22"/>
          <w:lang w:val="sk-SK"/>
        </w:rPr>
        <w:t>Zvýšili sme prognózu rastu obratu a očakávame, že výnosy na akciu ostanú nez</w:t>
      </w:r>
      <w:r w:rsidR="00377856">
        <w:rPr>
          <w:rFonts w:cs="Segoe UI"/>
          <w:b/>
          <w:bCs/>
          <w:szCs w:val="22"/>
          <w:lang w:val="sk-SK"/>
        </w:rPr>
        <w:t>m</w:t>
      </w:r>
      <w:r w:rsidR="00032BC0" w:rsidRPr="008974F8">
        <w:rPr>
          <w:rFonts w:cs="Segoe UI"/>
          <w:b/>
          <w:bCs/>
          <w:szCs w:val="22"/>
          <w:lang w:val="sk-SK"/>
        </w:rPr>
        <w:t>e</w:t>
      </w:r>
      <w:r w:rsidR="00377856">
        <w:rPr>
          <w:rFonts w:cs="Segoe UI"/>
          <w:b/>
          <w:bCs/>
          <w:szCs w:val="22"/>
          <w:lang w:val="sk-SK"/>
        </w:rPr>
        <w:t>n</w:t>
      </w:r>
      <w:r w:rsidR="00032BC0" w:rsidRPr="008974F8">
        <w:rPr>
          <w:rFonts w:cs="Segoe UI"/>
          <w:b/>
          <w:bCs/>
          <w:szCs w:val="22"/>
          <w:lang w:val="sk-SK"/>
        </w:rPr>
        <w:t>ené – aj napriek zhoršujúcim sa vplyvom cenovej inflácie vstupných surovín.“</w:t>
      </w:r>
    </w:p>
    <w:p w14:paraId="463BFBE2" w14:textId="77777777" w:rsidR="00AD5077" w:rsidRPr="005F2787" w:rsidRDefault="00AD5077" w:rsidP="007E7F63">
      <w:pPr>
        <w:rPr>
          <w:rFonts w:cs="Segoe UI"/>
          <w:b/>
          <w:bCs/>
          <w:szCs w:val="22"/>
          <w:lang w:val="sk-SK"/>
        </w:rPr>
      </w:pPr>
    </w:p>
    <w:p w14:paraId="063AF555" w14:textId="77777777" w:rsidR="00515D7A" w:rsidRPr="005F2787" w:rsidRDefault="008974F8" w:rsidP="0002540A">
      <w:pPr>
        <w:spacing w:line="280" w:lineRule="auto"/>
        <w:rPr>
          <w:rFonts w:cs="Segoe UI"/>
          <w:b/>
          <w:bCs/>
          <w:szCs w:val="22"/>
          <w:lang w:val="sk-SK"/>
        </w:rPr>
      </w:pPr>
      <w:r w:rsidRPr="007F5674">
        <w:rPr>
          <w:rFonts w:cs="Segoe UI"/>
          <w:b/>
          <w:bCs/>
          <w:szCs w:val="22"/>
          <w:lang w:val="sk-SK"/>
        </w:rPr>
        <w:t xml:space="preserve">Spoločnosť Henkel teraz očakáva rast organického obratu </w:t>
      </w:r>
      <w:r w:rsidR="002E00FA" w:rsidRPr="007F5674">
        <w:rPr>
          <w:rFonts w:cs="Segoe UI"/>
          <w:b/>
          <w:bCs/>
          <w:szCs w:val="22"/>
          <w:lang w:val="sk-SK"/>
        </w:rPr>
        <w:t>v rozsahu 6,0 až 8,0 % a upravenú výnosnosť predaja (marža EBIT) v rozsahu 13,5 a</w:t>
      </w:r>
      <w:r w:rsidR="003A5E03" w:rsidRPr="007F5674">
        <w:rPr>
          <w:rFonts w:cs="Segoe UI"/>
          <w:b/>
          <w:bCs/>
          <w:szCs w:val="22"/>
          <w:lang w:val="sk-SK"/>
        </w:rPr>
        <w:t>ž</w:t>
      </w:r>
      <w:r w:rsidR="002E00FA" w:rsidRPr="007F5674">
        <w:rPr>
          <w:rFonts w:cs="Segoe UI"/>
          <w:b/>
          <w:bCs/>
          <w:szCs w:val="22"/>
          <w:lang w:val="sk-SK"/>
        </w:rPr>
        <w:t xml:space="preserve"> 14,5 %.</w:t>
      </w:r>
      <w:r w:rsidR="00515D7A" w:rsidRPr="005F2787">
        <w:rPr>
          <w:rFonts w:cs="Segoe UI"/>
          <w:b/>
          <w:bCs/>
          <w:szCs w:val="22"/>
          <w:lang w:val="sk-SK"/>
        </w:rPr>
        <w:t xml:space="preserve"> </w:t>
      </w:r>
      <w:r w:rsidR="0002540A" w:rsidRPr="0002540A">
        <w:rPr>
          <w:rFonts w:cs="Segoe UI"/>
          <w:b/>
          <w:bCs/>
          <w:szCs w:val="22"/>
          <w:lang w:val="sk-SK"/>
        </w:rPr>
        <w:t xml:space="preserve">Pri upravenom výnose na prioritnú akciu (EPS) pri konštantných </w:t>
      </w:r>
      <w:r w:rsidR="0002540A" w:rsidRPr="00124D01">
        <w:rPr>
          <w:rFonts w:cs="Segoe UI"/>
          <w:b/>
          <w:bCs/>
          <w:szCs w:val="22"/>
          <w:lang w:val="sk-SK"/>
        </w:rPr>
        <w:t xml:space="preserve">sadzbách Henkel naďalej očakáva jeho percentuálne zvýšenie v rozsahu od hornej </w:t>
      </w:r>
      <w:r w:rsidR="00466BD0" w:rsidRPr="00124D01">
        <w:rPr>
          <w:rFonts w:cs="Segoe UI"/>
          <w:b/>
          <w:bCs/>
          <w:szCs w:val="22"/>
          <w:lang w:val="sk-SK"/>
        </w:rPr>
        <w:t>časti</w:t>
      </w:r>
      <w:r w:rsidR="0002540A" w:rsidRPr="00124D01">
        <w:rPr>
          <w:rFonts w:cs="Segoe UI"/>
          <w:b/>
          <w:bCs/>
          <w:szCs w:val="22"/>
          <w:lang w:val="sk-SK"/>
        </w:rPr>
        <w:t xml:space="preserve"> prvej do polovice druhej desiatky.</w:t>
      </w:r>
    </w:p>
    <w:p w14:paraId="1EE26465" w14:textId="77777777" w:rsidR="00B4092D" w:rsidRPr="005F2787" w:rsidRDefault="00B4092D" w:rsidP="00B4092D">
      <w:pPr>
        <w:autoSpaceDE w:val="0"/>
        <w:autoSpaceDN w:val="0"/>
        <w:adjustRightInd w:val="0"/>
        <w:rPr>
          <w:rFonts w:cs="Segoe UI"/>
          <w:szCs w:val="22"/>
          <w:lang w:val="sk-SK"/>
        </w:rPr>
      </w:pPr>
    </w:p>
    <w:p w14:paraId="6E32381A" w14:textId="77777777" w:rsidR="00226640" w:rsidRPr="005F2787" w:rsidRDefault="007F5674" w:rsidP="004C72D2">
      <w:pPr>
        <w:spacing w:after="120" w:line="280" w:lineRule="auto"/>
        <w:rPr>
          <w:rFonts w:cs="Segoe UI"/>
          <w:b/>
          <w:bCs/>
          <w:szCs w:val="22"/>
          <w:lang w:val="sk-SK"/>
        </w:rPr>
      </w:pPr>
      <w:r w:rsidRPr="004C72D2">
        <w:rPr>
          <w:rFonts w:cs="Segoe UI"/>
          <w:b/>
          <w:bCs/>
          <w:szCs w:val="22"/>
          <w:lang w:val="sk-SK"/>
        </w:rPr>
        <w:t>Obrat a zisk na úrovni skupiny v prvom polroku 2021</w:t>
      </w:r>
    </w:p>
    <w:p w14:paraId="179F2D3E" w14:textId="77777777" w:rsidR="00AE48EF" w:rsidRPr="005F2787" w:rsidRDefault="004C72D2" w:rsidP="00793785">
      <w:pPr>
        <w:spacing w:line="280" w:lineRule="auto"/>
        <w:rPr>
          <w:rFonts w:cs="Segoe UI"/>
          <w:szCs w:val="22"/>
          <w:lang w:val="sk-SK"/>
        </w:rPr>
      </w:pPr>
      <w:r w:rsidRPr="0016044D">
        <w:rPr>
          <w:rFonts w:cs="Segoe UI"/>
          <w:b/>
          <w:szCs w:val="22"/>
          <w:lang w:val="sk-SK"/>
        </w:rPr>
        <w:t>Obrat</w:t>
      </w:r>
      <w:r w:rsidRPr="0016044D">
        <w:rPr>
          <w:rFonts w:cs="Segoe UI"/>
          <w:szCs w:val="22"/>
          <w:lang w:val="sk-SK"/>
        </w:rPr>
        <w:t xml:space="preserve"> skupiny Henkel za prvý polrok 2021 v celkovej výške 9 926 </w:t>
      </w:r>
      <w:r w:rsidR="00D018C4">
        <w:rPr>
          <w:rFonts w:cs="Segoe UI"/>
          <w:szCs w:val="22"/>
          <w:lang w:val="sk-SK"/>
        </w:rPr>
        <w:t>mil.</w:t>
      </w:r>
      <w:r w:rsidRPr="0016044D">
        <w:rPr>
          <w:rFonts w:cs="Segoe UI"/>
          <w:szCs w:val="22"/>
          <w:lang w:val="sk-SK"/>
        </w:rPr>
        <w:t xml:space="preserve"> eur bolo o 4,7 % vyšší v porovnaní s rovnakým obdobím predchádzajúceho roka (2. štvrťrok: 4 958 </w:t>
      </w:r>
      <w:r w:rsidR="00D018C4">
        <w:rPr>
          <w:rFonts w:cs="Segoe UI"/>
          <w:szCs w:val="22"/>
          <w:lang w:val="sk-SK"/>
        </w:rPr>
        <w:t>mil.</w:t>
      </w:r>
      <w:r w:rsidRPr="0016044D">
        <w:rPr>
          <w:rFonts w:cs="Segoe UI"/>
          <w:szCs w:val="22"/>
          <w:lang w:val="sk-SK"/>
        </w:rPr>
        <w:t xml:space="preserve"> eur, +8,8 %).</w:t>
      </w:r>
      <w:r w:rsidR="00AE48EF" w:rsidRPr="005F2787">
        <w:rPr>
          <w:rFonts w:cs="Segoe UI"/>
          <w:szCs w:val="22"/>
          <w:lang w:val="sk-SK"/>
        </w:rPr>
        <w:t xml:space="preserve"> </w:t>
      </w:r>
      <w:r w:rsidR="0016044D" w:rsidRPr="00501D1C">
        <w:rPr>
          <w:rFonts w:cs="Segoe UI"/>
          <w:b/>
          <w:szCs w:val="22"/>
          <w:lang w:val="sk-SK"/>
        </w:rPr>
        <w:t>Organický obrat,</w:t>
      </w:r>
      <w:r w:rsidR="0016044D" w:rsidRPr="00501D1C">
        <w:rPr>
          <w:rFonts w:cs="Segoe UI"/>
          <w:szCs w:val="22"/>
          <w:lang w:val="sk-SK"/>
        </w:rPr>
        <w:t xml:space="preserve"> do ktorého sa nezapočítavajú kurzové vplyvy a vplyvy akvizícií a odpredaja, zaznamenal dvojciferný rast o 11,3 % (2. štvrťrok: +15,2 %).</w:t>
      </w:r>
      <w:r w:rsidR="00392F69" w:rsidRPr="005F2787">
        <w:rPr>
          <w:rFonts w:cs="Segoe UI"/>
          <w:szCs w:val="22"/>
          <w:lang w:val="sk-SK"/>
        </w:rPr>
        <w:t xml:space="preserve"> </w:t>
      </w:r>
      <w:r w:rsidR="00501D1C" w:rsidRPr="00501D1C">
        <w:rPr>
          <w:rFonts w:cs="Segoe UI"/>
          <w:szCs w:val="22"/>
          <w:lang w:val="sk-SK"/>
        </w:rPr>
        <w:t>Príspevok akvizícií a odpredajov predstavoval 0,4 % (2. štvrťrok: +0,1 %).</w:t>
      </w:r>
      <w:r w:rsidR="0071028A" w:rsidRPr="005F2787">
        <w:rPr>
          <w:rFonts w:cs="Segoe UI"/>
          <w:szCs w:val="22"/>
          <w:lang w:val="sk-SK"/>
        </w:rPr>
        <w:t xml:space="preserve"> </w:t>
      </w:r>
      <w:r w:rsidR="00501D1C" w:rsidRPr="00793785">
        <w:rPr>
          <w:rFonts w:cs="Segoe UI"/>
          <w:szCs w:val="22"/>
          <w:lang w:val="sk-SK"/>
        </w:rPr>
        <w:t>Kurzový vývoj mal na obrat negatívny vplyv vo výške -0,7 % (2. štvrťrok: -6,5 %).</w:t>
      </w:r>
    </w:p>
    <w:p w14:paraId="5097574C" w14:textId="77777777" w:rsidR="00226640" w:rsidRPr="005F2787" w:rsidRDefault="00226640" w:rsidP="00226640">
      <w:pPr>
        <w:rPr>
          <w:rFonts w:cs="Segoe UI"/>
          <w:szCs w:val="22"/>
          <w:lang w:val="sk-SK"/>
        </w:rPr>
      </w:pPr>
    </w:p>
    <w:p w14:paraId="58FCEC27" w14:textId="77777777" w:rsidR="00392F69" w:rsidRPr="005F2787" w:rsidRDefault="00793785" w:rsidP="00F6395A">
      <w:pPr>
        <w:spacing w:line="280" w:lineRule="auto"/>
        <w:rPr>
          <w:rFonts w:cs="Segoe UI"/>
          <w:szCs w:val="22"/>
          <w:lang w:val="sk-SK"/>
        </w:rPr>
      </w:pPr>
      <w:r w:rsidRPr="008D4AFA">
        <w:rPr>
          <w:rFonts w:cs="Segoe UI"/>
          <w:b/>
          <w:szCs w:val="22"/>
          <w:lang w:val="sk-SK"/>
        </w:rPr>
        <w:lastRenderedPageBreak/>
        <w:t xml:space="preserve">Rozvíjajúce sa trhy </w:t>
      </w:r>
      <w:r w:rsidRPr="008D4AFA">
        <w:rPr>
          <w:rFonts w:cs="Segoe UI"/>
          <w:szCs w:val="22"/>
          <w:lang w:val="sk-SK"/>
        </w:rPr>
        <w:t>vykázali rast organického obratu o 21,5 % (2. štvrťrok: +24,7 %)</w:t>
      </w:r>
      <w:r w:rsidR="008D4AFA">
        <w:rPr>
          <w:rFonts w:cs="Segoe UI"/>
          <w:szCs w:val="22"/>
          <w:lang w:val="sk-SK"/>
        </w:rPr>
        <w:t>,</w:t>
      </w:r>
      <w:r w:rsidR="00392F69" w:rsidRPr="005F2787">
        <w:rPr>
          <w:rFonts w:cs="Segoe UI"/>
          <w:szCs w:val="22"/>
          <w:lang w:val="sk-SK"/>
        </w:rPr>
        <w:t xml:space="preserve"> </w:t>
      </w:r>
      <w:r w:rsidR="008D4AFA" w:rsidRPr="00F6395A">
        <w:rPr>
          <w:rFonts w:cs="Segoe UI"/>
          <w:szCs w:val="22"/>
          <w:lang w:val="sk-SK"/>
        </w:rPr>
        <w:t xml:space="preserve">zatiaľ čo </w:t>
      </w:r>
      <w:r w:rsidR="008D4AFA" w:rsidRPr="00F6395A">
        <w:rPr>
          <w:rFonts w:cs="Segoe UI"/>
          <w:b/>
          <w:szCs w:val="22"/>
          <w:lang w:val="sk-SK"/>
        </w:rPr>
        <w:t>vyspelé trhy</w:t>
      </w:r>
      <w:r w:rsidR="008D4AFA" w:rsidRPr="00F6395A">
        <w:rPr>
          <w:rFonts w:cs="Segoe UI"/>
          <w:szCs w:val="22"/>
          <w:lang w:val="sk-SK"/>
        </w:rPr>
        <w:t xml:space="preserve"> zaznamenali rast organického obratu na úrovni 4,5 % (2. štvrťrok: +8,8 %).</w:t>
      </w:r>
    </w:p>
    <w:p w14:paraId="79FC836F" w14:textId="77777777" w:rsidR="00226640" w:rsidRPr="005F2787" w:rsidRDefault="00226640" w:rsidP="00226640">
      <w:pPr>
        <w:rPr>
          <w:rFonts w:cs="Segoe UI"/>
          <w:szCs w:val="22"/>
          <w:lang w:val="sk-SK"/>
        </w:rPr>
      </w:pPr>
    </w:p>
    <w:p w14:paraId="674B2F69" w14:textId="77777777" w:rsidR="00FC27C8" w:rsidRPr="005F2787" w:rsidRDefault="00F6395A" w:rsidP="0059098B">
      <w:pPr>
        <w:spacing w:line="280" w:lineRule="auto"/>
        <w:rPr>
          <w:rFonts w:cs="Segoe UI"/>
          <w:szCs w:val="22"/>
          <w:lang w:val="sk-SK"/>
        </w:rPr>
      </w:pPr>
      <w:r w:rsidRPr="007A0090">
        <w:rPr>
          <w:rFonts w:cs="Segoe UI"/>
          <w:szCs w:val="22"/>
          <w:lang w:val="sk-SK"/>
        </w:rPr>
        <w:t xml:space="preserve">V </w:t>
      </w:r>
      <w:r w:rsidRPr="007A0090">
        <w:rPr>
          <w:rFonts w:cs="Segoe UI"/>
          <w:b/>
          <w:szCs w:val="22"/>
          <w:lang w:val="sk-SK"/>
        </w:rPr>
        <w:t>západnej Európe</w:t>
      </w:r>
      <w:r w:rsidRPr="007A0090">
        <w:rPr>
          <w:rFonts w:cs="Segoe UI"/>
          <w:szCs w:val="22"/>
          <w:lang w:val="sk-SK"/>
        </w:rPr>
        <w:t xml:space="preserve"> </w:t>
      </w:r>
      <w:r w:rsidR="00124D01">
        <w:rPr>
          <w:rFonts w:cs="Segoe UI"/>
          <w:szCs w:val="22"/>
          <w:lang w:val="sk-SK"/>
        </w:rPr>
        <w:t>dosiahol</w:t>
      </w:r>
      <w:r w:rsidRPr="007A0090">
        <w:rPr>
          <w:rFonts w:cs="Segoe UI"/>
          <w:szCs w:val="22"/>
          <w:lang w:val="sk-SK"/>
        </w:rPr>
        <w:t xml:space="preserve"> rast organického obratu v prvom polroku výšku 5,5 % (2. štvrťrok: +10,7 %).</w:t>
      </w:r>
      <w:r w:rsidR="001716FD" w:rsidRPr="005F2787">
        <w:rPr>
          <w:rFonts w:cs="Segoe UI"/>
          <w:szCs w:val="22"/>
          <w:lang w:val="sk-SK"/>
        </w:rPr>
        <w:t xml:space="preserve"> </w:t>
      </w:r>
      <w:r w:rsidR="007A0090" w:rsidRPr="007A0090">
        <w:rPr>
          <w:rFonts w:cs="Segoe UI"/>
          <w:b/>
          <w:szCs w:val="22"/>
          <w:lang w:val="sk-SK"/>
        </w:rPr>
        <w:t xml:space="preserve">Východná Európa </w:t>
      </w:r>
      <w:r w:rsidR="007A0090" w:rsidRPr="007A0090">
        <w:rPr>
          <w:rFonts w:cs="Segoe UI"/>
          <w:szCs w:val="22"/>
          <w:lang w:val="sk-SK"/>
        </w:rPr>
        <w:t>dosiahla zvýšenie organického obratu na úrovni 17,6 %</w:t>
      </w:r>
      <w:r w:rsidR="007A0090" w:rsidRPr="007A0090">
        <w:rPr>
          <w:rFonts w:cs="Segoe UI"/>
          <w:b/>
          <w:szCs w:val="22"/>
          <w:lang w:val="sk-SK"/>
        </w:rPr>
        <w:t xml:space="preserve"> </w:t>
      </w:r>
      <w:r w:rsidR="007A0090" w:rsidRPr="007A0090">
        <w:rPr>
          <w:rFonts w:cs="Segoe UI"/>
          <w:szCs w:val="22"/>
          <w:lang w:val="sk-SK"/>
        </w:rPr>
        <w:t>(2. štvrťrok: +24,1 %).</w:t>
      </w:r>
      <w:r w:rsidR="00FC27C8" w:rsidRPr="005F2787">
        <w:rPr>
          <w:rFonts w:cs="Segoe UI"/>
          <w:szCs w:val="22"/>
          <w:lang w:val="sk-SK"/>
        </w:rPr>
        <w:t xml:space="preserve"> </w:t>
      </w:r>
      <w:r w:rsidR="007A0090" w:rsidRPr="00B12D6D">
        <w:rPr>
          <w:rFonts w:cs="Segoe UI"/>
          <w:szCs w:val="22"/>
          <w:lang w:val="sk-SK"/>
        </w:rPr>
        <w:t xml:space="preserve">V </w:t>
      </w:r>
      <w:r w:rsidR="007A0090" w:rsidRPr="00B12D6D">
        <w:rPr>
          <w:rFonts w:cs="Segoe UI"/>
          <w:b/>
          <w:szCs w:val="22"/>
          <w:lang w:val="sk-SK"/>
        </w:rPr>
        <w:t>Afrike a na Strednom východe</w:t>
      </w:r>
      <w:r w:rsidR="007A0090" w:rsidRPr="00B12D6D">
        <w:rPr>
          <w:rFonts w:cs="Segoe UI"/>
          <w:szCs w:val="22"/>
          <w:lang w:val="sk-SK"/>
        </w:rPr>
        <w:t xml:space="preserve"> obrat organicky vzrástol o 26,4 % (2. štvrťrok: +31,7 %).</w:t>
      </w:r>
      <w:r w:rsidR="00FC27C8" w:rsidRPr="005F2787">
        <w:rPr>
          <w:rFonts w:cs="Segoe UI"/>
          <w:szCs w:val="22"/>
          <w:lang w:val="sk-SK"/>
        </w:rPr>
        <w:t xml:space="preserve"> </w:t>
      </w:r>
      <w:r w:rsidR="00B12D6D" w:rsidRPr="004C3271">
        <w:rPr>
          <w:rFonts w:cs="Segoe UI"/>
          <w:szCs w:val="22"/>
          <w:lang w:val="sk-SK"/>
        </w:rPr>
        <w:t xml:space="preserve">V </w:t>
      </w:r>
      <w:r w:rsidR="00B12D6D" w:rsidRPr="004C3271">
        <w:rPr>
          <w:rFonts w:cs="Segoe UI"/>
          <w:b/>
          <w:szCs w:val="22"/>
          <w:lang w:val="sk-SK"/>
        </w:rPr>
        <w:t>Severnej Amerike</w:t>
      </w:r>
      <w:r w:rsidR="00B12D6D" w:rsidRPr="004C3271">
        <w:rPr>
          <w:rFonts w:cs="Segoe UI"/>
          <w:szCs w:val="22"/>
          <w:lang w:val="sk-SK"/>
        </w:rPr>
        <w:t xml:space="preserve"> sa organický obrat zvýšil o 3,0 % (2. štvrťrok: +6,3 %), kým v </w:t>
      </w:r>
      <w:r w:rsidR="00B12D6D" w:rsidRPr="004C3271">
        <w:rPr>
          <w:rFonts w:cs="Segoe UI"/>
          <w:b/>
          <w:szCs w:val="22"/>
          <w:lang w:val="sk-SK"/>
        </w:rPr>
        <w:t>Latinskej Amerike</w:t>
      </w:r>
      <w:r w:rsidR="00B12D6D" w:rsidRPr="004C3271">
        <w:rPr>
          <w:rFonts w:cs="Segoe UI"/>
          <w:szCs w:val="22"/>
          <w:lang w:val="sk-SK"/>
        </w:rPr>
        <w:t xml:space="preserve"> to bolo až o 21,0 % (2. štvrťrok: +34,2 %)</w:t>
      </w:r>
      <w:r w:rsidR="00124D01">
        <w:rPr>
          <w:rFonts w:cs="Segoe UI"/>
          <w:szCs w:val="22"/>
          <w:lang w:val="sk-SK"/>
        </w:rPr>
        <w:t>.</w:t>
      </w:r>
      <w:r w:rsidR="00FC27C8" w:rsidRPr="005F2787">
        <w:rPr>
          <w:rFonts w:cs="Segoe UI"/>
          <w:szCs w:val="22"/>
          <w:lang w:val="sk-SK"/>
        </w:rPr>
        <w:t xml:space="preserve"> </w:t>
      </w:r>
      <w:r w:rsidR="004C3271" w:rsidRPr="0059098B">
        <w:rPr>
          <w:rFonts w:cs="Segoe UI"/>
          <w:szCs w:val="22"/>
          <w:lang w:val="sk-SK"/>
        </w:rPr>
        <w:t>V </w:t>
      </w:r>
      <w:r w:rsidR="004C3271" w:rsidRPr="0059098B">
        <w:rPr>
          <w:rFonts w:cs="Segoe UI"/>
          <w:b/>
          <w:szCs w:val="22"/>
          <w:lang w:val="sk-SK"/>
        </w:rPr>
        <w:t>ázijsko-pacifickom</w:t>
      </w:r>
      <w:r w:rsidR="004C3271" w:rsidRPr="0059098B">
        <w:rPr>
          <w:rFonts w:cs="Segoe UI"/>
          <w:szCs w:val="22"/>
          <w:lang w:val="sk-SK"/>
        </w:rPr>
        <w:t xml:space="preserve"> re</w:t>
      </w:r>
      <w:r w:rsidR="005F63E1">
        <w:rPr>
          <w:rFonts w:cs="Segoe UI"/>
          <w:szCs w:val="22"/>
          <w:lang w:val="sk-SK"/>
        </w:rPr>
        <w:t>gióne sa obrat organicky zvýšil</w:t>
      </w:r>
      <w:r w:rsidR="004C3271" w:rsidRPr="0059098B">
        <w:rPr>
          <w:rFonts w:cs="Segoe UI"/>
          <w:szCs w:val="22"/>
          <w:lang w:val="sk-SK"/>
        </w:rPr>
        <w:t xml:space="preserve"> o 20,8 % (2. štvrťrok: +17,3 %).</w:t>
      </w:r>
    </w:p>
    <w:p w14:paraId="4A66B32C" w14:textId="77777777" w:rsidR="00245660" w:rsidRPr="005F2787" w:rsidRDefault="00245660" w:rsidP="00226640">
      <w:pPr>
        <w:rPr>
          <w:rFonts w:cs="Segoe UI"/>
          <w:b/>
          <w:bCs/>
          <w:szCs w:val="22"/>
          <w:lang w:val="sk-SK"/>
        </w:rPr>
      </w:pPr>
    </w:p>
    <w:p w14:paraId="60F48BA1" w14:textId="77777777" w:rsidR="00226640" w:rsidRPr="005F2787" w:rsidRDefault="0059098B" w:rsidP="00BA69D8">
      <w:pPr>
        <w:spacing w:line="280" w:lineRule="auto"/>
        <w:rPr>
          <w:rFonts w:cs="Segoe UI"/>
          <w:bCs/>
          <w:szCs w:val="22"/>
          <w:lang w:val="sk-SK"/>
        </w:rPr>
      </w:pPr>
      <w:r w:rsidRPr="0064494D">
        <w:rPr>
          <w:rFonts w:cs="Segoe UI"/>
          <w:b/>
          <w:bCs/>
          <w:szCs w:val="22"/>
          <w:lang w:val="sk-SK"/>
        </w:rPr>
        <w:t>Upravený prevádzkový zisk (</w:t>
      </w:r>
      <w:r w:rsidR="001D3648" w:rsidRPr="0064494D">
        <w:rPr>
          <w:rFonts w:cs="Segoe UI"/>
          <w:b/>
          <w:bCs/>
          <w:szCs w:val="22"/>
          <w:lang w:val="sk-SK"/>
        </w:rPr>
        <w:t>upr</w:t>
      </w:r>
      <w:r w:rsidR="004C67B8" w:rsidRPr="0064494D">
        <w:rPr>
          <w:rFonts w:cs="Segoe UI"/>
          <w:b/>
          <w:bCs/>
          <w:szCs w:val="22"/>
          <w:lang w:val="sk-SK"/>
        </w:rPr>
        <w:t xml:space="preserve">avená </w:t>
      </w:r>
      <w:r w:rsidRPr="0064494D">
        <w:rPr>
          <w:rFonts w:cs="Segoe UI"/>
          <w:b/>
          <w:bCs/>
          <w:szCs w:val="22"/>
          <w:lang w:val="sk-SK"/>
        </w:rPr>
        <w:t xml:space="preserve">EBIT) </w:t>
      </w:r>
      <w:r w:rsidRPr="0064494D">
        <w:rPr>
          <w:rFonts w:cs="Segoe UI"/>
          <w:bCs/>
          <w:szCs w:val="22"/>
          <w:lang w:val="sk-SK"/>
        </w:rPr>
        <w:t xml:space="preserve">sa zvýšil o 20,1 %, z 1 191 </w:t>
      </w:r>
      <w:r w:rsidR="00D018C4" w:rsidRPr="0064494D">
        <w:rPr>
          <w:rFonts w:cs="Segoe UI"/>
          <w:bCs/>
          <w:szCs w:val="22"/>
          <w:lang w:val="sk-SK"/>
        </w:rPr>
        <w:t>mil.</w:t>
      </w:r>
      <w:r w:rsidRPr="0064494D">
        <w:rPr>
          <w:rFonts w:cs="Segoe UI"/>
          <w:bCs/>
          <w:szCs w:val="22"/>
          <w:lang w:val="sk-SK"/>
        </w:rPr>
        <w:t xml:space="preserve"> eur v prvom polroku minulého roka na terajších 1 430 </w:t>
      </w:r>
      <w:r w:rsidR="00D018C4" w:rsidRPr="0064494D">
        <w:rPr>
          <w:rFonts w:cs="Segoe UI"/>
          <w:bCs/>
          <w:szCs w:val="22"/>
          <w:lang w:val="sk-SK"/>
        </w:rPr>
        <w:t>mil.</w:t>
      </w:r>
      <w:r w:rsidRPr="0064494D">
        <w:rPr>
          <w:rFonts w:cs="Segoe UI"/>
          <w:bCs/>
          <w:szCs w:val="22"/>
          <w:lang w:val="sk-SK"/>
        </w:rPr>
        <w:t xml:space="preserve"> eur.</w:t>
      </w:r>
    </w:p>
    <w:p w14:paraId="209D87DE" w14:textId="77777777" w:rsidR="0071028A" w:rsidRPr="005F2787" w:rsidRDefault="0071028A" w:rsidP="00226640">
      <w:pPr>
        <w:rPr>
          <w:rFonts w:cs="Segoe UI"/>
          <w:bCs/>
          <w:szCs w:val="22"/>
          <w:lang w:val="sk-SK"/>
        </w:rPr>
      </w:pPr>
    </w:p>
    <w:p w14:paraId="56720419" w14:textId="77777777" w:rsidR="00226640" w:rsidRPr="005F2787" w:rsidRDefault="00BA69D8" w:rsidP="009E2FA0">
      <w:pPr>
        <w:spacing w:line="280" w:lineRule="auto"/>
        <w:rPr>
          <w:rFonts w:cs="Segoe UI"/>
          <w:bCs/>
          <w:szCs w:val="22"/>
          <w:lang w:val="sk-SK"/>
        </w:rPr>
      </w:pPr>
      <w:r w:rsidRPr="0064494D">
        <w:rPr>
          <w:rFonts w:cs="Segoe UI"/>
          <w:b/>
          <w:bCs/>
          <w:szCs w:val="22"/>
          <w:lang w:val="sk-SK"/>
        </w:rPr>
        <w:t>Upravená výnosnosť predaja (upravená EBIT)</w:t>
      </w:r>
      <w:r w:rsidRPr="0064494D">
        <w:rPr>
          <w:rFonts w:cs="Segoe UI"/>
          <w:bCs/>
          <w:szCs w:val="22"/>
          <w:lang w:val="sk-SK"/>
        </w:rPr>
        <w:t xml:space="preserve"> sa zvýšila o 1,9 percentuálneho bodu</w:t>
      </w:r>
      <w:r w:rsidR="009E2FA0" w:rsidRPr="0064494D">
        <w:rPr>
          <w:rFonts w:cs="Segoe UI"/>
          <w:bCs/>
          <w:szCs w:val="22"/>
          <w:lang w:val="sk-SK"/>
        </w:rPr>
        <w:t>,</w:t>
      </w:r>
      <w:r w:rsidRPr="0064494D">
        <w:rPr>
          <w:rFonts w:cs="Segoe UI"/>
          <w:bCs/>
          <w:szCs w:val="22"/>
          <w:lang w:val="sk-SK"/>
        </w:rPr>
        <w:t xml:space="preserve"> z 12,6 % na 14,4 %.</w:t>
      </w:r>
    </w:p>
    <w:p w14:paraId="6F14129D" w14:textId="77777777" w:rsidR="006F4119" w:rsidRPr="005F2787" w:rsidRDefault="006F4119" w:rsidP="00226640">
      <w:pPr>
        <w:rPr>
          <w:rFonts w:cs="Segoe UI"/>
          <w:bCs/>
          <w:szCs w:val="22"/>
          <w:lang w:val="sk-SK"/>
        </w:rPr>
      </w:pPr>
    </w:p>
    <w:p w14:paraId="701B0193" w14:textId="77777777" w:rsidR="001677AE" w:rsidRPr="005F2787" w:rsidRDefault="009E2FA0" w:rsidP="00687CED">
      <w:pPr>
        <w:spacing w:line="280" w:lineRule="auto"/>
        <w:rPr>
          <w:rFonts w:cs="Segoe UI"/>
          <w:bCs/>
          <w:szCs w:val="22"/>
          <w:lang w:val="sk-SK"/>
        </w:rPr>
      </w:pPr>
      <w:r w:rsidRPr="00687CED">
        <w:rPr>
          <w:rFonts w:cs="Segoe UI"/>
          <w:b/>
          <w:bCs/>
          <w:szCs w:val="22"/>
          <w:lang w:val="sk-SK"/>
        </w:rPr>
        <w:t>Upravený výnos na prioritnú akciu</w:t>
      </w:r>
      <w:r w:rsidRPr="00687CED">
        <w:rPr>
          <w:rFonts w:cs="Segoe UI"/>
          <w:bCs/>
          <w:szCs w:val="22"/>
          <w:lang w:val="sk-SK"/>
        </w:rPr>
        <w:t xml:space="preserve"> sa zvýšili o 22,4 %, </w:t>
      </w:r>
      <w:r w:rsidR="005F63E1">
        <w:rPr>
          <w:rFonts w:cs="Segoe UI"/>
          <w:bCs/>
          <w:szCs w:val="22"/>
          <w:lang w:val="sk-SK"/>
        </w:rPr>
        <w:t xml:space="preserve">z </w:t>
      </w:r>
      <w:r w:rsidRPr="00687CED">
        <w:rPr>
          <w:rFonts w:cs="Segoe UI"/>
          <w:bCs/>
          <w:szCs w:val="22"/>
          <w:lang w:val="sk-SK"/>
        </w:rPr>
        <w:t>1,96 eura v prvom polroku 2020 na 2,40 eura.</w:t>
      </w:r>
      <w:r w:rsidR="001677AE" w:rsidRPr="005F2787">
        <w:rPr>
          <w:rFonts w:cs="Segoe UI"/>
          <w:bCs/>
          <w:szCs w:val="22"/>
          <w:lang w:val="sk-SK"/>
        </w:rPr>
        <w:t xml:space="preserve"> </w:t>
      </w:r>
      <w:r w:rsidR="00687CED" w:rsidRPr="00687CED">
        <w:rPr>
          <w:rFonts w:cs="Segoe UI"/>
          <w:bCs/>
          <w:szCs w:val="22"/>
          <w:lang w:val="sk-SK"/>
        </w:rPr>
        <w:t>Upravený výnos na prioritnú akciu sa pri konštantných kurzových sadzbách zvýšil o 30,1 %.</w:t>
      </w:r>
    </w:p>
    <w:p w14:paraId="57185E03" w14:textId="77777777" w:rsidR="00226640" w:rsidRPr="005F2787" w:rsidRDefault="00226640" w:rsidP="00226640">
      <w:pPr>
        <w:rPr>
          <w:rFonts w:cs="Segoe UI"/>
          <w:szCs w:val="22"/>
          <w:lang w:val="sk-SK"/>
        </w:rPr>
      </w:pPr>
    </w:p>
    <w:p w14:paraId="5CDB6B6F" w14:textId="77777777" w:rsidR="001677AE" w:rsidRPr="005F2787" w:rsidRDefault="00687CED" w:rsidP="005A1C43">
      <w:pPr>
        <w:spacing w:line="280" w:lineRule="auto"/>
        <w:rPr>
          <w:rFonts w:cs="Segoe UI"/>
          <w:szCs w:val="22"/>
          <w:lang w:val="sk-SK"/>
        </w:rPr>
      </w:pPr>
      <w:r w:rsidRPr="00887A4B">
        <w:rPr>
          <w:rFonts w:cs="Segoe UI"/>
          <w:szCs w:val="22"/>
          <w:lang w:val="sk-SK"/>
        </w:rPr>
        <w:t>Ďalej sa zlepšoval</w:t>
      </w:r>
      <w:r w:rsidRPr="00887A4B">
        <w:rPr>
          <w:rFonts w:cs="Segoe UI"/>
          <w:b/>
          <w:szCs w:val="22"/>
          <w:lang w:val="sk-SK"/>
        </w:rPr>
        <w:t xml:space="preserve"> čistý prevádzkový kapitál.</w:t>
      </w:r>
      <w:r w:rsidR="001677AE" w:rsidRPr="005F2787">
        <w:rPr>
          <w:rFonts w:cs="Segoe UI"/>
          <w:szCs w:val="22"/>
          <w:lang w:val="sk-SK"/>
        </w:rPr>
        <w:t xml:space="preserve"> </w:t>
      </w:r>
      <w:r w:rsidR="00887A4B" w:rsidRPr="00133448">
        <w:rPr>
          <w:rFonts w:cs="Segoe UI"/>
          <w:szCs w:val="22"/>
          <w:lang w:val="sk-SK"/>
        </w:rPr>
        <w:t>Na úrovni 3,6 % z obratu zaostal za úrovňou</w:t>
      </w:r>
      <w:r w:rsidR="00887A4B" w:rsidRPr="005A1C43">
        <w:rPr>
          <w:rFonts w:cs="Segoe UI"/>
          <w:szCs w:val="22"/>
          <w:lang w:val="sk-SK"/>
        </w:rPr>
        <w:t xml:space="preserve"> z rovnakého obdobia predchádzajúceho roka o 80 percentuálnych bodov (4,4 %).</w:t>
      </w:r>
    </w:p>
    <w:p w14:paraId="68B57310" w14:textId="77777777" w:rsidR="00226640" w:rsidRPr="005F2787" w:rsidRDefault="00226640" w:rsidP="00226640">
      <w:pPr>
        <w:rPr>
          <w:rFonts w:cs="Segoe UI"/>
          <w:szCs w:val="22"/>
          <w:lang w:val="sk-SK"/>
        </w:rPr>
      </w:pPr>
    </w:p>
    <w:p w14:paraId="140C22AD" w14:textId="77777777" w:rsidR="0071028A" w:rsidRPr="005F2787" w:rsidRDefault="005A1C43" w:rsidP="00E7181C">
      <w:pPr>
        <w:autoSpaceDE w:val="0"/>
        <w:autoSpaceDN w:val="0"/>
        <w:adjustRightInd w:val="0"/>
        <w:spacing w:line="280" w:lineRule="auto"/>
        <w:rPr>
          <w:rFonts w:cs="Segoe UI"/>
          <w:szCs w:val="22"/>
          <w:lang w:val="sk-SK"/>
        </w:rPr>
      </w:pPr>
      <w:r w:rsidRPr="00435E2B">
        <w:rPr>
          <w:rFonts w:cs="Segoe UI"/>
          <w:b/>
          <w:szCs w:val="22"/>
          <w:lang w:val="sk-SK"/>
        </w:rPr>
        <w:t xml:space="preserve">Voľný cash </w:t>
      </w:r>
      <w:proofErr w:type="spellStart"/>
      <w:r w:rsidRPr="00435E2B">
        <w:rPr>
          <w:rFonts w:cs="Segoe UI"/>
          <w:b/>
          <w:szCs w:val="22"/>
          <w:lang w:val="sk-SK"/>
        </w:rPr>
        <w:t>flow</w:t>
      </w:r>
      <w:proofErr w:type="spellEnd"/>
      <w:r w:rsidRPr="00435E2B">
        <w:rPr>
          <w:rFonts w:cs="Segoe UI"/>
          <w:szCs w:val="22"/>
          <w:lang w:val="sk-SK"/>
        </w:rPr>
        <w:t xml:space="preserve"> v hodnote 471 </w:t>
      </w:r>
      <w:r w:rsidR="00D018C4">
        <w:rPr>
          <w:rFonts w:cs="Segoe UI"/>
          <w:szCs w:val="22"/>
          <w:lang w:val="sk-SK"/>
        </w:rPr>
        <w:t>mil.</w:t>
      </w:r>
      <w:r w:rsidRPr="00435E2B">
        <w:rPr>
          <w:rFonts w:cs="Segoe UI"/>
          <w:szCs w:val="22"/>
          <w:lang w:val="sk-SK"/>
        </w:rPr>
        <w:t xml:space="preserve"> eur bol nižší v porovnaní s prvým polrokom 2020 (940 </w:t>
      </w:r>
      <w:r w:rsidR="00D018C4">
        <w:rPr>
          <w:rFonts w:cs="Segoe UI"/>
          <w:szCs w:val="22"/>
          <w:lang w:val="sk-SK"/>
        </w:rPr>
        <w:t>mil.</w:t>
      </w:r>
      <w:r w:rsidRPr="00435E2B">
        <w:rPr>
          <w:rFonts w:cs="Segoe UI"/>
          <w:szCs w:val="22"/>
          <w:lang w:val="sk-SK"/>
        </w:rPr>
        <w:t xml:space="preserve"> eur), a to najmä z dôvodu slabšieho cash </w:t>
      </w:r>
      <w:proofErr w:type="spellStart"/>
      <w:r w:rsidRPr="00435E2B">
        <w:rPr>
          <w:rFonts w:cs="Segoe UI"/>
          <w:szCs w:val="22"/>
          <w:lang w:val="sk-SK"/>
        </w:rPr>
        <w:t>flowu</w:t>
      </w:r>
      <w:proofErr w:type="spellEnd"/>
      <w:r w:rsidRPr="00435E2B">
        <w:rPr>
          <w:rFonts w:cs="Segoe UI"/>
          <w:szCs w:val="22"/>
          <w:lang w:val="sk-SK"/>
        </w:rPr>
        <w:t xml:space="preserve"> z prevádzkových činností.</w:t>
      </w:r>
      <w:r w:rsidR="00FA1A9C" w:rsidRPr="005F2787">
        <w:rPr>
          <w:lang w:val="sk-SK"/>
        </w:rPr>
        <w:t xml:space="preserve"> </w:t>
      </w:r>
      <w:r w:rsidR="00E7181C" w:rsidRPr="00DA5852">
        <w:rPr>
          <w:rFonts w:cs="Segoe UI"/>
          <w:szCs w:val="22"/>
          <w:lang w:val="sk-SK"/>
        </w:rPr>
        <w:t>Pri vyššom prevádzkovom zisku bol pokles výsledkom výrazného zvýšenia čistého prevádzkového kapitálu v porovnaní s koncom finančného roka 2020, ktorý bol čiastočne spôsobený značným zvýšením objemov predaja.</w:t>
      </w:r>
      <w:r w:rsidR="00FA1A9C" w:rsidRPr="005F2787">
        <w:rPr>
          <w:rFonts w:cs="Segoe UI"/>
          <w:szCs w:val="22"/>
          <w:lang w:val="sk-SK"/>
        </w:rPr>
        <w:t xml:space="preserve"> </w:t>
      </w:r>
    </w:p>
    <w:p w14:paraId="309B15F9" w14:textId="77777777" w:rsidR="0071028A" w:rsidRPr="005F2787" w:rsidRDefault="0071028A" w:rsidP="0071028A">
      <w:pPr>
        <w:autoSpaceDE w:val="0"/>
        <w:autoSpaceDN w:val="0"/>
        <w:adjustRightInd w:val="0"/>
        <w:rPr>
          <w:rFonts w:cs="Segoe UI"/>
          <w:szCs w:val="22"/>
          <w:lang w:val="sk-SK"/>
        </w:rPr>
      </w:pPr>
    </w:p>
    <w:p w14:paraId="48A6C41A" w14:textId="77777777" w:rsidR="00055487" w:rsidRPr="005F2787" w:rsidRDefault="00E7181C" w:rsidP="00373BC9">
      <w:pPr>
        <w:autoSpaceDE w:val="0"/>
        <w:autoSpaceDN w:val="0"/>
        <w:adjustRightInd w:val="0"/>
        <w:spacing w:line="280" w:lineRule="auto"/>
        <w:rPr>
          <w:rFonts w:cs="Segoe UI"/>
          <w:szCs w:val="22"/>
          <w:lang w:val="es-ES"/>
        </w:rPr>
      </w:pPr>
      <w:r w:rsidRPr="00373BC9">
        <w:rPr>
          <w:rFonts w:cs="Segoe UI"/>
          <w:szCs w:val="22"/>
          <w:lang w:val="sk-SK"/>
        </w:rPr>
        <w:t xml:space="preserve">K 30. júnu 2021 bola </w:t>
      </w:r>
      <w:r w:rsidRPr="00373BC9">
        <w:rPr>
          <w:rFonts w:cs="Segoe UI"/>
          <w:b/>
          <w:szCs w:val="22"/>
          <w:lang w:val="sk-SK"/>
        </w:rPr>
        <w:t>čistá finančná pozícia</w:t>
      </w:r>
      <w:r w:rsidRPr="00373BC9">
        <w:rPr>
          <w:rFonts w:cs="Segoe UI"/>
          <w:szCs w:val="22"/>
          <w:lang w:val="sk-SK"/>
        </w:rPr>
        <w:t xml:space="preserve"> vo výške -1 035 </w:t>
      </w:r>
      <w:r w:rsidR="00D018C4">
        <w:rPr>
          <w:rFonts w:cs="Segoe UI"/>
          <w:szCs w:val="22"/>
          <w:lang w:val="sk-SK"/>
        </w:rPr>
        <w:t>mil.</w:t>
      </w:r>
      <w:r w:rsidRPr="00373BC9">
        <w:rPr>
          <w:rFonts w:cs="Segoe UI"/>
          <w:szCs w:val="22"/>
          <w:lang w:val="sk-SK"/>
        </w:rPr>
        <w:t xml:space="preserve"> eur (31. december 2020: -888 </w:t>
      </w:r>
      <w:r w:rsidR="00D018C4">
        <w:rPr>
          <w:rFonts w:cs="Segoe UI"/>
          <w:szCs w:val="22"/>
          <w:lang w:val="sk-SK"/>
        </w:rPr>
        <w:t>mil.</w:t>
      </w:r>
      <w:r w:rsidRPr="00373BC9">
        <w:rPr>
          <w:rFonts w:cs="Segoe UI"/>
          <w:szCs w:val="22"/>
          <w:lang w:val="sk-SK"/>
        </w:rPr>
        <w:t xml:space="preserve"> eur).</w:t>
      </w:r>
      <w:r w:rsidR="0071028A" w:rsidRPr="005F2787">
        <w:rPr>
          <w:rFonts w:cs="Segoe UI"/>
          <w:szCs w:val="22"/>
          <w:lang w:val="es-ES"/>
        </w:rPr>
        <w:t xml:space="preserve"> </w:t>
      </w:r>
    </w:p>
    <w:p w14:paraId="40BE00B2" w14:textId="77777777" w:rsidR="00FA1A9C" w:rsidRPr="005F2787" w:rsidRDefault="00FA1A9C" w:rsidP="0071028A">
      <w:pPr>
        <w:autoSpaceDE w:val="0"/>
        <w:autoSpaceDN w:val="0"/>
        <w:adjustRightInd w:val="0"/>
        <w:rPr>
          <w:rFonts w:cs="Segoe UI"/>
          <w:szCs w:val="22"/>
          <w:lang w:val="es-ES"/>
        </w:rPr>
      </w:pPr>
    </w:p>
    <w:p w14:paraId="542D920B" w14:textId="77777777" w:rsidR="00055487" w:rsidRPr="005F2787" w:rsidRDefault="00373BC9" w:rsidP="00480B25">
      <w:pPr>
        <w:pStyle w:val="Heading2"/>
        <w:shd w:val="clear" w:color="auto" w:fill="FFFFFF"/>
        <w:spacing w:after="160" w:line="280" w:lineRule="auto"/>
        <w:rPr>
          <w:rFonts w:cs="Segoe UI"/>
          <w:bCs w:val="0"/>
          <w:color w:val="000000"/>
          <w:sz w:val="36"/>
          <w:lang w:val="es-ES"/>
        </w:rPr>
      </w:pPr>
      <w:r w:rsidRPr="00480B25">
        <w:rPr>
          <w:rFonts w:cs="Segoe UI"/>
          <w:b/>
          <w:bCs w:val="0"/>
          <w:color w:val="000000"/>
          <w:lang w:val="sk-SK"/>
        </w:rPr>
        <w:t>Výsledky obchodných divízií v prvom polroku 2021</w:t>
      </w:r>
    </w:p>
    <w:p w14:paraId="7348809E" w14:textId="77777777" w:rsidR="00D00F4A" w:rsidRPr="005F2787" w:rsidRDefault="00480B25" w:rsidP="0084175E">
      <w:pPr>
        <w:spacing w:line="280" w:lineRule="auto"/>
        <w:rPr>
          <w:rFonts w:cs="Segoe UI"/>
          <w:szCs w:val="22"/>
          <w:lang w:val="es-ES"/>
        </w:rPr>
      </w:pPr>
      <w:r w:rsidRPr="0028554D">
        <w:rPr>
          <w:rFonts w:cs="Segoe UI"/>
          <w:szCs w:val="22"/>
          <w:lang w:val="sk-SK"/>
        </w:rPr>
        <w:t xml:space="preserve">V prvom polroku 2021 sa </w:t>
      </w:r>
      <w:r w:rsidRPr="0028554D">
        <w:rPr>
          <w:rFonts w:cs="Segoe UI"/>
          <w:b/>
          <w:szCs w:val="22"/>
          <w:lang w:val="sk-SK"/>
        </w:rPr>
        <w:t>obrat</w:t>
      </w:r>
      <w:r w:rsidRPr="0028554D">
        <w:rPr>
          <w:rFonts w:cs="Segoe UI"/>
          <w:szCs w:val="22"/>
          <w:lang w:val="sk-SK"/>
        </w:rPr>
        <w:t xml:space="preserve"> divízie </w:t>
      </w:r>
      <w:r w:rsidRPr="0028554D">
        <w:rPr>
          <w:rFonts w:cs="Segoe UI"/>
          <w:b/>
          <w:szCs w:val="22"/>
          <w:lang w:val="sk-SK"/>
        </w:rPr>
        <w:t>Adhesive Technologies</w:t>
      </w:r>
      <w:r w:rsidRPr="0028554D">
        <w:rPr>
          <w:rFonts w:cs="Segoe UI"/>
          <w:szCs w:val="22"/>
          <w:lang w:val="sk-SK"/>
        </w:rPr>
        <w:t xml:space="preserve"> nominálne zvýšil o 14,4 %, zo 4 153 </w:t>
      </w:r>
      <w:r w:rsidR="00D018C4">
        <w:rPr>
          <w:rFonts w:cs="Segoe UI"/>
          <w:szCs w:val="22"/>
          <w:lang w:val="sk-SK"/>
        </w:rPr>
        <w:t>mil.</w:t>
      </w:r>
      <w:r w:rsidRPr="0028554D">
        <w:rPr>
          <w:rFonts w:cs="Segoe UI"/>
          <w:szCs w:val="22"/>
          <w:lang w:val="sk-SK"/>
        </w:rPr>
        <w:t xml:space="preserve"> eur v rovnakom období predchádzajúceho roka na súčasných 4 752 </w:t>
      </w:r>
      <w:r w:rsidR="00D018C4">
        <w:rPr>
          <w:rFonts w:cs="Segoe UI"/>
          <w:szCs w:val="22"/>
          <w:lang w:val="sk-SK"/>
        </w:rPr>
        <w:t>mil.</w:t>
      </w:r>
      <w:r w:rsidRPr="0028554D">
        <w:rPr>
          <w:rFonts w:cs="Segoe UI"/>
          <w:szCs w:val="22"/>
          <w:lang w:val="sk-SK"/>
        </w:rPr>
        <w:t xml:space="preserve"> eur (2. štvrťrok: 2 394 </w:t>
      </w:r>
      <w:r w:rsidR="00D018C4">
        <w:rPr>
          <w:rFonts w:cs="Segoe UI"/>
          <w:szCs w:val="22"/>
          <w:lang w:val="sk-SK"/>
        </w:rPr>
        <w:t>mil.</w:t>
      </w:r>
      <w:r w:rsidRPr="0028554D">
        <w:rPr>
          <w:rFonts w:cs="Segoe UI"/>
          <w:szCs w:val="22"/>
          <w:lang w:val="sk-SK"/>
        </w:rPr>
        <w:t xml:space="preserve"> eur, +23,1 %).</w:t>
      </w:r>
      <w:r w:rsidR="00D00F4A" w:rsidRPr="005F2787">
        <w:rPr>
          <w:rFonts w:cs="Segoe UI"/>
          <w:szCs w:val="22"/>
          <w:lang w:val="es-ES"/>
        </w:rPr>
        <w:t xml:space="preserve"> </w:t>
      </w:r>
      <w:r w:rsidR="0028554D" w:rsidRPr="00483451">
        <w:rPr>
          <w:rFonts w:cs="Segoe UI"/>
          <w:b/>
          <w:szCs w:val="22"/>
          <w:lang w:val="sk-SK"/>
        </w:rPr>
        <w:t xml:space="preserve">Organicky </w:t>
      </w:r>
      <w:r w:rsidR="0028554D" w:rsidRPr="00483451">
        <w:rPr>
          <w:rFonts w:cs="Segoe UI"/>
          <w:szCs w:val="22"/>
          <w:lang w:val="sk-SK"/>
        </w:rPr>
        <w:t>rástol o 20,2 % (2. štvrťrok: +28,5 %).</w:t>
      </w:r>
      <w:r w:rsidR="00D00F4A" w:rsidRPr="005F2787">
        <w:rPr>
          <w:rFonts w:cs="Segoe UI"/>
          <w:szCs w:val="22"/>
          <w:lang w:val="es-ES"/>
        </w:rPr>
        <w:t xml:space="preserve"> </w:t>
      </w:r>
      <w:r w:rsidR="00315F54" w:rsidRPr="00CB2717">
        <w:rPr>
          <w:rFonts w:cs="Segoe UI"/>
          <w:szCs w:val="22"/>
          <w:lang w:val="sk-SK"/>
        </w:rPr>
        <w:t xml:space="preserve">Vývoj v prvom polroku bol výrazne ovplyvnený pokračujúcim oživovaním svetovej ekonomiky vo </w:t>
      </w:r>
      <w:r w:rsidR="00315F54" w:rsidRPr="00CB2717">
        <w:rPr>
          <w:rFonts w:cs="Segoe UI"/>
          <w:szCs w:val="22"/>
          <w:lang w:val="sk-SK"/>
        </w:rPr>
        <w:lastRenderedPageBreak/>
        <w:t>všetkých regiónoch a obchodných segmentoch.</w:t>
      </w:r>
      <w:r w:rsidR="00F4532C" w:rsidRPr="005F2787">
        <w:rPr>
          <w:rFonts w:cs="Segoe UI"/>
          <w:szCs w:val="22"/>
          <w:lang w:val="es-ES"/>
        </w:rPr>
        <w:t xml:space="preserve"> </w:t>
      </w:r>
      <w:r w:rsidR="00CB2717" w:rsidRPr="00D018C4">
        <w:rPr>
          <w:rFonts w:cs="Segoe UI"/>
          <w:b/>
          <w:szCs w:val="22"/>
          <w:lang w:val="sk-SK"/>
        </w:rPr>
        <w:t xml:space="preserve">Upravený prevádzkový zisk </w:t>
      </w:r>
      <w:r w:rsidR="00CB2717" w:rsidRPr="00D018C4">
        <w:rPr>
          <w:rFonts w:cs="Segoe UI"/>
          <w:szCs w:val="22"/>
          <w:lang w:val="sk-SK"/>
        </w:rPr>
        <w:t>vzrástol</w:t>
      </w:r>
      <w:r w:rsidR="00D018C4" w:rsidRPr="00D018C4">
        <w:rPr>
          <w:rFonts w:cs="Segoe UI"/>
          <w:szCs w:val="22"/>
          <w:lang w:val="sk-SK"/>
        </w:rPr>
        <w:t xml:space="preserve"> v prvom polroku 2021</w:t>
      </w:r>
      <w:r w:rsidR="00CB2717" w:rsidRPr="00D018C4">
        <w:rPr>
          <w:rFonts w:cs="Segoe UI"/>
          <w:szCs w:val="22"/>
          <w:lang w:val="sk-SK"/>
        </w:rPr>
        <w:t xml:space="preserve"> o</w:t>
      </w:r>
      <w:r w:rsidR="00D018C4" w:rsidRPr="00D018C4">
        <w:rPr>
          <w:rFonts w:cs="Segoe UI"/>
          <w:szCs w:val="22"/>
          <w:lang w:val="sk-SK"/>
        </w:rPr>
        <w:t> 50,9 </w:t>
      </w:r>
      <w:r w:rsidR="00CB2717" w:rsidRPr="00D018C4">
        <w:rPr>
          <w:rFonts w:cs="Segoe UI"/>
          <w:szCs w:val="22"/>
          <w:lang w:val="sk-SK"/>
        </w:rPr>
        <w:t xml:space="preserve">% a dosiahol </w:t>
      </w:r>
      <w:r w:rsidR="00D018C4" w:rsidRPr="00D018C4">
        <w:rPr>
          <w:rFonts w:cs="Segoe UI"/>
          <w:szCs w:val="22"/>
          <w:lang w:val="sk-SK"/>
        </w:rPr>
        <w:t xml:space="preserve">820 </w:t>
      </w:r>
      <w:r w:rsidR="00CB2717" w:rsidRPr="00D018C4">
        <w:rPr>
          <w:rFonts w:cs="Segoe UI"/>
          <w:szCs w:val="22"/>
          <w:lang w:val="sk-SK"/>
        </w:rPr>
        <w:t>mil. eur.</w:t>
      </w:r>
      <w:r w:rsidR="00D00F4A" w:rsidRPr="005F2787">
        <w:rPr>
          <w:rFonts w:cs="Segoe UI"/>
          <w:szCs w:val="22"/>
          <w:lang w:val="es-ES"/>
        </w:rPr>
        <w:t xml:space="preserve"> </w:t>
      </w:r>
      <w:r w:rsidR="00D018C4" w:rsidRPr="0084175E">
        <w:rPr>
          <w:rFonts w:cs="Segoe UI"/>
          <w:szCs w:val="22"/>
          <w:lang w:val="sk-SK"/>
        </w:rPr>
        <w:t xml:space="preserve">Na úrovni 17,3 % bola </w:t>
      </w:r>
      <w:r w:rsidR="00D018C4" w:rsidRPr="0084175E">
        <w:rPr>
          <w:rFonts w:cs="Segoe UI"/>
          <w:b/>
          <w:szCs w:val="22"/>
          <w:lang w:val="sk-SK"/>
        </w:rPr>
        <w:t>upravená výnosnosť predaja</w:t>
      </w:r>
      <w:r w:rsidR="00D018C4" w:rsidRPr="0084175E">
        <w:rPr>
          <w:rFonts w:cs="Segoe UI"/>
          <w:szCs w:val="22"/>
          <w:lang w:val="sk-SK"/>
        </w:rPr>
        <w:t xml:space="preserve"> o 4,2 % vyššia než v prvom polroku 2020.</w:t>
      </w:r>
    </w:p>
    <w:p w14:paraId="3F7B1852" w14:textId="77777777" w:rsidR="00226640" w:rsidRPr="005F2787" w:rsidRDefault="00226640" w:rsidP="00226640">
      <w:pPr>
        <w:rPr>
          <w:rFonts w:cs="Segoe UI"/>
          <w:szCs w:val="22"/>
          <w:lang w:val="es-ES"/>
        </w:rPr>
      </w:pPr>
    </w:p>
    <w:p w14:paraId="7060E36B" w14:textId="77777777" w:rsidR="009C52FC" w:rsidRPr="005F2787" w:rsidRDefault="0084175E" w:rsidP="00CD76D0">
      <w:pPr>
        <w:spacing w:line="280" w:lineRule="auto"/>
        <w:rPr>
          <w:rFonts w:cs="Segoe UI"/>
          <w:color w:val="000000"/>
          <w:shd w:val="clear" w:color="auto" w:fill="FFFFFF"/>
          <w:lang w:val="es-ES"/>
        </w:rPr>
      </w:pPr>
      <w:r w:rsidRPr="00447D21">
        <w:rPr>
          <w:rFonts w:cs="Segoe UI"/>
          <w:szCs w:val="22"/>
          <w:lang w:val="sk-SK"/>
        </w:rPr>
        <w:t xml:space="preserve">Obchodná divízia </w:t>
      </w:r>
      <w:proofErr w:type="spellStart"/>
      <w:r w:rsidRPr="00447D21">
        <w:rPr>
          <w:rFonts w:cs="Segoe UI"/>
          <w:b/>
          <w:szCs w:val="22"/>
          <w:lang w:val="sk-SK"/>
        </w:rPr>
        <w:t>Beauty</w:t>
      </w:r>
      <w:proofErr w:type="spellEnd"/>
      <w:r w:rsidRPr="00447D21">
        <w:rPr>
          <w:rFonts w:cs="Segoe UI"/>
          <w:b/>
          <w:szCs w:val="22"/>
          <w:lang w:val="sk-SK"/>
        </w:rPr>
        <w:t xml:space="preserve"> </w:t>
      </w:r>
      <w:proofErr w:type="spellStart"/>
      <w:r w:rsidRPr="00447D21">
        <w:rPr>
          <w:rFonts w:cs="Segoe UI"/>
          <w:b/>
          <w:szCs w:val="22"/>
          <w:lang w:val="sk-SK"/>
        </w:rPr>
        <w:t>Care</w:t>
      </w:r>
      <w:proofErr w:type="spellEnd"/>
      <w:r w:rsidR="00F705C5" w:rsidRPr="00447D21">
        <w:rPr>
          <w:rFonts w:cs="Segoe UI"/>
          <w:szCs w:val="22"/>
          <w:lang w:val="sk-SK"/>
        </w:rPr>
        <w:t xml:space="preserve"> </w:t>
      </w:r>
      <w:r w:rsidR="00B640AF" w:rsidRPr="00447D21">
        <w:rPr>
          <w:rFonts w:cs="Segoe UI"/>
          <w:szCs w:val="22"/>
          <w:lang w:val="sk-SK"/>
        </w:rPr>
        <w:t>zaznamenal</w:t>
      </w:r>
      <w:r w:rsidR="00447D21" w:rsidRPr="00447D21">
        <w:rPr>
          <w:rFonts w:cs="Segoe UI"/>
          <w:szCs w:val="22"/>
          <w:lang w:val="sk-SK"/>
        </w:rPr>
        <w:t>a</w:t>
      </w:r>
      <w:r w:rsidR="00F705C5" w:rsidRPr="00447D21">
        <w:rPr>
          <w:rFonts w:cs="Segoe UI"/>
          <w:szCs w:val="22"/>
          <w:lang w:val="sk-SK"/>
        </w:rPr>
        <w:t xml:space="preserve"> v prvom polroku 2021 pozitívny organický vývoj </w:t>
      </w:r>
      <w:r w:rsidR="00F705C5" w:rsidRPr="00447D21">
        <w:rPr>
          <w:rFonts w:cs="Segoe UI"/>
          <w:b/>
          <w:szCs w:val="22"/>
          <w:lang w:val="sk-SK"/>
        </w:rPr>
        <w:t>obratu</w:t>
      </w:r>
      <w:r w:rsidR="00F705C5" w:rsidRPr="00447D21">
        <w:rPr>
          <w:rFonts w:cs="Segoe UI"/>
          <w:szCs w:val="22"/>
          <w:lang w:val="sk-SK"/>
        </w:rPr>
        <w:t xml:space="preserve"> na úrovni 5,2 % (2. štvrťrok: +8,2 %).</w:t>
      </w:r>
      <w:r w:rsidR="009C52FC" w:rsidRPr="005F2787">
        <w:rPr>
          <w:rFonts w:cs="Segoe UI"/>
          <w:szCs w:val="22"/>
          <w:lang w:val="es-ES"/>
        </w:rPr>
        <w:t xml:space="preserve"> </w:t>
      </w:r>
      <w:r w:rsidR="00447D21" w:rsidRPr="001C7229">
        <w:rPr>
          <w:rFonts w:cs="Segoe UI"/>
          <w:color w:val="000000"/>
          <w:shd w:val="clear" w:color="auto" w:fill="FFFFFF"/>
          <w:lang w:val="sk-SK"/>
        </w:rPr>
        <w:t>Nominálne sa obrat zvýšil o 1,1 % a dosiahol 1 839 mil. eur (2. štvrťrok: 914 mil. eur, +3,5 %)</w:t>
      </w:r>
      <w:r w:rsidR="00124D01">
        <w:rPr>
          <w:rFonts w:cs="Segoe UI"/>
          <w:color w:val="000000"/>
          <w:shd w:val="clear" w:color="auto" w:fill="FFFFFF"/>
          <w:lang w:val="sk-SK"/>
        </w:rPr>
        <w:t>.</w:t>
      </w:r>
      <w:r w:rsidR="00030202"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="001C7229" w:rsidRPr="00DD6E11">
        <w:rPr>
          <w:rFonts w:cs="Segoe UI"/>
          <w:color w:val="000000"/>
          <w:shd w:val="clear" w:color="auto" w:fill="FFFFFF"/>
          <w:lang w:val="sk-SK"/>
        </w:rPr>
        <w:t xml:space="preserve">Rast obratu ťahá najmä výrazné oživenie v segmente profesionálnej kozmetiky, ktorý bol v druhom štvrťroku minulého roka ťažko zasiahnutý </w:t>
      </w:r>
      <w:proofErr w:type="spellStart"/>
      <w:r w:rsidR="001C7229" w:rsidRPr="00DD6E11">
        <w:rPr>
          <w:rFonts w:cs="Segoe UI"/>
          <w:color w:val="000000"/>
          <w:shd w:val="clear" w:color="auto" w:fill="FFFFFF"/>
          <w:lang w:val="sk-SK"/>
        </w:rPr>
        <w:t>pandemickými</w:t>
      </w:r>
      <w:proofErr w:type="spellEnd"/>
      <w:r w:rsidR="001C7229" w:rsidRPr="00DD6E11">
        <w:rPr>
          <w:rFonts w:cs="Segoe UI"/>
          <w:color w:val="000000"/>
          <w:shd w:val="clear" w:color="auto" w:fill="FFFFFF"/>
          <w:lang w:val="sk-SK"/>
        </w:rPr>
        <w:t xml:space="preserve"> </w:t>
      </w:r>
      <w:proofErr w:type="spellStart"/>
      <w:r w:rsidR="001C7229" w:rsidRPr="00DD6E11">
        <w:rPr>
          <w:rFonts w:cs="Segoe UI"/>
          <w:color w:val="000000"/>
          <w:shd w:val="clear" w:color="auto" w:fill="FFFFFF"/>
          <w:lang w:val="sk-SK"/>
        </w:rPr>
        <w:t>lockdownami</w:t>
      </w:r>
      <w:proofErr w:type="spellEnd"/>
      <w:r w:rsidR="001C7229" w:rsidRPr="00DD6E11">
        <w:rPr>
          <w:rFonts w:cs="Segoe UI"/>
          <w:color w:val="000000"/>
          <w:shd w:val="clear" w:color="auto" w:fill="FFFFFF"/>
          <w:lang w:val="sk-SK"/>
        </w:rPr>
        <w:t>, ktoré viedli k zatvoreniu kaderníckych salónov.</w:t>
      </w:r>
      <w:r w:rsidR="00030202"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="00DD6E11" w:rsidRPr="00DD6E11">
        <w:rPr>
          <w:rFonts w:cs="Segoe UI"/>
          <w:b/>
          <w:szCs w:val="22"/>
          <w:lang w:val="sk-SK"/>
        </w:rPr>
        <w:t>Upravený prevádzkový zisk</w:t>
      </w:r>
      <w:r w:rsidR="00DD6E11" w:rsidRPr="00DD6E11">
        <w:rPr>
          <w:rFonts w:cs="Segoe UI"/>
          <w:szCs w:val="22"/>
          <w:lang w:val="sk-SK"/>
        </w:rPr>
        <w:t>, ktorý v prvom polroku 2</w:t>
      </w:r>
      <w:r w:rsidR="00DF0B77">
        <w:rPr>
          <w:rFonts w:cs="Segoe UI"/>
          <w:szCs w:val="22"/>
          <w:lang w:val="sk-SK"/>
        </w:rPr>
        <w:t>021 dosiahol výšku 183 mil. eur a</w:t>
      </w:r>
      <w:r w:rsidR="00DD6E11" w:rsidRPr="00DD6E11">
        <w:rPr>
          <w:rFonts w:cs="Segoe UI"/>
          <w:szCs w:val="22"/>
          <w:lang w:val="sk-SK"/>
        </w:rPr>
        <w:t xml:space="preserve"> bol o 6,8 % vyšší než v rovnakom období predchádzajúceho roka.</w:t>
      </w:r>
      <w:r w:rsidR="009C52FC"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="00DD6E11" w:rsidRPr="00CD76D0">
        <w:rPr>
          <w:rFonts w:cs="Segoe UI"/>
          <w:szCs w:val="22"/>
          <w:lang w:val="sk-SK"/>
        </w:rPr>
        <w:t xml:space="preserve">Medziročne vyššia bola aj </w:t>
      </w:r>
      <w:r w:rsidR="00DD6E11" w:rsidRPr="00CD76D0">
        <w:rPr>
          <w:rFonts w:cs="Segoe UI"/>
          <w:b/>
          <w:szCs w:val="22"/>
          <w:lang w:val="sk-SK"/>
        </w:rPr>
        <w:t>upravená výnosnosť predaja</w:t>
      </w:r>
      <w:r w:rsidR="00DD6E11" w:rsidRPr="00CD76D0">
        <w:rPr>
          <w:rFonts w:cs="Segoe UI"/>
          <w:szCs w:val="22"/>
          <w:lang w:val="sk-SK"/>
        </w:rPr>
        <w:t xml:space="preserve"> na úrovni 10,0 %.</w:t>
      </w:r>
    </w:p>
    <w:p w14:paraId="500173B6" w14:textId="77777777" w:rsidR="009C52FC" w:rsidRPr="005F2787" w:rsidRDefault="009C52FC" w:rsidP="009C52FC">
      <w:pPr>
        <w:rPr>
          <w:rFonts w:cs="Segoe UI"/>
          <w:szCs w:val="22"/>
          <w:lang w:val="es-ES"/>
        </w:rPr>
      </w:pPr>
    </w:p>
    <w:p w14:paraId="62C0E010" w14:textId="77777777" w:rsidR="009C52FC" w:rsidRPr="005F2787" w:rsidRDefault="00CD76D0" w:rsidP="00B10427">
      <w:pPr>
        <w:spacing w:line="280" w:lineRule="auto"/>
        <w:rPr>
          <w:rFonts w:cs="Segoe UI"/>
          <w:szCs w:val="22"/>
          <w:lang w:val="es-ES"/>
        </w:rPr>
      </w:pPr>
      <w:r w:rsidRPr="00B70BDC">
        <w:rPr>
          <w:rFonts w:cs="Segoe UI"/>
          <w:szCs w:val="22"/>
          <w:lang w:val="sk-SK"/>
        </w:rPr>
        <w:t xml:space="preserve">Obchodná divízia </w:t>
      </w:r>
      <w:r w:rsidRPr="00B70BDC">
        <w:rPr>
          <w:rFonts w:cs="Segoe UI"/>
          <w:b/>
          <w:bCs/>
          <w:szCs w:val="22"/>
          <w:lang w:val="sk-SK"/>
        </w:rPr>
        <w:t xml:space="preserve">Laundry &amp; Home </w:t>
      </w:r>
      <w:proofErr w:type="spellStart"/>
      <w:r w:rsidRPr="00B70BDC">
        <w:rPr>
          <w:rFonts w:cs="Segoe UI"/>
          <w:b/>
          <w:bCs/>
          <w:szCs w:val="22"/>
          <w:lang w:val="sk-SK"/>
        </w:rPr>
        <w:t>Care</w:t>
      </w:r>
      <w:proofErr w:type="spellEnd"/>
      <w:r w:rsidRPr="00B70BDC">
        <w:rPr>
          <w:rFonts w:cs="Segoe UI"/>
          <w:szCs w:val="22"/>
          <w:lang w:val="sk-SK"/>
        </w:rPr>
        <w:t xml:space="preserve"> vygenerovala rast </w:t>
      </w:r>
      <w:r w:rsidRPr="00B70BDC">
        <w:rPr>
          <w:rFonts w:cs="Segoe UI"/>
          <w:b/>
          <w:szCs w:val="22"/>
          <w:lang w:val="sk-SK"/>
        </w:rPr>
        <w:t>organického obratu</w:t>
      </w:r>
      <w:r w:rsidRPr="00B70BDC">
        <w:rPr>
          <w:rFonts w:cs="Segoe UI"/>
          <w:szCs w:val="22"/>
          <w:lang w:val="sk-SK"/>
        </w:rPr>
        <w:t xml:space="preserve"> vo výške 3,9 % v prvom polroku 2021 (2. štvrťrok: +3,6 %).</w:t>
      </w:r>
      <w:r w:rsidR="009C52FC"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="00B70BDC" w:rsidRPr="005B1CF8">
        <w:rPr>
          <w:rFonts w:cs="Segoe UI"/>
          <w:color w:val="000000"/>
          <w:shd w:val="clear" w:color="auto" w:fill="FFFFFF"/>
          <w:lang w:val="sk-SK"/>
        </w:rPr>
        <w:t>Nominálne však obrat klesol o 5,3 % na 3 275 mil. eur (2. štvrťrok: 1 619 mil. eur, -5,1 %).</w:t>
      </w:r>
      <w:r w:rsidR="009C52FC"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="005B1CF8" w:rsidRPr="006A56FC">
        <w:rPr>
          <w:rFonts w:cs="Segoe UI"/>
          <w:b/>
          <w:color w:val="000000"/>
          <w:shd w:val="clear" w:color="auto" w:fill="FFFFFF"/>
          <w:lang w:val="sk-SK"/>
        </w:rPr>
        <w:t>Upravený prevádzkový zisk</w:t>
      </w:r>
      <w:r w:rsidR="005B1CF8" w:rsidRPr="006A56FC">
        <w:rPr>
          <w:rFonts w:cs="Segoe UI"/>
          <w:color w:val="000000"/>
          <w:shd w:val="clear" w:color="auto" w:fill="FFFFFF"/>
          <w:lang w:val="sk-SK"/>
        </w:rPr>
        <w:t xml:space="preserve"> vo výške 490 mil. eur zaostal za úrovňou predchádzajúceho roka o 7,7 % predovšetkým z dôvodu horšieho kurzového vývoja.</w:t>
      </w:r>
      <w:r w:rsidR="009C52FC"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="006A56FC" w:rsidRPr="00B10427">
        <w:rPr>
          <w:rFonts w:cs="Segoe UI"/>
          <w:b/>
          <w:color w:val="000000"/>
          <w:shd w:val="clear" w:color="auto" w:fill="FFFFFF"/>
          <w:lang w:val="sk-SK"/>
        </w:rPr>
        <w:t>Upravená výnosnosť predaja</w:t>
      </w:r>
      <w:r w:rsidR="006A56FC" w:rsidRPr="00B10427">
        <w:rPr>
          <w:rFonts w:cs="Segoe UI"/>
          <w:color w:val="000000"/>
          <w:shd w:val="clear" w:color="auto" w:fill="FFFFFF"/>
          <w:lang w:val="sk-SK"/>
        </w:rPr>
        <w:t>, ktorá dosiahla 15,0 %, mierne zaostala za úrovňou z prvého polroka 2020, k čomu prispeli najmä vyššie náklady na suroviny a nepriaznivý kurzový vývoj.</w:t>
      </w:r>
    </w:p>
    <w:p w14:paraId="1C60A294" w14:textId="77777777" w:rsidR="00226640" w:rsidRPr="005F2787" w:rsidRDefault="00226640" w:rsidP="00226640">
      <w:pPr>
        <w:rPr>
          <w:rFonts w:cs="Segoe UI"/>
          <w:szCs w:val="22"/>
          <w:lang w:val="es-ES"/>
        </w:rPr>
      </w:pPr>
    </w:p>
    <w:p w14:paraId="4249B64C" w14:textId="77777777" w:rsidR="00565F71" w:rsidRPr="005F2787" w:rsidRDefault="00565F71" w:rsidP="00565F71">
      <w:pPr>
        <w:spacing w:after="120" w:line="278" w:lineRule="auto"/>
        <w:rPr>
          <w:rFonts w:cs="Segoe UI"/>
          <w:b/>
          <w:szCs w:val="22"/>
          <w:lang w:val="es-ES"/>
        </w:rPr>
      </w:pPr>
      <w:bookmarkStart w:id="1" w:name="_Hlk77942675"/>
      <w:r w:rsidRPr="00565F71">
        <w:rPr>
          <w:rFonts w:cs="Segoe UI"/>
          <w:b/>
          <w:szCs w:val="22"/>
          <w:lang w:val="sk-SK"/>
        </w:rPr>
        <w:t>Agenda pre zmysluplný rast: výrazný pokrok</w:t>
      </w:r>
    </w:p>
    <w:p w14:paraId="20E353BC" w14:textId="77777777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szCs w:val="22"/>
          <w:lang w:val="es-ES" w:eastAsia="de-DE"/>
        </w:rPr>
      </w:pPr>
      <w:r w:rsidRPr="00565F71">
        <w:rPr>
          <w:rFonts w:cs="Segoe UI"/>
          <w:szCs w:val="22"/>
          <w:lang w:val="sk-SK" w:eastAsia="de-DE"/>
        </w:rPr>
        <w:t>„Dôsledne sme pracovali na implementácii našej agendy rastu v prvej polovici roka 2021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,“ povedal Carsten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Knobel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>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Okrem aktívneho riadenia portfólia sa Henkel zameriava na dva aspekty svojej agendy rastu v súčasnom roku: v prvom rade chce zvýrazniť svoju konkurenčnú výhodu ďalším posilňovaním inovácií, udržateľnosti a digitalizácie.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Po druhé, spoločnosť chce ďalej zlepšovať svoju firemnú kultúru.</w:t>
      </w:r>
      <w:r w:rsidRPr="005F2787">
        <w:rPr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Vo všetkých oblastiach zaznamenala v prvom polroku 2021 výrazný pokrok.</w:t>
      </w:r>
    </w:p>
    <w:p w14:paraId="4C1009C5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szCs w:val="22"/>
          <w:lang w:val="es-ES" w:eastAsia="de-DE"/>
        </w:rPr>
      </w:pPr>
    </w:p>
    <w:p w14:paraId="1E53A66E" w14:textId="77777777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  <w:lang w:val="es-ES"/>
        </w:rPr>
      </w:pPr>
      <w:r w:rsidRPr="00565F71">
        <w:rPr>
          <w:rFonts w:cs="Segoe UI"/>
          <w:color w:val="000000"/>
          <w:shd w:val="clear" w:color="auto" w:fill="FFFFFF"/>
          <w:lang w:val="sk-SK"/>
        </w:rPr>
        <w:t>V rámci aktívneho riadenia svojho portfólia spoločnosť Henkel identifikovala značky a kategórie produktov s celkovým objemom obratu viac než jedna miliarda eur, z ktorých približne 50 % plánuje do roku 2021 odpredať alebo zrušiť ich výrobu.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V prípade zostávajúcich značiek a obchodných činností by sa malo dosiahnuť udržateľné zlepšovanie výsledkov.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K dnešnému dátumu sa dynamika hlavných parametrov zlepšila v 60 </w:t>
      </w:r>
      <w:r w:rsidRPr="005F2787">
        <w:rPr>
          <w:rFonts w:cs="Segoe UI"/>
          <w:color w:val="000000"/>
          <w:shd w:val="clear" w:color="auto" w:fill="FFFFFF"/>
          <w:lang w:val="es-ES"/>
        </w:rPr>
        <w:t>%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 príjmovej základne takýchto značiek a obchodných činností.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Napriek pretrvávajúcej neistote na trhu spoločnosť Henkel celkovo zrušila výrobu alebo odpredala obchodné činnosti s celkovým objemom obratu približne 350 mil. eur, a to predovšetkým v spotrebiteľských segmentoch.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Okrem toho sa akvizíciou </w:t>
      </w:r>
      <w:r w:rsidRPr="00565F71">
        <w:rPr>
          <w:rFonts w:cs="Segoe UI"/>
          <w:color w:val="000000"/>
          <w:shd w:val="clear" w:color="auto" w:fill="FFFFFF"/>
          <w:lang w:val="sk-SK"/>
        </w:rPr>
        <w:lastRenderedPageBreak/>
        <w:t xml:space="preserve">spoločnosti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Swania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SAS, ktorá bola zavŕšená v júli 2021, posilnila pozícia spoločnosti Henkel na trhu s udržateľnými výrobkami v segmente pracích a čistiacich prostriedkov pre domácnosť, pričom svoje portfólio rozšírila o ďalšie značky.</w:t>
      </w:r>
    </w:p>
    <w:p w14:paraId="0A2497F7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  <w:lang w:val="es-ES"/>
        </w:rPr>
      </w:pPr>
    </w:p>
    <w:p w14:paraId="38E69594" w14:textId="77777777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  <w:lang w:val="es-ES"/>
        </w:rPr>
      </w:pPr>
      <w:r w:rsidRPr="00565F71">
        <w:rPr>
          <w:rFonts w:cs="Segoe UI"/>
          <w:color w:val="000000"/>
          <w:shd w:val="clear" w:color="auto" w:fill="FFFFFF"/>
          <w:lang w:val="sk-SK"/>
        </w:rPr>
        <w:t xml:space="preserve">V záujme ďalšieho zvýrazňovania svojej </w:t>
      </w:r>
      <w:r w:rsidRPr="00565F71">
        <w:rPr>
          <w:rFonts w:cs="Segoe UI"/>
          <w:b/>
          <w:color w:val="000000"/>
          <w:shd w:val="clear" w:color="auto" w:fill="FFFFFF"/>
          <w:lang w:val="sk-SK"/>
        </w:rPr>
        <w:t>konkurenčnej výhody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 spoločnosť Henkel zrýchľuje svoje úsilie v oblasti prínosných </w:t>
      </w:r>
      <w:r w:rsidRPr="00565F71">
        <w:rPr>
          <w:rFonts w:cs="Segoe UI"/>
          <w:b/>
          <w:color w:val="000000"/>
          <w:shd w:val="clear" w:color="auto" w:fill="FFFFFF"/>
          <w:lang w:val="sk-SK"/>
        </w:rPr>
        <w:t>inovácií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, posilňuje </w:t>
      </w:r>
      <w:r w:rsidRPr="00565F71">
        <w:rPr>
          <w:rFonts w:cs="Segoe UI"/>
          <w:b/>
          <w:color w:val="000000"/>
          <w:shd w:val="clear" w:color="auto" w:fill="FFFFFF"/>
          <w:lang w:val="sk-SK"/>
        </w:rPr>
        <w:t>udržateľnosť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 ako rozlišovací faktor a zintenzívňuje svoju </w:t>
      </w:r>
      <w:r w:rsidRPr="00565F71">
        <w:rPr>
          <w:rFonts w:cs="Segoe UI"/>
          <w:b/>
          <w:color w:val="000000"/>
          <w:shd w:val="clear" w:color="auto" w:fill="FFFFFF"/>
          <w:lang w:val="sk-SK"/>
        </w:rPr>
        <w:t>digitálnu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 transformáciu.</w:t>
      </w:r>
    </w:p>
    <w:p w14:paraId="0105271C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  <w:lang w:val="es-ES"/>
        </w:rPr>
      </w:pPr>
    </w:p>
    <w:p w14:paraId="3DBA1691" w14:textId="77777777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  <w:lang w:val="es-ES"/>
        </w:rPr>
      </w:pPr>
      <w:r w:rsidRPr="00565F71">
        <w:rPr>
          <w:rFonts w:cs="Segoe UI"/>
          <w:color w:val="000000"/>
          <w:shd w:val="clear" w:color="auto" w:fill="FFFFFF"/>
          <w:lang w:val="sk-SK"/>
        </w:rPr>
        <w:t xml:space="preserve">Kľúčovým pilierom stratégie spoločnosti Henkel je jednoznačná diferenciácia na trhu prostredníctvom úspešných </w:t>
      </w:r>
      <w:r w:rsidRPr="00565F71">
        <w:rPr>
          <w:rFonts w:cs="Segoe UI"/>
          <w:b/>
          <w:color w:val="000000"/>
          <w:shd w:val="clear" w:color="auto" w:fill="FFFFFF"/>
          <w:lang w:val="sk-SK"/>
        </w:rPr>
        <w:t>inovácií</w:t>
      </w:r>
      <w:r w:rsidRPr="00565F71">
        <w:rPr>
          <w:rFonts w:cs="Segoe UI"/>
          <w:color w:val="000000"/>
          <w:shd w:val="clear" w:color="auto" w:fill="FFFFFF"/>
          <w:lang w:val="sk-SK"/>
        </w:rPr>
        <w:t>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S ich podporou bol v prvej polovici roka dosiahnutý značný rast.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V divízii Adhesive Technologies zaznamenala spoločnosť Henkel rast v stredných dvojciferných hodnotách vďaka inovatívnym tepelne vodivým materiálom pre 5G aplikácie, ktoré boli vyvíjané spoločne s významnými výrobcami.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Divízia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Beauty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Care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prekonala rast trhu prostredníctvom dôležitých inovácií v segmente farieb na vlasy v rámci obchodných značiek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Natural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&amp;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Easy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a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Palette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>, pričom zvýšila svoj podiel na trhu v porovnaní s obdobím pred pandémiou ochorenia COVID-19.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V oblasti profesionálnej vlasovej kozmetiky prispelo k obchodnému rastu opätovné naštartovanie značky IGORA Royal.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S úspešnými inováciami, ako napr. v prípade produktov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Somat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Excellence 4in1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Caps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a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Pril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Antibacterial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, rozšírila divízia Laundry &amp; Home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Care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svoj globálny trhový podiel v segmente umývania riadu.</w:t>
      </w:r>
    </w:p>
    <w:p w14:paraId="270097C3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  <w:lang w:val="es-ES"/>
        </w:rPr>
      </w:pPr>
    </w:p>
    <w:p w14:paraId="5CCAE609" w14:textId="77777777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  <w:lang w:val="es-ES"/>
        </w:rPr>
      </w:pPr>
      <w:r w:rsidRPr="00565F71">
        <w:rPr>
          <w:rFonts w:cs="Segoe UI"/>
          <w:bCs/>
          <w:szCs w:val="22"/>
          <w:lang w:val="sk-SK"/>
        </w:rPr>
        <w:t xml:space="preserve">Už po dlhý čas je </w:t>
      </w:r>
      <w:r w:rsidRPr="00565F71">
        <w:rPr>
          <w:rFonts w:cs="Segoe UI"/>
          <w:b/>
          <w:szCs w:val="22"/>
          <w:lang w:val="sk-SK"/>
        </w:rPr>
        <w:t xml:space="preserve">udržateľnosť </w:t>
      </w:r>
      <w:r w:rsidRPr="00565F71">
        <w:rPr>
          <w:rFonts w:cs="Segoe UI"/>
          <w:bCs/>
          <w:szCs w:val="22"/>
          <w:lang w:val="sk-SK"/>
        </w:rPr>
        <w:t>jednou z najsilnejších stránok spoločnosti Henkel.</w:t>
      </w:r>
      <w:r w:rsidRPr="005F2787">
        <w:rPr>
          <w:rFonts w:cs="Segoe UI"/>
          <w:bCs/>
          <w:szCs w:val="22"/>
          <w:lang w:val="es-ES"/>
        </w:rPr>
        <w:t xml:space="preserve"> </w:t>
      </w:r>
      <w:r w:rsidRPr="00565F71">
        <w:rPr>
          <w:rFonts w:cs="Segoe UI"/>
          <w:bCs/>
          <w:szCs w:val="22"/>
          <w:lang w:val="sk-SK"/>
        </w:rPr>
        <w:t>Jej vedúcu pozíciu pravidelne potvrdzujú ratingy a rebríčky, pričom udržateľnosť je pre Henkel faktorom, ktorým sa odlišuje od konkurencie.</w:t>
      </w:r>
    </w:p>
    <w:p w14:paraId="6EE7CB12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  <w:lang w:val="es-ES"/>
        </w:rPr>
      </w:pPr>
    </w:p>
    <w:p w14:paraId="4D666FA5" w14:textId="77777777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  <w:lang w:val="es-ES"/>
        </w:rPr>
      </w:pPr>
      <w:r w:rsidRPr="00565F71">
        <w:rPr>
          <w:rFonts w:cs="Segoe UI"/>
          <w:color w:val="000000"/>
          <w:shd w:val="clear" w:color="auto" w:fill="FFFFFF"/>
          <w:lang w:val="sk-SK"/>
        </w:rPr>
        <w:t xml:space="preserve">Spoločnosť Henkel napríklad výrazne posilnila svoje partnerstvo s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Plastic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Bank.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Jeho spoločným cieľom je predchádzať hromadeniu odpadov v životnom prostredí a zároveň zlepšovať životy ľudí, ktorí žijú v chudobe.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Henkel a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Plastic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Bank otvorili tri zberné miesta pre plastový odpad v Egypte v blízkosti Káhiry.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Tento projekt je súčasťou úspešného dlhodobého partnerstva medzi spoločnosťami Henkel a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Plastic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Bank.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</w:p>
    <w:p w14:paraId="6DD5DB64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  <w:lang w:val="es-ES"/>
        </w:rPr>
      </w:pPr>
    </w:p>
    <w:p w14:paraId="404E6BFC" w14:textId="77777777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  <w:lang w:val="es-ES"/>
        </w:rPr>
      </w:pPr>
      <w:r w:rsidRPr="00565F71">
        <w:rPr>
          <w:rFonts w:cs="Segoe UI"/>
          <w:color w:val="000000"/>
          <w:shd w:val="clear" w:color="auto" w:fill="FFFFFF"/>
          <w:lang w:val="sk-SK"/>
        </w:rPr>
        <w:t>Pokrok v oblasti udržateľnosti sa odzrkadľuje aj vo výrobkoch pre spotrebiteľov a zákazníkov v priemyselných odvetviach.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V rámci divízie Laundry &amp; Home sa nová obchodná značka Love Nature dostala v Nemecku na tretie miesto v rýchlo rastúcom segmente pracích a čistiacich prostriedkov pre domácnosť.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Divízia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Beauty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Care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 xml:space="preserve"> ďalej pokračovala v rozširovaní udržateľných obalových riešení.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V prípade recyklovateľných obalov na opakované náplne, ktoré boli vyvinuté pre značku Nature Box, sa používa o 70 % menej plastov než pri  konvenčných obaloch.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Divízia Adhesive Technologies zaviedla v prípade obuvi novú technológiu spájania materiálov na báze vody, čím sa odstráni niekoľko výrobných krokov a zníži sa množstvo CO₂ až o 30 </w:t>
      </w:r>
      <w:r w:rsidRPr="005F2787">
        <w:rPr>
          <w:rFonts w:cs="Segoe UI"/>
          <w:color w:val="000000"/>
          <w:shd w:val="clear" w:color="auto" w:fill="FFFFFF"/>
          <w:lang w:val="es-ES"/>
        </w:rPr>
        <w:t>%</w:t>
      </w:r>
      <w:r w:rsidRPr="00565F71">
        <w:rPr>
          <w:rFonts w:cs="Segoe UI"/>
          <w:color w:val="000000"/>
          <w:shd w:val="clear" w:color="auto" w:fill="FFFFFF"/>
          <w:lang w:val="sk-SK"/>
        </w:rPr>
        <w:t>.</w:t>
      </w:r>
    </w:p>
    <w:p w14:paraId="1B9188AD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  <w:lang w:val="es-ES"/>
        </w:rPr>
      </w:pPr>
    </w:p>
    <w:p w14:paraId="39351E6E" w14:textId="77777777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szCs w:val="22"/>
          <w:lang w:val="es-ES" w:eastAsia="de-DE"/>
        </w:rPr>
      </w:pPr>
      <w:r w:rsidRPr="00565F71">
        <w:rPr>
          <w:rFonts w:cs="Segoe UI"/>
          <w:szCs w:val="22"/>
          <w:lang w:val="sk-SK" w:eastAsia="de-DE"/>
        </w:rPr>
        <w:t xml:space="preserve">Okrem inovácií a udržateľnosti spoločnosť Henkel definovala </w:t>
      </w:r>
      <w:r w:rsidRPr="00565F71">
        <w:rPr>
          <w:rFonts w:cs="Segoe UI"/>
          <w:b/>
          <w:bCs/>
          <w:szCs w:val="22"/>
          <w:lang w:val="sk-SK" w:eastAsia="de-DE"/>
        </w:rPr>
        <w:t>digitalizáciu</w:t>
      </w:r>
      <w:r w:rsidRPr="00565F71">
        <w:rPr>
          <w:rFonts w:cs="Segoe UI"/>
          <w:szCs w:val="22"/>
          <w:lang w:val="sk-SK" w:eastAsia="de-DE"/>
        </w:rPr>
        <w:t xml:space="preserve"> ako kľúčový faktor pre posilňovanie svojej konkurencieschopnosti.</w:t>
      </w:r>
      <w:r w:rsidRPr="005F2787">
        <w:rPr>
          <w:rFonts w:cs="Segoe UI"/>
          <w:szCs w:val="22"/>
          <w:lang w:val="es-ES" w:eastAsia="de-DE"/>
        </w:rPr>
        <w:t xml:space="preserve"> </w:t>
      </w:r>
      <w:r w:rsidRPr="00565F71">
        <w:rPr>
          <w:rFonts w:cs="Segoe UI"/>
          <w:szCs w:val="22"/>
          <w:lang w:val="sk-SK" w:eastAsia="de-DE"/>
        </w:rPr>
        <w:t>V prvej polovici roka sa podiel na obrate sprostredkovaný digitálnymi kanálmi ďalej zvýšil v rámci všetkých obchodných divízií.</w:t>
      </w:r>
      <w:r w:rsidRPr="005F2787">
        <w:rPr>
          <w:rFonts w:cs="Segoe UI"/>
          <w:szCs w:val="22"/>
          <w:lang w:val="es-ES" w:eastAsia="de-DE"/>
        </w:rPr>
        <w:t xml:space="preserve"> </w:t>
      </w:r>
      <w:r w:rsidRPr="00565F71">
        <w:rPr>
          <w:rFonts w:cs="Segoe UI"/>
          <w:szCs w:val="22"/>
          <w:lang w:val="sk-SK" w:eastAsia="de-DE"/>
        </w:rPr>
        <w:t>Za všetky spotrebiteľské segmenty sa celkovo dosiahol rast o viac než 30 percent.</w:t>
      </w:r>
      <w:r w:rsidRPr="005F2787">
        <w:rPr>
          <w:rFonts w:cs="Segoe UI"/>
          <w:szCs w:val="22"/>
          <w:lang w:val="es-ES" w:eastAsia="de-DE"/>
        </w:rPr>
        <w:t xml:space="preserve"> </w:t>
      </w:r>
      <w:r w:rsidRPr="00565F71">
        <w:rPr>
          <w:rFonts w:cs="Segoe UI"/>
          <w:szCs w:val="22"/>
          <w:lang w:val="sk-SK" w:eastAsia="de-DE"/>
        </w:rPr>
        <w:t>V prípade divízie Adhesive Technologies ďalej rástol obrat sprostredkovaný digitálnymi technológiami.</w:t>
      </w:r>
      <w:r w:rsidRPr="005F2787">
        <w:rPr>
          <w:rFonts w:cs="Segoe UI"/>
          <w:szCs w:val="22"/>
          <w:lang w:val="es-ES" w:eastAsia="de-DE"/>
        </w:rPr>
        <w:t xml:space="preserve"> </w:t>
      </w:r>
      <w:r w:rsidRPr="00565F71">
        <w:rPr>
          <w:rFonts w:cs="Segoe UI"/>
          <w:szCs w:val="22"/>
          <w:lang w:val="sk-SK" w:eastAsia="de-DE"/>
        </w:rPr>
        <w:t>Prostredníctvom svojej elektronickej obchodnej platformy sa v prvej polovici roka 2021 dosiahol rast v stredných dvojciferných percentuálnych hodnotách.</w:t>
      </w:r>
      <w:r w:rsidRPr="005F2787">
        <w:rPr>
          <w:rFonts w:cs="Segoe UI"/>
          <w:szCs w:val="22"/>
          <w:lang w:val="es-ES" w:eastAsia="de-DE"/>
        </w:rPr>
        <w:t xml:space="preserve"> </w:t>
      </w:r>
      <w:r w:rsidRPr="00565F71">
        <w:rPr>
          <w:rFonts w:cs="Segoe UI"/>
          <w:szCs w:val="22"/>
          <w:lang w:val="sk-SK" w:eastAsia="de-DE"/>
        </w:rPr>
        <w:t xml:space="preserve">V dôsledku toho sa podiel obratu v segmente lepidiel </w:t>
      </w:r>
      <w:proofErr w:type="spellStart"/>
      <w:r w:rsidRPr="00565F71">
        <w:rPr>
          <w:rFonts w:cs="Segoe UI"/>
          <w:szCs w:val="22"/>
          <w:lang w:val="sk-SK" w:eastAsia="de-DE"/>
        </w:rPr>
        <w:t>Adhesives</w:t>
      </w:r>
      <w:proofErr w:type="spellEnd"/>
      <w:r w:rsidRPr="00565F71">
        <w:rPr>
          <w:rFonts w:cs="Segoe UI"/>
          <w:szCs w:val="22"/>
          <w:lang w:val="sk-SK" w:eastAsia="de-DE"/>
        </w:rPr>
        <w:t>, ktorý bol dosiahnutý prostredníctvom e-</w:t>
      </w:r>
      <w:proofErr w:type="spellStart"/>
      <w:r w:rsidRPr="00565F71">
        <w:rPr>
          <w:rFonts w:cs="Segoe UI"/>
          <w:szCs w:val="22"/>
          <w:lang w:val="sk-SK" w:eastAsia="de-DE"/>
        </w:rPr>
        <w:t>shopu</w:t>
      </w:r>
      <w:proofErr w:type="spellEnd"/>
      <w:r w:rsidRPr="00565F71">
        <w:rPr>
          <w:rFonts w:cs="Segoe UI"/>
          <w:szCs w:val="22"/>
          <w:lang w:val="sk-SK" w:eastAsia="de-DE"/>
        </w:rPr>
        <w:t>, zvýšil na viac než 25 </w:t>
      </w:r>
      <w:r w:rsidRPr="005F2787">
        <w:rPr>
          <w:rFonts w:cs="Segoe UI"/>
          <w:szCs w:val="22"/>
          <w:lang w:val="es-ES" w:eastAsia="de-DE"/>
        </w:rPr>
        <w:t>%</w:t>
      </w:r>
      <w:r w:rsidRPr="00565F71">
        <w:rPr>
          <w:rFonts w:cs="Segoe UI"/>
          <w:szCs w:val="22"/>
          <w:lang w:val="sk-SK" w:eastAsia="de-DE"/>
        </w:rPr>
        <w:t>.</w:t>
      </w:r>
      <w:r w:rsidRPr="005F2787">
        <w:rPr>
          <w:rFonts w:cs="Segoe UI"/>
          <w:szCs w:val="22"/>
          <w:lang w:val="es-ES" w:eastAsia="de-DE"/>
        </w:rPr>
        <w:t xml:space="preserve"> </w:t>
      </w:r>
      <w:r w:rsidRPr="00565F71">
        <w:rPr>
          <w:rFonts w:cs="Segoe UI"/>
          <w:szCs w:val="22"/>
          <w:lang w:val="sk-SK" w:eastAsia="de-DE"/>
        </w:rPr>
        <w:t>Na úrovni skupiny sa podiel obratu dosiahnutý prostredníctvom digitálnych technológií zvýšil o 40 % až na približne 18 % z celkového obratu.</w:t>
      </w:r>
    </w:p>
    <w:p w14:paraId="45DD23AC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szCs w:val="22"/>
          <w:lang w:val="es-ES" w:eastAsia="de-DE"/>
        </w:rPr>
      </w:pPr>
    </w:p>
    <w:p w14:paraId="4FAE62C9" w14:textId="77777777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szCs w:val="22"/>
          <w:lang w:val="es-ES" w:eastAsia="de-DE"/>
        </w:rPr>
      </w:pPr>
      <w:r w:rsidRPr="00565F71">
        <w:rPr>
          <w:rFonts w:cs="Segoe UI"/>
          <w:szCs w:val="22"/>
          <w:lang w:val="sk-SK" w:eastAsia="de-DE"/>
        </w:rPr>
        <w:t>Okrem toho spoločnosť Henkel vstúpila do strategického partnerstva s Adobe – v záujme   ďalšieho posilnenia konkurenčnej výhody prostredníctvom digitalizácie v rámci všetkých obchodných činností.</w:t>
      </w:r>
      <w:r w:rsidRPr="005F2787">
        <w:rPr>
          <w:rFonts w:cs="Segoe UI"/>
          <w:szCs w:val="22"/>
          <w:lang w:val="es-ES" w:eastAsia="de-DE"/>
        </w:rPr>
        <w:t xml:space="preserve"> </w:t>
      </w:r>
      <w:r w:rsidRPr="00565F71">
        <w:rPr>
          <w:rFonts w:cs="Segoe UI"/>
          <w:szCs w:val="22"/>
          <w:lang w:val="sk-SK" w:eastAsia="de-DE"/>
        </w:rPr>
        <w:t>Novo-vyvinutá digitálna platforma založená na dátach, ktorá je určená pre digitálne podnikanie a elektronický obchod, sa zameriava na zrýchľovanie digitálnych inovácií a vytváranie obchodných príležitostí pre spoločnosť Henkel.</w:t>
      </w:r>
    </w:p>
    <w:p w14:paraId="7010A909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bCs/>
          <w:szCs w:val="22"/>
          <w:lang w:val="es-ES"/>
        </w:rPr>
      </w:pPr>
    </w:p>
    <w:p w14:paraId="4A31AD50" w14:textId="77777777" w:rsidR="00565F71" w:rsidRPr="005F2787" w:rsidRDefault="00565F71" w:rsidP="00565F71">
      <w:pPr>
        <w:spacing w:line="278" w:lineRule="auto"/>
        <w:rPr>
          <w:rFonts w:cs="Segoe UI"/>
          <w:szCs w:val="22"/>
          <w:lang w:val="es-ES" w:eastAsia="de-DE"/>
        </w:rPr>
      </w:pPr>
      <w:r w:rsidRPr="00565F71">
        <w:rPr>
          <w:rFonts w:cs="Segoe UI"/>
          <w:color w:val="000000"/>
          <w:shd w:val="clear" w:color="auto" w:fill="FFFFFF"/>
          <w:lang w:val="sk-SK"/>
        </w:rPr>
        <w:t xml:space="preserve">Rozvíjanie firemnej kultúry spoločnosti Henkel a zrýchľovanie </w:t>
      </w:r>
      <w:r w:rsidRPr="00565F71">
        <w:rPr>
          <w:rFonts w:cs="Segoe UI"/>
          <w:b/>
          <w:bCs/>
          <w:color w:val="000000"/>
          <w:shd w:val="clear" w:color="auto" w:fill="FFFFFF"/>
          <w:lang w:val="sk-SK"/>
        </w:rPr>
        <w:t xml:space="preserve">kultúrnej transformácie </w:t>
      </w:r>
      <w:r w:rsidRPr="00565F71">
        <w:rPr>
          <w:rFonts w:cs="Segoe UI"/>
          <w:color w:val="000000"/>
          <w:shd w:val="clear" w:color="auto" w:fill="FFFFFF"/>
          <w:lang w:val="sk-SK"/>
        </w:rPr>
        <w:t>sú ďalšími kľúčovými prvkami agendy zmysluplného rastu.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Spoločnosť sa snaží posilniť kultúru spolupráce.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V prvej polovici roka pokračovala v zavádzaní celého súboru opatrení na dosiahnutie tohto cieľa a posilnenie postavenia zamestnancov.</w:t>
      </w:r>
    </w:p>
    <w:p w14:paraId="6ED2B764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szCs w:val="22"/>
          <w:lang w:val="es-ES"/>
        </w:rPr>
      </w:pPr>
    </w:p>
    <w:p w14:paraId="24D275A9" w14:textId="77777777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szCs w:val="22"/>
          <w:lang w:val="es-ES"/>
        </w:rPr>
      </w:pPr>
      <w:r w:rsidRPr="00565F71">
        <w:rPr>
          <w:rFonts w:cs="Segoe UI"/>
          <w:szCs w:val="22"/>
          <w:lang w:val="sk-SK"/>
        </w:rPr>
        <w:t>Spoločnosť Henkel vytvorila novú holistickú koncepciu s názvom „</w:t>
      </w:r>
      <w:proofErr w:type="spellStart"/>
      <w:r w:rsidRPr="00565F71">
        <w:rPr>
          <w:rFonts w:cs="Segoe UI"/>
          <w:szCs w:val="22"/>
          <w:lang w:val="sk-SK"/>
        </w:rPr>
        <w:t>Smart</w:t>
      </w:r>
      <w:proofErr w:type="spellEnd"/>
      <w:r w:rsidRPr="00565F71">
        <w:rPr>
          <w:rFonts w:cs="Segoe UI"/>
          <w:szCs w:val="22"/>
          <w:lang w:val="sk-SK"/>
        </w:rPr>
        <w:t xml:space="preserve"> </w:t>
      </w:r>
      <w:proofErr w:type="spellStart"/>
      <w:r w:rsidRPr="00565F71">
        <w:rPr>
          <w:rFonts w:cs="Segoe UI"/>
          <w:szCs w:val="22"/>
          <w:lang w:val="sk-SK"/>
        </w:rPr>
        <w:t>Work</w:t>
      </w:r>
      <w:proofErr w:type="spellEnd"/>
      <w:r w:rsidRPr="00565F71">
        <w:rPr>
          <w:rFonts w:cs="Segoe UI"/>
          <w:szCs w:val="22"/>
          <w:lang w:val="sk-SK"/>
        </w:rPr>
        <w:t>” o spôsobe práce v budúcnosti a predstavila ju svojim zamestnancom.</w:t>
      </w:r>
      <w:r w:rsidRPr="005F2787">
        <w:rPr>
          <w:rFonts w:cs="Segoe UI"/>
          <w:szCs w:val="22"/>
          <w:lang w:val="es-ES"/>
        </w:rPr>
        <w:t xml:space="preserve"> </w:t>
      </w:r>
      <w:r w:rsidRPr="00565F71">
        <w:rPr>
          <w:rFonts w:cs="Segoe UI"/>
          <w:szCs w:val="22"/>
          <w:lang w:val="sk-SK"/>
        </w:rPr>
        <w:t>Odzrkadľuje moderné pracovné prostredie pre novú éru po pandémii ochorenia COVID-19 s cieľom ponúknuť viac flexibility a podporiť hybridný spôsob práce.</w:t>
      </w:r>
      <w:r w:rsidRPr="005F2787">
        <w:rPr>
          <w:rFonts w:cs="Segoe UI"/>
          <w:szCs w:val="22"/>
          <w:lang w:val="es-ES"/>
        </w:rPr>
        <w:t xml:space="preserve"> </w:t>
      </w:r>
      <w:r w:rsidRPr="00565F71">
        <w:rPr>
          <w:rFonts w:cs="Segoe UI"/>
          <w:szCs w:val="22"/>
          <w:lang w:val="sk-SK"/>
        </w:rPr>
        <w:t>V prípade pozícií, ktoré nevyžadujú neustálu prítomnosť na pracovisku, táto koncepcia umožňuje zamestnancom odpracovať až 40 % svojho pracovného času prostredníctvom mobilných technológií.</w:t>
      </w:r>
      <w:r w:rsidRPr="005F2787">
        <w:rPr>
          <w:rFonts w:cs="Segoe UI"/>
          <w:szCs w:val="22"/>
          <w:lang w:val="es-ES"/>
        </w:rPr>
        <w:t xml:space="preserve"> </w:t>
      </w:r>
      <w:r w:rsidRPr="00565F71">
        <w:rPr>
          <w:rFonts w:cs="Segoe UI"/>
          <w:szCs w:val="22"/>
          <w:lang w:val="sk-SK"/>
        </w:rPr>
        <w:t>Spoločnosť nanovo definovala aj svoje poslanie.</w:t>
      </w:r>
      <w:r w:rsidRPr="005F2787">
        <w:rPr>
          <w:rFonts w:cs="Segoe UI"/>
          <w:szCs w:val="22"/>
          <w:lang w:val="es-ES"/>
        </w:rPr>
        <w:t xml:space="preserve"> </w:t>
      </w:r>
      <w:r w:rsidRPr="00565F71">
        <w:rPr>
          <w:rFonts w:cs="Segoe UI"/>
          <w:szCs w:val="22"/>
          <w:lang w:val="sk-SK"/>
        </w:rPr>
        <w:t>Do jeho prípravy boli zapojení zamestnanci po celom svete s cieľom zabezpečiť, aby poslanie misie bolo pre zamestnancov autentické a relevantné.</w:t>
      </w:r>
      <w:r w:rsidRPr="005F2787">
        <w:rPr>
          <w:rFonts w:cs="Segoe UI"/>
          <w:szCs w:val="22"/>
          <w:lang w:val="es-ES"/>
        </w:rPr>
        <w:t xml:space="preserve"> </w:t>
      </w:r>
      <w:r w:rsidRPr="00565F71">
        <w:rPr>
          <w:rFonts w:cs="Segoe UI"/>
          <w:szCs w:val="22"/>
          <w:lang w:val="sk-SK"/>
        </w:rPr>
        <w:t>Jeho jadrom je priekopnícky duch, ktorý je charakteristický pre spoločnosť a jej pracovníkov už od založenia a zároveň predstavuje motivačný faktor pre všetkých pracovníkov.</w:t>
      </w:r>
      <w:r w:rsidRPr="005F2787">
        <w:rPr>
          <w:rFonts w:cs="Segoe UI"/>
          <w:szCs w:val="22"/>
          <w:lang w:val="es-ES"/>
        </w:rPr>
        <w:t xml:space="preserve"> </w:t>
      </w:r>
      <w:r w:rsidRPr="00565F71">
        <w:rPr>
          <w:rFonts w:cs="Segoe UI"/>
          <w:szCs w:val="22"/>
          <w:lang w:val="sk-SK"/>
        </w:rPr>
        <w:t>A takisto ide aj o snahu obohacovať a zlepšovať život každý deň, či už v prípade samotných zákazníkov alebo spoločnosti ako celku, pričom sa súčasne vytvára trvalá hodnota.</w:t>
      </w:r>
    </w:p>
    <w:p w14:paraId="38F89176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szCs w:val="22"/>
          <w:lang w:val="es-ES"/>
        </w:rPr>
      </w:pPr>
    </w:p>
    <w:p w14:paraId="32F13722" w14:textId="3E2E0EA3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szCs w:val="22"/>
          <w:lang w:val="es-ES"/>
        </w:rPr>
      </w:pPr>
      <w:r w:rsidRPr="00565F71">
        <w:rPr>
          <w:rFonts w:cs="Segoe UI"/>
          <w:szCs w:val="22"/>
          <w:lang w:val="sk-SK"/>
        </w:rPr>
        <w:t>„Poslanie našej misie s</w:t>
      </w:r>
      <w:r w:rsidR="005F2787">
        <w:rPr>
          <w:rFonts w:cs="Segoe UI"/>
          <w:szCs w:val="22"/>
          <w:lang w:val="sk-SK"/>
        </w:rPr>
        <w:t> </w:t>
      </w:r>
      <w:r w:rsidRPr="00565F71">
        <w:rPr>
          <w:rFonts w:cs="Segoe UI"/>
          <w:szCs w:val="22"/>
          <w:lang w:val="sk-SK"/>
        </w:rPr>
        <w:t>názvom</w:t>
      </w:r>
      <w:r w:rsidR="005F2787">
        <w:rPr>
          <w:rFonts w:cs="Segoe UI"/>
          <w:szCs w:val="22"/>
          <w:lang w:val="sk-SK"/>
        </w:rPr>
        <w:t xml:space="preserve"> „</w:t>
      </w:r>
      <w:proofErr w:type="spellStart"/>
      <w:r w:rsidR="005F2787" w:rsidRPr="005F2787">
        <w:rPr>
          <w:rFonts w:cs="Segoe UI"/>
          <w:szCs w:val="22"/>
          <w:lang w:val="es-ES"/>
        </w:rPr>
        <w:t>Pioneers</w:t>
      </w:r>
      <w:proofErr w:type="spellEnd"/>
      <w:r w:rsidR="005F2787" w:rsidRPr="005F2787">
        <w:rPr>
          <w:rFonts w:cs="Segoe UI"/>
          <w:szCs w:val="22"/>
          <w:lang w:val="es-ES"/>
        </w:rPr>
        <w:t xml:space="preserve"> at </w:t>
      </w:r>
      <w:proofErr w:type="spellStart"/>
      <w:r w:rsidR="005F2787" w:rsidRPr="005F2787">
        <w:rPr>
          <w:rFonts w:cs="Segoe UI"/>
          <w:szCs w:val="22"/>
          <w:lang w:val="es-ES"/>
        </w:rPr>
        <w:t>heart</w:t>
      </w:r>
      <w:proofErr w:type="spellEnd"/>
      <w:r w:rsidR="005F2787" w:rsidRPr="005F2787">
        <w:rPr>
          <w:rFonts w:cs="Segoe UI"/>
          <w:szCs w:val="22"/>
          <w:lang w:val="es-ES"/>
        </w:rPr>
        <w:t xml:space="preserve"> </w:t>
      </w:r>
      <w:proofErr w:type="spellStart"/>
      <w:r w:rsidR="005F2787" w:rsidRPr="005F2787">
        <w:rPr>
          <w:rFonts w:cs="Segoe UI"/>
          <w:szCs w:val="22"/>
          <w:lang w:val="es-ES"/>
        </w:rPr>
        <w:t>for</w:t>
      </w:r>
      <w:proofErr w:type="spellEnd"/>
      <w:r w:rsidR="005F2787" w:rsidRPr="005F2787">
        <w:rPr>
          <w:rFonts w:cs="Segoe UI"/>
          <w:szCs w:val="22"/>
          <w:lang w:val="es-ES"/>
        </w:rPr>
        <w:t xml:space="preserve"> the </w:t>
      </w:r>
      <w:proofErr w:type="spellStart"/>
      <w:r w:rsidR="005F2787" w:rsidRPr="005F2787">
        <w:rPr>
          <w:rFonts w:cs="Segoe UI"/>
          <w:szCs w:val="22"/>
          <w:lang w:val="es-ES"/>
        </w:rPr>
        <w:t>good</w:t>
      </w:r>
      <w:proofErr w:type="spellEnd"/>
      <w:r w:rsidR="005F2787" w:rsidRPr="005F2787">
        <w:rPr>
          <w:rFonts w:cs="Segoe UI"/>
          <w:szCs w:val="22"/>
          <w:lang w:val="es-ES"/>
        </w:rPr>
        <w:t xml:space="preserve"> </w:t>
      </w:r>
      <w:proofErr w:type="spellStart"/>
      <w:r w:rsidR="005F2787" w:rsidRPr="005F2787">
        <w:rPr>
          <w:rFonts w:cs="Segoe UI"/>
          <w:szCs w:val="22"/>
          <w:lang w:val="es-ES"/>
        </w:rPr>
        <w:t>of</w:t>
      </w:r>
      <w:proofErr w:type="spellEnd"/>
      <w:r w:rsidR="005F2787" w:rsidRPr="005F2787">
        <w:rPr>
          <w:rFonts w:cs="Segoe UI"/>
          <w:szCs w:val="22"/>
          <w:lang w:val="es-ES"/>
        </w:rPr>
        <w:t xml:space="preserve"> </w:t>
      </w:r>
      <w:proofErr w:type="spellStart"/>
      <w:r w:rsidR="005F2787" w:rsidRPr="005F2787">
        <w:rPr>
          <w:rFonts w:cs="Segoe UI"/>
          <w:szCs w:val="22"/>
          <w:lang w:val="es-ES"/>
        </w:rPr>
        <w:t>generation</w:t>
      </w:r>
      <w:proofErr w:type="spellEnd"/>
      <w:r w:rsidR="005F2787" w:rsidRPr="005F2787">
        <w:rPr>
          <w:rFonts w:cs="Segoe UI"/>
          <w:szCs w:val="22"/>
          <w:lang w:val="es-ES"/>
        </w:rPr>
        <w:t>”</w:t>
      </w:r>
      <w:r w:rsidR="005F2787" w:rsidRPr="005F2787">
        <w:rPr>
          <w:rFonts w:cs="Segoe UI"/>
          <w:szCs w:val="22"/>
          <w:lang w:val="sk-SK"/>
        </w:rPr>
        <w:t xml:space="preserve"> </w:t>
      </w:r>
      <w:r w:rsidR="005F2787" w:rsidRPr="005F2787">
        <w:rPr>
          <w:rFonts w:cs="Segoe UI"/>
          <w:szCs w:val="22"/>
          <w:lang w:val="es-ES"/>
        </w:rPr>
        <w:t>(</w:t>
      </w:r>
      <w:r w:rsidRPr="005F2787">
        <w:rPr>
          <w:rFonts w:cs="Segoe UI"/>
          <w:szCs w:val="22"/>
          <w:lang w:val="sk-SK"/>
        </w:rPr>
        <w:t>Priekopníci v centre diania pre blaho generácií</w:t>
      </w:r>
      <w:r w:rsidR="005F2787" w:rsidRPr="005F2787">
        <w:rPr>
          <w:rFonts w:cs="Segoe UI"/>
          <w:szCs w:val="22"/>
          <w:lang w:val="sk-SK"/>
        </w:rPr>
        <w:t>)</w:t>
      </w:r>
      <w:r w:rsidRPr="005F2787">
        <w:rPr>
          <w:rFonts w:cs="Segoe UI"/>
          <w:szCs w:val="22"/>
          <w:lang w:val="sk-SK"/>
        </w:rPr>
        <w:t xml:space="preserve"> opisuje to, kým v spoločnosti Henkel sme, čo</w:t>
      </w:r>
      <w:r w:rsidRPr="00565F71">
        <w:rPr>
          <w:rFonts w:cs="Segoe UI"/>
          <w:szCs w:val="22"/>
          <w:lang w:val="sk-SK"/>
        </w:rPr>
        <w:t xml:space="preserve"> nás spája </w:t>
      </w:r>
      <w:r w:rsidRPr="00565F71">
        <w:rPr>
          <w:rFonts w:cs="Segoe UI"/>
          <w:szCs w:val="22"/>
          <w:lang w:val="sk-SK"/>
        </w:rPr>
        <w:lastRenderedPageBreak/>
        <w:t>a akú úlohu chceme zohrávať vo svete.</w:t>
      </w:r>
      <w:r w:rsidRPr="005F2787">
        <w:rPr>
          <w:rFonts w:cs="Segoe UI"/>
          <w:szCs w:val="22"/>
          <w:lang w:val="es-ES"/>
        </w:rPr>
        <w:t xml:space="preserve"> </w:t>
      </w:r>
      <w:r w:rsidRPr="00565F71">
        <w:rPr>
          <w:rFonts w:cs="Segoe UI"/>
          <w:szCs w:val="22"/>
          <w:lang w:val="sk-SK"/>
        </w:rPr>
        <w:t>Zďaleka nejde len o slogan alebo módne slová.</w:t>
      </w:r>
      <w:r w:rsidRPr="005F2787">
        <w:rPr>
          <w:rFonts w:cs="Segoe UI"/>
          <w:szCs w:val="22"/>
          <w:lang w:val="es-ES"/>
        </w:rPr>
        <w:t xml:space="preserve"> </w:t>
      </w:r>
      <w:r w:rsidRPr="00565F71">
        <w:rPr>
          <w:rFonts w:cs="Segoe UI"/>
          <w:szCs w:val="22"/>
          <w:lang w:val="sk-SK"/>
        </w:rPr>
        <w:t>Cítime hlboký záväzok napĺňať ich zmysel každý jeden deň.</w:t>
      </w:r>
      <w:r w:rsidRPr="005F2787">
        <w:rPr>
          <w:rFonts w:cs="Segoe UI"/>
          <w:szCs w:val="22"/>
          <w:lang w:val="es-ES"/>
        </w:rPr>
        <w:t xml:space="preserve"> </w:t>
      </w:r>
      <w:r w:rsidRPr="00565F71">
        <w:rPr>
          <w:rFonts w:cs="Segoe UI"/>
          <w:szCs w:val="22"/>
          <w:lang w:val="sk-SK"/>
        </w:rPr>
        <w:t xml:space="preserve">Nášho priekopníckeho a podnikateľského ducha chceme ďalej rozvíjať – pre našich zamestnancov, zákazníkov a spotrebiteľov, našich akcionárov a pre blaho súčasných a budúcich generácií,“ povedal Carsten </w:t>
      </w:r>
      <w:proofErr w:type="spellStart"/>
      <w:r w:rsidRPr="00565F71">
        <w:rPr>
          <w:rFonts w:cs="Segoe UI"/>
          <w:szCs w:val="22"/>
          <w:lang w:val="sk-SK"/>
        </w:rPr>
        <w:t>Knobel</w:t>
      </w:r>
      <w:proofErr w:type="spellEnd"/>
      <w:r w:rsidRPr="00565F71">
        <w:rPr>
          <w:rFonts w:cs="Segoe UI"/>
          <w:szCs w:val="22"/>
          <w:lang w:val="sk-SK"/>
        </w:rPr>
        <w:t>.</w:t>
      </w:r>
      <w:r w:rsidRPr="005F2787">
        <w:rPr>
          <w:rFonts w:cs="Segoe UI"/>
          <w:szCs w:val="22"/>
          <w:lang w:val="es-ES"/>
        </w:rPr>
        <w:t xml:space="preserve"> </w:t>
      </w:r>
      <w:r w:rsidRPr="00565F71">
        <w:rPr>
          <w:rFonts w:cs="Segoe UI"/>
          <w:szCs w:val="22"/>
          <w:lang w:val="sk-SK"/>
        </w:rPr>
        <w:t>„Z tohto dôvodu je dôležité, aby sme spoločne chápali naše poslanie a s plným vedomím v tomto zmysle aj konali.“</w:t>
      </w:r>
    </w:p>
    <w:p w14:paraId="6ADCCFF7" w14:textId="77777777" w:rsidR="00565F71" w:rsidRPr="005F2787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  <w:lang w:val="es-ES"/>
        </w:rPr>
      </w:pPr>
    </w:p>
    <w:p w14:paraId="342334E9" w14:textId="77777777" w:rsidR="00565F71" w:rsidRPr="005F2787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  <w:lang w:val="es-ES"/>
        </w:rPr>
      </w:pPr>
      <w:r w:rsidRPr="00565F71">
        <w:rPr>
          <w:rFonts w:cs="Segoe UI"/>
          <w:szCs w:val="22"/>
          <w:lang w:val="sk-SK" w:eastAsia="de-DE"/>
        </w:rPr>
        <w:t>„Sme hrdí na úspešný obchodný vývoj v prvej polovici roka a </w:t>
      </w:r>
      <w:r w:rsidRPr="00565F71">
        <w:rPr>
          <w:rFonts w:cs="Segoe UI"/>
          <w:color w:val="000000"/>
          <w:shd w:val="clear" w:color="auto" w:fill="FFFFFF"/>
          <w:lang w:val="sk-SK"/>
        </w:rPr>
        <w:t xml:space="preserve">značný pokrok, ktorý sme dosiahli v realizácii našej strategickej agendy, a to aj napriek pretrvávajúcemu nepriaznivému vývoju v súvislosti s pandémiou ochorenia COVID-19,“ vysvetlil </w:t>
      </w:r>
      <w:proofErr w:type="spellStart"/>
      <w:r w:rsidRPr="00565F71">
        <w:rPr>
          <w:rFonts w:cs="Segoe UI"/>
          <w:color w:val="000000"/>
          <w:shd w:val="clear" w:color="auto" w:fill="FFFFFF"/>
          <w:lang w:val="sk-SK"/>
        </w:rPr>
        <w:t>Knobel</w:t>
      </w:r>
      <w:proofErr w:type="spellEnd"/>
      <w:r w:rsidRPr="00565F71">
        <w:rPr>
          <w:rFonts w:cs="Segoe UI"/>
          <w:color w:val="000000"/>
          <w:shd w:val="clear" w:color="auto" w:fill="FFFFFF"/>
          <w:lang w:val="sk-SK"/>
        </w:rPr>
        <w:t>.</w:t>
      </w:r>
      <w:r w:rsidRPr="005F2787">
        <w:rPr>
          <w:rFonts w:cs="Segoe UI"/>
          <w:color w:val="000000"/>
          <w:shd w:val="clear" w:color="auto" w:fill="FFFFFF"/>
          <w:lang w:val="es-ES"/>
        </w:rPr>
        <w:t xml:space="preserve"> </w:t>
      </w:r>
      <w:r w:rsidRPr="00565F71">
        <w:rPr>
          <w:rFonts w:cs="Segoe UI"/>
          <w:color w:val="000000"/>
          <w:shd w:val="clear" w:color="auto" w:fill="FFFFFF"/>
          <w:lang w:val="sk-SK"/>
        </w:rPr>
        <w:t>„Budeme sa naďalej dôsledne držať našej agendy zmysluplného rastu a počas zostávajúcich mesiacov tohto roka budeme uplatňovať vysoko flexibilný prístup pri reagovaní na zmeny na našich trhoch vzhľadom na výzvy, ktoré so sebou prinášajú rastúce ceny surovín a vyťažené dodávateľské reťazce.</w:t>
      </w:r>
      <w:r w:rsidRPr="00565F71">
        <w:rPr>
          <w:rFonts w:cs="Segoe UI"/>
          <w:szCs w:val="22"/>
          <w:lang w:val="sk-SK"/>
        </w:rPr>
        <w:t>“</w:t>
      </w:r>
    </w:p>
    <w:p w14:paraId="45B1A3FD" w14:textId="77777777" w:rsidR="00565F71" w:rsidRPr="005F2787" w:rsidRDefault="00565F71" w:rsidP="00565F71">
      <w:pPr>
        <w:rPr>
          <w:rFonts w:cs="Segoe UI"/>
          <w:szCs w:val="22"/>
          <w:lang w:val="es-ES" w:eastAsia="de-DE"/>
        </w:rPr>
      </w:pPr>
    </w:p>
    <w:p w14:paraId="4AECF67A" w14:textId="77777777" w:rsidR="00565F71" w:rsidRPr="005F2787" w:rsidRDefault="00565F71" w:rsidP="00565F71">
      <w:pPr>
        <w:spacing w:line="240" w:lineRule="auto"/>
        <w:jc w:val="left"/>
        <w:rPr>
          <w:b/>
          <w:bCs/>
          <w:sz w:val="18"/>
          <w:lang w:val="es-ES"/>
        </w:rPr>
      </w:pPr>
    </w:p>
    <w:p w14:paraId="1FDEFEED" w14:textId="77777777" w:rsidR="005736C2" w:rsidRPr="005736C2" w:rsidRDefault="005736C2" w:rsidP="005736C2">
      <w:pPr>
        <w:spacing w:line="280" w:lineRule="auto"/>
        <w:rPr>
          <w:rFonts w:ascii="Calibri" w:hAnsi="Calibri"/>
          <w:sz w:val="18"/>
          <w:szCs w:val="16"/>
          <w:lang w:val="sk-SK" w:eastAsia="zh-CN"/>
        </w:rPr>
      </w:pPr>
      <w:r w:rsidRPr="005736C2">
        <w:rPr>
          <w:b/>
          <w:bCs/>
          <w:sz w:val="18"/>
          <w:szCs w:val="16"/>
          <w:lang w:val="sk-SK"/>
        </w:rPr>
        <w:t>O spoločnosti Henkel</w:t>
      </w:r>
    </w:p>
    <w:p w14:paraId="48E687C3" w14:textId="77777777" w:rsidR="005736C2" w:rsidRPr="005736C2" w:rsidRDefault="005736C2" w:rsidP="005736C2">
      <w:pPr>
        <w:spacing w:line="240" w:lineRule="auto"/>
        <w:rPr>
          <w:rFonts w:asciiTheme="minorHAnsi" w:hAnsiTheme="minorHAnsi" w:cstheme="minorHAnsi"/>
          <w:color w:val="000000"/>
          <w:sz w:val="18"/>
          <w:szCs w:val="16"/>
          <w:lang w:val="sk-SK"/>
        </w:rPr>
      </w:pPr>
      <w:r w:rsidRPr="005736C2">
        <w:rPr>
          <w:rFonts w:asciiTheme="minorHAnsi" w:hAnsiTheme="minorHAnsi" w:cstheme="minorHAnsi"/>
          <w:sz w:val="18"/>
          <w:szCs w:val="16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5736C2">
        <w:rPr>
          <w:rFonts w:asciiTheme="minorHAnsi" w:hAnsiTheme="minorHAnsi" w:cstheme="minorHAnsi"/>
          <w:sz w:val="18"/>
          <w:szCs w:val="16"/>
          <w:lang w:val="sk-SK"/>
        </w:rPr>
        <w:t>Care</w:t>
      </w:r>
      <w:proofErr w:type="spellEnd"/>
      <w:r w:rsidRPr="005736C2">
        <w:rPr>
          <w:rFonts w:asciiTheme="minorHAnsi" w:hAnsiTheme="minorHAnsi" w:cstheme="minorHAnsi"/>
          <w:sz w:val="18"/>
          <w:szCs w:val="16"/>
          <w:lang w:val="sk-SK"/>
        </w:rPr>
        <w:t xml:space="preserve"> a </w:t>
      </w:r>
      <w:proofErr w:type="spellStart"/>
      <w:r w:rsidRPr="005736C2">
        <w:rPr>
          <w:rFonts w:asciiTheme="minorHAnsi" w:hAnsiTheme="minorHAnsi" w:cstheme="minorHAnsi"/>
          <w:sz w:val="18"/>
          <w:szCs w:val="16"/>
          <w:lang w:val="sk-SK"/>
        </w:rPr>
        <w:t>Beauty</w:t>
      </w:r>
      <w:proofErr w:type="spellEnd"/>
      <w:r w:rsidRPr="005736C2">
        <w:rPr>
          <w:rFonts w:asciiTheme="minorHAnsi" w:hAnsiTheme="minorHAnsi" w:cstheme="minorHAnsi"/>
          <w:sz w:val="18"/>
          <w:szCs w:val="16"/>
          <w:lang w:val="sk-SK"/>
        </w:rPr>
        <w:t xml:space="preserve"> </w:t>
      </w:r>
      <w:proofErr w:type="spellStart"/>
      <w:r w:rsidRPr="005736C2">
        <w:rPr>
          <w:rFonts w:asciiTheme="minorHAnsi" w:hAnsiTheme="minorHAnsi" w:cstheme="minorHAnsi"/>
          <w:sz w:val="18"/>
          <w:szCs w:val="16"/>
          <w:lang w:val="sk-SK"/>
        </w:rPr>
        <w:t>Care</w:t>
      </w:r>
      <w:proofErr w:type="spellEnd"/>
      <w:r w:rsidRPr="005736C2">
        <w:rPr>
          <w:rFonts w:asciiTheme="minorHAnsi" w:hAnsiTheme="minorHAnsi" w:cstheme="minorHAnsi"/>
          <w:sz w:val="18"/>
          <w:szCs w:val="16"/>
          <w:lang w:val="sk-SK"/>
        </w:rPr>
        <w:t xml:space="preserve"> je Henkel na vedúcich pozíciách na viacerých trhoch a v kategóriách vo svete. Spoločnosť bola založená v roku 1876 a má za sebou viac než 140 úspešných rokov. V roku 2020 dosiahla obrat vo výške 19 mld. eur a upravený prevádzkový zisk približne vo výške 2,6 mld. eur. Henkel zamestnáva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5736C2">
          <w:rPr>
            <w:rStyle w:val="Hyperlink"/>
            <w:rFonts w:asciiTheme="minorHAnsi" w:hAnsiTheme="minorHAnsi" w:cstheme="minorHAnsi"/>
            <w:sz w:val="14"/>
            <w:szCs w:val="16"/>
            <w:lang w:val="sk-SK"/>
          </w:rPr>
          <w:t>www.henkel.com</w:t>
        </w:r>
      </w:hyperlink>
      <w:r w:rsidRPr="005736C2">
        <w:rPr>
          <w:rFonts w:asciiTheme="minorHAnsi" w:hAnsiTheme="minorHAnsi" w:cstheme="minorHAnsi"/>
          <w:color w:val="000000"/>
          <w:sz w:val="18"/>
          <w:szCs w:val="16"/>
          <w:lang w:val="sk-SK"/>
        </w:rPr>
        <w:t>.</w:t>
      </w:r>
    </w:p>
    <w:p w14:paraId="4EF3307C" w14:textId="77777777" w:rsidR="005736C2" w:rsidRPr="005736C2" w:rsidRDefault="005736C2" w:rsidP="005736C2">
      <w:pPr>
        <w:spacing w:line="278" w:lineRule="auto"/>
        <w:rPr>
          <w:rFonts w:asciiTheme="minorHAnsi" w:hAnsiTheme="minorHAnsi" w:cstheme="minorHAnsi"/>
          <w:b/>
          <w:bCs/>
          <w:sz w:val="18"/>
          <w:szCs w:val="16"/>
          <w:lang w:val="sk-SK"/>
        </w:rPr>
      </w:pPr>
    </w:p>
    <w:p w14:paraId="6297ED6C" w14:textId="77777777" w:rsidR="005736C2" w:rsidRPr="005736C2" w:rsidRDefault="005736C2" w:rsidP="005736C2">
      <w:pPr>
        <w:spacing w:line="278" w:lineRule="auto"/>
        <w:rPr>
          <w:rFonts w:asciiTheme="minorHAnsi" w:hAnsiTheme="minorHAnsi" w:cstheme="minorHAnsi"/>
          <w:b/>
          <w:bCs/>
          <w:sz w:val="18"/>
          <w:szCs w:val="16"/>
          <w:lang w:val="sk-SK"/>
        </w:rPr>
      </w:pPr>
      <w:r w:rsidRPr="005736C2">
        <w:rPr>
          <w:rFonts w:asciiTheme="minorHAnsi" w:hAnsiTheme="minorHAnsi" w:cstheme="minorHAnsi"/>
          <w:b/>
          <w:bCs/>
          <w:sz w:val="18"/>
          <w:szCs w:val="16"/>
          <w:lang w:val="sk-SK"/>
        </w:rPr>
        <w:t>O spoločnosti Henkel Slovensko</w:t>
      </w:r>
    </w:p>
    <w:p w14:paraId="797C230B" w14:textId="77777777" w:rsidR="005736C2" w:rsidRPr="005736C2" w:rsidRDefault="005736C2" w:rsidP="005736C2">
      <w:pPr>
        <w:spacing w:line="278" w:lineRule="auto"/>
        <w:rPr>
          <w:rFonts w:asciiTheme="minorHAnsi" w:hAnsiTheme="minorHAnsi" w:cstheme="minorHAnsi"/>
          <w:sz w:val="18"/>
          <w:szCs w:val="16"/>
          <w:lang w:val="sk-SK" w:eastAsia="zh-CN"/>
        </w:rPr>
      </w:pPr>
    </w:p>
    <w:p w14:paraId="2A5962E5" w14:textId="77777777" w:rsidR="005736C2" w:rsidRPr="005736C2" w:rsidRDefault="005736C2" w:rsidP="005736C2">
      <w:pPr>
        <w:spacing w:line="240" w:lineRule="auto"/>
        <w:rPr>
          <w:rFonts w:cs="Arial"/>
          <w:sz w:val="18"/>
          <w:szCs w:val="16"/>
          <w:lang w:val="sk-SK"/>
        </w:rPr>
      </w:pPr>
      <w:r w:rsidRPr="005736C2">
        <w:rPr>
          <w:rFonts w:asciiTheme="minorHAnsi" w:hAnsiTheme="minorHAnsi" w:cstheme="minorHAnsi"/>
          <w:sz w:val="18"/>
          <w:szCs w:val="16"/>
          <w:lang w:val="sk-SK" w:bidi="sk-SK"/>
        </w:rPr>
        <w:t>Na Slovensku pôsobí Henkel vo všetkých troch strategických oblastiach už od roku 1991 a zároveň je HENKEL SLOVENSKO spol. s r. o. pôsobiskom najväčšej expertnej pobočky Global Business Solutions</w:t>
      </w:r>
      <w:r w:rsidRPr="005736C2">
        <w:rPr>
          <w:rFonts w:asciiTheme="minorHAnsi" w:hAnsiTheme="minorHAnsi" w:cstheme="minorHAnsi"/>
          <w:sz w:val="18"/>
          <w:szCs w:val="16"/>
          <w:vertAlign w:val="superscript"/>
          <w:lang w:val="sk-SK" w:bidi="sk-SK"/>
        </w:rPr>
        <w:t>+</w:t>
      </w:r>
      <w:r w:rsidRPr="005736C2">
        <w:rPr>
          <w:rFonts w:asciiTheme="minorHAnsi" w:hAnsiTheme="minorHAnsi" w:cstheme="minorHAnsi"/>
          <w:sz w:val="18"/>
          <w:szCs w:val="16"/>
          <w:lang w:val="sk-SK" w:bidi="sk-SK"/>
        </w:rPr>
        <w:t xml:space="preserve"> </w:t>
      </w:r>
      <w:r w:rsidRPr="005736C2">
        <w:rPr>
          <w:rFonts w:asciiTheme="minorHAnsi" w:hAnsiTheme="minorHAnsi" w:cstheme="minorHAnsi"/>
          <w:color w:val="000000"/>
          <w:sz w:val="18"/>
          <w:szCs w:val="16"/>
          <w:shd w:val="clear" w:color="auto" w:fill="FFFFFF"/>
          <w:lang w:val="sk-SK"/>
        </w:rPr>
        <w:t>spoločnosti Henkel</w:t>
      </w:r>
      <w:r w:rsidRPr="005736C2">
        <w:rPr>
          <w:rFonts w:asciiTheme="minorHAnsi" w:hAnsiTheme="minorHAnsi" w:cstheme="minorHAnsi"/>
          <w:sz w:val="18"/>
          <w:szCs w:val="16"/>
          <w:lang w:val="sk-SK" w:bidi="sk-SK"/>
        </w:rPr>
        <w:t xml:space="preserve"> celosvetovo. </w:t>
      </w:r>
      <w:r w:rsidRPr="005736C2">
        <w:rPr>
          <w:rFonts w:asciiTheme="minorHAnsi" w:hAnsiTheme="minorHAnsi" w:cstheme="minorHAnsi"/>
          <w:color w:val="000000"/>
          <w:sz w:val="18"/>
          <w:szCs w:val="16"/>
          <w:shd w:val="clear" w:color="auto" w:fill="FFFFFF"/>
          <w:lang w:val="sk-SK"/>
        </w:rPr>
        <w:t>Global Business Solutions</w:t>
      </w:r>
      <w:r w:rsidRPr="005736C2">
        <w:rPr>
          <w:rFonts w:asciiTheme="minorHAnsi" w:hAnsiTheme="minorHAnsi"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5736C2">
        <w:rPr>
          <w:rFonts w:asciiTheme="minorHAnsi" w:hAnsiTheme="minorHAnsi" w:cstheme="minorHAnsi"/>
          <w:color w:val="000000"/>
          <w:sz w:val="18"/>
          <w:szCs w:val="16"/>
          <w:shd w:val="clear" w:color="auto" w:fill="FFFFFF"/>
          <w:lang w:val="sk-SK"/>
        </w:rPr>
        <w:t> Bratislava ‏(GBS</w:t>
      </w:r>
      <w:r w:rsidRPr="005736C2">
        <w:rPr>
          <w:rFonts w:asciiTheme="minorHAnsi" w:hAnsiTheme="minorHAnsi"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5736C2">
        <w:rPr>
          <w:rFonts w:asciiTheme="minorHAnsi" w:hAnsiTheme="minorHAnsi" w:cstheme="minorHAnsi"/>
          <w:color w:val="000000"/>
          <w:sz w:val="18"/>
          <w:szCs w:val="16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5736C2">
        <w:rPr>
          <w:rFonts w:asciiTheme="minorHAnsi" w:hAnsiTheme="minorHAnsi" w:cstheme="minorHAnsi"/>
          <w:sz w:val="18"/>
          <w:szCs w:val="16"/>
          <w:lang w:val="sk-SK" w:bidi="sk-SK"/>
        </w:rPr>
        <w:t>HENKEL SLOVENSKO spol. s r. o.  predáva viac ako 50 značiek a dnes zamestnáva, spolu s GBS</w:t>
      </w:r>
      <w:r w:rsidRPr="005736C2">
        <w:rPr>
          <w:rFonts w:asciiTheme="minorHAnsi" w:hAnsiTheme="minorHAnsi" w:cstheme="minorHAnsi"/>
          <w:sz w:val="18"/>
          <w:szCs w:val="16"/>
          <w:vertAlign w:val="superscript"/>
          <w:lang w:val="sk-SK" w:bidi="sk-SK"/>
        </w:rPr>
        <w:t>+</w:t>
      </w:r>
      <w:r w:rsidRPr="005736C2">
        <w:rPr>
          <w:rFonts w:asciiTheme="minorHAnsi" w:hAnsiTheme="minorHAnsi" w:cstheme="minorHAnsi"/>
          <w:sz w:val="18"/>
          <w:szCs w:val="16"/>
          <w:lang w:val="sk-SK" w:bidi="sk-SK"/>
        </w:rPr>
        <w:t xml:space="preserve"> Bratislava, viac ako 1 800 pracovníkov. </w:t>
      </w:r>
      <w:r w:rsidRPr="005736C2">
        <w:rPr>
          <w:rFonts w:asciiTheme="minorHAnsi" w:hAnsiTheme="minorHAnsi" w:cstheme="minorHAnsi"/>
          <w:sz w:val="18"/>
          <w:szCs w:val="16"/>
          <w:lang w:val="sk-SK"/>
        </w:rPr>
        <w:t xml:space="preserve">Viac informácií nájdete na stránke </w:t>
      </w:r>
      <w:hyperlink r:id="rId12" w:history="1">
        <w:r w:rsidRPr="005736C2">
          <w:rPr>
            <w:rStyle w:val="Hyperlink"/>
            <w:rFonts w:asciiTheme="minorHAnsi" w:hAnsiTheme="minorHAnsi" w:cstheme="minorHAnsi"/>
            <w:sz w:val="14"/>
            <w:szCs w:val="16"/>
            <w:lang w:val="sk-SK"/>
          </w:rPr>
          <w:t>www.henkel.sk</w:t>
        </w:r>
      </w:hyperlink>
      <w:r w:rsidRPr="005736C2">
        <w:rPr>
          <w:rFonts w:cs="Arial"/>
          <w:sz w:val="18"/>
          <w:szCs w:val="16"/>
          <w:lang w:val="sk-SK" w:bidi="sk-SK"/>
        </w:rPr>
        <w:t>.</w:t>
      </w:r>
    </w:p>
    <w:p w14:paraId="3F29C1C6" w14:textId="77777777" w:rsidR="00822B21" w:rsidRPr="005F2787" w:rsidRDefault="00822B21" w:rsidP="00565F71">
      <w:pPr>
        <w:spacing w:line="278" w:lineRule="auto"/>
        <w:rPr>
          <w:sz w:val="18"/>
          <w:lang w:val="sk-SK"/>
        </w:rPr>
      </w:pPr>
    </w:p>
    <w:p w14:paraId="60F645CA" w14:textId="77777777" w:rsidR="00565F71" w:rsidRPr="005F2787" w:rsidRDefault="00565F71" w:rsidP="00565F71">
      <w:pPr>
        <w:rPr>
          <w:rFonts w:cs="Segoe UI"/>
          <w:bCs/>
          <w:sz w:val="14"/>
          <w:szCs w:val="14"/>
          <w:lang w:val="sk-SK"/>
        </w:rPr>
      </w:pPr>
    </w:p>
    <w:p w14:paraId="62E0516A" w14:textId="77777777" w:rsidR="00565F71" w:rsidRPr="005F2787" w:rsidRDefault="00565F71" w:rsidP="00565F71">
      <w:pPr>
        <w:spacing w:line="278" w:lineRule="auto"/>
        <w:rPr>
          <w:rFonts w:cs="Segoe UI"/>
          <w:lang w:val="sk-SK"/>
        </w:rPr>
      </w:pPr>
      <w:r w:rsidRPr="00565F71">
        <w:rPr>
          <w:rFonts w:cs="Segoe UI"/>
          <w:bCs/>
          <w:sz w:val="14"/>
          <w:szCs w:val="14"/>
          <w:lang w:val="sk-SK"/>
        </w:rPr>
        <w:t xml:space="preserve">Tento dokument obsahuje výhľadové stanoviská opierajúce sa o aktuálne odhady a predpoklady vypracované manažmentom spoločnosti Henkel AG &amp; Co. </w:t>
      </w:r>
      <w:proofErr w:type="spellStart"/>
      <w:r w:rsidRPr="00565F71">
        <w:rPr>
          <w:rFonts w:cs="Segoe UI"/>
          <w:bCs/>
          <w:sz w:val="14"/>
          <w:szCs w:val="14"/>
          <w:lang w:val="sk-SK"/>
        </w:rPr>
        <w:t>KGaA</w:t>
      </w:r>
      <w:proofErr w:type="spellEnd"/>
      <w:r w:rsidRPr="00565F71">
        <w:rPr>
          <w:rFonts w:cs="Segoe UI"/>
          <w:bCs/>
          <w:sz w:val="14"/>
          <w:szCs w:val="14"/>
          <w:lang w:val="sk-SK"/>
        </w:rPr>
        <w:t>.</w:t>
      </w:r>
      <w:r w:rsidRPr="005F2787">
        <w:rPr>
          <w:rFonts w:cs="Segoe UI"/>
          <w:bCs/>
          <w:sz w:val="14"/>
          <w:szCs w:val="14"/>
          <w:lang w:val="sk-SK"/>
        </w:rPr>
        <w:t xml:space="preserve"> </w:t>
      </w:r>
      <w:r w:rsidRPr="00565F71">
        <w:rPr>
          <w:rFonts w:cs="Segoe UI"/>
          <w:bCs/>
          <w:sz w:val="14"/>
          <w:szCs w:val="14"/>
          <w:lang w:val="sk-SK"/>
        </w:rPr>
        <w:t>Stanoviská týkajúce sa budúceho vývoja charakterizuje použitie takých slovných zvratov ako „očakávať“, „zamýšľať“, „plánovať“, „predpokladať“, „domnievať sa“, „odhadovať“ a podobných výrazov.</w:t>
      </w:r>
      <w:r w:rsidRPr="005F2787">
        <w:rPr>
          <w:rFonts w:cs="Segoe UI"/>
          <w:bCs/>
          <w:sz w:val="14"/>
          <w:szCs w:val="14"/>
          <w:lang w:val="sk-SK"/>
        </w:rPr>
        <w:t xml:space="preserve"> </w:t>
      </w:r>
      <w:r w:rsidRPr="00565F71">
        <w:rPr>
          <w:rFonts w:cs="Segoe UI"/>
          <w:bCs/>
          <w:sz w:val="14"/>
          <w:szCs w:val="14"/>
          <w:lang w:val="sk-SK"/>
        </w:rPr>
        <w:t>Takéto stanoviská nie je možné chápať ako zaručujúce akýmkoľvek spôsobom, že dané predikcie sú presné.</w:t>
      </w:r>
      <w:r w:rsidRPr="005F2787">
        <w:rPr>
          <w:rFonts w:cs="Segoe UI"/>
          <w:bCs/>
          <w:sz w:val="14"/>
          <w:szCs w:val="14"/>
          <w:lang w:val="sk-SK"/>
        </w:rPr>
        <w:t xml:space="preserve"> </w:t>
      </w:r>
      <w:r w:rsidRPr="00565F71">
        <w:rPr>
          <w:rFonts w:cs="Segoe UI"/>
          <w:bCs/>
          <w:sz w:val="14"/>
          <w:szCs w:val="14"/>
          <w:lang w:val="sk-SK"/>
        </w:rPr>
        <w:t xml:space="preserve">Budúca výkonnosť ako aj reálne dosiahnuté výsledky spoločnosti Henkel AG &amp; Co. </w:t>
      </w:r>
      <w:proofErr w:type="spellStart"/>
      <w:r w:rsidRPr="00565F71">
        <w:rPr>
          <w:rFonts w:cs="Segoe UI"/>
          <w:bCs/>
          <w:sz w:val="14"/>
          <w:szCs w:val="14"/>
          <w:lang w:val="sk-SK"/>
        </w:rPr>
        <w:t>KGaA</w:t>
      </w:r>
      <w:proofErr w:type="spellEnd"/>
      <w:r w:rsidRPr="00565F71">
        <w:rPr>
          <w:rFonts w:cs="Segoe UI"/>
          <w:bCs/>
          <w:sz w:val="14"/>
          <w:szCs w:val="14"/>
          <w:lang w:val="sk-SK"/>
        </w:rPr>
        <w:t xml:space="preserve"> a jej sesterských spoločností závisia od celého radu rizikových faktorov a neistôt, a preto sa môžu podstatne odkláňať od výhľadových stanovísk.</w:t>
      </w:r>
      <w:r w:rsidRPr="005F2787">
        <w:rPr>
          <w:rFonts w:cs="Segoe UI"/>
          <w:bCs/>
          <w:sz w:val="14"/>
          <w:szCs w:val="14"/>
          <w:lang w:val="sk-SK"/>
        </w:rPr>
        <w:t xml:space="preserve"> </w:t>
      </w:r>
      <w:r w:rsidRPr="00565F71">
        <w:rPr>
          <w:rFonts w:cs="Segoe UI"/>
          <w:bCs/>
          <w:sz w:val="14"/>
          <w:szCs w:val="14"/>
          <w:lang w:val="sk-SK"/>
        </w:rPr>
        <w:t>Na mnohé z nich spoločnosť Henkel nemá priamy dosah a vopred ich nie je možné presne odhadnúť, ako napríklad, aké bude ekonomické prostredie v budúcnosti a aké budú kroky konkurentov a iných subjektov pôsobiacich na trhu.</w:t>
      </w:r>
      <w:r w:rsidRPr="005F2787">
        <w:rPr>
          <w:rFonts w:cs="Segoe UI"/>
          <w:bCs/>
          <w:sz w:val="14"/>
          <w:szCs w:val="14"/>
          <w:lang w:val="sk-SK"/>
        </w:rPr>
        <w:t xml:space="preserve"> </w:t>
      </w:r>
      <w:r w:rsidRPr="00565F71">
        <w:rPr>
          <w:rFonts w:cs="Segoe UI"/>
          <w:bCs/>
          <w:sz w:val="14"/>
          <w:szCs w:val="14"/>
          <w:lang w:val="sk-SK"/>
        </w:rPr>
        <w:t>Spoločnosť Henkel nemá v úmysle a ani neprijme kroky na účely aktualizácie týchto stanovísk.</w:t>
      </w:r>
      <w:r w:rsidRPr="005F2787">
        <w:rPr>
          <w:rFonts w:cs="Segoe UI"/>
          <w:bCs/>
          <w:sz w:val="14"/>
          <w:szCs w:val="14"/>
          <w:lang w:val="sk-SK"/>
        </w:rPr>
        <w:t xml:space="preserve"> </w:t>
      </w:r>
    </w:p>
    <w:p w14:paraId="52A03316" w14:textId="77777777" w:rsidR="00565F71" w:rsidRPr="005F2787" w:rsidRDefault="00565F71" w:rsidP="00565F71">
      <w:pPr>
        <w:rPr>
          <w:rFonts w:cs="Segoe UI"/>
          <w:bCs/>
          <w:sz w:val="14"/>
          <w:szCs w:val="14"/>
          <w:lang w:val="sk-SK"/>
        </w:rPr>
      </w:pPr>
    </w:p>
    <w:p w14:paraId="66D4BC31" w14:textId="77777777" w:rsidR="00565F71" w:rsidRPr="005F2787" w:rsidRDefault="00565F71" w:rsidP="00565F71">
      <w:pPr>
        <w:spacing w:line="278" w:lineRule="auto"/>
        <w:rPr>
          <w:rFonts w:cs="Segoe UI"/>
          <w:bCs/>
          <w:sz w:val="14"/>
          <w:szCs w:val="14"/>
          <w:lang w:val="sk-SK"/>
        </w:rPr>
      </w:pPr>
      <w:r w:rsidRPr="00565F71">
        <w:rPr>
          <w:rFonts w:cs="Segoe UI"/>
          <w:bCs/>
          <w:sz w:val="14"/>
          <w:szCs w:val="14"/>
          <w:lang w:val="sk-SK"/>
        </w:rPr>
        <w:lastRenderedPageBreak/>
        <w:t xml:space="preserve">Tento dokument obsahuje doplňujúce finančné ukazovatele, ktoré nie sú jednoznačne definované v platnom rámci finančného výkazníctva, ktoré predstavujú alebo môžu predstavovať alternatívne ukazovatele finančnej výkonnosti. </w:t>
      </w:r>
      <w:r w:rsidRPr="005F2787">
        <w:rPr>
          <w:rFonts w:cs="Segoe UI"/>
          <w:bCs/>
          <w:sz w:val="14"/>
          <w:szCs w:val="14"/>
          <w:lang w:val="sk-SK"/>
        </w:rPr>
        <w:t xml:space="preserve"> </w:t>
      </w:r>
      <w:r w:rsidRPr="00565F71">
        <w:rPr>
          <w:rFonts w:cs="Segoe UI"/>
          <w:bCs/>
          <w:sz w:val="14"/>
          <w:szCs w:val="14"/>
          <w:lang w:val="sk-SK"/>
        </w:rPr>
        <w:t>Tieto doplňujúce finančné ukazovatele by sa nemali vykladať osobitne alebo ako alternatívne ukazovatele k ukazovateľom čistých aktív a finančných pozícií spoločnosti Henkel alebo k výsledkom podnikania, ktoré sú v súlade s platným rámcom finančného výkazníctva prezentované v konsolidovanej účtovnej závierke spoločnosti.</w:t>
      </w:r>
      <w:r w:rsidRPr="005F2787">
        <w:rPr>
          <w:rFonts w:cs="Segoe UI"/>
          <w:bCs/>
          <w:sz w:val="14"/>
          <w:szCs w:val="14"/>
          <w:lang w:val="sk-SK"/>
        </w:rPr>
        <w:t xml:space="preserve"> </w:t>
      </w:r>
      <w:r w:rsidRPr="00565F71">
        <w:rPr>
          <w:rFonts w:cs="Segoe UI"/>
          <w:bCs/>
          <w:sz w:val="14"/>
          <w:szCs w:val="14"/>
          <w:lang w:val="sk-SK"/>
        </w:rPr>
        <w:t>Iné spoločnosti, ktoré vykazujú alebo uvádzajú alternatívne ukazovatele výkonnosti s podobnými názvami, môžu počítať ich hodnoty odlišne.</w:t>
      </w:r>
    </w:p>
    <w:p w14:paraId="0A447E8B" w14:textId="77777777" w:rsidR="00565F71" w:rsidRPr="005F2787" w:rsidRDefault="00565F71" w:rsidP="00565F71">
      <w:pPr>
        <w:rPr>
          <w:rFonts w:cs="Segoe UI"/>
          <w:bCs/>
          <w:sz w:val="14"/>
          <w:szCs w:val="14"/>
          <w:lang w:val="sk-SK"/>
        </w:rPr>
      </w:pPr>
    </w:p>
    <w:p w14:paraId="00B74CB4" w14:textId="77777777" w:rsidR="00565F71" w:rsidRPr="005F2787" w:rsidRDefault="00565F71" w:rsidP="00565F71">
      <w:pPr>
        <w:spacing w:line="278" w:lineRule="auto"/>
        <w:rPr>
          <w:rFonts w:cs="Segoe UI"/>
          <w:bCs/>
          <w:sz w:val="14"/>
          <w:szCs w:val="14"/>
          <w:lang w:val="sk-SK"/>
        </w:rPr>
      </w:pPr>
      <w:r w:rsidRPr="00565F71">
        <w:rPr>
          <w:rFonts w:cs="Segoe UI"/>
          <w:bCs/>
          <w:sz w:val="14"/>
          <w:szCs w:val="14"/>
          <w:lang w:val="sk-SK"/>
        </w:rPr>
        <w:t xml:space="preserve">Tento dokument slúži výlučne na informačné účely a nepredstavuje investičnú radu ani ponuku na predaj alebo kúpu akýchkoľvek cenných papierov. </w:t>
      </w:r>
    </w:p>
    <w:p w14:paraId="716B923C" w14:textId="0317DAB1" w:rsidR="00565F71" w:rsidRPr="005F2787" w:rsidRDefault="00565F71" w:rsidP="00565F71">
      <w:pPr>
        <w:spacing w:line="240" w:lineRule="auto"/>
        <w:jc w:val="left"/>
        <w:rPr>
          <w:rFonts w:cs="Segoe UI"/>
          <w:b/>
          <w:sz w:val="18"/>
          <w:szCs w:val="18"/>
          <w:lang w:val="sk-SK"/>
        </w:rPr>
      </w:pPr>
    </w:p>
    <w:p w14:paraId="46D60185" w14:textId="77777777" w:rsidR="00565F71" w:rsidRPr="005F2787" w:rsidRDefault="00565F71" w:rsidP="00565F71">
      <w:pPr>
        <w:tabs>
          <w:tab w:val="left" w:pos="1080"/>
          <w:tab w:val="left" w:pos="4500"/>
        </w:tabs>
        <w:spacing w:line="278" w:lineRule="auto"/>
        <w:rPr>
          <w:rFonts w:cs="Segoe UI"/>
          <w:b/>
          <w:sz w:val="18"/>
          <w:lang w:val="it-IT"/>
        </w:rPr>
      </w:pPr>
      <w:r w:rsidRPr="00565F71">
        <w:rPr>
          <w:rFonts w:cs="Segoe UI"/>
          <w:b/>
          <w:sz w:val="18"/>
          <w:lang w:val="sk-SK"/>
        </w:rPr>
        <w:t>Kontakty</w:t>
      </w:r>
    </w:p>
    <w:p w14:paraId="1B0514F9" w14:textId="77777777" w:rsidR="00565F71" w:rsidRPr="005F2787" w:rsidRDefault="00565F71" w:rsidP="00565F71">
      <w:pPr>
        <w:tabs>
          <w:tab w:val="left" w:pos="1080"/>
          <w:tab w:val="left" w:pos="4500"/>
        </w:tabs>
        <w:rPr>
          <w:rFonts w:cs="Segoe UI"/>
          <w:b/>
          <w:sz w:val="18"/>
          <w:lang w:val="it-IT"/>
        </w:rPr>
      </w:pPr>
    </w:p>
    <w:p w14:paraId="2D025D24" w14:textId="77777777" w:rsidR="00565F71" w:rsidRPr="005F2787" w:rsidRDefault="00565F71" w:rsidP="00565F71">
      <w:pPr>
        <w:tabs>
          <w:tab w:val="left" w:pos="1080"/>
          <w:tab w:val="left" w:pos="4500"/>
        </w:tabs>
        <w:spacing w:line="278" w:lineRule="auto"/>
        <w:rPr>
          <w:rFonts w:cs="Segoe UI"/>
          <w:b/>
          <w:sz w:val="18"/>
          <w:lang w:val="it-IT"/>
        </w:rPr>
      </w:pPr>
      <w:r w:rsidRPr="00565F71">
        <w:rPr>
          <w:rFonts w:cs="Segoe UI"/>
          <w:b/>
          <w:sz w:val="18"/>
          <w:lang w:val="sk-SK"/>
        </w:rPr>
        <w:t>Investori a analytici</w:t>
      </w:r>
      <w:r w:rsidRPr="005F2787">
        <w:rPr>
          <w:rFonts w:cs="Segoe UI"/>
          <w:sz w:val="18"/>
          <w:lang w:val="it-IT"/>
        </w:rPr>
        <w:tab/>
      </w:r>
      <w:r w:rsidRPr="00565F71">
        <w:rPr>
          <w:rFonts w:cs="Segoe UI"/>
          <w:b/>
          <w:sz w:val="18"/>
          <w:lang w:val="sk-SK"/>
        </w:rPr>
        <w:t>Tlač a médiá</w:t>
      </w:r>
    </w:p>
    <w:p w14:paraId="4EBBE8E5" w14:textId="77777777" w:rsidR="00565F71" w:rsidRPr="005F2787" w:rsidRDefault="00565F71" w:rsidP="00565F71">
      <w:pPr>
        <w:tabs>
          <w:tab w:val="left" w:pos="1080"/>
          <w:tab w:val="left" w:pos="4500"/>
        </w:tabs>
        <w:rPr>
          <w:rFonts w:cs="Segoe UI"/>
          <w:sz w:val="18"/>
          <w:lang w:val="it-IT"/>
        </w:rPr>
      </w:pPr>
    </w:p>
    <w:p w14:paraId="19E28996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b/>
          <w:sz w:val="18"/>
        </w:rPr>
      </w:pPr>
      <w:r w:rsidRPr="00565F71">
        <w:rPr>
          <w:rFonts w:cs="Segoe UI"/>
          <w:b/>
          <w:sz w:val="18"/>
        </w:rPr>
        <w:t xml:space="preserve">Lars </w:t>
      </w:r>
      <w:proofErr w:type="spellStart"/>
      <w:r w:rsidRPr="00565F71">
        <w:rPr>
          <w:rFonts w:cs="Segoe UI"/>
          <w:b/>
          <w:sz w:val="18"/>
        </w:rPr>
        <w:t>Korinth</w:t>
      </w:r>
      <w:proofErr w:type="spellEnd"/>
      <w:r w:rsidRPr="00565F71">
        <w:rPr>
          <w:rFonts w:cs="Segoe UI"/>
          <w:sz w:val="18"/>
        </w:rPr>
        <w:tab/>
      </w:r>
      <w:r w:rsidRPr="00565F71">
        <w:rPr>
          <w:rFonts w:cs="Segoe UI"/>
          <w:sz w:val="18"/>
        </w:rPr>
        <w:tab/>
      </w:r>
      <w:r w:rsidRPr="00565F71">
        <w:rPr>
          <w:rFonts w:cs="Segoe UI"/>
          <w:b/>
          <w:sz w:val="18"/>
        </w:rPr>
        <w:t xml:space="preserve">Lars </w:t>
      </w:r>
      <w:proofErr w:type="spellStart"/>
      <w:r w:rsidRPr="00565F71">
        <w:rPr>
          <w:rFonts w:cs="Segoe UI"/>
          <w:b/>
          <w:sz w:val="18"/>
        </w:rPr>
        <w:t>Witteck</w:t>
      </w:r>
      <w:proofErr w:type="spellEnd"/>
    </w:p>
    <w:p w14:paraId="22C504A7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>Tel.</w:t>
      </w:r>
      <w:r w:rsidRPr="00565F71">
        <w:rPr>
          <w:rFonts w:cs="Segoe UI"/>
          <w:sz w:val="18"/>
        </w:rPr>
        <w:tab/>
        <w:t>+49 211 797 - 1631</w:t>
      </w:r>
      <w:r w:rsidRPr="00565F71">
        <w:rPr>
          <w:rFonts w:cs="Segoe UI"/>
          <w:sz w:val="18"/>
        </w:rPr>
        <w:tab/>
        <w:t>Tel.</w:t>
      </w:r>
      <w:r w:rsidRPr="00565F71">
        <w:rPr>
          <w:rFonts w:cs="Segoe UI"/>
          <w:sz w:val="18"/>
        </w:rPr>
        <w:tab/>
        <w:t>+49 211 797 - 2606</w:t>
      </w:r>
    </w:p>
    <w:p w14:paraId="7B50473E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 xml:space="preserve">Email: </w:t>
      </w:r>
      <w:r w:rsidRPr="00565F71">
        <w:rPr>
          <w:rFonts w:cs="Segoe UI"/>
          <w:sz w:val="18"/>
        </w:rPr>
        <w:tab/>
      </w:r>
      <w:hyperlink r:id="rId13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lars.korinth@henkel.com</w:t>
        </w:r>
      </w:hyperlink>
      <w:r w:rsidRPr="00565F71">
        <w:rPr>
          <w:rFonts w:cs="Segoe UI"/>
          <w:sz w:val="18"/>
        </w:rPr>
        <w:tab/>
        <w:t>Email:</w:t>
      </w:r>
      <w:r w:rsidRPr="00565F71">
        <w:rPr>
          <w:rFonts w:cs="Segoe UI"/>
          <w:sz w:val="18"/>
        </w:rPr>
        <w:tab/>
      </w:r>
      <w:hyperlink r:id="rId14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lars.witteck@henkel.com</w:t>
        </w:r>
      </w:hyperlink>
    </w:p>
    <w:p w14:paraId="51CA07CA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</w:p>
    <w:p w14:paraId="4E99AA5F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b/>
          <w:sz w:val="18"/>
        </w:rPr>
        <w:t xml:space="preserve">Manuel </w:t>
      </w:r>
      <w:proofErr w:type="spellStart"/>
      <w:r w:rsidRPr="00565F71">
        <w:rPr>
          <w:rFonts w:cs="Segoe UI"/>
          <w:b/>
          <w:sz w:val="18"/>
        </w:rPr>
        <w:t>Bösing</w:t>
      </w:r>
      <w:proofErr w:type="spellEnd"/>
      <w:r w:rsidRPr="00565F71">
        <w:rPr>
          <w:rFonts w:cs="Segoe UI"/>
          <w:b/>
          <w:sz w:val="18"/>
        </w:rPr>
        <w:tab/>
        <w:t xml:space="preserve">Wulf </w:t>
      </w:r>
      <w:proofErr w:type="spellStart"/>
      <w:r w:rsidRPr="00565F71">
        <w:rPr>
          <w:rFonts w:cs="Segoe UI"/>
          <w:b/>
          <w:sz w:val="18"/>
        </w:rPr>
        <w:t>Klüppelholz</w:t>
      </w:r>
      <w:proofErr w:type="spellEnd"/>
    </w:p>
    <w:p w14:paraId="7829DE1E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>Tel.</w:t>
      </w:r>
      <w:r w:rsidRPr="00565F71">
        <w:rPr>
          <w:rFonts w:cs="Segoe UI"/>
          <w:sz w:val="18"/>
        </w:rPr>
        <w:tab/>
        <w:t>+49 211 797 - 6459</w:t>
      </w:r>
      <w:r w:rsidRPr="00565F71">
        <w:rPr>
          <w:rFonts w:cs="Segoe UI"/>
          <w:sz w:val="18"/>
        </w:rPr>
        <w:tab/>
        <w:t>Tel.</w:t>
      </w:r>
      <w:r w:rsidRPr="00565F71">
        <w:rPr>
          <w:rFonts w:cs="Segoe UI"/>
          <w:sz w:val="18"/>
        </w:rPr>
        <w:tab/>
        <w:t>+49 211 797 - 1875</w:t>
      </w:r>
    </w:p>
    <w:p w14:paraId="793B1C68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 xml:space="preserve">Email: </w:t>
      </w:r>
      <w:r w:rsidRPr="00565F71">
        <w:rPr>
          <w:rFonts w:cs="Segoe UI"/>
          <w:sz w:val="18"/>
        </w:rPr>
        <w:tab/>
      </w:r>
      <w:hyperlink r:id="rId15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manuel.boesing@henkel.com</w:t>
        </w:r>
      </w:hyperlink>
      <w:r w:rsidRPr="00565F71">
        <w:rPr>
          <w:rFonts w:cs="Segoe UI"/>
          <w:sz w:val="18"/>
        </w:rPr>
        <w:tab/>
        <w:t>Email:</w:t>
      </w:r>
      <w:r w:rsidRPr="00565F71">
        <w:rPr>
          <w:rFonts w:cs="Segoe UI"/>
          <w:sz w:val="18"/>
        </w:rPr>
        <w:tab/>
      </w:r>
      <w:hyperlink r:id="rId16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wulf.klueppelholz@henkel.com</w:t>
        </w:r>
      </w:hyperlink>
    </w:p>
    <w:p w14:paraId="6BBDB731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</w:p>
    <w:p w14:paraId="6829C4EA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b/>
          <w:sz w:val="18"/>
        </w:rPr>
        <w:t>Jennifer Ott</w:t>
      </w:r>
      <w:r w:rsidRPr="00565F71">
        <w:rPr>
          <w:rFonts w:cs="Segoe UI"/>
          <w:b/>
          <w:sz w:val="18"/>
        </w:rPr>
        <w:tab/>
      </w:r>
      <w:r w:rsidRPr="00565F71">
        <w:rPr>
          <w:rFonts w:cs="Segoe UI"/>
          <w:b/>
          <w:sz w:val="18"/>
        </w:rPr>
        <w:tab/>
        <w:t>Hanna Philipps</w:t>
      </w:r>
    </w:p>
    <w:p w14:paraId="2574376D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>Tel.</w:t>
      </w:r>
      <w:r w:rsidRPr="00565F71">
        <w:rPr>
          <w:rFonts w:cs="Segoe UI"/>
          <w:sz w:val="18"/>
        </w:rPr>
        <w:tab/>
        <w:t>+49 211 797 - 2756</w:t>
      </w:r>
      <w:r w:rsidRPr="00565F71">
        <w:rPr>
          <w:rFonts w:cs="Segoe UI"/>
          <w:sz w:val="18"/>
        </w:rPr>
        <w:tab/>
        <w:t>Tel.</w:t>
      </w:r>
      <w:r w:rsidRPr="00565F71">
        <w:rPr>
          <w:rFonts w:cs="Segoe UI"/>
          <w:sz w:val="18"/>
        </w:rPr>
        <w:tab/>
        <w:t>+49 211 797 - 3626</w:t>
      </w:r>
    </w:p>
    <w:p w14:paraId="767F1215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>Email:</w:t>
      </w:r>
      <w:r w:rsidRPr="00565F71">
        <w:rPr>
          <w:rFonts w:cs="Segoe UI"/>
          <w:sz w:val="18"/>
        </w:rPr>
        <w:tab/>
      </w:r>
      <w:hyperlink r:id="rId17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jennifer.ott@henkel.com</w:t>
        </w:r>
      </w:hyperlink>
      <w:r>
        <w:tab/>
      </w:r>
      <w:r w:rsidRPr="00565F71">
        <w:rPr>
          <w:rFonts w:cs="Segoe UI"/>
          <w:sz w:val="18"/>
        </w:rPr>
        <w:t>Email:</w:t>
      </w:r>
      <w:r w:rsidRPr="00565F71">
        <w:rPr>
          <w:rFonts w:cs="Segoe UI"/>
          <w:sz w:val="18"/>
        </w:rPr>
        <w:tab/>
      </w:r>
      <w:hyperlink r:id="rId18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hanna.philipps@henkel.com</w:t>
        </w:r>
      </w:hyperlink>
    </w:p>
    <w:p w14:paraId="03E5A665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</w:p>
    <w:p w14:paraId="1C2D206C" w14:textId="77777777" w:rsidR="00565F71" w:rsidRPr="005F2787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b/>
          <w:sz w:val="18"/>
          <w:lang w:val="de-DE"/>
        </w:rPr>
      </w:pPr>
      <w:r w:rsidRPr="005F2787">
        <w:rPr>
          <w:rFonts w:cs="Segoe UI"/>
          <w:b/>
          <w:sz w:val="18"/>
          <w:lang w:val="de-DE"/>
        </w:rPr>
        <w:t>Dr. Dennis Starke</w:t>
      </w:r>
      <w:r w:rsidRPr="005F2787">
        <w:rPr>
          <w:rFonts w:cs="Segoe UI"/>
          <w:b/>
          <w:sz w:val="18"/>
          <w:lang w:val="de-DE"/>
        </w:rPr>
        <w:tab/>
        <w:t>Linda Gehring</w:t>
      </w:r>
    </w:p>
    <w:p w14:paraId="0A419DC3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F2787">
        <w:rPr>
          <w:rFonts w:cs="Segoe UI"/>
          <w:sz w:val="18"/>
          <w:lang w:val="de-DE"/>
        </w:rPr>
        <w:t>Tel.</w:t>
      </w:r>
      <w:r w:rsidRPr="005F2787">
        <w:rPr>
          <w:rFonts w:cs="Segoe UI"/>
          <w:sz w:val="18"/>
          <w:lang w:val="de-DE"/>
        </w:rPr>
        <w:tab/>
        <w:t>+49 211 797 - 5601</w:t>
      </w:r>
      <w:r w:rsidRPr="005F2787">
        <w:rPr>
          <w:rFonts w:cs="Segoe UI"/>
          <w:sz w:val="18"/>
          <w:lang w:val="de-DE"/>
        </w:rPr>
        <w:tab/>
        <w:t>Tel.</w:t>
      </w:r>
      <w:r w:rsidRPr="005F2787">
        <w:rPr>
          <w:rFonts w:cs="Segoe UI"/>
          <w:sz w:val="18"/>
          <w:lang w:val="de-DE"/>
        </w:rPr>
        <w:tab/>
      </w:r>
      <w:r w:rsidRPr="00565F71">
        <w:rPr>
          <w:rFonts w:cs="Segoe UI"/>
          <w:sz w:val="18"/>
        </w:rPr>
        <w:t>+49 211 797 - 7265</w:t>
      </w:r>
    </w:p>
    <w:p w14:paraId="124E031B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 xml:space="preserve">Email: </w:t>
      </w:r>
      <w:r w:rsidRPr="00565F71">
        <w:rPr>
          <w:rFonts w:cs="Segoe UI"/>
          <w:sz w:val="18"/>
        </w:rPr>
        <w:tab/>
      </w:r>
      <w:hyperlink r:id="rId19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dennis.starke@henkel.com</w:t>
        </w:r>
      </w:hyperlink>
      <w:r w:rsidR="000E2F09">
        <w:tab/>
      </w:r>
      <w:r w:rsidRPr="00565F71">
        <w:rPr>
          <w:rFonts w:cs="Segoe UI"/>
          <w:sz w:val="18"/>
        </w:rPr>
        <w:t>Email:</w:t>
      </w:r>
      <w:r w:rsidRPr="00565F71">
        <w:rPr>
          <w:rFonts w:cs="Segoe UI"/>
          <w:sz w:val="18"/>
        </w:rPr>
        <w:tab/>
      </w:r>
      <w:hyperlink r:id="rId20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linda.gehring@henkel.com</w:t>
        </w:r>
      </w:hyperlink>
    </w:p>
    <w:p w14:paraId="55D9DE4D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</w:p>
    <w:p w14:paraId="7B242408" w14:textId="77777777" w:rsidR="001C5E85" w:rsidRDefault="001C5E85" w:rsidP="00565F71">
      <w:pPr>
        <w:tabs>
          <w:tab w:val="left" w:pos="1080"/>
          <w:tab w:val="left" w:pos="4500"/>
        </w:tabs>
        <w:spacing w:line="264" w:lineRule="auto"/>
      </w:pPr>
    </w:p>
    <w:p w14:paraId="46693BC7" w14:textId="77777777" w:rsidR="001C5E85" w:rsidRDefault="001C5E85" w:rsidP="00565F71">
      <w:pPr>
        <w:tabs>
          <w:tab w:val="left" w:pos="1080"/>
          <w:tab w:val="left" w:pos="4500"/>
        </w:tabs>
        <w:spacing w:line="264" w:lineRule="auto"/>
      </w:pPr>
    </w:p>
    <w:p w14:paraId="4E27258C" w14:textId="77777777" w:rsidR="001C5E85" w:rsidRPr="001658F0" w:rsidRDefault="001C5E85" w:rsidP="001C5E85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Zuzana Kaňuchová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5B6F57B5" w14:textId="77777777" w:rsidR="002064F0" w:rsidRDefault="001C5E85" w:rsidP="001C5E85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Riaditeľka korporátnej komunikácie</w:t>
      </w:r>
    </w:p>
    <w:p w14:paraId="5A2A735F" w14:textId="77777777" w:rsidR="001C5E85" w:rsidRPr="001658F0" w:rsidRDefault="001C5E85" w:rsidP="001C5E85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</w:p>
    <w:p w14:paraId="2998DF73" w14:textId="77777777" w:rsidR="001C5E85" w:rsidRPr="001658F0" w:rsidRDefault="001C5E85" w:rsidP="001C5E85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Telefón: +421 917 160 597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68C113BE" w14:textId="02984665" w:rsidR="001C5E85" w:rsidRPr="001658F0" w:rsidRDefault="001C5E85" w:rsidP="001C5E85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E-mail:</w:t>
      </w:r>
      <w:r w:rsidRPr="001658F0">
        <w:rPr>
          <w:rFonts w:ascii="Calibri" w:hAnsi="Calibri" w:cs="Calibri"/>
          <w:szCs w:val="20"/>
          <w:lang w:val="sk-SK" w:bidi="sk-SK"/>
        </w:rPr>
        <w:tab/>
        <w:t xml:space="preserve">  </w:t>
      </w:r>
      <w:hyperlink r:id="rId21" w:history="1">
        <w:r w:rsidRPr="002F55FA">
          <w:rPr>
            <w:rStyle w:val="Hyperlink"/>
            <w:rFonts w:ascii="Calibri" w:hAnsi="Calibri" w:cs="Calibri"/>
            <w:lang w:val="sk-SK" w:bidi="sk-SK"/>
          </w:rPr>
          <w:t>zuzana.kanuchova@henkel.com</w:t>
        </w:r>
      </w:hyperlink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5D498B8E" w14:textId="77777777" w:rsidR="001C5E85" w:rsidRDefault="001C5E85" w:rsidP="00565F71">
      <w:pPr>
        <w:tabs>
          <w:tab w:val="left" w:pos="1080"/>
          <w:tab w:val="left" w:pos="4500"/>
        </w:tabs>
        <w:spacing w:line="264" w:lineRule="auto"/>
      </w:pPr>
    </w:p>
    <w:p w14:paraId="46590C2F" w14:textId="77777777" w:rsidR="001C5E85" w:rsidRDefault="001C5E85" w:rsidP="00565F71">
      <w:pPr>
        <w:tabs>
          <w:tab w:val="left" w:pos="1080"/>
          <w:tab w:val="left" w:pos="4500"/>
        </w:tabs>
        <w:spacing w:line="264" w:lineRule="auto"/>
      </w:pPr>
    </w:p>
    <w:p w14:paraId="2232125B" w14:textId="53D96E65" w:rsidR="00565F71" w:rsidRPr="00565F71" w:rsidRDefault="005F2787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color w:val="0000FF"/>
          <w:sz w:val="18"/>
          <w:szCs w:val="18"/>
          <w:u w:val="single"/>
        </w:rPr>
      </w:pPr>
      <w:hyperlink r:id="rId22" w:history="1">
        <w:r w:rsidR="001C5E85" w:rsidRPr="002F55FA">
          <w:rPr>
            <w:rStyle w:val="Hyperlink"/>
            <w:rFonts w:cs="Segoe UI"/>
          </w:rPr>
          <w:t>www.henkel.com/press</w:t>
        </w:r>
      </w:hyperlink>
    </w:p>
    <w:p w14:paraId="75F6F37D" w14:textId="77777777" w:rsidR="00A15D78" w:rsidRPr="00C25662" w:rsidRDefault="005F2787" w:rsidP="00565F71">
      <w:pPr>
        <w:spacing w:after="120"/>
        <w:rPr>
          <w:rStyle w:val="Hyperlink"/>
          <w:rFonts w:asciiTheme="majorHAnsi" w:hAnsiTheme="majorHAnsi" w:cstheme="majorHAnsi"/>
        </w:rPr>
      </w:pPr>
      <w:hyperlink r:id="rId23" w:history="1">
        <w:r w:rsidR="00565F71" w:rsidRPr="00565F71">
          <w:rPr>
            <w:rFonts w:cs="Segoe UI"/>
            <w:color w:val="0000FF"/>
            <w:sz w:val="18"/>
            <w:szCs w:val="18"/>
            <w:u w:val="single"/>
          </w:rPr>
          <w:t>www.henkel.com/</w:t>
        </w:r>
      </w:hyperlink>
      <w:r w:rsidR="00565F71" w:rsidRPr="00565F71">
        <w:rPr>
          <w:rFonts w:cs="Segoe UI"/>
          <w:color w:val="0000FF"/>
          <w:sz w:val="18"/>
          <w:szCs w:val="18"/>
          <w:u w:val="single"/>
        </w:rPr>
        <w:t>ir</w:t>
      </w:r>
      <w:r w:rsidR="00271AC3" w:rsidRPr="004E4140">
        <w:rPr>
          <w:rFonts w:cs="Segoe UI"/>
          <w:b/>
          <w:szCs w:val="22"/>
          <w:highlight w:val="yellow"/>
        </w:rPr>
        <w:t xml:space="preserve"> </w:t>
      </w:r>
      <w:bookmarkEnd w:id="1"/>
    </w:p>
    <w:sectPr w:rsidR="00A15D78" w:rsidRPr="00C25662" w:rsidSect="00DC2465">
      <w:head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DF5E" w14:textId="77777777" w:rsidR="001C7229" w:rsidRDefault="001C7229">
      <w:r>
        <w:separator/>
      </w:r>
    </w:p>
  </w:endnote>
  <w:endnote w:type="continuationSeparator" w:id="0">
    <w:p w14:paraId="62DF0818" w14:textId="77777777" w:rsidR="001C7229" w:rsidRDefault="001C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4E9A" w14:textId="77777777" w:rsidR="001C7229" w:rsidRPr="00112A28" w:rsidRDefault="001C7229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D666EF" w:rsidRPr="00D666EF">
      <w:rPr>
        <w:lang w:val="sk-SK"/>
      </w:rPr>
      <w:t>Strana</w:t>
    </w:r>
    <w:r w:rsidRPr="00BF6E82">
      <w:t xml:space="preserve"> </w:t>
    </w:r>
    <w:r w:rsidR="005E35FE">
      <w:fldChar w:fldCharType="begin"/>
    </w:r>
    <w:r w:rsidR="005E35FE">
      <w:instrText xml:space="preserve"> PAGE  \* Arabic  \* MERGEFORMAT </w:instrText>
    </w:r>
    <w:r w:rsidR="005E35FE">
      <w:fldChar w:fldCharType="separate"/>
    </w:r>
    <w:r w:rsidR="000E2F09">
      <w:t>10</w:t>
    </w:r>
    <w:r w:rsidR="005E35FE">
      <w:fldChar w:fldCharType="end"/>
    </w:r>
    <w:r w:rsidRPr="00BF6E82">
      <w:t>/</w:t>
    </w:r>
    <w:r w:rsidR="005F2787">
      <w:fldChar w:fldCharType="begin"/>
    </w:r>
    <w:r w:rsidR="005F2787">
      <w:instrText xml:space="preserve"> NUMPAGES  \* Arabic  \* MERGEFORMAT </w:instrText>
    </w:r>
    <w:r w:rsidR="005F2787">
      <w:fldChar w:fldCharType="separate"/>
    </w:r>
    <w:r w:rsidR="000E2F09">
      <w:t>10</w:t>
    </w:r>
    <w:r w:rsidR="005F278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A995" w14:textId="77777777" w:rsidR="00F677E6" w:rsidRDefault="00F677E6" w:rsidP="00F677E6">
    <w:pPr>
      <w:pStyle w:val="Footer"/>
      <w:jc w:val="distribute"/>
      <w:rPr>
        <w:b/>
      </w:rPr>
    </w:pPr>
    <w:r>
      <w:drawing>
        <wp:inline distT="0" distB="0" distL="0" distR="0" wp14:anchorId="55188614" wp14:editId="28DC9C03">
          <wp:extent cx="5768975" cy="360045"/>
          <wp:effectExtent l="0" t="0" r="3175" b="1905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</w:t>
    </w:r>
  </w:p>
  <w:p w14:paraId="25402F7F" w14:textId="399E9D70" w:rsidR="001C7229" w:rsidRPr="00992A11" w:rsidRDefault="00D666EF" w:rsidP="00992A11">
    <w:pPr>
      <w:pStyle w:val="Footer"/>
    </w:pPr>
    <w:r>
      <w:rPr>
        <w:lang w:val="sk-SK" w:eastAsia="sk-SK"/>
      </w:rPr>
      <w:t>Strana</w:t>
    </w:r>
    <w:r w:rsidR="001C7229" w:rsidRPr="00992A11">
      <w:t xml:space="preserve"> </w:t>
    </w:r>
    <w:r w:rsidR="005E35FE">
      <w:fldChar w:fldCharType="begin"/>
    </w:r>
    <w:r w:rsidR="005E35FE">
      <w:instrText xml:space="preserve"> PAGE  \* Arabic  \* MERGEFORMAT </w:instrText>
    </w:r>
    <w:r w:rsidR="005E35FE">
      <w:fldChar w:fldCharType="separate"/>
    </w:r>
    <w:r w:rsidR="000E2F09">
      <w:t>1</w:t>
    </w:r>
    <w:r w:rsidR="005E35FE">
      <w:fldChar w:fldCharType="end"/>
    </w:r>
    <w:r w:rsidR="001C7229" w:rsidRPr="00992A11">
      <w:t>/</w:t>
    </w:r>
    <w:r w:rsidR="005F2787">
      <w:fldChar w:fldCharType="begin"/>
    </w:r>
    <w:r w:rsidR="005F2787">
      <w:instrText xml:space="preserve"> NUMPAGES  \* Arabic  \* MERGEFORMAT </w:instrText>
    </w:r>
    <w:r w:rsidR="005F2787">
      <w:fldChar w:fldCharType="separate"/>
    </w:r>
    <w:r w:rsidR="000E2F09">
      <w:t>3</w:t>
    </w:r>
    <w:r w:rsidR="005F278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F8B9" w14:textId="77777777" w:rsidR="001C7229" w:rsidRDefault="001C7229">
      <w:r>
        <w:separator/>
      </w:r>
    </w:p>
  </w:footnote>
  <w:footnote w:type="continuationSeparator" w:id="0">
    <w:p w14:paraId="42C3C972" w14:textId="77777777" w:rsidR="001C7229" w:rsidRDefault="001C7229">
      <w:r>
        <w:continuationSeparator/>
      </w:r>
    </w:p>
  </w:footnote>
  <w:footnote w:id="1">
    <w:p w14:paraId="1D59B525" w14:textId="77777777" w:rsidR="001C7229" w:rsidRPr="00AE4627" w:rsidRDefault="001C7229">
      <w:pPr>
        <w:pStyle w:val="FootnoteText"/>
        <w:rPr>
          <w:lang w:val="sk-SK"/>
        </w:rPr>
      </w:pPr>
      <w:r>
        <w:rPr>
          <w:rStyle w:val="FootnoteReference"/>
        </w:rPr>
        <w:t>*</w:t>
      </w:r>
      <w:r>
        <w:t xml:space="preserve"> </w:t>
      </w:r>
      <w:r w:rsidR="009E3AFB" w:rsidRPr="00A641F2">
        <w:rPr>
          <w:sz w:val="16"/>
          <w:szCs w:val="16"/>
          <w:lang w:val="sk-SK"/>
        </w:rPr>
        <w:t>Upravené o jednorazové výdavky a príjmy a náklady na reštrukturalizáciu.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10C6" w14:textId="77777777" w:rsidR="001C7229" w:rsidRDefault="001C7229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5554" w14:textId="4D60D82B" w:rsidR="001C7229" w:rsidRPr="00EB46D9" w:rsidRDefault="001C7229" w:rsidP="00EB46D9">
    <w:pPr>
      <w:pStyle w:val="Header"/>
    </w:pPr>
    <w:r w:rsidRPr="00EB46D9">
      <w:rPr>
        <w:noProof/>
        <w:lang w:val="sk-SK" w:eastAsia="sk-SK"/>
      </w:rPr>
      <w:drawing>
        <wp:anchor distT="0" distB="0" distL="114300" distR="114300" simplePos="0" relativeHeight="251658752" behindDoc="0" locked="1" layoutInCell="1" allowOverlap="1" wp14:anchorId="5EE9F605" wp14:editId="508FF40F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138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D92BFE9" wp14:editId="74A7331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CB353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AD58A5">
      <w:rPr>
        <w:noProof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  <w:docVar w:name="WfColors" w:val="1"/>
  </w:docVars>
  <w:rsids>
    <w:rsidRoot w:val="0033451C"/>
    <w:rsid w:val="00000839"/>
    <w:rsid w:val="00002AA4"/>
    <w:rsid w:val="00005267"/>
    <w:rsid w:val="00006346"/>
    <w:rsid w:val="000069EB"/>
    <w:rsid w:val="00006A45"/>
    <w:rsid w:val="00007ACA"/>
    <w:rsid w:val="0001002C"/>
    <w:rsid w:val="000109E6"/>
    <w:rsid w:val="00011DDA"/>
    <w:rsid w:val="00016137"/>
    <w:rsid w:val="000211FD"/>
    <w:rsid w:val="00021C67"/>
    <w:rsid w:val="0002540A"/>
    <w:rsid w:val="000301F0"/>
    <w:rsid w:val="00030202"/>
    <w:rsid w:val="00030557"/>
    <w:rsid w:val="00030701"/>
    <w:rsid w:val="00030F51"/>
    <w:rsid w:val="00032BC0"/>
    <w:rsid w:val="000343EB"/>
    <w:rsid w:val="00035A84"/>
    <w:rsid w:val="000372E0"/>
    <w:rsid w:val="00040CC9"/>
    <w:rsid w:val="00042545"/>
    <w:rsid w:val="000425ED"/>
    <w:rsid w:val="000510FC"/>
    <w:rsid w:val="00051E86"/>
    <w:rsid w:val="00054AFE"/>
    <w:rsid w:val="00055487"/>
    <w:rsid w:val="000555E6"/>
    <w:rsid w:val="000575F9"/>
    <w:rsid w:val="000618FC"/>
    <w:rsid w:val="00062B50"/>
    <w:rsid w:val="000665F3"/>
    <w:rsid w:val="00067071"/>
    <w:rsid w:val="00067F67"/>
    <w:rsid w:val="00070757"/>
    <w:rsid w:val="00072591"/>
    <w:rsid w:val="000751A7"/>
    <w:rsid w:val="000760C4"/>
    <w:rsid w:val="00077AF9"/>
    <w:rsid w:val="00080D10"/>
    <w:rsid w:val="00081241"/>
    <w:rsid w:val="00081EF8"/>
    <w:rsid w:val="0008357F"/>
    <w:rsid w:val="0008406B"/>
    <w:rsid w:val="00096AD4"/>
    <w:rsid w:val="000A7E38"/>
    <w:rsid w:val="000B005C"/>
    <w:rsid w:val="000B2E86"/>
    <w:rsid w:val="000B52BE"/>
    <w:rsid w:val="000B5D2F"/>
    <w:rsid w:val="000B6244"/>
    <w:rsid w:val="000B695A"/>
    <w:rsid w:val="000B72A8"/>
    <w:rsid w:val="000C210A"/>
    <w:rsid w:val="000C27E5"/>
    <w:rsid w:val="000C56DD"/>
    <w:rsid w:val="000D10D2"/>
    <w:rsid w:val="000D1672"/>
    <w:rsid w:val="000D178A"/>
    <w:rsid w:val="000D4A49"/>
    <w:rsid w:val="000D6C67"/>
    <w:rsid w:val="000E1B84"/>
    <w:rsid w:val="000E2F09"/>
    <w:rsid w:val="000E2F62"/>
    <w:rsid w:val="000E38ED"/>
    <w:rsid w:val="000E7F24"/>
    <w:rsid w:val="000F03BE"/>
    <w:rsid w:val="000F1757"/>
    <w:rsid w:val="000F225B"/>
    <w:rsid w:val="000F2CB4"/>
    <w:rsid w:val="000F48E9"/>
    <w:rsid w:val="000F7FAF"/>
    <w:rsid w:val="0010465B"/>
    <w:rsid w:val="0010521E"/>
    <w:rsid w:val="00105975"/>
    <w:rsid w:val="0011116D"/>
    <w:rsid w:val="00111F4D"/>
    <w:rsid w:val="00112A28"/>
    <w:rsid w:val="00115230"/>
    <w:rsid w:val="00115B5F"/>
    <w:rsid w:val="001162B4"/>
    <w:rsid w:val="001163B8"/>
    <w:rsid w:val="00122CBC"/>
    <w:rsid w:val="00124D01"/>
    <w:rsid w:val="00126C65"/>
    <w:rsid w:val="00126D4A"/>
    <w:rsid w:val="001318EB"/>
    <w:rsid w:val="00132DA9"/>
    <w:rsid w:val="0013305B"/>
    <w:rsid w:val="00133448"/>
    <w:rsid w:val="00133B99"/>
    <w:rsid w:val="0013569C"/>
    <w:rsid w:val="0014352D"/>
    <w:rsid w:val="001443BD"/>
    <w:rsid w:val="00144A87"/>
    <w:rsid w:val="00146193"/>
    <w:rsid w:val="001577E9"/>
    <w:rsid w:val="00157B7A"/>
    <w:rsid w:val="0016044D"/>
    <w:rsid w:val="0016138C"/>
    <w:rsid w:val="00162D60"/>
    <w:rsid w:val="001640D5"/>
    <w:rsid w:val="001659FB"/>
    <w:rsid w:val="001677AE"/>
    <w:rsid w:val="001716FD"/>
    <w:rsid w:val="00172C99"/>
    <w:rsid w:val="001731CE"/>
    <w:rsid w:val="00175A27"/>
    <w:rsid w:val="00175C72"/>
    <w:rsid w:val="00176CE9"/>
    <w:rsid w:val="00181B06"/>
    <w:rsid w:val="0019635E"/>
    <w:rsid w:val="00197E9B"/>
    <w:rsid w:val="001A1DBC"/>
    <w:rsid w:val="001A3D77"/>
    <w:rsid w:val="001B1523"/>
    <w:rsid w:val="001B771D"/>
    <w:rsid w:val="001B7C20"/>
    <w:rsid w:val="001C0B32"/>
    <w:rsid w:val="001C2D66"/>
    <w:rsid w:val="001C36F7"/>
    <w:rsid w:val="001C4BE1"/>
    <w:rsid w:val="001C5E85"/>
    <w:rsid w:val="001C7229"/>
    <w:rsid w:val="001D3648"/>
    <w:rsid w:val="001D7ADF"/>
    <w:rsid w:val="001E0F71"/>
    <w:rsid w:val="001E2739"/>
    <w:rsid w:val="001E2B9B"/>
    <w:rsid w:val="001E3D73"/>
    <w:rsid w:val="001E4CCB"/>
    <w:rsid w:val="001E6D05"/>
    <w:rsid w:val="001E73E8"/>
    <w:rsid w:val="001E7C28"/>
    <w:rsid w:val="001F0257"/>
    <w:rsid w:val="001F1BDF"/>
    <w:rsid w:val="001F35F8"/>
    <w:rsid w:val="001F4DD6"/>
    <w:rsid w:val="001F52E0"/>
    <w:rsid w:val="001F590C"/>
    <w:rsid w:val="001F7110"/>
    <w:rsid w:val="001F7E96"/>
    <w:rsid w:val="002005F5"/>
    <w:rsid w:val="00202284"/>
    <w:rsid w:val="00203AF4"/>
    <w:rsid w:val="0020528D"/>
    <w:rsid w:val="0020543B"/>
    <w:rsid w:val="00205A66"/>
    <w:rsid w:val="002063CF"/>
    <w:rsid w:val="002064F0"/>
    <w:rsid w:val="00206613"/>
    <w:rsid w:val="002105AB"/>
    <w:rsid w:val="0021158F"/>
    <w:rsid w:val="00212488"/>
    <w:rsid w:val="002129A6"/>
    <w:rsid w:val="00220628"/>
    <w:rsid w:val="002260C7"/>
    <w:rsid w:val="00226640"/>
    <w:rsid w:val="002304D2"/>
    <w:rsid w:val="00233D04"/>
    <w:rsid w:val="00234ABD"/>
    <w:rsid w:val="00236491"/>
    <w:rsid w:val="00236C3B"/>
    <w:rsid w:val="00236E2A"/>
    <w:rsid w:val="00237F62"/>
    <w:rsid w:val="002436BC"/>
    <w:rsid w:val="00245660"/>
    <w:rsid w:val="0024586A"/>
    <w:rsid w:val="002502E1"/>
    <w:rsid w:val="002518A2"/>
    <w:rsid w:val="002528B3"/>
    <w:rsid w:val="00254985"/>
    <w:rsid w:val="00255E7E"/>
    <w:rsid w:val="00256174"/>
    <w:rsid w:val="00256F0C"/>
    <w:rsid w:val="0026241D"/>
    <w:rsid w:val="00262C05"/>
    <w:rsid w:val="002715AF"/>
    <w:rsid w:val="00271AC3"/>
    <w:rsid w:val="00272999"/>
    <w:rsid w:val="00281D14"/>
    <w:rsid w:val="00281D6A"/>
    <w:rsid w:val="00282C13"/>
    <w:rsid w:val="00282DC1"/>
    <w:rsid w:val="002833D8"/>
    <w:rsid w:val="00283803"/>
    <w:rsid w:val="0028554D"/>
    <w:rsid w:val="00286BF6"/>
    <w:rsid w:val="002A0DF7"/>
    <w:rsid w:val="002A2975"/>
    <w:rsid w:val="002A460D"/>
    <w:rsid w:val="002A5EE9"/>
    <w:rsid w:val="002A60E0"/>
    <w:rsid w:val="002B687A"/>
    <w:rsid w:val="002C1344"/>
    <w:rsid w:val="002C252E"/>
    <w:rsid w:val="002C6773"/>
    <w:rsid w:val="002D269A"/>
    <w:rsid w:val="002D292F"/>
    <w:rsid w:val="002D2A3D"/>
    <w:rsid w:val="002D5D1D"/>
    <w:rsid w:val="002D63B8"/>
    <w:rsid w:val="002D6EFD"/>
    <w:rsid w:val="002D74CF"/>
    <w:rsid w:val="002E00FA"/>
    <w:rsid w:val="002E0B17"/>
    <w:rsid w:val="002E26B4"/>
    <w:rsid w:val="002E4FFB"/>
    <w:rsid w:val="002E7DED"/>
    <w:rsid w:val="002F2B25"/>
    <w:rsid w:val="002F31DA"/>
    <w:rsid w:val="002F7E11"/>
    <w:rsid w:val="00302CF9"/>
    <w:rsid w:val="00304087"/>
    <w:rsid w:val="00304A8B"/>
    <w:rsid w:val="003057B1"/>
    <w:rsid w:val="003062AD"/>
    <w:rsid w:val="00310ACD"/>
    <w:rsid w:val="003116CE"/>
    <w:rsid w:val="0031379F"/>
    <w:rsid w:val="003148CB"/>
    <w:rsid w:val="00315F54"/>
    <w:rsid w:val="0031621E"/>
    <w:rsid w:val="00316A16"/>
    <w:rsid w:val="00316F7A"/>
    <w:rsid w:val="00320A26"/>
    <w:rsid w:val="00321344"/>
    <w:rsid w:val="00325064"/>
    <w:rsid w:val="00325EC9"/>
    <w:rsid w:val="0033451C"/>
    <w:rsid w:val="00335EDB"/>
    <w:rsid w:val="00336854"/>
    <w:rsid w:val="00336888"/>
    <w:rsid w:val="0033769B"/>
    <w:rsid w:val="0034015C"/>
    <w:rsid w:val="003435F9"/>
    <w:rsid w:val="003442F4"/>
    <w:rsid w:val="00350CB4"/>
    <w:rsid w:val="00353705"/>
    <w:rsid w:val="003562E8"/>
    <w:rsid w:val="0036337F"/>
    <w:rsid w:val="0036357D"/>
    <w:rsid w:val="003649BC"/>
    <w:rsid w:val="00364F7E"/>
    <w:rsid w:val="00365E44"/>
    <w:rsid w:val="003662B1"/>
    <w:rsid w:val="00367AA1"/>
    <w:rsid w:val="00370A5B"/>
    <w:rsid w:val="00371470"/>
    <w:rsid w:val="0037148A"/>
    <w:rsid w:val="00372E36"/>
    <w:rsid w:val="00373BC9"/>
    <w:rsid w:val="00375F7D"/>
    <w:rsid w:val="00376EE9"/>
    <w:rsid w:val="00376FFC"/>
    <w:rsid w:val="00377856"/>
    <w:rsid w:val="00377CBB"/>
    <w:rsid w:val="00382051"/>
    <w:rsid w:val="00384F62"/>
    <w:rsid w:val="0038504F"/>
    <w:rsid w:val="00385438"/>
    <w:rsid w:val="003858E5"/>
    <w:rsid w:val="00387363"/>
    <w:rsid w:val="003877B6"/>
    <w:rsid w:val="00391539"/>
    <w:rsid w:val="00391A5F"/>
    <w:rsid w:val="00392F69"/>
    <w:rsid w:val="00393887"/>
    <w:rsid w:val="00394C6B"/>
    <w:rsid w:val="003A37C1"/>
    <w:rsid w:val="003A4E2E"/>
    <w:rsid w:val="003A4E62"/>
    <w:rsid w:val="003A5A6A"/>
    <w:rsid w:val="003A5E03"/>
    <w:rsid w:val="003A69DC"/>
    <w:rsid w:val="003B1069"/>
    <w:rsid w:val="003B38CC"/>
    <w:rsid w:val="003B390A"/>
    <w:rsid w:val="003B4E3A"/>
    <w:rsid w:val="003C15DE"/>
    <w:rsid w:val="003C2889"/>
    <w:rsid w:val="003C4EB2"/>
    <w:rsid w:val="003C6BE1"/>
    <w:rsid w:val="003D3968"/>
    <w:rsid w:val="003D42AF"/>
    <w:rsid w:val="003E031D"/>
    <w:rsid w:val="003E6512"/>
    <w:rsid w:val="003F1AF3"/>
    <w:rsid w:val="003F4D8D"/>
    <w:rsid w:val="00401508"/>
    <w:rsid w:val="00401688"/>
    <w:rsid w:val="00401D5C"/>
    <w:rsid w:val="0040386D"/>
    <w:rsid w:val="004137C0"/>
    <w:rsid w:val="004138F3"/>
    <w:rsid w:val="004174D6"/>
    <w:rsid w:val="00421F20"/>
    <w:rsid w:val="00421FB8"/>
    <w:rsid w:val="004228FF"/>
    <w:rsid w:val="004313E7"/>
    <w:rsid w:val="00431B4B"/>
    <w:rsid w:val="004339B2"/>
    <w:rsid w:val="00435E2B"/>
    <w:rsid w:val="004408BA"/>
    <w:rsid w:val="00444A70"/>
    <w:rsid w:val="0044763B"/>
    <w:rsid w:val="00447D21"/>
    <w:rsid w:val="00452696"/>
    <w:rsid w:val="0045600B"/>
    <w:rsid w:val="00456A53"/>
    <w:rsid w:val="0046266D"/>
    <w:rsid w:val="004629B3"/>
    <w:rsid w:val="0046376E"/>
    <w:rsid w:val="0046690F"/>
    <w:rsid w:val="00466BD0"/>
    <w:rsid w:val="00472FEC"/>
    <w:rsid w:val="00480B25"/>
    <w:rsid w:val="00483451"/>
    <w:rsid w:val="00483E4A"/>
    <w:rsid w:val="004858E1"/>
    <w:rsid w:val="004864A1"/>
    <w:rsid w:val="00490A03"/>
    <w:rsid w:val="00492B0A"/>
    <w:rsid w:val="0049330D"/>
    <w:rsid w:val="00493327"/>
    <w:rsid w:val="0049382E"/>
    <w:rsid w:val="00494DBE"/>
    <w:rsid w:val="00495CE6"/>
    <w:rsid w:val="004A144D"/>
    <w:rsid w:val="004A1D27"/>
    <w:rsid w:val="004A323C"/>
    <w:rsid w:val="004B0801"/>
    <w:rsid w:val="004B1117"/>
    <w:rsid w:val="004B130A"/>
    <w:rsid w:val="004B1A6B"/>
    <w:rsid w:val="004B54E8"/>
    <w:rsid w:val="004C0138"/>
    <w:rsid w:val="004C12E8"/>
    <w:rsid w:val="004C1578"/>
    <w:rsid w:val="004C3271"/>
    <w:rsid w:val="004C33BA"/>
    <w:rsid w:val="004C4FEB"/>
    <w:rsid w:val="004C5DA8"/>
    <w:rsid w:val="004C67B8"/>
    <w:rsid w:val="004C6B79"/>
    <w:rsid w:val="004C72D2"/>
    <w:rsid w:val="004C7345"/>
    <w:rsid w:val="004D059B"/>
    <w:rsid w:val="004D0E64"/>
    <w:rsid w:val="004D48A8"/>
    <w:rsid w:val="004D4CB6"/>
    <w:rsid w:val="004D4DCB"/>
    <w:rsid w:val="004D58F8"/>
    <w:rsid w:val="004E0907"/>
    <w:rsid w:val="004E2D1C"/>
    <w:rsid w:val="004E3341"/>
    <w:rsid w:val="004E4140"/>
    <w:rsid w:val="004F10C1"/>
    <w:rsid w:val="004F5AD9"/>
    <w:rsid w:val="00501D1C"/>
    <w:rsid w:val="00502E62"/>
    <w:rsid w:val="0050361E"/>
    <w:rsid w:val="00505F85"/>
    <w:rsid w:val="00506B8A"/>
    <w:rsid w:val="00515D7A"/>
    <w:rsid w:val="0052212B"/>
    <w:rsid w:val="005230C7"/>
    <w:rsid w:val="005266EA"/>
    <w:rsid w:val="005314A3"/>
    <w:rsid w:val="00534841"/>
    <w:rsid w:val="00534B46"/>
    <w:rsid w:val="00540358"/>
    <w:rsid w:val="00540D47"/>
    <w:rsid w:val="00542578"/>
    <w:rsid w:val="005428D7"/>
    <w:rsid w:val="00542D43"/>
    <w:rsid w:val="0054525D"/>
    <w:rsid w:val="005463C3"/>
    <w:rsid w:val="00550864"/>
    <w:rsid w:val="00551D6C"/>
    <w:rsid w:val="0055571E"/>
    <w:rsid w:val="005567E2"/>
    <w:rsid w:val="00556F67"/>
    <w:rsid w:val="00565031"/>
    <w:rsid w:val="005652E8"/>
    <w:rsid w:val="00565F71"/>
    <w:rsid w:val="005736C2"/>
    <w:rsid w:val="00575BB6"/>
    <w:rsid w:val="0057667C"/>
    <w:rsid w:val="00576BDA"/>
    <w:rsid w:val="005826DA"/>
    <w:rsid w:val="005833F0"/>
    <w:rsid w:val="00586280"/>
    <w:rsid w:val="005869CE"/>
    <w:rsid w:val="00586CAF"/>
    <w:rsid w:val="005873E9"/>
    <w:rsid w:val="0059098B"/>
    <w:rsid w:val="00591180"/>
    <w:rsid w:val="00591B6F"/>
    <w:rsid w:val="0059722C"/>
    <w:rsid w:val="00597D07"/>
    <w:rsid w:val="005A16E6"/>
    <w:rsid w:val="005A1C43"/>
    <w:rsid w:val="005A30D7"/>
    <w:rsid w:val="005A3846"/>
    <w:rsid w:val="005A63CE"/>
    <w:rsid w:val="005A7E97"/>
    <w:rsid w:val="005B1CF8"/>
    <w:rsid w:val="005B2CD2"/>
    <w:rsid w:val="005B6A58"/>
    <w:rsid w:val="005C2E4C"/>
    <w:rsid w:val="005C4750"/>
    <w:rsid w:val="005C4A5B"/>
    <w:rsid w:val="005C58DB"/>
    <w:rsid w:val="005C7112"/>
    <w:rsid w:val="005D0561"/>
    <w:rsid w:val="005D0AD9"/>
    <w:rsid w:val="005D0F4D"/>
    <w:rsid w:val="005D1A67"/>
    <w:rsid w:val="005D22F6"/>
    <w:rsid w:val="005D68AA"/>
    <w:rsid w:val="005E0C30"/>
    <w:rsid w:val="005E35FE"/>
    <w:rsid w:val="005E3FBB"/>
    <w:rsid w:val="005E69D9"/>
    <w:rsid w:val="005F2787"/>
    <w:rsid w:val="005F27F4"/>
    <w:rsid w:val="005F3239"/>
    <w:rsid w:val="005F5835"/>
    <w:rsid w:val="005F63E1"/>
    <w:rsid w:val="005F6567"/>
    <w:rsid w:val="005F7A8A"/>
    <w:rsid w:val="00600ACF"/>
    <w:rsid w:val="006034EA"/>
    <w:rsid w:val="00607094"/>
    <w:rsid w:val="00607256"/>
    <w:rsid w:val="0060790C"/>
    <w:rsid w:val="006144B1"/>
    <w:rsid w:val="006177FF"/>
    <w:rsid w:val="00620AF8"/>
    <w:rsid w:val="00622A08"/>
    <w:rsid w:val="00625859"/>
    <w:rsid w:val="00626DF0"/>
    <w:rsid w:val="006335F1"/>
    <w:rsid w:val="006345B6"/>
    <w:rsid w:val="00635616"/>
    <w:rsid w:val="00635712"/>
    <w:rsid w:val="006368FF"/>
    <w:rsid w:val="0064107F"/>
    <w:rsid w:val="00643D8A"/>
    <w:rsid w:val="0064494D"/>
    <w:rsid w:val="00645A5C"/>
    <w:rsid w:val="00646C84"/>
    <w:rsid w:val="00652229"/>
    <w:rsid w:val="00652793"/>
    <w:rsid w:val="0066187E"/>
    <w:rsid w:val="006626CA"/>
    <w:rsid w:val="00663487"/>
    <w:rsid w:val="006703AB"/>
    <w:rsid w:val="00672382"/>
    <w:rsid w:val="00676D4C"/>
    <w:rsid w:val="00681257"/>
    <w:rsid w:val="00682643"/>
    <w:rsid w:val="00682EB9"/>
    <w:rsid w:val="0068441A"/>
    <w:rsid w:val="00687CED"/>
    <w:rsid w:val="00690B19"/>
    <w:rsid w:val="006A0A3C"/>
    <w:rsid w:val="006A56FC"/>
    <w:rsid w:val="006A59E9"/>
    <w:rsid w:val="006A79F0"/>
    <w:rsid w:val="006B4235"/>
    <w:rsid w:val="006B47EE"/>
    <w:rsid w:val="006B499F"/>
    <w:rsid w:val="006B592A"/>
    <w:rsid w:val="006C33BE"/>
    <w:rsid w:val="006C5B53"/>
    <w:rsid w:val="006C7E78"/>
    <w:rsid w:val="006D098F"/>
    <w:rsid w:val="006D20E3"/>
    <w:rsid w:val="006D4996"/>
    <w:rsid w:val="006D535B"/>
    <w:rsid w:val="006D54AB"/>
    <w:rsid w:val="006E1FA9"/>
    <w:rsid w:val="006E3006"/>
    <w:rsid w:val="006E5032"/>
    <w:rsid w:val="006E5721"/>
    <w:rsid w:val="006E5BDA"/>
    <w:rsid w:val="006F0FC7"/>
    <w:rsid w:val="006F35BB"/>
    <w:rsid w:val="006F39A9"/>
    <w:rsid w:val="006F4119"/>
    <w:rsid w:val="006F643F"/>
    <w:rsid w:val="006F670F"/>
    <w:rsid w:val="006F77F3"/>
    <w:rsid w:val="007026FE"/>
    <w:rsid w:val="00702921"/>
    <w:rsid w:val="00703272"/>
    <w:rsid w:val="0070733C"/>
    <w:rsid w:val="0071028A"/>
    <w:rsid w:val="00710C5D"/>
    <w:rsid w:val="0071348C"/>
    <w:rsid w:val="00717273"/>
    <w:rsid w:val="00720E78"/>
    <w:rsid w:val="00720FD4"/>
    <w:rsid w:val="00724AF2"/>
    <w:rsid w:val="0073096C"/>
    <w:rsid w:val="0073100D"/>
    <w:rsid w:val="00733429"/>
    <w:rsid w:val="00733A46"/>
    <w:rsid w:val="00735A8E"/>
    <w:rsid w:val="00735E2D"/>
    <w:rsid w:val="007419C8"/>
    <w:rsid w:val="00742398"/>
    <w:rsid w:val="007432A9"/>
    <w:rsid w:val="007507B5"/>
    <w:rsid w:val="0075091D"/>
    <w:rsid w:val="00753A24"/>
    <w:rsid w:val="0075430D"/>
    <w:rsid w:val="0076158E"/>
    <w:rsid w:val="00770177"/>
    <w:rsid w:val="00772188"/>
    <w:rsid w:val="0077222A"/>
    <w:rsid w:val="0078083F"/>
    <w:rsid w:val="007813D0"/>
    <w:rsid w:val="007845AC"/>
    <w:rsid w:val="00785993"/>
    <w:rsid w:val="007866E2"/>
    <w:rsid w:val="00786BA3"/>
    <w:rsid w:val="00791742"/>
    <w:rsid w:val="0079202F"/>
    <w:rsid w:val="007934C3"/>
    <w:rsid w:val="0079372E"/>
    <w:rsid w:val="00793785"/>
    <w:rsid w:val="00794903"/>
    <w:rsid w:val="00795AF2"/>
    <w:rsid w:val="00795E4F"/>
    <w:rsid w:val="007A0090"/>
    <w:rsid w:val="007A09FC"/>
    <w:rsid w:val="007A2AAD"/>
    <w:rsid w:val="007A4432"/>
    <w:rsid w:val="007A4D0C"/>
    <w:rsid w:val="007A784E"/>
    <w:rsid w:val="007A7E31"/>
    <w:rsid w:val="007B2DAD"/>
    <w:rsid w:val="007B4939"/>
    <w:rsid w:val="007B499C"/>
    <w:rsid w:val="007B4D4B"/>
    <w:rsid w:val="007B58C6"/>
    <w:rsid w:val="007B6EAA"/>
    <w:rsid w:val="007C0646"/>
    <w:rsid w:val="007C13D5"/>
    <w:rsid w:val="007C1E9D"/>
    <w:rsid w:val="007C3AE3"/>
    <w:rsid w:val="007D0000"/>
    <w:rsid w:val="007D13D7"/>
    <w:rsid w:val="007D2A02"/>
    <w:rsid w:val="007D62A4"/>
    <w:rsid w:val="007E0748"/>
    <w:rsid w:val="007E1736"/>
    <w:rsid w:val="007E2887"/>
    <w:rsid w:val="007E6A0F"/>
    <w:rsid w:val="007E6EA1"/>
    <w:rsid w:val="007E7F63"/>
    <w:rsid w:val="007F0F63"/>
    <w:rsid w:val="007F1EE1"/>
    <w:rsid w:val="007F2B1E"/>
    <w:rsid w:val="007F4562"/>
    <w:rsid w:val="007F4590"/>
    <w:rsid w:val="007F5674"/>
    <w:rsid w:val="007F62B4"/>
    <w:rsid w:val="007F7DF9"/>
    <w:rsid w:val="0080006E"/>
    <w:rsid w:val="00801517"/>
    <w:rsid w:val="00801649"/>
    <w:rsid w:val="0081074E"/>
    <w:rsid w:val="00813492"/>
    <w:rsid w:val="00817895"/>
    <w:rsid w:val="00817AE8"/>
    <w:rsid w:val="00817DE8"/>
    <w:rsid w:val="008229F5"/>
    <w:rsid w:val="00822B21"/>
    <w:rsid w:val="00822D2D"/>
    <w:rsid w:val="0082699A"/>
    <w:rsid w:val="00827F2A"/>
    <w:rsid w:val="00832633"/>
    <w:rsid w:val="00833CEB"/>
    <w:rsid w:val="008372D2"/>
    <w:rsid w:val="008377BC"/>
    <w:rsid w:val="0084175E"/>
    <w:rsid w:val="00844C17"/>
    <w:rsid w:val="00846017"/>
    <w:rsid w:val="00847726"/>
    <w:rsid w:val="00851CB1"/>
    <w:rsid w:val="00852511"/>
    <w:rsid w:val="00855D87"/>
    <w:rsid w:val="00857408"/>
    <w:rsid w:val="008578A9"/>
    <w:rsid w:val="0086072A"/>
    <w:rsid w:val="0086088F"/>
    <w:rsid w:val="008614F1"/>
    <w:rsid w:val="00861AA4"/>
    <w:rsid w:val="00861DEE"/>
    <w:rsid w:val="008639B3"/>
    <w:rsid w:val="00863C1A"/>
    <w:rsid w:val="0086470F"/>
    <w:rsid w:val="00865882"/>
    <w:rsid w:val="00866CDD"/>
    <w:rsid w:val="008712FE"/>
    <w:rsid w:val="0087142D"/>
    <w:rsid w:val="00872928"/>
    <w:rsid w:val="00873416"/>
    <w:rsid w:val="00873956"/>
    <w:rsid w:val="00875594"/>
    <w:rsid w:val="00877800"/>
    <w:rsid w:val="00880E72"/>
    <w:rsid w:val="008825EE"/>
    <w:rsid w:val="0088596E"/>
    <w:rsid w:val="00886C54"/>
    <w:rsid w:val="008870ED"/>
    <w:rsid w:val="008877FC"/>
    <w:rsid w:val="00887A4B"/>
    <w:rsid w:val="008974F8"/>
    <w:rsid w:val="0089796A"/>
    <w:rsid w:val="008A2375"/>
    <w:rsid w:val="008A54B6"/>
    <w:rsid w:val="008C1B59"/>
    <w:rsid w:val="008C6041"/>
    <w:rsid w:val="008C6821"/>
    <w:rsid w:val="008C74E3"/>
    <w:rsid w:val="008C7671"/>
    <w:rsid w:val="008D2339"/>
    <w:rsid w:val="008D4AFA"/>
    <w:rsid w:val="008D76C5"/>
    <w:rsid w:val="008E0A04"/>
    <w:rsid w:val="008E0AFA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6292"/>
    <w:rsid w:val="00906C89"/>
    <w:rsid w:val="0090795A"/>
    <w:rsid w:val="00914011"/>
    <w:rsid w:val="00914B5B"/>
    <w:rsid w:val="00917162"/>
    <w:rsid w:val="009172B9"/>
    <w:rsid w:val="009178AA"/>
    <w:rsid w:val="009214F9"/>
    <w:rsid w:val="009251CC"/>
    <w:rsid w:val="0092714E"/>
    <w:rsid w:val="009324F0"/>
    <w:rsid w:val="00942002"/>
    <w:rsid w:val="00942359"/>
    <w:rsid w:val="009435FB"/>
    <w:rsid w:val="00947885"/>
    <w:rsid w:val="009504AB"/>
    <w:rsid w:val="00951212"/>
    <w:rsid w:val="00952168"/>
    <w:rsid w:val="009527FE"/>
    <w:rsid w:val="009529B2"/>
    <w:rsid w:val="009535A6"/>
    <w:rsid w:val="00960539"/>
    <w:rsid w:val="009616A8"/>
    <w:rsid w:val="0096509E"/>
    <w:rsid w:val="00971FD4"/>
    <w:rsid w:val="00973835"/>
    <w:rsid w:val="009739A0"/>
    <w:rsid w:val="00974EE4"/>
    <w:rsid w:val="00974F84"/>
    <w:rsid w:val="00976216"/>
    <w:rsid w:val="009767C7"/>
    <w:rsid w:val="0098579A"/>
    <w:rsid w:val="00991475"/>
    <w:rsid w:val="009918DD"/>
    <w:rsid w:val="0099195A"/>
    <w:rsid w:val="00992A11"/>
    <w:rsid w:val="00994681"/>
    <w:rsid w:val="0099486A"/>
    <w:rsid w:val="009A0E26"/>
    <w:rsid w:val="009A16EC"/>
    <w:rsid w:val="009A22C2"/>
    <w:rsid w:val="009B29B7"/>
    <w:rsid w:val="009B2C6F"/>
    <w:rsid w:val="009B3199"/>
    <w:rsid w:val="009B3B37"/>
    <w:rsid w:val="009B7D1F"/>
    <w:rsid w:val="009C088E"/>
    <w:rsid w:val="009C4D35"/>
    <w:rsid w:val="009C52FC"/>
    <w:rsid w:val="009D1522"/>
    <w:rsid w:val="009D1BD6"/>
    <w:rsid w:val="009D7252"/>
    <w:rsid w:val="009E2FA0"/>
    <w:rsid w:val="009E3AFB"/>
    <w:rsid w:val="009E43AA"/>
    <w:rsid w:val="009E5EB4"/>
    <w:rsid w:val="009F00FC"/>
    <w:rsid w:val="009F563C"/>
    <w:rsid w:val="009F610E"/>
    <w:rsid w:val="00A00F7E"/>
    <w:rsid w:val="00A01A5D"/>
    <w:rsid w:val="00A044D6"/>
    <w:rsid w:val="00A04ADB"/>
    <w:rsid w:val="00A04F89"/>
    <w:rsid w:val="00A05F11"/>
    <w:rsid w:val="00A11E0F"/>
    <w:rsid w:val="00A11FA6"/>
    <w:rsid w:val="00A141E9"/>
    <w:rsid w:val="00A15D78"/>
    <w:rsid w:val="00A216E5"/>
    <w:rsid w:val="00A26744"/>
    <w:rsid w:val="00A26CB6"/>
    <w:rsid w:val="00A32F82"/>
    <w:rsid w:val="00A32F8B"/>
    <w:rsid w:val="00A34D6C"/>
    <w:rsid w:val="00A3756F"/>
    <w:rsid w:val="00A42D6F"/>
    <w:rsid w:val="00A4474B"/>
    <w:rsid w:val="00A45A62"/>
    <w:rsid w:val="00A54AC5"/>
    <w:rsid w:val="00A5555B"/>
    <w:rsid w:val="00A55DC3"/>
    <w:rsid w:val="00A56D41"/>
    <w:rsid w:val="00A56DEC"/>
    <w:rsid w:val="00A60529"/>
    <w:rsid w:val="00A61353"/>
    <w:rsid w:val="00A61481"/>
    <w:rsid w:val="00A629D6"/>
    <w:rsid w:val="00A637C9"/>
    <w:rsid w:val="00A641F2"/>
    <w:rsid w:val="00A66DB1"/>
    <w:rsid w:val="00A67A92"/>
    <w:rsid w:val="00A70DC6"/>
    <w:rsid w:val="00A842D5"/>
    <w:rsid w:val="00A87870"/>
    <w:rsid w:val="00A91A70"/>
    <w:rsid w:val="00A92BF9"/>
    <w:rsid w:val="00A957F6"/>
    <w:rsid w:val="00A97316"/>
    <w:rsid w:val="00AA0D54"/>
    <w:rsid w:val="00AA1B85"/>
    <w:rsid w:val="00AA3290"/>
    <w:rsid w:val="00AB1CB6"/>
    <w:rsid w:val="00AB1D9A"/>
    <w:rsid w:val="00AB542C"/>
    <w:rsid w:val="00AC3540"/>
    <w:rsid w:val="00AC35B4"/>
    <w:rsid w:val="00AD0C22"/>
    <w:rsid w:val="00AD442C"/>
    <w:rsid w:val="00AD44FE"/>
    <w:rsid w:val="00AD5077"/>
    <w:rsid w:val="00AD58A5"/>
    <w:rsid w:val="00AD5A37"/>
    <w:rsid w:val="00AE05A4"/>
    <w:rsid w:val="00AE25FC"/>
    <w:rsid w:val="00AE400C"/>
    <w:rsid w:val="00AE44DA"/>
    <w:rsid w:val="00AE4627"/>
    <w:rsid w:val="00AE48EF"/>
    <w:rsid w:val="00AE49F1"/>
    <w:rsid w:val="00AE4A1C"/>
    <w:rsid w:val="00AE4B7A"/>
    <w:rsid w:val="00AE5532"/>
    <w:rsid w:val="00B05CCA"/>
    <w:rsid w:val="00B10427"/>
    <w:rsid w:val="00B12D6D"/>
    <w:rsid w:val="00B14271"/>
    <w:rsid w:val="00B15A1F"/>
    <w:rsid w:val="00B16270"/>
    <w:rsid w:val="00B23C16"/>
    <w:rsid w:val="00B23C52"/>
    <w:rsid w:val="00B259E1"/>
    <w:rsid w:val="00B2685D"/>
    <w:rsid w:val="00B30351"/>
    <w:rsid w:val="00B33C2A"/>
    <w:rsid w:val="00B35967"/>
    <w:rsid w:val="00B4092D"/>
    <w:rsid w:val="00B41706"/>
    <w:rsid w:val="00B422EC"/>
    <w:rsid w:val="00B44875"/>
    <w:rsid w:val="00B47F0A"/>
    <w:rsid w:val="00B50B6B"/>
    <w:rsid w:val="00B522C7"/>
    <w:rsid w:val="00B54181"/>
    <w:rsid w:val="00B54885"/>
    <w:rsid w:val="00B54D71"/>
    <w:rsid w:val="00B634AB"/>
    <w:rsid w:val="00B63624"/>
    <w:rsid w:val="00B640AF"/>
    <w:rsid w:val="00B70AA3"/>
    <w:rsid w:val="00B70BDC"/>
    <w:rsid w:val="00B726D4"/>
    <w:rsid w:val="00B76B72"/>
    <w:rsid w:val="00B8214F"/>
    <w:rsid w:val="00B82B43"/>
    <w:rsid w:val="00B82B48"/>
    <w:rsid w:val="00B85133"/>
    <w:rsid w:val="00B86A4F"/>
    <w:rsid w:val="00B93035"/>
    <w:rsid w:val="00B958E8"/>
    <w:rsid w:val="00B97E4A"/>
    <w:rsid w:val="00BA09B2"/>
    <w:rsid w:val="00BA0F35"/>
    <w:rsid w:val="00BA465D"/>
    <w:rsid w:val="00BA5B46"/>
    <w:rsid w:val="00BA69D8"/>
    <w:rsid w:val="00BB0327"/>
    <w:rsid w:val="00BB0739"/>
    <w:rsid w:val="00BB21EC"/>
    <w:rsid w:val="00BB2D73"/>
    <w:rsid w:val="00BB45BA"/>
    <w:rsid w:val="00BB4A3A"/>
    <w:rsid w:val="00BB5D0B"/>
    <w:rsid w:val="00BC0995"/>
    <w:rsid w:val="00BC179A"/>
    <w:rsid w:val="00BC6DE2"/>
    <w:rsid w:val="00BC6E62"/>
    <w:rsid w:val="00BD20E5"/>
    <w:rsid w:val="00BD3A53"/>
    <w:rsid w:val="00BD3AF5"/>
    <w:rsid w:val="00BD656A"/>
    <w:rsid w:val="00BE2D0A"/>
    <w:rsid w:val="00BE47D4"/>
    <w:rsid w:val="00BE793A"/>
    <w:rsid w:val="00BE7A0B"/>
    <w:rsid w:val="00BF2B82"/>
    <w:rsid w:val="00BF432A"/>
    <w:rsid w:val="00BF6E82"/>
    <w:rsid w:val="00C0163E"/>
    <w:rsid w:val="00C02E71"/>
    <w:rsid w:val="00C057E5"/>
    <w:rsid w:val="00C060C7"/>
    <w:rsid w:val="00C10EA4"/>
    <w:rsid w:val="00C132DD"/>
    <w:rsid w:val="00C21897"/>
    <w:rsid w:val="00C24C17"/>
    <w:rsid w:val="00C25662"/>
    <w:rsid w:val="00C31148"/>
    <w:rsid w:val="00C31FC7"/>
    <w:rsid w:val="00C34829"/>
    <w:rsid w:val="00C36AFD"/>
    <w:rsid w:val="00C3758F"/>
    <w:rsid w:val="00C40A4A"/>
    <w:rsid w:val="00C40B88"/>
    <w:rsid w:val="00C40FD1"/>
    <w:rsid w:val="00C44489"/>
    <w:rsid w:val="00C44FC2"/>
    <w:rsid w:val="00C47D87"/>
    <w:rsid w:val="00C5376E"/>
    <w:rsid w:val="00C55AEE"/>
    <w:rsid w:val="00C5701B"/>
    <w:rsid w:val="00C64D40"/>
    <w:rsid w:val="00C66218"/>
    <w:rsid w:val="00C677C9"/>
    <w:rsid w:val="00C70DBC"/>
    <w:rsid w:val="00C76ECD"/>
    <w:rsid w:val="00C808A6"/>
    <w:rsid w:val="00C855DB"/>
    <w:rsid w:val="00C855F3"/>
    <w:rsid w:val="00C85931"/>
    <w:rsid w:val="00C86270"/>
    <w:rsid w:val="00C97091"/>
    <w:rsid w:val="00C97260"/>
    <w:rsid w:val="00CA2001"/>
    <w:rsid w:val="00CA441E"/>
    <w:rsid w:val="00CA55FD"/>
    <w:rsid w:val="00CB0160"/>
    <w:rsid w:val="00CB2717"/>
    <w:rsid w:val="00CB3782"/>
    <w:rsid w:val="00CB3BF7"/>
    <w:rsid w:val="00CB5B6C"/>
    <w:rsid w:val="00CC052E"/>
    <w:rsid w:val="00CC328D"/>
    <w:rsid w:val="00CD16BE"/>
    <w:rsid w:val="00CD2268"/>
    <w:rsid w:val="00CD33A5"/>
    <w:rsid w:val="00CD4616"/>
    <w:rsid w:val="00CD56AF"/>
    <w:rsid w:val="00CD76D0"/>
    <w:rsid w:val="00CE33D5"/>
    <w:rsid w:val="00CE4712"/>
    <w:rsid w:val="00CF22D9"/>
    <w:rsid w:val="00CF44F7"/>
    <w:rsid w:val="00CF5D37"/>
    <w:rsid w:val="00CF6F33"/>
    <w:rsid w:val="00D00F4A"/>
    <w:rsid w:val="00D018C4"/>
    <w:rsid w:val="00D02248"/>
    <w:rsid w:val="00D04429"/>
    <w:rsid w:val="00D04E37"/>
    <w:rsid w:val="00D063B8"/>
    <w:rsid w:val="00D06825"/>
    <w:rsid w:val="00D07467"/>
    <w:rsid w:val="00D07A0C"/>
    <w:rsid w:val="00D12024"/>
    <w:rsid w:val="00D17E3B"/>
    <w:rsid w:val="00D2306F"/>
    <w:rsid w:val="00D23C09"/>
    <w:rsid w:val="00D23CED"/>
    <w:rsid w:val="00D241D1"/>
    <w:rsid w:val="00D24939"/>
    <w:rsid w:val="00D24BD2"/>
    <w:rsid w:val="00D2573D"/>
    <w:rsid w:val="00D260A2"/>
    <w:rsid w:val="00D308B8"/>
    <w:rsid w:val="00D30CC6"/>
    <w:rsid w:val="00D31722"/>
    <w:rsid w:val="00D3260C"/>
    <w:rsid w:val="00D33DB5"/>
    <w:rsid w:val="00D35790"/>
    <w:rsid w:val="00D42585"/>
    <w:rsid w:val="00D51350"/>
    <w:rsid w:val="00D519AF"/>
    <w:rsid w:val="00D52436"/>
    <w:rsid w:val="00D532A9"/>
    <w:rsid w:val="00D5437A"/>
    <w:rsid w:val="00D5611E"/>
    <w:rsid w:val="00D5653B"/>
    <w:rsid w:val="00D5726D"/>
    <w:rsid w:val="00D61D6E"/>
    <w:rsid w:val="00D62EF1"/>
    <w:rsid w:val="00D6309D"/>
    <w:rsid w:val="00D644CA"/>
    <w:rsid w:val="00D64EA0"/>
    <w:rsid w:val="00D666EF"/>
    <w:rsid w:val="00D66FC2"/>
    <w:rsid w:val="00D7044E"/>
    <w:rsid w:val="00D76C7E"/>
    <w:rsid w:val="00D771DE"/>
    <w:rsid w:val="00D7776D"/>
    <w:rsid w:val="00D778EE"/>
    <w:rsid w:val="00D834F1"/>
    <w:rsid w:val="00D83609"/>
    <w:rsid w:val="00D840BD"/>
    <w:rsid w:val="00D91B87"/>
    <w:rsid w:val="00D92179"/>
    <w:rsid w:val="00D922C6"/>
    <w:rsid w:val="00D9293F"/>
    <w:rsid w:val="00D92DE7"/>
    <w:rsid w:val="00D93598"/>
    <w:rsid w:val="00D93FDD"/>
    <w:rsid w:val="00D9670F"/>
    <w:rsid w:val="00DA1E18"/>
    <w:rsid w:val="00DA2009"/>
    <w:rsid w:val="00DA5852"/>
    <w:rsid w:val="00DA7769"/>
    <w:rsid w:val="00DB05B1"/>
    <w:rsid w:val="00DB2781"/>
    <w:rsid w:val="00DB2823"/>
    <w:rsid w:val="00DB2D74"/>
    <w:rsid w:val="00DB3786"/>
    <w:rsid w:val="00DB4782"/>
    <w:rsid w:val="00DB59E8"/>
    <w:rsid w:val="00DB5A79"/>
    <w:rsid w:val="00DC1F08"/>
    <w:rsid w:val="00DC2465"/>
    <w:rsid w:val="00DC7D48"/>
    <w:rsid w:val="00DD145A"/>
    <w:rsid w:val="00DD1764"/>
    <w:rsid w:val="00DD1A30"/>
    <w:rsid w:val="00DD512E"/>
    <w:rsid w:val="00DD58D5"/>
    <w:rsid w:val="00DD5EC8"/>
    <w:rsid w:val="00DD6E11"/>
    <w:rsid w:val="00DE1177"/>
    <w:rsid w:val="00DE2CEA"/>
    <w:rsid w:val="00DE6154"/>
    <w:rsid w:val="00DE6A3C"/>
    <w:rsid w:val="00DE74F4"/>
    <w:rsid w:val="00DE7F97"/>
    <w:rsid w:val="00DF0B77"/>
    <w:rsid w:val="00DF1010"/>
    <w:rsid w:val="00DF5AEA"/>
    <w:rsid w:val="00DF63F6"/>
    <w:rsid w:val="00DF7BD0"/>
    <w:rsid w:val="00E0219D"/>
    <w:rsid w:val="00E0374B"/>
    <w:rsid w:val="00E04784"/>
    <w:rsid w:val="00E10B28"/>
    <w:rsid w:val="00E117FD"/>
    <w:rsid w:val="00E13747"/>
    <w:rsid w:val="00E14758"/>
    <w:rsid w:val="00E21088"/>
    <w:rsid w:val="00E23E29"/>
    <w:rsid w:val="00E24632"/>
    <w:rsid w:val="00E25AEA"/>
    <w:rsid w:val="00E30D26"/>
    <w:rsid w:val="00E30DEF"/>
    <w:rsid w:val="00E30ED2"/>
    <w:rsid w:val="00E31276"/>
    <w:rsid w:val="00E32102"/>
    <w:rsid w:val="00E34666"/>
    <w:rsid w:val="00E36A66"/>
    <w:rsid w:val="00E37F70"/>
    <w:rsid w:val="00E41377"/>
    <w:rsid w:val="00E41985"/>
    <w:rsid w:val="00E446C1"/>
    <w:rsid w:val="00E446D4"/>
    <w:rsid w:val="00E46BCD"/>
    <w:rsid w:val="00E545D7"/>
    <w:rsid w:val="00E547FE"/>
    <w:rsid w:val="00E5669C"/>
    <w:rsid w:val="00E57DDC"/>
    <w:rsid w:val="00E60ECA"/>
    <w:rsid w:val="00E613AB"/>
    <w:rsid w:val="00E663B6"/>
    <w:rsid w:val="00E6780D"/>
    <w:rsid w:val="00E7181C"/>
    <w:rsid w:val="00E758B9"/>
    <w:rsid w:val="00E77EB9"/>
    <w:rsid w:val="00E81389"/>
    <w:rsid w:val="00E82191"/>
    <w:rsid w:val="00E84236"/>
    <w:rsid w:val="00E85569"/>
    <w:rsid w:val="00E856AF"/>
    <w:rsid w:val="00E86B83"/>
    <w:rsid w:val="00E86C57"/>
    <w:rsid w:val="00E87C64"/>
    <w:rsid w:val="00E93A01"/>
    <w:rsid w:val="00E93FF8"/>
    <w:rsid w:val="00E94EB6"/>
    <w:rsid w:val="00E95CA8"/>
    <w:rsid w:val="00E96643"/>
    <w:rsid w:val="00E96EAF"/>
    <w:rsid w:val="00EA1752"/>
    <w:rsid w:val="00EA539B"/>
    <w:rsid w:val="00EA5A89"/>
    <w:rsid w:val="00EA5BDB"/>
    <w:rsid w:val="00EA63E6"/>
    <w:rsid w:val="00EA63FA"/>
    <w:rsid w:val="00EA7F9A"/>
    <w:rsid w:val="00EB051C"/>
    <w:rsid w:val="00EB46D9"/>
    <w:rsid w:val="00EC0E64"/>
    <w:rsid w:val="00EC142D"/>
    <w:rsid w:val="00EC1E16"/>
    <w:rsid w:val="00EC22F4"/>
    <w:rsid w:val="00EC2DD1"/>
    <w:rsid w:val="00EC52DA"/>
    <w:rsid w:val="00ED0024"/>
    <w:rsid w:val="00ED0EA0"/>
    <w:rsid w:val="00ED0F85"/>
    <w:rsid w:val="00ED2B5C"/>
    <w:rsid w:val="00ED3269"/>
    <w:rsid w:val="00ED3A18"/>
    <w:rsid w:val="00ED7836"/>
    <w:rsid w:val="00EE1A8C"/>
    <w:rsid w:val="00EE4643"/>
    <w:rsid w:val="00EE529F"/>
    <w:rsid w:val="00EE7F1A"/>
    <w:rsid w:val="00EF0067"/>
    <w:rsid w:val="00EF1330"/>
    <w:rsid w:val="00EF15FF"/>
    <w:rsid w:val="00EF38D2"/>
    <w:rsid w:val="00EF55E6"/>
    <w:rsid w:val="00EF5707"/>
    <w:rsid w:val="00EF70EC"/>
    <w:rsid w:val="00EF7111"/>
    <w:rsid w:val="00EF71D6"/>
    <w:rsid w:val="00EF73DA"/>
    <w:rsid w:val="00EF7D1A"/>
    <w:rsid w:val="00F02759"/>
    <w:rsid w:val="00F0448F"/>
    <w:rsid w:val="00F047B1"/>
    <w:rsid w:val="00F062A3"/>
    <w:rsid w:val="00F0716C"/>
    <w:rsid w:val="00F105AE"/>
    <w:rsid w:val="00F108A8"/>
    <w:rsid w:val="00F12A22"/>
    <w:rsid w:val="00F270E9"/>
    <w:rsid w:val="00F27440"/>
    <w:rsid w:val="00F275C0"/>
    <w:rsid w:val="00F317B5"/>
    <w:rsid w:val="00F346B6"/>
    <w:rsid w:val="00F36145"/>
    <w:rsid w:val="00F37BDD"/>
    <w:rsid w:val="00F41503"/>
    <w:rsid w:val="00F44D82"/>
    <w:rsid w:val="00F4532C"/>
    <w:rsid w:val="00F461A1"/>
    <w:rsid w:val="00F46207"/>
    <w:rsid w:val="00F466C8"/>
    <w:rsid w:val="00F469A9"/>
    <w:rsid w:val="00F46B50"/>
    <w:rsid w:val="00F47C20"/>
    <w:rsid w:val="00F50B46"/>
    <w:rsid w:val="00F50D1F"/>
    <w:rsid w:val="00F51545"/>
    <w:rsid w:val="00F56043"/>
    <w:rsid w:val="00F56BD8"/>
    <w:rsid w:val="00F6171A"/>
    <w:rsid w:val="00F635FC"/>
    <w:rsid w:val="00F6395A"/>
    <w:rsid w:val="00F63D03"/>
    <w:rsid w:val="00F65E2F"/>
    <w:rsid w:val="00F677E6"/>
    <w:rsid w:val="00F67DF1"/>
    <w:rsid w:val="00F7054E"/>
    <w:rsid w:val="00F705C5"/>
    <w:rsid w:val="00F70EE9"/>
    <w:rsid w:val="00F72C76"/>
    <w:rsid w:val="00F75193"/>
    <w:rsid w:val="00F8309B"/>
    <w:rsid w:val="00F833C9"/>
    <w:rsid w:val="00F86BE2"/>
    <w:rsid w:val="00F90064"/>
    <w:rsid w:val="00F937B9"/>
    <w:rsid w:val="00F94217"/>
    <w:rsid w:val="00F9586C"/>
    <w:rsid w:val="00F96AFD"/>
    <w:rsid w:val="00FA07F4"/>
    <w:rsid w:val="00FA1398"/>
    <w:rsid w:val="00FA1A9C"/>
    <w:rsid w:val="00FA2778"/>
    <w:rsid w:val="00FA2E19"/>
    <w:rsid w:val="00FA697F"/>
    <w:rsid w:val="00FA7726"/>
    <w:rsid w:val="00FB3846"/>
    <w:rsid w:val="00FB5521"/>
    <w:rsid w:val="00FB610D"/>
    <w:rsid w:val="00FC27C8"/>
    <w:rsid w:val="00FC4477"/>
    <w:rsid w:val="00FC46FB"/>
    <w:rsid w:val="00FC7B66"/>
    <w:rsid w:val="00FD106C"/>
    <w:rsid w:val="00FD2BD3"/>
    <w:rsid w:val="00FD3DEF"/>
    <w:rsid w:val="00FD4CCA"/>
    <w:rsid w:val="00FE234B"/>
    <w:rsid w:val="00FE2A9E"/>
    <w:rsid w:val="00FE34B3"/>
    <w:rsid w:val="00FE46B7"/>
    <w:rsid w:val="00FE6B14"/>
    <w:rsid w:val="00FF0420"/>
    <w:rsid w:val="00FF6E5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3BE9E2"/>
  <w15:docId w15:val="{547163EF-9F88-48D2-96A5-15032541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Nevyrieenzmienka1">
    <w:name w:val="Nevyriešená zmienka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Strong">
    <w:name w:val="Strong"/>
    <w:basedOn w:val="DefaultParagraphFont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al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0760C4"/>
    <w:rPr>
      <w:vertAlign w:val="superscript"/>
    </w:rPr>
  </w:style>
  <w:style w:type="paragraph" w:styleId="FootnoteText">
    <w:name w:val="footnote text"/>
    <w:basedOn w:val="Normal"/>
    <w:link w:val="FootnoteTextChar"/>
    <w:rsid w:val="00F70EE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70EE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rs.korinth@henkel.com" TargetMode="External"/><Relationship Id="rId18" Type="http://schemas.openxmlformats.org/officeDocument/2006/relationships/hyperlink" Target="mailto:hanna.philipps@henkel.com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zuzana.kanuchova@henkel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hyperlink" Target="mailto:jennifer.ott@henkel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wulf.klueppelholz@henkel.com" TargetMode="External"/><Relationship Id="rId20" Type="http://schemas.openxmlformats.org/officeDocument/2006/relationships/hyperlink" Target="mailto:linda.gehring@henke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anuel.boesing@henkel.com" TargetMode="External"/><Relationship Id="rId23" Type="http://schemas.openxmlformats.org/officeDocument/2006/relationships/hyperlink" Target="http://www.henkel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dennis.starke@henke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rs.witteck@henkel.com" TargetMode="External"/><Relationship Id="rId22" Type="http://schemas.openxmlformats.org/officeDocument/2006/relationships/hyperlink" Target="http://www.henkel.com/press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41DED-CDEE-4FCD-959A-B6E4D3FAD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56CBC-4BBD-4DA5-BA99-4CE5AC223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9</Pages>
  <Words>3457</Words>
  <Characters>19710</Characters>
  <Application>Microsoft Office Word</Application>
  <DocSecurity>4</DocSecurity>
  <Lines>164</Lines>
  <Paragraphs>46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23121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Zuzana Kanuchova</cp:lastModifiedBy>
  <cp:revision>2</cp:revision>
  <cp:lastPrinted>2021-03-03T15:56:00Z</cp:lastPrinted>
  <dcterms:created xsi:type="dcterms:W3CDTF">2021-08-17T15:30:00Z</dcterms:created>
  <dcterms:modified xsi:type="dcterms:W3CDTF">2021-08-17T15:30:00Z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