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266A3D49" w:rsidR="00C64601" w:rsidRPr="00F43A57" w:rsidRDefault="00AF64CE" w:rsidP="001D7254">
      <w:pPr>
        <w:pStyle w:val="MonthDayYear"/>
        <w:spacing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28</w:t>
      </w:r>
      <w:r w:rsidR="0018724D" w:rsidRPr="00F43A57">
        <w:rPr>
          <w:rFonts w:ascii="Cordia New" w:hAnsi="Cordia New" w:cs="Cordia New"/>
          <w:sz w:val="30"/>
          <w:szCs w:val="30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ตุลาคม</w:t>
      </w:r>
      <w:r w:rsidR="0018724D" w:rsidRPr="00F43A57">
        <w:rPr>
          <w:rFonts w:ascii="Cordia New" w:hAnsi="Cordia New" w:cs="Cordia New"/>
          <w:sz w:val="30"/>
          <w:szCs w:val="30"/>
        </w:rPr>
        <w:t xml:space="preserve"> 2</w:t>
      </w:r>
      <w:r w:rsidR="001D7254" w:rsidRPr="00F43A57">
        <w:rPr>
          <w:rFonts w:ascii="Cordia New" w:hAnsi="Cordia New" w:cs="Cordia New"/>
          <w:sz w:val="30"/>
          <w:szCs w:val="30"/>
        </w:rPr>
        <w:t>564</w:t>
      </w:r>
    </w:p>
    <w:p w14:paraId="29A347D2" w14:textId="77777777" w:rsidR="00C64601" w:rsidRPr="00F43A57" w:rsidRDefault="00C64601" w:rsidP="001D7254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6347DB26" w14:textId="4224C6BB" w:rsidR="00C65028" w:rsidRPr="000E2A14" w:rsidRDefault="000E2A14" w:rsidP="001D7254">
      <w:pPr>
        <w:spacing w:line="240" w:lineRule="auto"/>
        <w:rPr>
          <w:rStyle w:val="Headline"/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0E2A14">
        <w:rPr>
          <w:rStyle w:val="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โดดเด่นในการให้บริการลูกค้าและนวัตกรรม</w:t>
      </w:r>
    </w:p>
    <w:p w14:paraId="17E8C4A2" w14:textId="77777777" w:rsidR="000E2A14" w:rsidRDefault="000E2A14" w:rsidP="001D7254">
      <w:pPr>
        <w:spacing w:line="240" w:lineRule="auto"/>
        <w:rPr>
          <w:rStyle w:val="Headline"/>
          <w:rFonts w:ascii="Cordia New" w:hAnsi="Cordia New" w:cs="Cordia New"/>
          <w:sz w:val="36"/>
          <w:szCs w:val="36"/>
          <w:lang w:bidi="th-TH"/>
        </w:rPr>
      </w:pPr>
    </w:p>
    <w:p w14:paraId="7806F99C" w14:textId="7579F8BA" w:rsidR="00C64601" w:rsidRPr="00F43A57" w:rsidRDefault="00F72EEF" w:rsidP="001D7254">
      <w:pPr>
        <w:spacing w:line="240" w:lineRule="auto"/>
        <w:rPr>
          <w:rStyle w:val="Headline"/>
          <w:rFonts w:ascii="Cordia New" w:hAnsi="Cordia New" w:cs="Cordia New"/>
          <w:sz w:val="36"/>
          <w:szCs w:val="36"/>
        </w:rPr>
      </w:pPr>
      <w:r w:rsidRPr="00F43A57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>บริษัท</w:t>
      </w:r>
      <w:r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="001D7254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เฮงเค็ล</w:t>
      </w:r>
      <w:r w:rsidRPr="00F43A57">
        <w:rPr>
          <w:rStyle w:val="Headline"/>
          <w:rFonts w:ascii="Cordia New" w:hAnsi="Cordia New" w:cs="Cordia New"/>
          <w:sz w:val="36"/>
          <w:szCs w:val="36"/>
          <w:lang w:bidi="th-TH"/>
        </w:rPr>
        <w:t xml:space="preserve"> </w:t>
      </w:r>
      <w:r w:rsidR="001D7254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ประเทศไทย</w:t>
      </w:r>
      <w:r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F43A57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>จำกัด</w:t>
      </w:r>
      <w:r w:rsidR="001D7254" w:rsidRPr="00F43A57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="00FF3C45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ได้</w:t>
      </w:r>
      <w:r w:rsidR="001D7254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รับรางวัล</w:t>
      </w:r>
      <w:r w:rsidR="00110E92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แพลทินัม</w:t>
      </w:r>
      <w:r w:rsidR="001D7254" w:rsidRPr="00F43A57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อวอร์ดจากไทยเบฟ</w:t>
      </w:r>
    </w:p>
    <w:p w14:paraId="301E97A3" w14:textId="77777777" w:rsidR="00C64601" w:rsidRPr="00F43A57" w:rsidRDefault="00C64601" w:rsidP="001D7254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7191BF92" w14:textId="7AF461D9" w:rsidR="00E16508" w:rsidRPr="00F43A57" w:rsidRDefault="001D7254" w:rsidP="00FF3C45">
      <w:pPr>
        <w:spacing w:line="240" w:lineRule="auto"/>
        <w:rPr>
          <w:rFonts w:ascii="Cordia New" w:hAnsi="Cordia New" w:cs="Cordia New"/>
          <w:sz w:val="30"/>
          <w:szCs w:val="30"/>
        </w:rPr>
      </w:pP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กรุงเทพฯ </w:t>
      </w:r>
      <w:r w:rsidR="00F72EEF" w:rsidRPr="00F43A57">
        <w:rPr>
          <w:rFonts w:ascii="Cordia New" w:hAnsi="Cordia New" w:cs="Cordia New"/>
          <w:sz w:val="30"/>
          <w:szCs w:val="30"/>
          <w:lang w:bidi="th-TH"/>
        </w:rPr>
        <w:t>–</w:t>
      </w:r>
      <w:r w:rsidRPr="00F43A5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F72EEF" w:rsidRPr="00F43A57">
        <w:rPr>
          <w:rFonts w:ascii="Cordia New" w:hAnsi="Cordia New" w:cs="Cordia New"/>
          <w:sz w:val="30"/>
          <w:szCs w:val="30"/>
          <w:cs/>
          <w:lang w:bidi="th-TH"/>
        </w:rPr>
        <w:t>บริษัท</w:t>
      </w:r>
      <w:r w:rsidR="00F72EEF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="00F72EEF" w:rsidRPr="00F43A5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72EEF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จำกัด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ได้รับรางวัล</w:t>
      </w:r>
      <w:bookmarkStart w:id="0" w:name="_Hlk85609769"/>
      <w:r w:rsidR="00110E92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แพลทินัม</w:t>
      </w:r>
      <w:bookmarkEnd w:id="0"/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อวอร์ด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/>
          <w:sz w:val="30"/>
          <w:szCs w:val="30"/>
        </w:rPr>
        <w:t>2564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จาก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บริษัท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ไทยเบฟเวอเรจ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จำกัด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(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มหาชน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)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สำหรับซัพพลายเออร์ที่มีความโดดเด่น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 </w:t>
      </w:r>
      <w:r w:rsidR="00E16508" w:rsidRPr="00F43A57">
        <w:rPr>
          <w:rFonts w:ascii="Cordia New" w:hAnsi="Cordia New" w:cs="Cordia New"/>
          <w:sz w:val="30"/>
          <w:szCs w:val="30"/>
          <w:lang w:bidi="th-TH"/>
        </w:rPr>
        <w:t xml:space="preserve">5 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ด้าน ได้แก่ คุณภาพ</w:t>
      </w:r>
      <w:r w:rsidR="00020B41" w:rsidRPr="00F43A5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020B41" w:rsidRPr="00F43A57">
        <w:rPr>
          <w:rFonts w:ascii="Cordia New" w:hAnsi="Cordia New" w:cs="Cordia New" w:hint="cs"/>
          <w:sz w:val="30"/>
          <w:szCs w:val="30"/>
          <w:cs/>
          <w:lang w:bidi="th-TH"/>
        </w:rPr>
        <w:t>การค้า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0901DC" w:rsidRPr="00F43A57">
        <w:rPr>
          <w:rFonts w:ascii="Cordia New" w:hAnsi="Cordia New" w:cs="Cordia New" w:hint="cs"/>
          <w:sz w:val="30"/>
          <w:szCs w:val="30"/>
          <w:cs/>
          <w:lang w:bidi="th-TH"/>
        </w:rPr>
        <w:t>จัด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ส่ง</w:t>
      </w:r>
      <w:r w:rsidR="001C7B1A" w:rsidRPr="00F43A57">
        <w:rPr>
          <w:rFonts w:ascii="Cordia New" w:hAnsi="Cordia New" w:cs="Cordia New" w:hint="cs"/>
          <w:sz w:val="30"/>
          <w:szCs w:val="30"/>
          <w:cs/>
          <w:lang w:bidi="th-TH"/>
        </w:rPr>
        <w:t>สินค้า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การพัฒนาโครงการ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และความยั่งยืน</w:t>
      </w:r>
    </w:p>
    <w:p w14:paraId="4CC98E03" w14:textId="7F6F3DCB" w:rsidR="00E16508" w:rsidRPr="00F43A57" w:rsidRDefault="00E16508" w:rsidP="00FF3C45">
      <w:pPr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</w:p>
    <w:p w14:paraId="356570A2" w14:textId="467C56E5" w:rsidR="001D7254" w:rsidRPr="00F43A57" w:rsidRDefault="00E16508" w:rsidP="00FF3C45">
      <w:pPr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รางวัล</w:t>
      </w:r>
      <w:r w:rsidR="00110E92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แพลทินัม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เป็นรางวัลระดับสูงสุดสำหรับซัพพลายเออร์ที่มีประสิทธิภาพยอดเยี่ยม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จากไทยเบฟ ผู้ผลิตเครื่องดื่มชั้นนำของประเทศไทย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และหนึ่งในผู้ผลิตเครื่องดื่มรายใหญ่ที่สุดในเอเชีย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F3C45" w:rsidRPr="00F43A57">
        <w:rPr>
          <w:rFonts w:ascii="Cordia New" w:hAnsi="Cordia New" w:cs="Cordia New" w:hint="cs"/>
          <w:sz w:val="30"/>
          <w:szCs w:val="30"/>
          <w:cs/>
          <w:lang w:bidi="th-TH"/>
        </w:rPr>
        <w:t>นับเป็นปีที่</w:t>
      </w:r>
      <w:r w:rsidR="00FF3C45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F3C45" w:rsidRPr="00F43A57">
        <w:rPr>
          <w:rFonts w:ascii="Cordia New" w:hAnsi="Cordia New" w:cs="Cordia New"/>
          <w:sz w:val="30"/>
          <w:szCs w:val="30"/>
          <w:lang w:bidi="th-TH"/>
        </w:rPr>
        <w:t>5</w:t>
      </w:r>
      <w:r w:rsidR="00FF3C45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F3C45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ที่เฮงเค็ลได้รับรางวัลพันธมิตรทางธุรกิจของไทยเบฟอย่างต่อเนื่อง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โดยในปี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พ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>.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ศ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. </w:t>
      </w:r>
      <w:r w:rsidR="001D7254" w:rsidRPr="00F43A57">
        <w:rPr>
          <w:rFonts w:ascii="Cordia New" w:hAnsi="Cordia New" w:cs="Cordia New"/>
          <w:sz w:val="30"/>
          <w:szCs w:val="30"/>
        </w:rPr>
        <w:t>256</w:t>
      </w:r>
      <w:r w:rsidR="00020B41" w:rsidRPr="00F43A57">
        <w:rPr>
          <w:rFonts w:ascii="Cordia New" w:hAnsi="Cordia New" w:cs="Cordia New"/>
          <w:sz w:val="30"/>
          <w:szCs w:val="30"/>
        </w:rPr>
        <w:t>2</w:t>
      </w:r>
      <w:r w:rsidR="00FF3C45" w:rsidRPr="00F43A57">
        <w:rPr>
          <w:rFonts w:ascii="Cordia New" w:hAnsi="Cordia New" w:cs="Cordia New"/>
          <w:sz w:val="30"/>
          <w:szCs w:val="30"/>
        </w:rPr>
        <w:t xml:space="preserve"> </w:t>
      </w:r>
      <w:r w:rsidR="00FF3C45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 w:rsidR="00FF3C45" w:rsidRPr="00F43A57">
        <w:rPr>
          <w:rFonts w:ascii="Cordia New" w:hAnsi="Cordia New" w:cs="Cordia New"/>
          <w:sz w:val="30"/>
          <w:szCs w:val="30"/>
          <w:lang w:bidi="th-TH"/>
        </w:rPr>
        <w:t>256</w:t>
      </w:r>
      <w:r w:rsidR="00020B41" w:rsidRPr="00F43A57">
        <w:rPr>
          <w:rFonts w:ascii="Cordia New" w:hAnsi="Cordia New" w:cs="Cordia New"/>
          <w:sz w:val="30"/>
          <w:szCs w:val="30"/>
          <w:lang w:bidi="th-TH"/>
        </w:rPr>
        <w:t>3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ได้รับรางวัล</w:t>
      </w:r>
      <w:r w:rsidR="00110E92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แพลทินัม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อวอร์ด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ในปี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พ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>.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ศ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. </w:t>
      </w:r>
      <w:r w:rsidR="001D7254" w:rsidRPr="00F43A57">
        <w:rPr>
          <w:rFonts w:ascii="Cordia New" w:hAnsi="Cordia New" w:cs="Cordia New"/>
          <w:sz w:val="30"/>
          <w:szCs w:val="30"/>
        </w:rPr>
        <w:t>256</w:t>
      </w:r>
      <w:r w:rsidR="00020B41" w:rsidRPr="00F43A57">
        <w:rPr>
          <w:rFonts w:ascii="Cordia New" w:hAnsi="Cordia New" w:cs="Cordia New"/>
          <w:sz w:val="30"/>
          <w:szCs w:val="30"/>
          <w:lang w:bidi="th-TH"/>
        </w:rPr>
        <w:t>0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/>
          <w:sz w:val="30"/>
          <w:szCs w:val="30"/>
        </w:rPr>
        <w:t>256</w:t>
      </w:r>
      <w:r w:rsidR="00020B41" w:rsidRPr="00F43A57">
        <w:rPr>
          <w:rFonts w:ascii="Cordia New" w:hAnsi="Cordia New" w:cs="Cordia New"/>
          <w:sz w:val="30"/>
          <w:szCs w:val="30"/>
        </w:rPr>
        <w:t>1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D7254" w:rsidRPr="00F43A57">
        <w:rPr>
          <w:rFonts w:ascii="Cordia New" w:hAnsi="Cordia New" w:cs="Cordia New" w:hint="cs"/>
          <w:sz w:val="30"/>
          <w:szCs w:val="30"/>
          <w:cs/>
          <w:lang w:bidi="th-TH"/>
        </w:rPr>
        <w:t>ได้รับรางวัลโกลด์อวอร์ด</w:t>
      </w:r>
      <w:r w:rsidR="001D7254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</w:p>
    <w:p w14:paraId="0F9EC9F3" w14:textId="77777777" w:rsidR="001D7254" w:rsidRPr="00F43A57" w:rsidRDefault="001D7254" w:rsidP="00FF3C45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55813AC2" w14:textId="55C73F72" w:rsidR="00E16508" w:rsidRDefault="001D7254" w:rsidP="00F43A57">
      <w:pPr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นายแอนเดรียนโต้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จายาเปอร์นา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ประธานบริษัทเฮงเค็ล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กล่าวว่า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“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F43A57">
        <w:rPr>
          <w:rFonts w:ascii="Cordia New" w:hAnsi="Cordia New" w:cs="Cordia New" w:hint="cs"/>
          <w:sz w:val="30"/>
          <w:szCs w:val="30"/>
          <w:cs/>
          <w:lang w:bidi="th-TH"/>
        </w:rPr>
        <w:t>รู้สึกเป็นเกียรติอย่างยิ่งที่ได้รับรางวัลพันธมิตรยอดเยี่ยมจากไทยเบฟ</w:t>
      </w:r>
      <w:r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ความสำเร็จ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อันยาวนาน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ของเรากับไทยเบฟถือเป็นเครื่องพิสูจน์ถึงความมุ่งมั่นของบริษัท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ฯ 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ในการเป็นพันธมิตรที่ลูกค้า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ไว้</w:t>
      </w:r>
      <w:r w:rsidR="00A9258E" w:rsidRPr="00F43A57">
        <w:rPr>
          <w:rFonts w:ascii="Cordia New" w:hAnsi="Cordia New" w:cs="Cordia New" w:hint="cs"/>
          <w:sz w:val="30"/>
          <w:szCs w:val="30"/>
          <w:cs/>
          <w:lang w:bidi="th-TH"/>
        </w:rPr>
        <w:t>วาง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ใจ</w:t>
      </w:r>
      <w:r w:rsidR="00CE2F6E" w:rsidRPr="00F43A5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และให้</w:t>
      </w:r>
      <w:r w:rsidR="002E5A58" w:rsidRPr="00F43A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ความสำคัญกับความต้องการของลูกค้าเป็นอันดับแรก 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เราจะเดินหน้าพัฒนาโซลูชั่น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ในด้าน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นวัตกรรมที่นำ</w:t>
      </w:r>
      <w:r w:rsidR="00E16508" w:rsidRPr="00F43A57">
        <w:rPr>
          <w:rFonts w:ascii="Cordia New" w:hAnsi="Cordia New" w:cs="Cordia New" w:hint="cs"/>
          <w:sz w:val="30"/>
          <w:szCs w:val="30"/>
          <w:cs/>
          <w:lang w:bidi="th-TH"/>
        </w:rPr>
        <w:t>มาซึ่ง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>ความยั่งยืน สุขภาพ</w:t>
      </w:r>
      <w:r w:rsidR="00281300" w:rsidRPr="00F43A57">
        <w:rPr>
          <w:rFonts w:ascii="Cordia New" w:hAnsi="Cordia New" w:cs="Cordia New" w:hint="cs"/>
          <w:sz w:val="30"/>
          <w:szCs w:val="30"/>
          <w:cs/>
          <w:lang w:bidi="th-TH"/>
        </w:rPr>
        <w:t>ที่ดี</w:t>
      </w:r>
      <w:r w:rsidR="00E16508" w:rsidRPr="00F43A57">
        <w:rPr>
          <w:rFonts w:ascii="Cordia New" w:hAnsi="Cordia New" w:cs="Cordia New"/>
          <w:sz w:val="30"/>
          <w:szCs w:val="30"/>
          <w:cs/>
          <w:lang w:bidi="th-TH"/>
        </w:rPr>
        <w:t xml:space="preserve"> และความปลอดภัยมาสู่อุตสาหกรรมเครื่องดื่มในประเทศไทยและภูมิภาคเอเชียแปซิฟิกต่อไป”</w:t>
      </w:r>
    </w:p>
    <w:p w14:paraId="51D492A6" w14:textId="038465DD" w:rsidR="00E65286" w:rsidRPr="00F43A57" w:rsidRDefault="00E65286" w:rsidP="001D7254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675A9875" w14:textId="77777777" w:rsidR="00AF64CE" w:rsidRDefault="00AF64CE">
      <w:pPr>
        <w:spacing w:line="240" w:lineRule="auto"/>
        <w:jc w:val="left"/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br w:type="page"/>
      </w:r>
    </w:p>
    <w:p w14:paraId="66362D25" w14:textId="29FCEE9C" w:rsidR="001D7254" w:rsidRPr="00F43A57" w:rsidRDefault="001D7254" w:rsidP="001D7254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 w:rsidRPr="00F43A57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lastRenderedPageBreak/>
        <w:t>เกี่ยวกับเฮงเค็ล</w:t>
      </w:r>
    </w:p>
    <w:p w14:paraId="476EC4CD" w14:textId="77777777" w:rsidR="001D7254" w:rsidRPr="00F43A57" w:rsidRDefault="001D7254" w:rsidP="001D7254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 w:rsidRPr="00F43A57"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F43A57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F43A57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F43A57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F43A5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 w:rsidRPr="00F43A5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F43A57">
        <w:rPr>
          <w:rFonts w:ascii="Cordia New" w:hAnsi="Cordia New" w:cs="Cordia New"/>
          <w:b/>
          <w:bCs/>
          <w:sz w:val="24"/>
        </w:rPr>
        <w:t xml:space="preserve"> </w:t>
      </w:r>
    </w:p>
    <w:p w14:paraId="7F80B693" w14:textId="77777777" w:rsidR="001D7254" w:rsidRPr="00F43A57" w:rsidRDefault="001D7254" w:rsidP="001D7254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07E917E6" w14:textId="77777777" w:rsidR="001D7254" w:rsidRPr="00F43A57" w:rsidRDefault="001D7254" w:rsidP="001D7254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144674A6" w14:textId="77777777" w:rsidR="001D7254" w:rsidRPr="00F43A57" w:rsidRDefault="001D7254" w:rsidP="001D7254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F43A57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6DF5D094" w14:textId="77777777" w:rsidR="001D7254" w:rsidRPr="00F43A57" w:rsidRDefault="001D7254" w:rsidP="001D7254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กฤษณา ปานสุนทร </w:t>
      </w:r>
    </w:p>
    <w:p w14:paraId="0A4FBA86" w14:textId="77777777" w:rsidR="001D7254" w:rsidRPr="00F43A57" w:rsidRDefault="001D7254" w:rsidP="001D7254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124</w:t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คอมมิวนิเคชั่นส คอนซัลติ้ง</w:t>
      </w:r>
    </w:p>
    <w:p w14:paraId="2FB36ACA" w14:textId="77777777" w:rsidR="001D7254" w:rsidRPr="00F43A57" w:rsidRDefault="001D7254" w:rsidP="001D7254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โทรศัพท์ 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02 718 1886</w:t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ต่อ 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216</w:t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 และ 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081</w:t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859</w:t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>-</w:t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>007</w:t>
      </w:r>
    </w:p>
    <w:p w14:paraId="1114A57F" w14:textId="77777777" w:rsidR="001D7254" w:rsidRDefault="001D7254" w:rsidP="001D7254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43A57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F43A5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F43A5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43A57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4" w:history="1"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krissana@124comm</w:t>
        </w:r>
        <w:r w:rsidRPr="00F43A57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F43A57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</w:p>
    <w:p w14:paraId="76457730" w14:textId="77777777" w:rsidR="00BF6E82" w:rsidRPr="00493327" w:rsidRDefault="00BF6E82" w:rsidP="0066223F">
      <w:pPr>
        <w:rPr>
          <w:rStyle w:val="AboutandContactBody"/>
        </w:rPr>
      </w:pPr>
    </w:p>
    <w:sectPr w:rsidR="00BF6E82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0421" w14:textId="77777777" w:rsidR="008E7877" w:rsidRDefault="008E7877">
      <w:r>
        <w:separator/>
      </w:r>
    </w:p>
  </w:endnote>
  <w:endnote w:type="continuationSeparator" w:id="0">
    <w:p w14:paraId="47CC228E" w14:textId="77777777" w:rsidR="008E7877" w:rsidRDefault="008E7877">
      <w:r>
        <w:continuationSeparator/>
      </w:r>
    </w:p>
  </w:endnote>
  <w:endnote w:type="continuationNotice" w:id="1">
    <w:p w14:paraId="796DDA68" w14:textId="77777777" w:rsidR="008E7877" w:rsidRDefault="008E78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E2A14">
      <w:fldChar w:fldCharType="begin"/>
    </w:r>
    <w:r w:rsidR="000E2A14">
      <w:instrText xml:space="preserve"> NUMPAGES  \* Arabic  \* MERGEFORMAT </w:instrText>
    </w:r>
    <w:r w:rsidR="000E2A14">
      <w:fldChar w:fldCharType="separate"/>
    </w:r>
    <w:r>
      <w:t>2</w:t>
    </w:r>
    <w:r w:rsidR="000E2A1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CA79" w14:textId="77777777" w:rsidR="008E7877" w:rsidRDefault="008E7877">
      <w:r>
        <w:separator/>
      </w:r>
    </w:p>
  </w:footnote>
  <w:footnote w:type="continuationSeparator" w:id="0">
    <w:p w14:paraId="7E4D9689" w14:textId="77777777" w:rsidR="008E7877" w:rsidRDefault="008E7877">
      <w:r>
        <w:continuationSeparator/>
      </w:r>
    </w:p>
  </w:footnote>
  <w:footnote w:type="continuationNotice" w:id="1">
    <w:p w14:paraId="4A445389" w14:textId="77777777" w:rsidR="008E7877" w:rsidRDefault="008E78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0B41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1DC"/>
    <w:rsid w:val="000A40B4"/>
    <w:rsid w:val="000B24A4"/>
    <w:rsid w:val="000B4655"/>
    <w:rsid w:val="000B695A"/>
    <w:rsid w:val="000C210A"/>
    <w:rsid w:val="000C56DD"/>
    <w:rsid w:val="000D1672"/>
    <w:rsid w:val="000E2A14"/>
    <w:rsid w:val="000E2F62"/>
    <w:rsid w:val="000E38ED"/>
    <w:rsid w:val="000E7F24"/>
    <w:rsid w:val="000F03BE"/>
    <w:rsid w:val="000F1757"/>
    <w:rsid w:val="000F225B"/>
    <w:rsid w:val="000F7FAF"/>
    <w:rsid w:val="00105975"/>
    <w:rsid w:val="00110E92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8724D"/>
    <w:rsid w:val="001B7C20"/>
    <w:rsid w:val="001C0B32"/>
    <w:rsid w:val="001C4BE1"/>
    <w:rsid w:val="001C7B1A"/>
    <w:rsid w:val="001D7254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459F5"/>
    <w:rsid w:val="00256F0C"/>
    <w:rsid w:val="00262C05"/>
    <w:rsid w:val="00281300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5A58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9E9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E2614"/>
    <w:rsid w:val="003F1AF3"/>
    <w:rsid w:val="003F4D8D"/>
    <w:rsid w:val="00415A85"/>
    <w:rsid w:val="00420529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7718E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46FC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23F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37EB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60E1"/>
    <w:rsid w:val="00717273"/>
    <w:rsid w:val="00720FD4"/>
    <w:rsid w:val="00724AF2"/>
    <w:rsid w:val="0073096C"/>
    <w:rsid w:val="00733F12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03211"/>
    <w:rsid w:val="008164F7"/>
    <w:rsid w:val="00817AE8"/>
    <w:rsid w:val="00817DE8"/>
    <w:rsid w:val="0082230A"/>
    <w:rsid w:val="008229F5"/>
    <w:rsid w:val="0082699A"/>
    <w:rsid w:val="00833CEB"/>
    <w:rsid w:val="008372D2"/>
    <w:rsid w:val="008377BC"/>
    <w:rsid w:val="00841A10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E7877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216A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9258E"/>
    <w:rsid w:val="00A97336"/>
    <w:rsid w:val="00AA1B85"/>
    <w:rsid w:val="00AB1CB6"/>
    <w:rsid w:val="00AB1D9A"/>
    <w:rsid w:val="00AD44FE"/>
    <w:rsid w:val="00AE49F1"/>
    <w:rsid w:val="00AF4197"/>
    <w:rsid w:val="00AF64CE"/>
    <w:rsid w:val="00B05CCA"/>
    <w:rsid w:val="00B14271"/>
    <w:rsid w:val="00B16270"/>
    <w:rsid w:val="00B21D65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D4549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65028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2F6E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10D"/>
    <w:rsid w:val="00D418E2"/>
    <w:rsid w:val="00D558EF"/>
    <w:rsid w:val="00D5653B"/>
    <w:rsid w:val="00D62EF1"/>
    <w:rsid w:val="00D6309D"/>
    <w:rsid w:val="00D644CA"/>
    <w:rsid w:val="00D66FC2"/>
    <w:rsid w:val="00D720D6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16508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65286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D5424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3A57"/>
    <w:rsid w:val="00F466C8"/>
    <w:rsid w:val="00F469A9"/>
    <w:rsid w:val="00F50B46"/>
    <w:rsid w:val="00F50D1F"/>
    <w:rsid w:val="00F635FC"/>
    <w:rsid w:val="00F63D03"/>
    <w:rsid w:val="00F65E2F"/>
    <w:rsid w:val="00F67DF1"/>
    <w:rsid w:val="00F72EEF"/>
    <w:rsid w:val="00F77414"/>
    <w:rsid w:val="00F8309B"/>
    <w:rsid w:val="00F833C9"/>
    <w:rsid w:val="00F83F99"/>
    <w:rsid w:val="00F90064"/>
    <w:rsid w:val="00F96AFD"/>
    <w:rsid w:val="00F97DBF"/>
    <w:rsid w:val="00FA1398"/>
    <w:rsid w:val="00FA2565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wcontent-1595260689796">
    <w:name w:val="wcontent-1595260689796"/>
    <w:rsid w:val="001D7254"/>
  </w:style>
  <w:style w:type="character" w:styleId="CommentReference">
    <w:name w:val="annotation reference"/>
    <w:basedOn w:val="DefaultParagraphFont"/>
    <w:rsid w:val="00110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0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0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1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0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507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3</cp:revision>
  <cp:lastPrinted>2016-11-15T09:11:00Z</cp:lastPrinted>
  <dcterms:created xsi:type="dcterms:W3CDTF">2021-10-26T01:58:00Z</dcterms:created>
  <dcterms:modified xsi:type="dcterms:W3CDTF">2021-10-29T08:52:00Z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