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45FDFBBE" w:rsidR="00C64601" w:rsidRPr="00F20ED7" w:rsidRDefault="00C73244" w:rsidP="00C64601">
      <w:pPr>
        <w:pStyle w:val="MonthDayYear"/>
        <w:rPr>
          <w:lang w:val="id-ID"/>
        </w:rPr>
      </w:pPr>
      <w:r w:rsidRPr="00F20ED7">
        <w:rPr>
          <w:lang w:val="id-ID"/>
        </w:rPr>
        <w:t>1</w:t>
      </w:r>
      <w:r w:rsidR="00987F99">
        <w:t xml:space="preserve"> December</w:t>
      </w:r>
      <w:r w:rsidRPr="00F20ED7">
        <w:rPr>
          <w:lang w:val="id-ID"/>
        </w:rPr>
        <w:t xml:space="preserve"> 2021</w:t>
      </w:r>
    </w:p>
    <w:p w14:paraId="7ABE0A0A" w14:textId="77777777" w:rsidR="00C64601" w:rsidRPr="00F20ED7" w:rsidRDefault="00C64601" w:rsidP="00C64601">
      <w:pPr>
        <w:rPr>
          <w:rFonts w:cs="Segoe UI"/>
          <w:szCs w:val="22"/>
          <w:lang w:val="id-ID"/>
        </w:rPr>
      </w:pPr>
    </w:p>
    <w:p w14:paraId="67942E0C" w14:textId="77777777" w:rsidR="00C64601" w:rsidRPr="00F20ED7" w:rsidRDefault="00C64601" w:rsidP="00C64601">
      <w:pPr>
        <w:rPr>
          <w:rFonts w:cs="Segoe UI"/>
          <w:szCs w:val="22"/>
          <w:lang w:val="id-ID"/>
        </w:rPr>
      </w:pPr>
    </w:p>
    <w:p w14:paraId="6675126B" w14:textId="7FA57464" w:rsidR="00D03DA4" w:rsidRPr="00F20ED7" w:rsidRDefault="000252E9" w:rsidP="00D03DA4">
      <w:pPr>
        <w:rPr>
          <w:rFonts w:asciiTheme="minorHAnsi" w:hAnsiTheme="minorHAnsi" w:cstheme="minorHAnsi"/>
          <w:szCs w:val="22"/>
          <w:lang w:val="id-ID"/>
        </w:rPr>
      </w:pPr>
      <w:bookmarkStart w:id="0" w:name="_Hlk89700361"/>
      <w:r w:rsidRPr="00F20ED7">
        <w:rPr>
          <w:rFonts w:asciiTheme="minorHAnsi" w:hAnsiTheme="minorHAnsi" w:cstheme="minorHAnsi"/>
          <w:szCs w:val="22"/>
          <w:lang w:val="id-ID"/>
        </w:rPr>
        <w:t xml:space="preserve">Penerbitan </w:t>
      </w:r>
      <w:r w:rsidR="00C73244" w:rsidRPr="00F20ED7">
        <w:rPr>
          <w:rFonts w:asciiTheme="minorHAnsi" w:hAnsiTheme="minorHAnsi" w:cstheme="minorHAnsi"/>
          <w:szCs w:val="22"/>
          <w:lang w:val="id-ID"/>
        </w:rPr>
        <w:t>Obligasi pertama di bawah Kerangka Keuangan Berkelanjutan yang baru</w:t>
      </w:r>
    </w:p>
    <w:bookmarkEnd w:id="0"/>
    <w:p w14:paraId="3450721B" w14:textId="77777777" w:rsidR="00D03DA4" w:rsidRPr="00F20ED7" w:rsidRDefault="00D03DA4" w:rsidP="00D03DA4">
      <w:pPr>
        <w:rPr>
          <w:rFonts w:cs="Segoe UI"/>
          <w:szCs w:val="22"/>
          <w:lang w:val="id-ID"/>
        </w:rPr>
      </w:pPr>
    </w:p>
    <w:p w14:paraId="0D364A7B" w14:textId="0928F5AB" w:rsidR="00D03DA4" w:rsidRPr="00F20ED7" w:rsidRDefault="00C73244" w:rsidP="00D03DA4">
      <w:pPr>
        <w:jc w:val="left"/>
        <w:rPr>
          <w:rStyle w:val="Headline"/>
          <w:rFonts w:asciiTheme="minorHAnsi" w:hAnsiTheme="minorHAnsi" w:cstheme="minorHAnsi"/>
          <w:sz w:val="28"/>
          <w:szCs w:val="28"/>
          <w:lang w:val="id-ID"/>
        </w:rPr>
      </w:pPr>
      <w:bookmarkStart w:id="1" w:name="_Hlk89700387"/>
      <w:r w:rsidRPr="00F20ED7">
        <w:rPr>
          <w:rStyle w:val="Headline"/>
          <w:rFonts w:asciiTheme="minorHAnsi" w:hAnsiTheme="minorHAnsi" w:cstheme="minorHAnsi"/>
          <w:sz w:val="28"/>
          <w:szCs w:val="28"/>
          <w:lang w:val="id-ID"/>
        </w:rPr>
        <w:t>Henkel berhasil menerbitkan obligasi terkait keberlanjutan dengan volume 720 juta euro</w:t>
      </w:r>
    </w:p>
    <w:bookmarkEnd w:id="1"/>
    <w:p w14:paraId="76D40DE6" w14:textId="77777777" w:rsidR="00D03DA4" w:rsidRPr="00F20ED7" w:rsidRDefault="00D03DA4" w:rsidP="00D03DA4">
      <w:pPr>
        <w:spacing w:line="240" w:lineRule="auto"/>
        <w:rPr>
          <w:rFonts w:asciiTheme="minorHAnsi" w:hAnsiTheme="minorHAnsi" w:cstheme="minorHAnsi"/>
          <w:szCs w:val="22"/>
          <w:lang w:val="id-ID"/>
        </w:rPr>
      </w:pPr>
    </w:p>
    <w:p w14:paraId="1657D4AE" w14:textId="7E5B0FBB" w:rsidR="00C73244" w:rsidRPr="00F20ED7" w:rsidRDefault="00C73244" w:rsidP="00C73244">
      <w:pPr>
        <w:rPr>
          <w:rFonts w:cs="Segoe UI"/>
          <w:szCs w:val="22"/>
          <w:lang w:val="id-ID"/>
        </w:rPr>
      </w:pPr>
      <w:r w:rsidRPr="00F20ED7">
        <w:rPr>
          <w:rFonts w:cs="Segoe UI"/>
          <w:szCs w:val="22"/>
          <w:lang w:val="id-ID"/>
        </w:rPr>
        <w:t xml:space="preserve">Setelah pengenalan “Kerangka Keuangan Berkelanjutan” baru lebih dari sebulan lalu, Henkel kini telah menerbitkan dua obligasi terkait keberlanjutan pertama di bawah kerangka kerja ini. Sebuah obligasi dengan volume 500 juta euro, </w:t>
      </w:r>
      <w:r w:rsidR="007715B9" w:rsidRPr="00F20ED7">
        <w:rPr>
          <w:rFonts w:cs="Segoe UI"/>
          <w:szCs w:val="22"/>
          <w:lang w:val="id-ID"/>
        </w:rPr>
        <w:t xml:space="preserve">yang </w:t>
      </w:r>
      <w:r w:rsidRPr="00F20ED7">
        <w:rPr>
          <w:rFonts w:cs="Segoe UI"/>
          <w:szCs w:val="22"/>
          <w:lang w:val="id-ID"/>
        </w:rPr>
        <w:t xml:space="preserve">jatuh tempo sebelas tahun dan tingkat bunga 0,5 persen diterbitkan, serta obligasi dengan volume 250 juta dolar AS (setara dengan sekitar 220 juta euro), jatuh tempo lima tahun dan tingkat bunga 1,8 persen. Hal ini menjadikan Henkel sebagai perusahaan pertama di sektornya yang menempatkan obligasi </w:t>
      </w:r>
      <w:r w:rsidR="000252E9" w:rsidRPr="00F20ED7">
        <w:rPr>
          <w:rFonts w:cs="Segoe UI"/>
          <w:szCs w:val="22"/>
          <w:lang w:val="id-ID"/>
        </w:rPr>
        <w:t>dalam euro t</w:t>
      </w:r>
      <w:r w:rsidRPr="00F20ED7">
        <w:rPr>
          <w:rFonts w:cs="Segoe UI"/>
          <w:szCs w:val="22"/>
          <w:lang w:val="id-ID"/>
        </w:rPr>
        <w:t>erkait keberlanjutan. Dengan obligasi dolar AS yang terkait dengan keberlanjutan, Henkel juga merupakan penerbit pertama di pasar Eurodollar. Hasil penerbitan akan digunakan untuk tujuan umum perusahaan, termasuk pembiayaan kembali obligasi yang telah jatuh tempo.</w:t>
      </w:r>
    </w:p>
    <w:p w14:paraId="4286E151" w14:textId="77777777" w:rsidR="00C73244" w:rsidRPr="00F20ED7" w:rsidRDefault="00C73244" w:rsidP="00C73244">
      <w:pPr>
        <w:rPr>
          <w:rFonts w:cs="Segoe UI"/>
          <w:szCs w:val="22"/>
          <w:lang w:val="id-ID"/>
        </w:rPr>
      </w:pPr>
    </w:p>
    <w:p w14:paraId="4B7EAC8D" w14:textId="68C22D5E" w:rsidR="00C73244" w:rsidRPr="00F20ED7" w:rsidRDefault="00C73244" w:rsidP="00C73244">
      <w:pPr>
        <w:rPr>
          <w:rFonts w:cs="Segoe UI"/>
          <w:szCs w:val="22"/>
          <w:lang w:val="id-ID"/>
        </w:rPr>
      </w:pPr>
      <w:r w:rsidRPr="00F20ED7">
        <w:rPr>
          <w:rFonts w:cs="Segoe UI"/>
          <w:szCs w:val="22"/>
          <w:lang w:val="id-ID"/>
        </w:rPr>
        <w:t xml:space="preserve">“Penempatan kedua obligasi ini sekali lagi menopang komitmen dan semangat kepeloporan kami di bidang pembiayaan berkelanjutan. Pada saat yang sama, penerbitan ini menegaskan kembali komitmen kami </w:t>
      </w:r>
      <w:r w:rsidR="000252E9" w:rsidRPr="00F20ED7">
        <w:rPr>
          <w:rFonts w:cs="Segoe UI"/>
          <w:szCs w:val="22"/>
          <w:lang w:val="id-ID"/>
        </w:rPr>
        <w:t>dalam</w:t>
      </w:r>
      <w:r w:rsidRPr="00F20ED7">
        <w:rPr>
          <w:rFonts w:cs="Segoe UI"/>
          <w:szCs w:val="22"/>
          <w:lang w:val="id-ID"/>
        </w:rPr>
        <w:t xml:space="preserve"> mencapai tujuan keberlanjutan</w:t>
      </w:r>
      <w:r w:rsidR="000252E9" w:rsidRPr="00F20ED7">
        <w:rPr>
          <w:rFonts w:cs="Segoe UI"/>
          <w:szCs w:val="22"/>
          <w:lang w:val="id-ID"/>
        </w:rPr>
        <w:t xml:space="preserve">. </w:t>
      </w:r>
      <w:r w:rsidRPr="00F20ED7">
        <w:rPr>
          <w:rFonts w:cs="Segoe UI"/>
          <w:szCs w:val="22"/>
          <w:lang w:val="id-ID"/>
        </w:rPr>
        <w:t>Organisasi Henkel Finance juga telah menetapkan tujuan untuk secara aktif mendorong keberlanjutan,” kata CFO Henkel Marco Swoboda. “Transaksi yang berhasil menunjukkan sekali lagi kualitas kredit perusahaan kami yang tinggi dan akses yang sangat baik ke pasar modal.”</w:t>
      </w:r>
    </w:p>
    <w:p w14:paraId="55AE8C0A" w14:textId="77777777" w:rsidR="00C73244" w:rsidRPr="00F20ED7" w:rsidRDefault="00C73244" w:rsidP="00C73244">
      <w:pPr>
        <w:rPr>
          <w:rFonts w:cs="Segoe UI"/>
          <w:szCs w:val="22"/>
          <w:lang w:val="id-ID"/>
        </w:rPr>
      </w:pPr>
    </w:p>
    <w:p w14:paraId="137DE4CD" w14:textId="3BC85433" w:rsidR="00D03DA4" w:rsidRPr="00F20ED7" w:rsidRDefault="00C73244" w:rsidP="00C73244">
      <w:pPr>
        <w:rPr>
          <w:rFonts w:cs="Segoe UI"/>
          <w:szCs w:val="22"/>
          <w:lang w:val="id-ID"/>
        </w:rPr>
      </w:pPr>
      <w:r w:rsidRPr="00F20ED7">
        <w:rPr>
          <w:rFonts w:cs="Segoe UI"/>
          <w:szCs w:val="22"/>
          <w:lang w:val="id-ID"/>
        </w:rPr>
        <w:t xml:space="preserve">Biaya pendanaan untuk obligasi terkait dengan pencapaian target keberlanjutan Henkel, sebagaimana didefinisikan dalam Kerangka Keuangan Berkelanjutan. Oleh karena itu, Henkel telah menetapkan tiga KPI dan target spesifik yang berbeda. </w:t>
      </w:r>
      <w:r w:rsidR="000252E9" w:rsidRPr="00F20ED7">
        <w:rPr>
          <w:rFonts w:cs="Segoe UI"/>
          <w:szCs w:val="22"/>
          <w:lang w:val="id-ID"/>
        </w:rPr>
        <w:t>Hal i</w:t>
      </w:r>
      <w:r w:rsidRPr="00F20ED7">
        <w:rPr>
          <w:rFonts w:cs="Segoe UI"/>
          <w:szCs w:val="22"/>
          <w:lang w:val="id-ID"/>
        </w:rPr>
        <w:t xml:space="preserve">ni melibatkan pengurangan emisi CO2 di satu sisi dan meningkatkan proporsi plastik daur ulang dalam kemasan plastik di sisi lain. Dua dari tiga indikator kinerja yang ditetapkan digunakan untuk setiap obligasi. Jika salah satu atau kedua indikator kinerja tidak terpenuhi, maka tingkat suku bunga akan disesuaikan. Dengan indikator kinerja yang ditetapkan, Henkel telah mencakup semua </w:t>
      </w:r>
      <w:r w:rsidRPr="00F20ED7">
        <w:rPr>
          <w:rFonts w:cs="Segoe UI"/>
          <w:szCs w:val="22"/>
          <w:lang w:val="id-ID"/>
        </w:rPr>
        <w:lastRenderedPageBreak/>
        <w:t>indikator kinerja yang ditentukan dengan penerbitan pertamanya di bawah Kerangka Keuangan Berkelanjutan.</w:t>
      </w:r>
    </w:p>
    <w:p w14:paraId="2BAAA9D3" w14:textId="77777777" w:rsidR="00C73244" w:rsidRPr="00F20ED7" w:rsidRDefault="00C73244" w:rsidP="00C73244">
      <w:pPr>
        <w:rPr>
          <w:rFonts w:cs="Segoe UI"/>
          <w:szCs w:val="22"/>
          <w:lang w:val="id-ID"/>
        </w:rPr>
      </w:pPr>
    </w:p>
    <w:p w14:paraId="6F340EAD" w14:textId="77777777" w:rsidR="00C73244" w:rsidRPr="00F20ED7" w:rsidRDefault="00C73244" w:rsidP="00C73244">
      <w:pPr>
        <w:rPr>
          <w:rFonts w:cs="Segoe UI"/>
          <w:szCs w:val="22"/>
          <w:lang w:val="id-ID"/>
        </w:rPr>
      </w:pPr>
      <w:r w:rsidRPr="00F20ED7">
        <w:rPr>
          <w:rFonts w:cs="Segoe UI"/>
          <w:szCs w:val="22"/>
          <w:lang w:val="id-ID"/>
        </w:rPr>
        <w:t>Penempatan obligasi euro didukung oleh ING, Société Générale, Deutsche Bank dan HSBC, obligasi dolar AS oleh ING, Société Générale dan Deutsche Bank.</w:t>
      </w:r>
    </w:p>
    <w:p w14:paraId="3B23EE38" w14:textId="77777777" w:rsidR="00C73244" w:rsidRPr="00F20ED7" w:rsidRDefault="00C73244" w:rsidP="00C73244">
      <w:pPr>
        <w:rPr>
          <w:rFonts w:cs="Segoe UI"/>
          <w:szCs w:val="22"/>
          <w:lang w:val="id-ID"/>
        </w:rPr>
      </w:pPr>
    </w:p>
    <w:p w14:paraId="6C76BF6B" w14:textId="77777777" w:rsidR="00C73244" w:rsidRPr="00F20ED7" w:rsidRDefault="00C73244" w:rsidP="00C73244">
      <w:pPr>
        <w:rPr>
          <w:rFonts w:cs="Segoe UI"/>
          <w:szCs w:val="22"/>
          <w:lang w:val="id-ID"/>
        </w:rPr>
      </w:pPr>
      <w:r w:rsidRPr="00F20ED7">
        <w:rPr>
          <w:rFonts w:cs="Segoe UI"/>
          <w:szCs w:val="22"/>
          <w:lang w:val="id-ID"/>
        </w:rPr>
        <w:t>Henkel menerapkan solusi inovatif di bidang Keuangan Berkelanjutan pada tahap awal. Pada tahun 2018, Henkel adalah perusahaan pertama di Jerman dan di seluruh dunia dalam industrinya yang menandatangani 'pinjaman terkait keberlanjutan' sindikasi, fasilitas kredit yang terkait dengan kinerja Henkel dalam tiga peringkat keberlanjutan independen. Pada Juli 2020, Henkel menjadi perusahaan pertama di dunia yang menerbitkan obligasi pengurangan sampah plastik, yang hasilnya secara khusus dialokasikan untuk proyek dan pengeluaran untuk mengurangi sampah plastik.</w:t>
      </w:r>
    </w:p>
    <w:p w14:paraId="526BED54" w14:textId="77777777" w:rsidR="00AB121B" w:rsidRPr="00F20ED7" w:rsidRDefault="00AB121B" w:rsidP="00D03DA4">
      <w:pPr>
        <w:rPr>
          <w:rFonts w:cs="Segoe UI"/>
          <w:szCs w:val="22"/>
          <w:lang w:val="id-ID"/>
        </w:rPr>
      </w:pPr>
    </w:p>
    <w:p w14:paraId="393D8A80" w14:textId="7F91DA0C" w:rsidR="00D03DA4" w:rsidRDefault="00D03DA4" w:rsidP="00D03DA4">
      <w:pPr>
        <w:jc w:val="left"/>
        <w:rPr>
          <w:rFonts w:cs="Segoe UI"/>
          <w:lang w:val="id-ID"/>
        </w:rPr>
      </w:pPr>
    </w:p>
    <w:p w14:paraId="1966EAB5" w14:textId="46EEE9BA" w:rsidR="00CB5A06" w:rsidRDefault="00CB5A06" w:rsidP="00D03DA4">
      <w:pPr>
        <w:jc w:val="left"/>
        <w:rPr>
          <w:rFonts w:cs="Segoe UI"/>
          <w:lang w:val="id-ID"/>
        </w:rPr>
      </w:pPr>
    </w:p>
    <w:p w14:paraId="56895977" w14:textId="77777777" w:rsidR="00CB5A06" w:rsidRPr="00F20ED7" w:rsidRDefault="00CB5A06" w:rsidP="00D03DA4">
      <w:pPr>
        <w:jc w:val="left"/>
        <w:rPr>
          <w:rFonts w:cs="Segoe UI"/>
          <w:lang w:val="id-ID"/>
        </w:rPr>
      </w:pPr>
    </w:p>
    <w:p w14:paraId="08F71D74" w14:textId="687F63A8" w:rsidR="00D03DA4" w:rsidRPr="00F20ED7" w:rsidRDefault="00C73244" w:rsidP="006220FF">
      <w:pPr>
        <w:rPr>
          <w:rStyle w:val="AboutandContactHeadline"/>
          <w:lang w:val="id-ID"/>
        </w:rPr>
      </w:pPr>
      <w:r w:rsidRPr="00F20ED7">
        <w:rPr>
          <w:rStyle w:val="AboutandContactHeadline"/>
          <w:lang w:val="id-ID"/>
        </w:rPr>
        <w:t>Tentang</w:t>
      </w:r>
      <w:r w:rsidR="00D03DA4" w:rsidRPr="00F20ED7">
        <w:rPr>
          <w:rStyle w:val="AboutandContactHeadline"/>
          <w:lang w:val="id-ID"/>
        </w:rPr>
        <w:t xml:space="preserve"> Henkel</w:t>
      </w:r>
    </w:p>
    <w:p w14:paraId="0B31B386" w14:textId="43912490" w:rsidR="00D03DA4" w:rsidRPr="00F20ED7" w:rsidRDefault="00C73244" w:rsidP="006220FF">
      <w:pPr>
        <w:rPr>
          <w:rStyle w:val="AboutandContactBody"/>
          <w:lang w:val="id-ID"/>
        </w:rPr>
      </w:pPr>
      <w:r w:rsidRPr="00F20ED7">
        <w:rPr>
          <w:rStyle w:val="AboutandContactBody"/>
          <w:lang w:val="id-ID"/>
        </w:rPr>
        <w:t>Henkel beroperasi secara global dengan portofolio yang seimbang dan terdiversifikasi. Perusahaan memegang posisi terdepan dengan tiga unit bisnisnya di bisnis industri dan konsumen berkat merek, inovasi, dan teknologi yang kuat. Henkel Adhesive Technologies adalah pemimpin global di pasar perekat – di semua segmen industri di seluruh dunia. Dalam bisnis Laundry &amp; Home Care dan Beauty Care, Henkel memegang posisi terdepan di banyak pasar dan kategori di seluruh dunia. Didirikan pada tahun 1876, Henkel melihat kembali kesuksesan selama lebih dari 140 tahun. Pada tahun 2020, Henkel melaporkan penjualan lebih dari 19 miliar euro dan laba operasi yang disesuaikan sekitar 2,6 miliar euro. Henkel mempekerjakan sekitar 53.000 orang di seluruh dunia – tim yang bersemangat dan sangat beragam, disatukan oleh budaya perusahaan yang kuat dan nilai-nilai bersama. Sebagai pemimpin yang diakui dalam keberlanjutan, Henkel memegang posisi teratas di banyak indeks dan peringkat internasional. Saham preferen Henkel terdaftar di indeks saham Jerman DAX. Untuk informasi lebih lanjut, silahkan kunjungi</w:t>
      </w:r>
      <w:r w:rsidR="00D03DA4" w:rsidRPr="00F20ED7">
        <w:rPr>
          <w:rStyle w:val="AboutandContactBody"/>
          <w:lang w:val="id-ID"/>
        </w:rPr>
        <w:t xml:space="preserve"> </w:t>
      </w:r>
      <w:hyperlink r:id="rId12" w:history="1">
        <w:r w:rsidR="00D03DA4" w:rsidRPr="00F20ED7">
          <w:rPr>
            <w:rStyle w:val="Hyperlink"/>
            <w:szCs w:val="24"/>
            <w:lang w:val="id-ID"/>
          </w:rPr>
          <w:t>www.henkel.com</w:t>
        </w:r>
      </w:hyperlink>
      <w:r w:rsidR="00D03DA4" w:rsidRPr="00F20ED7">
        <w:rPr>
          <w:rStyle w:val="AboutandContactBody"/>
          <w:lang w:val="id-ID"/>
        </w:rPr>
        <w:t>.</w:t>
      </w:r>
    </w:p>
    <w:p w14:paraId="0CC0E0FE" w14:textId="77777777" w:rsidR="00D03DA4" w:rsidRPr="00F20ED7" w:rsidRDefault="00D03DA4" w:rsidP="006220FF">
      <w:pPr>
        <w:rPr>
          <w:rStyle w:val="AboutandContactHeadline"/>
          <w:lang w:val="id-ID"/>
        </w:rPr>
      </w:pPr>
    </w:p>
    <w:p w14:paraId="1B2FE3D5" w14:textId="77777777" w:rsidR="003A5C00" w:rsidRPr="00F20ED7" w:rsidRDefault="003A5C00" w:rsidP="006220FF">
      <w:pPr>
        <w:rPr>
          <w:rStyle w:val="AboutandContactHeadline"/>
          <w:lang w:val="id-ID"/>
        </w:rPr>
      </w:pPr>
    </w:p>
    <w:p w14:paraId="04EF6967" w14:textId="77777777" w:rsidR="003A5C00" w:rsidRPr="00F20ED7" w:rsidRDefault="00C73244" w:rsidP="006220FF">
      <w:pPr>
        <w:rPr>
          <w:rStyle w:val="Hyperlink"/>
          <w:b/>
          <w:bCs/>
          <w:szCs w:val="24"/>
          <w:lang w:val="id-ID"/>
        </w:rPr>
      </w:pPr>
      <w:r w:rsidRPr="00F20ED7">
        <w:rPr>
          <w:rStyle w:val="AboutandContactHeadline"/>
          <w:lang w:val="id-ID"/>
        </w:rPr>
        <w:t>Bahan foto tersedia di</w:t>
      </w:r>
      <w:r w:rsidR="00D03DA4" w:rsidRPr="00F20ED7">
        <w:rPr>
          <w:rStyle w:val="AboutandContactHeadline"/>
          <w:lang w:val="id-ID"/>
        </w:rPr>
        <w:t xml:space="preserve"> </w:t>
      </w:r>
      <w:hyperlink r:id="rId13" w:history="1">
        <w:r w:rsidR="00D03DA4" w:rsidRPr="00F20ED7">
          <w:rPr>
            <w:rStyle w:val="Hyperlink"/>
            <w:b/>
            <w:bCs/>
            <w:szCs w:val="24"/>
            <w:lang w:val="id-ID"/>
          </w:rPr>
          <w:t>www.henkel.com/press</w:t>
        </w:r>
      </w:hyperlink>
    </w:p>
    <w:p w14:paraId="030F0ADC" w14:textId="6FAB4292" w:rsidR="00C73244" w:rsidRPr="00F20ED7" w:rsidRDefault="00C73244" w:rsidP="006220FF">
      <w:pPr>
        <w:rPr>
          <w:rStyle w:val="Emphasis"/>
          <w:b/>
          <w:bCs/>
          <w:i w:val="0"/>
          <w:iCs w:val="0"/>
          <w:sz w:val="18"/>
          <w:lang w:val="id-ID"/>
        </w:rPr>
      </w:pPr>
      <w:r w:rsidRPr="00F20ED7">
        <w:rPr>
          <w:rStyle w:val="Emphasis"/>
          <w:rFonts w:cs="Segoe UI"/>
          <w:color w:val="000000"/>
          <w:sz w:val="18"/>
          <w:szCs w:val="18"/>
          <w:lang w:val="id-ID"/>
        </w:rPr>
        <w:t>Informasi ini berisi pernyataan berwawasan ke depan yang didasarkan pada perkiraan dan asumsi saat ini yang dibuat oleh manajemen perusahaan Henkel AG &amp; Co. KGaA. Pernyataan sehubungan dengan masa depan ditandai dengan penggunaan kata-kata seperti "mengharapkan", "bermaksud", "merencanakan", "mengantisipasi", "percaya", "memperkirakan", dan istilah serupa. Pernyataan seperti itu tidak untuk dipahami karena dengan cara apa pun menjamin bahwa harapan tersebut akan menjadi akurat. Kinerja dan hasil masa depan yang sebenarnya dicapai oleh Henkel AG &amp; Co. KGaA dan perusahaan afiliasinya bergantung pada sejumlah risiko dan ketidakpastian dan oleh karena itu mungkin berbeda secara material dari pernyataan berwawasan ke depan. Banyak dari faktor ini berada di luar kendali Henkel dan tidak dapat diperkirakan secara akurat sebelumnya, seperti lingkungan ekonomi masa depan dan tindakan pesaing dan pihak lain yang terlibat di pasar. Henkel tidak berencana atau berjanji untuk memperbarui pernyataan berwawasan ke depan.</w:t>
      </w:r>
    </w:p>
    <w:p w14:paraId="39A20F97" w14:textId="77777777" w:rsidR="00C73244" w:rsidRPr="00F20ED7" w:rsidRDefault="00C73244" w:rsidP="006220FF">
      <w:pPr>
        <w:pStyle w:val="NormalWeb"/>
        <w:shd w:val="clear" w:color="auto" w:fill="FFFFFF"/>
        <w:spacing w:line="276" w:lineRule="auto"/>
        <w:jc w:val="both"/>
        <w:rPr>
          <w:rStyle w:val="Emphasis"/>
          <w:rFonts w:ascii="Segoe UI" w:hAnsi="Segoe UI" w:cs="Segoe UI"/>
          <w:color w:val="000000"/>
          <w:sz w:val="18"/>
          <w:szCs w:val="18"/>
          <w:lang w:val="id-ID"/>
        </w:rPr>
      </w:pPr>
      <w:r w:rsidRPr="00F20ED7">
        <w:rPr>
          <w:rStyle w:val="Emphasis"/>
          <w:rFonts w:ascii="Segoe UI" w:hAnsi="Segoe UI" w:cs="Segoe UI"/>
          <w:color w:val="000000"/>
          <w:sz w:val="18"/>
          <w:szCs w:val="18"/>
          <w:lang w:val="id-ID"/>
        </w:rPr>
        <w:lastRenderedPageBreak/>
        <w:t>Dokumen ini mencakup – dalam kerangka pelaporan keuangan yang berlaku yang tidak didefinisikan dengan jelas – ukuran keuangan tambahan yang merupakan atau mungkin merupakan ukuran kinerja alternatif (ukuran non-GAAP). Ukuran keuangan tambahan ini tidak boleh dilihat secara terpisah atau sebagai alternatif dari ukuran aset bersih dan posisi keuangan atau hasil operasi Henkel sebagaimana disajikan sesuai dengan kerangka pelaporan keuangan yang berlaku dalam Laporan Keuangan Konsolidasiannya. Perusahaan lain yang melaporkan atau menjelaskan ukuran kinerja alternatif dengan judul yang sama mungkin menghitungnya secara berbeda.</w:t>
      </w:r>
    </w:p>
    <w:p w14:paraId="2A474A70" w14:textId="52520D82" w:rsidR="00BF6E82" w:rsidRPr="00F20ED7" w:rsidRDefault="00C73244" w:rsidP="006220FF">
      <w:pPr>
        <w:pStyle w:val="NormalWeb"/>
        <w:shd w:val="clear" w:color="auto" w:fill="FFFFFF"/>
        <w:spacing w:before="0" w:beforeAutospacing="0" w:after="0" w:afterAutospacing="0" w:line="276" w:lineRule="auto"/>
        <w:jc w:val="both"/>
        <w:rPr>
          <w:rStyle w:val="Emphasis"/>
          <w:rFonts w:ascii="Segoe UI" w:hAnsi="Segoe UI" w:cs="Segoe UI"/>
          <w:color w:val="000000"/>
          <w:sz w:val="18"/>
          <w:szCs w:val="18"/>
          <w:lang w:val="id-ID"/>
        </w:rPr>
      </w:pPr>
      <w:r w:rsidRPr="00F20ED7">
        <w:rPr>
          <w:rStyle w:val="Emphasis"/>
          <w:rFonts w:ascii="Segoe UI" w:hAnsi="Segoe UI" w:cs="Segoe UI"/>
          <w:color w:val="000000"/>
          <w:sz w:val="18"/>
          <w:szCs w:val="18"/>
          <w:lang w:val="id-ID"/>
        </w:rPr>
        <w:t>Dokumen ini diterbitkan hanya untuk tujuan informasi dan tidak dimaksudkan sebagai nasihat investasi atau penawaran untuk menjual, atau ajakan untuk membeli, sekuritas apa pun.</w:t>
      </w:r>
    </w:p>
    <w:p w14:paraId="30DD0753" w14:textId="77777777" w:rsidR="00C73244" w:rsidRPr="00F20ED7" w:rsidRDefault="00C73244" w:rsidP="00C73244">
      <w:pPr>
        <w:pStyle w:val="NormalWeb"/>
        <w:shd w:val="clear" w:color="auto" w:fill="FFFFFF"/>
        <w:spacing w:before="0" w:beforeAutospacing="0" w:after="0" w:afterAutospacing="0" w:line="276" w:lineRule="auto"/>
        <w:jc w:val="both"/>
        <w:rPr>
          <w:rStyle w:val="AboutandContactBody"/>
          <w:rFonts w:cs="Segoe UI"/>
          <w:i/>
          <w:iCs/>
          <w:color w:val="000000"/>
          <w:szCs w:val="18"/>
          <w:lang w:val="id-ID"/>
        </w:rPr>
      </w:pPr>
    </w:p>
    <w:p w14:paraId="0BFF6B34" w14:textId="77777777" w:rsidR="00BF6E82" w:rsidRPr="00F20ED7" w:rsidRDefault="00BF6E82" w:rsidP="00BF6E82">
      <w:pPr>
        <w:rPr>
          <w:rStyle w:val="AboutandContactBody"/>
          <w:lang w:val="id-ID"/>
        </w:rPr>
      </w:pPr>
    </w:p>
    <w:p w14:paraId="32AAE9EC" w14:textId="75B4EB0F" w:rsidR="00AE0BCC" w:rsidRPr="00F20ED7" w:rsidRDefault="00C73244" w:rsidP="00BF6E82">
      <w:pPr>
        <w:tabs>
          <w:tab w:val="left" w:pos="1080"/>
          <w:tab w:val="left" w:pos="4500"/>
        </w:tabs>
        <w:rPr>
          <w:rStyle w:val="AboutandContactBody"/>
          <w:b/>
          <w:bCs/>
          <w:lang w:val="id-ID"/>
        </w:rPr>
      </w:pPr>
      <w:r w:rsidRPr="00F20ED7">
        <w:rPr>
          <w:rStyle w:val="AboutandContactBody"/>
          <w:b/>
          <w:bCs/>
          <w:lang w:val="id-ID"/>
        </w:rPr>
        <w:t>Kontak</w:t>
      </w:r>
    </w:p>
    <w:p w14:paraId="07C56D12" w14:textId="77777777" w:rsidR="00AE0BCC" w:rsidRPr="00F20ED7" w:rsidRDefault="00AE0BCC" w:rsidP="00BF6E82">
      <w:pPr>
        <w:tabs>
          <w:tab w:val="left" w:pos="1080"/>
          <w:tab w:val="left" w:pos="4500"/>
        </w:tabs>
        <w:rPr>
          <w:rStyle w:val="AboutandContactBody"/>
          <w:b/>
          <w:bCs/>
          <w:lang w:val="id-ID"/>
        </w:rPr>
      </w:pPr>
      <w:r w:rsidRPr="00F20ED7">
        <w:rPr>
          <w:rStyle w:val="AboutandContactBody"/>
          <w:b/>
          <w:bCs/>
          <w:lang w:val="id-ID"/>
        </w:rPr>
        <w:t>Maggie Tan</w:t>
      </w:r>
    </w:p>
    <w:p w14:paraId="4A6862E5" w14:textId="77777777" w:rsidR="00AE0BCC" w:rsidRPr="00F20ED7" w:rsidRDefault="00AE0BCC" w:rsidP="00BF6E82">
      <w:pPr>
        <w:tabs>
          <w:tab w:val="left" w:pos="1080"/>
          <w:tab w:val="left" w:pos="4500"/>
        </w:tabs>
        <w:rPr>
          <w:rStyle w:val="AboutandContactBody"/>
          <w:lang w:val="id-ID"/>
        </w:rPr>
      </w:pPr>
      <w:r w:rsidRPr="00F20ED7">
        <w:rPr>
          <w:rStyle w:val="AboutandContactBody"/>
          <w:lang w:val="id-ID"/>
        </w:rPr>
        <w:t>Henkel</w:t>
      </w:r>
    </w:p>
    <w:p w14:paraId="5B1A37E1" w14:textId="5CF0F129" w:rsidR="00AE0BCC" w:rsidRPr="00F20ED7" w:rsidRDefault="00C73244" w:rsidP="00BF6E82">
      <w:pPr>
        <w:tabs>
          <w:tab w:val="left" w:pos="1080"/>
          <w:tab w:val="left" w:pos="4500"/>
        </w:tabs>
        <w:rPr>
          <w:rStyle w:val="AboutandContactBody"/>
          <w:rFonts w:cs="Segoe UI"/>
          <w:szCs w:val="18"/>
          <w:lang w:val="id-ID"/>
        </w:rPr>
      </w:pPr>
      <w:r w:rsidRPr="00F20ED7">
        <w:rPr>
          <w:rStyle w:val="AboutandContactBody"/>
          <w:rFonts w:cs="Segoe UI"/>
          <w:szCs w:val="18"/>
          <w:lang w:val="id-ID"/>
        </w:rPr>
        <w:t xml:space="preserve">Telp </w:t>
      </w:r>
      <w:r w:rsidR="00AE0BCC" w:rsidRPr="00F20ED7">
        <w:rPr>
          <w:rStyle w:val="AboutandContactBody"/>
          <w:rFonts w:cs="Segoe UI"/>
          <w:szCs w:val="18"/>
          <w:lang w:val="id-ID"/>
        </w:rPr>
        <w:t>: +65 6424 7045</w:t>
      </w:r>
    </w:p>
    <w:p w14:paraId="663765B3" w14:textId="2F221622" w:rsidR="00BF6E82" w:rsidRPr="00F20ED7" w:rsidRDefault="00AE0BCC" w:rsidP="00AE0BCC">
      <w:pPr>
        <w:tabs>
          <w:tab w:val="left" w:pos="1080"/>
          <w:tab w:val="left" w:pos="4500"/>
        </w:tabs>
        <w:rPr>
          <w:rStyle w:val="AboutandContactBody"/>
          <w:lang w:val="id-ID"/>
        </w:rPr>
      </w:pPr>
      <w:r w:rsidRPr="00F20ED7">
        <w:rPr>
          <w:rStyle w:val="AboutandContactBody"/>
          <w:rFonts w:cs="Segoe UI"/>
          <w:szCs w:val="18"/>
          <w:lang w:val="id-ID"/>
        </w:rPr>
        <w:t xml:space="preserve">Email:  </w:t>
      </w:r>
      <w:hyperlink r:id="rId14" w:history="1">
        <w:r w:rsidRPr="00F20ED7">
          <w:rPr>
            <w:rStyle w:val="Hyperlink"/>
            <w:rFonts w:cs="Segoe UI"/>
            <w:lang w:val="id-ID"/>
          </w:rPr>
          <w:t>maggie.tan@henkel.com</w:t>
        </w:r>
      </w:hyperlink>
      <w:r w:rsidR="00BF6E82" w:rsidRPr="00F20ED7">
        <w:rPr>
          <w:rStyle w:val="AboutandContactBody"/>
          <w:lang w:val="id-ID"/>
        </w:rPr>
        <w:tab/>
      </w:r>
    </w:p>
    <w:p w14:paraId="76457730" w14:textId="77777777" w:rsidR="00BF6E82" w:rsidRPr="00F20ED7" w:rsidRDefault="00BF6E82" w:rsidP="00BF6E82">
      <w:pPr>
        <w:rPr>
          <w:rStyle w:val="AboutandContactBody"/>
          <w:lang w:val="id-ID"/>
        </w:rPr>
      </w:pPr>
    </w:p>
    <w:sectPr w:rsidR="00BF6E82" w:rsidRPr="00F20ED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39D8" w14:textId="77777777" w:rsidR="00233C71" w:rsidRDefault="00233C71">
      <w:r>
        <w:separator/>
      </w:r>
    </w:p>
  </w:endnote>
  <w:endnote w:type="continuationSeparator" w:id="0">
    <w:p w14:paraId="0B9053A6" w14:textId="77777777" w:rsidR="00233C71" w:rsidRDefault="00233C71">
      <w:r>
        <w:continuationSeparator/>
      </w:r>
    </w:p>
  </w:endnote>
  <w:endnote w:type="continuationNotice" w:id="1">
    <w:p w14:paraId="1CB0E002" w14:textId="77777777" w:rsidR="00233C71" w:rsidRDefault="00233C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66B301" w:rsidR="00CF6F33" w:rsidRPr="00112A28" w:rsidRDefault="00112A28" w:rsidP="00112A28">
    <w:pPr>
      <w:pStyle w:val="Footer"/>
      <w:tabs>
        <w:tab w:val="clear" w:pos="7083"/>
        <w:tab w:val="clear" w:pos="8640"/>
        <w:tab w:val="right" w:pos="9071"/>
      </w:tabs>
      <w:jc w:val="both"/>
    </w:pPr>
    <w:r w:rsidRPr="00BF6E82">
      <w:t>Henkel AG &amp; Co. KGaA</w:t>
    </w:r>
    <w:r>
      <w:tab/>
    </w:r>
    <w:r w:rsidR="00C73244">
      <w:t>Halaman</w:t>
    </w:r>
    <w:r w:rsidRPr="00BF6E82">
      <w:t xml:space="preserve"> </w:t>
    </w:r>
    <w:r w:rsidRPr="00BF6E82">
      <w:fldChar w:fldCharType="begin"/>
    </w:r>
    <w:r w:rsidRPr="00BF6E82">
      <w:instrText xml:space="preserve"> PAGE  \* Arabic  \* MERGEFORMAT </w:instrText>
    </w:r>
    <w:r w:rsidRPr="00BF6E82">
      <w:fldChar w:fldCharType="separate"/>
    </w:r>
    <w:r w:rsidR="003A5C00">
      <w:t>2</w:t>
    </w:r>
    <w:r w:rsidRPr="00BF6E82">
      <w:fldChar w:fldCharType="end"/>
    </w:r>
    <w:r w:rsidRPr="00BF6E82">
      <w:t>/</w:t>
    </w:r>
    <w:fldSimple w:instr=" NUMPAGES  \* Arabic  \* MERGEFORMAT ">
      <w:r w:rsidR="003A5C00">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B7AE13B" w:rsidR="00CF6F33" w:rsidRPr="00992A11" w:rsidRDefault="0059722C" w:rsidP="00992A11">
    <w:pPr>
      <w:pStyle w:val="Footer"/>
    </w:pPr>
    <w:bookmarkStart w:id="2" w:name="_Hlk505758583"/>
    <w:r w:rsidRPr="00992A11">
      <w:drawing>
        <wp:anchor distT="0" distB="0" distL="114300" distR="114300" simplePos="0" relativeHeight="251657728" behindDoc="0" locked="0" layoutInCell="1" allowOverlap="1" wp14:anchorId="5BBC2405" wp14:editId="54BE28A9">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C73244">
      <w:t>Halaman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A5C00">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A5C00">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9578" w14:textId="77777777" w:rsidR="00233C71" w:rsidRDefault="00233C71">
      <w:r>
        <w:separator/>
      </w:r>
    </w:p>
  </w:footnote>
  <w:footnote w:type="continuationSeparator" w:id="0">
    <w:p w14:paraId="79ECCEB8" w14:textId="77777777" w:rsidR="00233C71" w:rsidRDefault="00233C71">
      <w:r>
        <w:continuationSeparator/>
      </w:r>
    </w:p>
  </w:footnote>
  <w:footnote w:type="continuationNotice" w:id="1">
    <w:p w14:paraId="3FB02263" w14:textId="77777777" w:rsidR="00233C71" w:rsidRDefault="00233C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E394F9E"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1D0D4ED0">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22954D2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3EC4A9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73244" w:rsidRPr="00C73244">
      <w:t xml:space="preserve"> </w:t>
    </w:r>
    <w:r w:rsidR="00C73244" w:rsidRPr="00C73244">
      <w:rPr>
        <w:noProof/>
      </w:rPr>
      <w:t>Jumpa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AA4"/>
    <w:rsid w:val="00005267"/>
    <w:rsid w:val="00006346"/>
    <w:rsid w:val="00012A55"/>
    <w:rsid w:val="00021C67"/>
    <w:rsid w:val="000252E9"/>
    <w:rsid w:val="00030557"/>
    <w:rsid w:val="00030F51"/>
    <w:rsid w:val="00035A84"/>
    <w:rsid w:val="00040CC9"/>
    <w:rsid w:val="00051E86"/>
    <w:rsid w:val="000536F2"/>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3C71"/>
    <w:rsid w:val="00234ABD"/>
    <w:rsid w:val="00236E2A"/>
    <w:rsid w:val="00237F62"/>
    <w:rsid w:val="0024586A"/>
    <w:rsid w:val="00256F0C"/>
    <w:rsid w:val="00262C05"/>
    <w:rsid w:val="00281D14"/>
    <w:rsid w:val="00282C13"/>
    <w:rsid w:val="002A019C"/>
    <w:rsid w:val="002A0DF7"/>
    <w:rsid w:val="002A2975"/>
    <w:rsid w:val="002A60E0"/>
    <w:rsid w:val="002B78E5"/>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5C00"/>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075E8"/>
    <w:rsid w:val="006144B1"/>
    <w:rsid w:val="006220FF"/>
    <w:rsid w:val="006335F1"/>
    <w:rsid w:val="006345B6"/>
    <w:rsid w:val="00635712"/>
    <w:rsid w:val="00643D8A"/>
    <w:rsid w:val="006504F1"/>
    <w:rsid w:val="00650A2C"/>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473C"/>
    <w:rsid w:val="00767A4F"/>
    <w:rsid w:val="007715B9"/>
    <w:rsid w:val="00772188"/>
    <w:rsid w:val="0077514E"/>
    <w:rsid w:val="007813D0"/>
    <w:rsid w:val="00785993"/>
    <w:rsid w:val="007866E2"/>
    <w:rsid w:val="00786BA3"/>
    <w:rsid w:val="0079202F"/>
    <w:rsid w:val="00795AF2"/>
    <w:rsid w:val="007970FF"/>
    <w:rsid w:val="007A1B68"/>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87F99"/>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3F33"/>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21B"/>
    <w:rsid w:val="00AB1CB6"/>
    <w:rsid w:val="00AB1D9A"/>
    <w:rsid w:val="00AD44FE"/>
    <w:rsid w:val="00AE0BCC"/>
    <w:rsid w:val="00AE49F1"/>
    <w:rsid w:val="00B05CCA"/>
    <w:rsid w:val="00B14271"/>
    <w:rsid w:val="00B16270"/>
    <w:rsid w:val="00B236B8"/>
    <w:rsid w:val="00B2685D"/>
    <w:rsid w:val="00B26F8A"/>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73244"/>
    <w:rsid w:val="00C808A6"/>
    <w:rsid w:val="00C80A7C"/>
    <w:rsid w:val="00C84442"/>
    <w:rsid w:val="00C95538"/>
    <w:rsid w:val="00C97091"/>
    <w:rsid w:val="00C97260"/>
    <w:rsid w:val="00CA2001"/>
    <w:rsid w:val="00CB5A06"/>
    <w:rsid w:val="00CB5B6C"/>
    <w:rsid w:val="00CC052E"/>
    <w:rsid w:val="00CD16BE"/>
    <w:rsid w:val="00CD267C"/>
    <w:rsid w:val="00CD4616"/>
    <w:rsid w:val="00CD56AF"/>
    <w:rsid w:val="00CE33D5"/>
    <w:rsid w:val="00CF5D37"/>
    <w:rsid w:val="00CF6F33"/>
    <w:rsid w:val="00D02248"/>
    <w:rsid w:val="00D03DA4"/>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1E20"/>
    <w:rsid w:val="00E93A01"/>
    <w:rsid w:val="00E93FF8"/>
    <w:rsid w:val="00E96EAF"/>
    <w:rsid w:val="00EA1752"/>
    <w:rsid w:val="00EA5A89"/>
    <w:rsid w:val="00EA5BDB"/>
    <w:rsid w:val="00EB46D9"/>
    <w:rsid w:val="00EC142D"/>
    <w:rsid w:val="00EC1E16"/>
    <w:rsid w:val="00ED0024"/>
    <w:rsid w:val="00ED0F85"/>
    <w:rsid w:val="00ED1C0C"/>
    <w:rsid w:val="00ED2B5C"/>
    <w:rsid w:val="00ED3269"/>
    <w:rsid w:val="00EE1A8C"/>
    <w:rsid w:val="00EE4643"/>
    <w:rsid w:val="00EF1330"/>
    <w:rsid w:val="00EF15FF"/>
    <w:rsid w:val="00EF7111"/>
    <w:rsid w:val="00EF7D1A"/>
    <w:rsid w:val="00F0448F"/>
    <w:rsid w:val="00F0716C"/>
    <w:rsid w:val="00F20ED7"/>
    <w:rsid w:val="00F270E9"/>
    <w:rsid w:val="00F275C0"/>
    <w:rsid w:val="00F346B6"/>
    <w:rsid w:val="00F36145"/>
    <w:rsid w:val="00F37BDD"/>
    <w:rsid w:val="00F41503"/>
    <w:rsid w:val="00F4602F"/>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docId w15:val="{190AAE13-0EA3-426E-B031-500D882A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uiPriority w:val="99"/>
    <w:unhideWhenUsed/>
    <w:rsid w:val="00D03DA4"/>
    <w:pPr>
      <w:spacing w:before="100" w:beforeAutospacing="1" w:after="100" w:afterAutospacing="1" w:line="240" w:lineRule="auto"/>
      <w:jc w:val="left"/>
    </w:pPr>
    <w:rPr>
      <w:rFonts w:ascii="Times New Roman" w:hAnsi="Times New Roman"/>
      <w:sz w:val="24"/>
      <w:lang w:val="en-GB" w:eastAsia="zh-CN"/>
    </w:rPr>
  </w:style>
  <w:style w:type="character" w:styleId="Emphasis">
    <w:name w:val="Emphasis"/>
    <w:basedOn w:val="DefaultParagraphFont"/>
    <w:uiPriority w:val="20"/>
    <w:qFormat/>
    <w:rsid w:val="00D03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86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EA1008DF-8820-4056-B655-E46AA6B0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932</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Lydia Gan</cp:lastModifiedBy>
  <cp:revision>9</cp:revision>
  <cp:lastPrinted>2021-11-22T07:48:00Z</cp:lastPrinted>
  <dcterms:created xsi:type="dcterms:W3CDTF">2021-11-18T03:30:00Z</dcterms:created>
  <dcterms:modified xsi:type="dcterms:W3CDTF">2021-12-06T08:36:00Z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