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81AB" w14:textId="77777777" w:rsidR="00062AA3" w:rsidRPr="00A936F0" w:rsidRDefault="00296953" w:rsidP="00DD6732">
      <w:pPr>
        <w:spacing w:after="163"/>
        <w:jc w:val="right"/>
        <w:rPr>
          <w:rFonts w:cs="Arial"/>
          <w:b/>
          <w:snapToGrid/>
          <w:sz w:val="32"/>
        </w:rPr>
      </w:pPr>
      <w:r w:rsidRPr="00A936F0">
        <w:rPr>
          <w:rFonts w:hint="eastAsia"/>
          <w:b/>
          <w:snapToGrid/>
          <w:sz w:val="32"/>
        </w:rPr>
        <w:t>新闻稿</w:t>
      </w:r>
    </w:p>
    <w:p w14:paraId="5C1C8136" w14:textId="77777777" w:rsidR="00062AA3" w:rsidRPr="00A936F0" w:rsidRDefault="00296953" w:rsidP="00DD6732">
      <w:pPr>
        <w:spacing w:after="163"/>
        <w:jc w:val="right"/>
        <w:rPr>
          <w:rFonts w:cs="Arial"/>
          <w:snapToGrid/>
        </w:rPr>
      </w:pPr>
      <w:r w:rsidRPr="00A936F0">
        <w:rPr>
          <w:rFonts w:hint="eastAsia"/>
          <w:snapToGrid/>
        </w:rPr>
        <w:t>2022</w:t>
      </w:r>
      <w:r w:rsidRPr="00A936F0">
        <w:rPr>
          <w:rFonts w:hint="eastAsia"/>
          <w:snapToGrid/>
        </w:rPr>
        <w:t>年</w:t>
      </w:r>
      <w:r w:rsidRPr="00A936F0">
        <w:rPr>
          <w:rFonts w:hint="eastAsia"/>
          <w:snapToGrid/>
        </w:rPr>
        <w:t>1</w:t>
      </w:r>
      <w:r w:rsidRPr="00A936F0">
        <w:rPr>
          <w:rFonts w:hint="eastAsia"/>
          <w:snapToGrid/>
        </w:rPr>
        <w:t>月</w:t>
      </w:r>
      <w:r w:rsidRPr="00A936F0">
        <w:rPr>
          <w:rFonts w:hint="eastAsia"/>
          <w:snapToGrid/>
        </w:rPr>
        <w:t>28</w:t>
      </w:r>
      <w:r w:rsidRPr="00A936F0">
        <w:rPr>
          <w:rFonts w:hint="eastAsia"/>
          <w:snapToGrid/>
        </w:rPr>
        <w:t>日</w:t>
      </w:r>
    </w:p>
    <w:p w14:paraId="2E683EC6" w14:textId="77777777" w:rsidR="00062AA3" w:rsidRPr="00A936F0" w:rsidRDefault="00296953" w:rsidP="00062AA3">
      <w:pPr>
        <w:spacing w:after="163"/>
        <w:rPr>
          <w:rFonts w:cs="Arial"/>
          <w:snapToGrid/>
        </w:rPr>
      </w:pPr>
      <w:r w:rsidRPr="00A936F0">
        <w:rPr>
          <w:rFonts w:hint="eastAsia"/>
          <w:snapToGrid/>
        </w:rPr>
        <w:t>进一步推动目标性增长议程的综合举措</w:t>
      </w:r>
    </w:p>
    <w:p w14:paraId="70B45957" w14:textId="7133D77B" w:rsidR="00062AA3" w:rsidRPr="00A936F0" w:rsidRDefault="00296953" w:rsidP="00062AA3">
      <w:pPr>
        <w:spacing w:after="163"/>
        <w:rPr>
          <w:rFonts w:cs="Arial"/>
          <w:b/>
          <w:snapToGrid/>
          <w:sz w:val="28"/>
        </w:rPr>
      </w:pPr>
      <w:r w:rsidRPr="00A936F0">
        <w:rPr>
          <w:rFonts w:hint="eastAsia"/>
          <w:b/>
          <w:snapToGrid/>
          <w:sz w:val="28"/>
        </w:rPr>
        <w:t>汉高计划将洗涤剂及家用护理业务部</w:t>
      </w:r>
      <w:r w:rsidR="00050F9A">
        <w:rPr>
          <w:rFonts w:hint="eastAsia"/>
          <w:b/>
          <w:snapToGrid/>
          <w:sz w:val="28"/>
        </w:rPr>
        <w:t>与</w:t>
      </w:r>
      <w:r w:rsidRPr="00A936F0">
        <w:rPr>
          <w:rFonts w:hint="eastAsia"/>
          <w:b/>
          <w:snapToGrid/>
          <w:sz w:val="28"/>
        </w:rPr>
        <w:t>化妆品</w:t>
      </w:r>
      <w:r w:rsidRPr="00A936F0">
        <w:rPr>
          <w:rFonts w:hint="eastAsia"/>
          <w:b/>
          <w:snapToGrid/>
          <w:sz w:val="28"/>
        </w:rPr>
        <w:t>/</w:t>
      </w:r>
      <w:r w:rsidRPr="00A936F0">
        <w:rPr>
          <w:rFonts w:hint="eastAsia"/>
          <w:b/>
          <w:snapToGrid/>
          <w:sz w:val="28"/>
        </w:rPr>
        <w:t>美容用品业务部合并</w:t>
      </w:r>
      <w:r w:rsidR="00630049">
        <w:rPr>
          <w:rFonts w:hint="eastAsia"/>
          <w:b/>
          <w:snapToGrid/>
          <w:sz w:val="28"/>
        </w:rPr>
        <w:t>成为全新</w:t>
      </w:r>
      <w:r w:rsidRPr="00A936F0">
        <w:rPr>
          <w:rFonts w:hint="eastAsia"/>
          <w:b/>
          <w:snapToGrid/>
          <w:sz w:val="28"/>
        </w:rPr>
        <w:t>的“消费品牌”业务部</w:t>
      </w:r>
    </w:p>
    <w:p w14:paraId="58CD9966" w14:textId="77777777"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打造一个销售额约为</w:t>
      </w:r>
      <w:r w:rsidRPr="00A936F0">
        <w:rPr>
          <w:rFonts w:ascii="Arial" w:hAnsi="Arial" w:hint="eastAsia"/>
          <w:b/>
          <w:sz w:val="24"/>
        </w:rPr>
        <w:t>100</w:t>
      </w:r>
      <w:r w:rsidRPr="00A936F0">
        <w:rPr>
          <w:rFonts w:ascii="Arial" w:hAnsi="Arial" w:hint="eastAsia"/>
          <w:b/>
          <w:sz w:val="24"/>
        </w:rPr>
        <w:t>亿欧元的多品类增长平台</w:t>
      </w:r>
    </w:p>
    <w:p w14:paraId="4AB34AED" w14:textId="7A660A9A"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持续优化消费</w:t>
      </w:r>
      <w:r w:rsidR="00050F9A">
        <w:rPr>
          <w:rFonts w:ascii="Arial" w:hAnsi="Arial" w:hint="eastAsia"/>
          <w:b/>
          <w:sz w:val="24"/>
        </w:rPr>
        <w:t>品</w:t>
      </w:r>
      <w:r w:rsidR="000873C5">
        <w:rPr>
          <w:rFonts w:ascii="Arial" w:hAnsi="Arial" w:hint="eastAsia"/>
          <w:b/>
          <w:sz w:val="24"/>
        </w:rPr>
        <w:t>业务</w:t>
      </w:r>
      <w:r w:rsidRPr="00A936F0">
        <w:rPr>
          <w:rFonts w:ascii="Arial" w:hAnsi="Arial" w:hint="eastAsia"/>
          <w:b/>
          <w:sz w:val="24"/>
        </w:rPr>
        <w:t>组合：明确聚焦于</w:t>
      </w:r>
      <w:r w:rsidR="008B2A6D">
        <w:rPr>
          <w:rFonts w:ascii="Arial" w:hAnsi="Arial" w:hint="eastAsia"/>
          <w:b/>
          <w:sz w:val="24"/>
        </w:rPr>
        <w:t>具有良好</w:t>
      </w:r>
      <w:r w:rsidRPr="00A936F0">
        <w:rPr>
          <w:rFonts w:ascii="Arial" w:hAnsi="Arial" w:hint="eastAsia"/>
          <w:b/>
          <w:sz w:val="24"/>
        </w:rPr>
        <w:t>增长和利润潜力</w:t>
      </w:r>
      <w:r w:rsidR="00050F9A" w:rsidRPr="00A936F0">
        <w:rPr>
          <w:rFonts w:ascii="Arial" w:hAnsi="Arial" w:hint="eastAsia"/>
          <w:b/>
          <w:sz w:val="24"/>
        </w:rPr>
        <w:t>的核心品牌</w:t>
      </w:r>
      <w:r w:rsidR="008B2A6D">
        <w:rPr>
          <w:rFonts w:ascii="Arial" w:hAnsi="Arial" w:hint="eastAsia"/>
          <w:b/>
          <w:sz w:val="24"/>
        </w:rPr>
        <w:t>与</w:t>
      </w:r>
      <w:r w:rsidR="00050F9A" w:rsidRPr="00A936F0">
        <w:rPr>
          <w:rFonts w:ascii="Arial" w:hAnsi="Arial" w:hint="eastAsia"/>
          <w:b/>
          <w:sz w:val="24"/>
        </w:rPr>
        <w:t>业务</w:t>
      </w:r>
      <w:r w:rsidR="00050F9A">
        <w:rPr>
          <w:rFonts w:ascii="Arial" w:hAnsi="Arial" w:hint="eastAsia"/>
          <w:b/>
          <w:sz w:val="24"/>
        </w:rPr>
        <w:t>，</w:t>
      </w:r>
      <w:r w:rsidRPr="00A936F0">
        <w:rPr>
          <w:rFonts w:ascii="Arial" w:hAnsi="Arial" w:hint="eastAsia"/>
          <w:b/>
          <w:sz w:val="24"/>
        </w:rPr>
        <w:t>以及跨消费</w:t>
      </w:r>
      <w:r w:rsidR="00050F9A">
        <w:rPr>
          <w:rFonts w:ascii="Arial" w:hAnsi="Arial" w:hint="eastAsia"/>
          <w:b/>
          <w:sz w:val="24"/>
        </w:rPr>
        <w:t>品类的</w:t>
      </w:r>
      <w:r w:rsidR="00050F9A" w:rsidRPr="00A936F0">
        <w:rPr>
          <w:rFonts w:ascii="Arial" w:hAnsi="Arial" w:hint="eastAsia"/>
          <w:b/>
          <w:sz w:val="24"/>
        </w:rPr>
        <w:t>更强大</w:t>
      </w:r>
      <w:r w:rsidR="00050F9A">
        <w:rPr>
          <w:rFonts w:ascii="Arial" w:hAnsi="Arial" w:hint="eastAsia"/>
          <w:b/>
          <w:sz w:val="24"/>
        </w:rPr>
        <w:t>的</w:t>
      </w:r>
      <w:r w:rsidRPr="00A936F0">
        <w:rPr>
          <w:rFonts w:ascii="Arial" w:hAnsi="Arial" w:hint="eastAsia"/>
          <w:b/>
          <w:sz w:val="24"/>
        </w:rPr>
        <w:t>并购基础</w:t>
      </w:r>
    </w:p>
    <w:p w14:paraId="63091697" w14:textId="77777777"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通过合并有望实现显著协同效应和效率提升</w:t>
      </w:r>
    </w:p>
    <w:p w14:paraId="21B9FA76" w14:textId="0C72DAB3"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启动高达</w:t>
      </w:r>
      <w:r w:rsidRPr="00A936F0">
        <w:rPr>
          <w:rFonts w:ascii="Arial" w:hAnsi="Arial" w:hint="eastAsia"/>
          <w:b/>
          <w:sz w:val="24"/>
        </w:rPr>
        <w:t>10</w:t>
      </w:r>
      <w:r w:rsidRPr="00A936F0">
        <w:rPr>
          <w:rFonts w:ascii="Arial" w:hAnsi="Arial" w:hint="eastAsia"/>
          <w:b/>
          <w:sz w:val="24"/>
        </w:rPr>
        <w:t>亿欧元的股票回购计划：利用强劲的资产负债表和现金流，优化资本结构，</w:t>
      </w:r>
      <w:r w:rsidR="00050F9A">
        <w:rPr>
          <w:rFonts w:ascii="Arial" w:hAnsi="Arial" w:hint="eastAsia"/>
          <w:b/>
          <w:sz w:val="24"/>
        </w:rPr>
        <w:t>并</w:t>
      </w:r>
      <w:r w:rsidRPr="00A936F0">
        <w:rPr>
          <w:rFonts w:ascii="Arial" w:hAnsi="Arial" w:hint="eastAsia"/>
          <w:b/>
          <w:sz w:val="24"/>
        </w:rPr>
        <w:t>对未来盈利增长潜力充满信心</w:t>
      </w:r>
    </w:p>
    <w:p w14:paraId="47BC94D4" w14:textId="6D76719F"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2021</w:t>
      </w:r>
      <w:r w:rsidRPr="00A936F0">
        <w:rPr>
          <w:rFonts w:ascii="Arial" w:hAnsi="Arial" w:hint="eastAsia"/>
          <w:b/>
          <w:sz w:val="24"/>
        </w:rPr>
        <w:t>年的初步业绩结果公布：有机销售额增长（</w:t>
      </w:r>
      <w:r w:rsidRPr="00A936F0">
        <w:rPr>
          <w:rFonts w:ascii="Arial" w:hAnsi="Arial" w:hint="eastAsia"/>
          <w:b/>
          <w:sz w:val="24"/>
        </w:rPr>
        <w:t>OSG</w:t>
      </w:r>
      <w:r w:rsidRPr="00A936F0">
        <w:rPr>
          <w:rFonts w:ascii="Arial" w:hAnsi="Arial" w:hint="eastAsia"/>
          <w:b/>
          <w:sz w:val="24"/>
        </w:rPr>
        <w:t>）</w:t>
      </w:r>
      <w:r w:rsidRPr="00A936F0">
        <w:rPr>
          <w:rFonts w:ascii="Arial" w:hAnsi="Arial" w:hint="eastAsia"/>
          <w:b/>
          <w:sz w:val="24"/>
        </w:rPr>
        <w:t>7.8%</w:t>
      </w:r>
      <w:r w:rsidRPr="00A936F0">
        <w:rPr>
          <w:rFonts w:ascii="Arial" w:hAnsi="Arial" w:hint="eastAsia"/>
          <w:b/>
          <w:sz w:val="24"/>
        </w:rPr>
        <w:t>，息税前利润率</w:t>
      </w:r>
      <w:r w:rsidRPr="00A936F0">
        <w:rPr>
          <w:rFonts w:ascii="Arial" w:hAnsi="Arial" w:hint="eastAsia"/>
          <w:b/>
          <w:sz w:val="24"/>
        </w:rPr>
        <w:t>*</w:t>
      </w:r>
      <w:r w:rsidR="00050F9A">
        <w:rPr>
          <w:rFonts w:ascii="Arial" w:hAnsi="Arial" w:hint="eastAsia"/>
          <w:b/>
          <w:sz w:val="24"/>
        </w:rPr>
        <w:t>为</w:t>
      </w:r>
      <w:r w:rsidRPr="00A936F0">
        <w:rPr>
          <w:rFonts w:ascii="Arial" w:hAnsi="Arial" w:hint="eastAsia"/>
          <w:b/>
          <w:sz w:val="24"/>
        </w:rPr>
        <w:t>13.4%</w:t>
      </w:r>
      <w:r w:rsidRPr="00A936F0">
        <w:rPr>
          <w:rFonts w:ascii="Arial" w:hAnsi="Arial" w:hint="eastAsia"/>
          <w:b/>
          <w:sz w:val="24"/>
        </w:rPr>
        <w:t>，优先股每股收益</w:t>
      </w:r>
      <w:r w:rsidRPr="00A936F0">
        <w:rPr>
          <w:rFonts w:ascii="Arial" w:hAnsi="Arial" w:hint="eastAsia"/>
          <w:b/>
          <w:sz w:val="24"/>
        </w:rPr>
        <w:t>*</w:t>
      </w:r>
      <w:r w:rsidRPr="00A936F0">
        <w:rPr>
          <w:rFonts w:ascii="Arial" w:hAnsi="Arial" w:hint="eastAsia"/>
          <w:b/>
          <w:sz w:val="24"/>
        </w:rPr>
        <w:t>（</w:t>
      </w:r>
      <w:r w:rsidRPr="00A936F0">
        <w:rPr>
          <w:rFonts w:ascii="Arial" w:hAnsi="Arial" w:hint="eastAsia"/>
          <w:b/>
          <w:sz w:val="24"/>
        </w:rPr>
        <w:t>EPS</w:t>
      </w:r>
      <w:r w:rsidRPr="00A936F0">
        <w:rPr>
          <w:rFonts w:ascii="Arial" w:hAnsi="Arial" w:hint="eastAsia"/>
          <w:b/>
          <w:sz w:val="24"/>
        </w:rPr>
        <w:t>）增长</w:t>
      </w:r>
      <w:r w:rsidRPr="00A936F0">
        <w:rPr>
          <w:rFonts w:ascii="Arial" w:hAnsi="Arial" w:hint="eastAsia"/>
          <w:b/>
          <w:sz w:val="24"/>
        </w:rPr>
        <w:t>9.2%</w:t>
      </w:r>
      <w:r w:rsidRPr="00A936F0">
        <w:rPr>
          <w:rFonts w:ascii="Arial" w:hAnsi="Arial" w:hint="eastAsia"/>
          <w:b/>
          <w:sz w:val="24"/>
        </w:rPr>
        <w:t>（按固定汇率计算）</w:t>
      </w:r>
    </w:p>
    <w:p w14:paraId="124DBBAE" w14:textId="120420F9"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2022</w:t>
      </w:r>
      <w:r w:rsidRPr="00A936F0">
        <w:rPr>
          <w:rFonts w:ascii="Arial" w:hAnsi="Arial" w:hint="eastAsia"/>
          <w:b/>
          <w:sz w:val="24"/>
        </w:rPr>
        <w:t>年业绩展望：</w:t>
      </w:r>
      <w:r w:rsidR="00050F9A" w:rsidRPr="00A936F0">
        <w:rPr>
          <w:rFonts w:ascii="Arial" w:hAnsi="Arial" w:hint="eastAsia"/>
          <w:b/>
          <w:sz w:val="24"/>
        </w:rPr>
        <w:t>有机销售额增长</w:t>
      </w:r>
      <w:r w:rsidRPr="00A936F0">
        <w:rPr>
          <w:rFonts w:ascii="Arial" w:hAnsi="Arial" w:hint="eastAsia"/>
          <w:b/>
          <w:sz w:val="24"/>
        </w:rPr>
        <w:t>：</w:t>
      </w:r>
      <w:r w:rsidRPr="00A936F0">
        <w:rPr>
          <w:rFonts w:ascii="Arial" w:hAnsi="Arial" w:hint="eastAsia"/>
          <w:b/>
          <w:sz w:val="24"/>
        </w:rPr>
        <w:t>2%</w:t>
      </w:r>
      <w:r w:rsidRPr="00A936F0">
        <w:rPr>
          <w:rFonts w:ascii="Arial" w:hAnsi="Arial" w:hint="eastAsia"/>
          <w:b/>
          <w:sz w:val="24"/>
        </w:rPr>
        <w:t>至</w:t>
      </w:r>
      <w:r w:rsidRPr="00A936F0">
        <w:rPr>
          <w:rFonts w:ascii="Arial" w:hAnsi="Arial" w:hint="eastAsia"/>
          <w:b/>
          <w:sz w:val="24"/>
        </w:rPr>
        <w:t>4%</w:t>
      </w:r>
      <w:r w:rsidRPr="00A936F0">
        <w:rPr>
          <w:rFonts w:ascii="Arial" w:hAnsi="Arial" w:hint="eastAsia"/>
          <w:b/>
          <w:sz w:val="24"/>
        </w:rPr>
        <w:t>，息税前利润率</w:t>
      </w:r>
      <w:r w:rsidRPr="00A936F0">
        <w:rPr>
          <w:rFonts w:ascii="Arial" w:hAnsi="Arial" w:hint="eastAsia"/>
          <w:b/>
          <w:sz w:val="24"/>
        </w:rPr>
        <w:t>*</w:t>
      </w:r>
      <w:r w:rsidRPr="00A936F0">
        <w:rPr>
          <w:rFonts w:ascii="Arial" w:hAnsi="Arial" w:hint="eastAsia"/>
          <w:b/>
          <w:sz w:val="24"/>
        </w:rPr>
        <w:t>：</w:t>
      </w:r>
      <w:r w:rsidRPr="00A936F0">
        <w:rPr>
          <w:rFonts w:ascii="Arial" w:hAnsi="Arial" w:hint="eastAsia"/>
          <w:b/>
          <w:sz w:val="24"/>
        </w:rPr>
        <w:t>11.5%</w:t>
      </w:r>
      <w:r w:rsidRPr="00A936F0">
        <w:rPr>
          <w:rFonts w:ascii="Arial" w:hAnsi="Arial" w:hint="eastAsia"/>
          <w:b/>
          <w:sz w:val="24"/>
        </w:rPr>
        <w:t>至</w:t>
      </w:r>
      <w:r w:rsidRPr="00A936F0">
        <w:rPr>
          <w:rFonts w:ascii="Arial" w:hAnsi="Arial" w:hint="eastAsia"/>
          <w:b/>
          <w:sz w:val="24"/>
        </w:rPr>
        <w:t>13.5%</w:t>
      </w:r>
      <w:r w:rsidRPr="00A936F0">
        <w:rPr>
          <w:rFonts w:ascii="Arial" w:hAnsi="Arial" w:hint="eastAsia"/>
          <w:b/>
          <w:sz w:val="24"/>
        </w:rPr>
        <w:t>，</w:t>
      </w:r>
      <w:r w:rsidR="00050F9A" w:rsidRPr="00A936F0">
        <w:rPr>
          <w:rFonts w:ascii="Arial" w:hAnsi="Arial" w:hint="eastAsia"/>
          <w:b/>
          <w:sz w:val="24"/>
        </w:rPr>
        <w:t>优先股每股收益</w:t>
      </w:r>
      <w:r w:rsidR="00050F9A" w:rsidRPr="00A936F0">
        <w:rPr>
          <w:rFonts w:ascii="Arial" w:hAnsi="Arial" w:hint="eastAsia"/>
          <w:b/>
          <w:sz w:val="24"/>
        </w:rPr>
        <w:t>*</w:t>
      </w:r>
      <w:r w:rsidR="00050F9A" w:rsidRPr="00A936F0">
        <w:rPr>
          <w:rFonts w:ascii="Arial" w:hAnsi="Arial" w:hint="eastAsia"/>
          <w:b/>
          <w:sz w:val="24"/>
        </w:rPr>
        <w:t>（</w:t>
      </w:r>
      <w:r w:rsidR="00050F9A" w:rsidRPr="00A936F0">
        <w:rPr>
          <w:rFonts w:ascii="Arial" w:hAnsi="Arial" w:hint="eastAsia"/>
          <w:b/>
          <w:sz w:val="24"/>
        </w:rPr>
        <w:t>EPS</w:t>
      </w:r>
      <w:r w:rsidR="00050F9A" w:rsidRPr="00A936F0">
        <w:rPr>
          <w:rFonts w:ascii="Arial" w:hAnsi="Arial" w:hint="eastAsia"/>
          <w:b/>
          <w:sz w:val="24"/>
        </w:rPr>
        <w:t>）</w:t>
      </w:r>
      <w:r w:rsidRPr="00A936F0">
        <w:rPr>
          <w:rFonts w:ascii="Arial" w:hAnsi="Arial" w:hint="eastAsia"/>
          <w:b/>
          <w:sz w:val="24"/>
        </w:rPr>
        <w:t>增长：</w:t>
      </w:r>
      <w:r w:rsidRPr="00A936F0">
        <w:rPr>
          <w:rFonts w:ascii="Arial" w:hAnsi="Arial" w:hint="eastAsia"/>
          <w:b/>
          <w:sz w:val="24"/>
        </w:rPr>
        <w:t>-15%</w:t>
      </w:r>
      <w:r w:rsidRPr="00A936F0">
        <w:rPr>
          <w:rFonts w:ascii="Arial" w:hAnsi="Arial" w:hint="eastAsia"/>
          <w:b/>
          <w:sz w:val="24"/>
        </w:rPr>
        <w:t>至</w:t>
      </w:r>
      <w:r w:rsidRPr="00A936F0">
        <w:rPr>
          <w:rFonts w:ascii="Arial" w:hAnsi="Arial" w:hint="eastAsia"/>
          <w:b/>
          <w:sz w:val="24"/>
        </w:rPr>
        <w:t>5%</w:t>
      </w:r>
      <w:r w:rsidRPr="00A936F0">
        <w:rPr>
          <w:rFonts w:ascii="Arial" w:hAnsi="Arial" w:hint="eastAsia"/>
          <w:b/>
          <w:sz w:val="24"/>
        </w:rPr>
        <w:t>（按固定汇率计算），反映出市场高度不确定性和波动性</w:t>
      </w:r>
    </w:p>
    <w:p w14:paraId="04BD0451" w14:textId="14C6D348" w:rsidR="00062AA3" w:rsidRPr="00A936F0" w:rsidRDefault="00296953" w:rsidP="00DD6732">
      <w:pPr>
        <w:pStyle w:val="af4"/>
        <w:numPr>
          <w:ilvl w:val="0"/>
          <w:numId w:val="8"/>
        </w:numPr>
        <w:adjustRightInd w:val="0"/>
        <w:snapToGrid w:val="0"/>
        <w:spacing w:afterLines="50" w:after="163" w:line="288" w:lineRule="auto"/>
        <w:jc w:val="both"/>
        <w:rPr>
          <w:rFonts w:ascii="Arial" w:hAnsi="Arial" w:cs="Arial"/>
          <w:b/>
          <w:sz w:val="24"/>
        </w:rPr>
      </w:pPr>
      <w:r w:rsidRPr="00A936F0">
        <w:rPr>
          <w:rFonts w:ascii="Arial" w:hAnsi="Arial" w:hint="eastAsia"/>
          <w:b/>
          <w:sz w:val="24"/>
        </w:rPr>
        <w:t>汉高新的中长期财务目标：</w:t>
      </w:r>
      <w:r w:rsidR="00630049" w:rsidRPr="00A936F0">
        <w:rPr>
          <w:rFonts w:ascii="Arial" w:hAnsi="Arial" w:hint="eastAsia"/>
          <w:b/>
          <w:sz w:val="24"/>
        </w:rPr>
        <w:t>有机销售额增长</w:t>
      </w:r>
      <w:r w:rsidRPr="00A936F0">
        <w:rPr>
          <w:rFonts w:ascii="Arial" w:hAnsi="Arial" w:hint="eastAsia"/>
          <w:b/>
          <w:sz w:val="24"/>
        </w:rPr>
        <w:t>3%</w:t>
      </w:r>
      <w:r w:rsidRPr="00A936F0">
        <w:rPr>
          <w:rFonts w:ascii="Arial" w:hAnsi="Arial" w:hint="eastAsia"/>
          <w:b/>
          <w:sz w:val="24"/>
        </w:rPr>
        <w:t>至</w:t>
      </w:r>
      <w:r w:rsidRPr="00A936F0">
        <w:rPr>
          <w:rFonts w:ascii="Arial" w:hAnsi="Arial" w:hint="eastAsia"/>
          <w:b/>
          <w:sz w:val="24"/>
        </w:rPr>
        <w:t>4%</w:t>
      </w:r>
      <w:r w:rsidRPr="00A936F0">
        <w:rPr>
          <w:rFonts w:ascii="Arial" w:hAnsi="Arial" w:hint="eastAsia"/>
          <w:b/>
          <w:sz w:val="24"/>
        </w:rPr>
        <w:t>，息税前利润率</w:t>
      </w:r>
      <w:r w:rsidRPr="00A936F0">
        <w:rPr>
          <w:rFonts w:ascii="Arial" w:hAnsi="Arial" w:hint="eastAsia"/>
          <w:b/>
          <w:sz w:val="24"/>
        </w:rPr>
        <w:t>*</w:t>
      </w:r>
      <w:r w:rsidRPr="00A936F0">
        <w:rPr>
          <w:rFonts w:ascii="Arial" w:hAnsi="Arial" w:hint="eastAsia"/>
          <w:b/>
          <w:sz w:val="24"/>
        </w:rPr>
        <w:t>约为</w:t>
      </w:r>
      <w:r w:rsidRPr="00A936F0">
        <w:rPr>
          <w:rFonts w:ascii="Arial" w:hAnsi="Arial" w:hint="eastAsia"/>
          <w:b/>
          <w:sz w:val="24"/>
        </w:rPr>
        <w:t>16%</w:t>
      </w:r>
      <w:r w:rsidRPr="00A936F0">
        <w:rPr>
          <w:rFonts w:ascii="Arial" w:hAnsi="Arial" w:hint="eastAsia"/>
          <w:b/>
          <w:sz w:val="24"/>
        </w:rPr>
        <w:t>，</w:t>
      </w:r>
      <w:r w:rsidR="00630049" w:rsidRPr="00A936F0">
        <w:rPr>
          <w:rFonts w:ascii="Arial" w:hAnsi="Arial" w:hint="eastAsia"/>
          <w:b/>
          <w:sz w:val="24"/>
        </w:rPr>
        <w:t>优先股每股收益</w:t>
      </w:r>
      <w:r w:rsidR="00630049" w:rsidRPr="00A936F0">
        <w:rPr>
          <w:rFonts w:ascii="Arial" w:hAnsi="Arial" w:hint="eastAsia"/>
          <w:b/>
          <w:sz w:val="24"/>
        </w:rPr>
        <w:t>*</w:t>
      </w:r>
      <w:r w:rsidR="00630049" w:rsidRPr="00A936F0">
        <w:rPr>
          <w:rFonts w:ascii="Arial" w:hAnsi="Arial" w:hint="eastAsia"/>
          <w:b/>
          <w:sz w:val="24"/>
        </w:rPr>
        <w:t>（</w:t>
      </w:r>
      <w:r w:rsidR="00630049" w:rsidRPr="00A936F0">
        <w:rPr>
          <w:rFonts w:ascii="Arial" w:hAnsi="Arial" w:hint="eastAsia"/>
          <w:b/>
          <w:sz w:val="24"/>
        </w:rPr>
        <w:t>EPS</w:t>
      </w:r>
      <w:r w:rsidR="00630049" w:rsidRPr="00A936F0">
        <w:rPr>
          <w:rFonts w:ascii="Arial" w:hAnsi="Arial" w:hint="eastAsia"/>
          <w:b/>
          <w:sz w:val="24"/>
        </w:rPr>
        <w:t>）</w:t>
      </w:r>
      <w:r w:rsidRPr="00A936F0">
        <w:rPr>
          <w:rFonts w:ascii="Arial" w:hAnsi="Arial" w:hint="eastAsia"/>
          <w:b/>
          <w:sz w:val="24"/>
        </w:rPr>
        <w:t>增长达到中等至较高个位数百分比（按固定汇率计算，包括并购）</w:t>
      </w:r>
    </w:p>
    <w:p w14:paraId="61851B91" w14:textId="77777777" w:rsidR="00954E6E" w:rsidRDefault="00954E6E" w:rsidP="00A936F0">
      <w:pPr>
        <w:spacing w:after="163"/>
        <w:rPr>
          <w:b/>
        </w:rPr>
      </w:pPr>
    </w:p>
    <w:p w14:paraId="69957DBA" w14:textId="257A57C0" w:rsidR="00062AA3" w:rsidRPr="00A936F0" w:rsidRDefault="00296953" w:rsidP="00A936F0">
      <w:pPr>
        <w:spacing w:after="163"/>
        <w:rPr>
          <w:rFonts w:cs="Arial"/>
          <w:b/>
        </w:rPr>
      </w:pPr>
      <w:r w:rsidRPr="00A936F0">
        <w:rPr>
          <w:rFonts w:hint="eastAsia"/>
          <w:b/>
        </w:rPr>
        <w:t>杜塞尔多夫</w:t>
      </w:r>
      <w:r w:rsidRPr="00A936F0">
        <w:rPr>
          <w:rFonts w:hint="eastAsia"/>
          <w:b/>
        </w:rPr>
        <w:t xml:space="preserve"> - </w:t>
      </w:r>
      <w:r w:rsidRPr="00A936F0">
        <w:rPr>
          <w:rFonts w:hint="eastAsia"/>
          <w:b/>
        </w:rPr>
        <w:t>汉高今</w:t>
      </w:r>
      <w:r w:rsidR="00305369">
        <w:rPr>
          <w:rFonts w:hint="eastAsia"/>
          <w:b/>
        </w:rPr>
        <w:t>日</w:t>
      </w:r>
      <w:r w:rsidRPr="00A936F0">
        <w:rPr>
          <w:rFonts w:hint="eastAsia"/>
          <w:b/>
        </w:rPr>
        <w:t>宣布计划将其洗涤剂及家用护理业务部</w:t>
      </w:r>
      <w:r w:rsidR="00630049">
        <w:rPr>
          <w:rFonts w:hint="eastAsia"/>
          <w:b/>
        </w:rPr>
        <w:t>与</w:t>
      </w:r>
      <w:r w:rsidRPr="00A936F0">
        <w:rPr>
          <w:rFonts w:hint="eastAsia"/>
          <w:b/>
        </w:rPr>
        <w:t>化妆品</w:t>
      </w:r>
      <w:r w:rsidRPr="00A936F0">
        <w:rPr>
          <w:rFonts w:hint="eastAsia"/>
          <w:b/>
        </w:rPr>
        <w:t>/</w:t>
      </w:r>
      <w:r w:rsidRPr="00A936F0">
        <w:rPr>
          <w:rFonts w:hint="eastAsia"/>
          <w:b/>
        </w:rPr>
        <w:t>美容用品业务部合并为一个业务部</w:t>
      </w:r>
      <w:r w:rsidR="00CD645F">
        <w:rPr>
          <w:rFonts w:hint="eastAsia"/>
          <w:b/>
        </w:rPr>
        <w:t>门——</w:t>
      </w:r>
      <w:r w:rsidRPr="00A936F0">
        <w:rPr>
          <w:rFonts w:hint="eastAsia"/>
          <w:b/>
        </w:rPr>
        <w:t>汉高消费品牌业务部。公司将立即开始为该整合过程做准备，并计划最晚于</w:t>
      </w:r>
      <w:r w:rsidRPr="00A936F0">
        <w:rPr>
          <w:rFonts w:hint="eastAsia"/>
          <w:b/>
        </w:rPr>
        <w:t>2023</w:t>
      </w:r>
      <w:r w:rsidRPr="00A936F0">
        <w:rPr>
          <w:rFonts w:hint="eastAsia"/>
          <w:b/>
        </w:rPr>
        <w:t>年初将新的组织架构落实到位。凭借这个新的业务部，汉高将建立一个多品类增长平台，将</w:t>
      </w:r>
      <w:r w:rsidR="00630049">
        <w:rPr>
          <w:rFonts w:hint="eastAsia"/>
          <w:b/>
        </w:rPr>
        <w:t>旗下的</w:t>
      </w:r>
      <w:r w:rsidRPr="00A936F0">
        <w:rPr>
          <w:rFonts w:hint="eastAsia"/>
          <w:b/>
        </w:rPr>
        <w:t>消费品牌和业务整合在一起，其中包括许多标志性的品牌，如宝莹（</w:t>
      </w:r>
      <w:r w:rsidRPr="00A936F0">
        <w:rPr>
          <w:rFonts w:hint="eastAsia"/>
          <w:b/>
        </w:rPr>
        <w:t>Persil</w:t>
      </w:r>
      <w:r w:rsidRPr="00A936F0">
        <w:rPr>
          <w:rFonts w:hint="eastAsia"/>
          <w:b/>
        </w:rPr>
        <w:t>）和施华蔻（</w:t>
      </w:r>
      <w:r w:rsidRPr="00A936F0">
        <w:rPr>
          <w:rFonts w:hint="eastAsia"/>
          <w:b/>
        </w:rPr>
        <w:t>Schwarzkopf</w:t>
      </w:r>
      <w:r w:rsidRPr="00A936F0">
        <w:rPr>
          <w:rFonts w:hint="eastAsia"/>
          <w:b/>
        </w:rPr>
        <w:t>），</w:t>
      </w:r>
      <w:r w:rsidR="00630049">
        <w:rPr>
          <w:rFonts w:hint="eastAsia"/>
          <w:b/>
        </w:rPr>
        <w:t>以及</w:t>
      </w:r>
      <w:r w:rsidRPr="00A936F0">
        <w:rPr>
          <w:rFonts w:hint="eastAsia"/>
          <w:b/>
        </w:rPr>
        <w:t>专业美发业务。</w:t>
      </w:r>
    </w:p>
    <w:p w14:paraId="7CDF5838" w14:textId="7767D0C1" w:rsidR="00062AA3" w:rsidRPr="00A936F0" w:rsidRDefault="00296953" w:rsidP="00062AA3">
      <w:pPr>
        <w:spacing w:after="163"/>
        <w:rPr>
          <w:rFonts w:cs="Arial"/>
          <w:b/>
          <w:snapToGrid/>
        </w:rPr>
      </w:pPr>
      <w:r w:rsidRPr="00A936F0">
        <w:rPr>
          <w:rFonts w:hint="eastAsia"/>
          <w:b/>
          <w:snapToGrid/>
        </w:rPr>
        <w:t>汉高首席执行官卡斯滕·诺贝尔（</w:t>
      </w:r>
      <w:r w:rsidRPr="00A936F0">
        <w:rPr>
          <w:rFonts w:hint="eastAsia"/>
          <w:b/>
          <w:snapToGrid/>
        </w:rPr>
        <w:t>Carsten Knobel</w:t>
      </w:r>
      <w:r w:rsidRPr="00A936F0">
        <w:rPr>
          <w:rFonts w:hint="eastAsia"/>
          <w:b/>
          <w:snapToGrid/>
        </w:rPr>
        <w:t>）表示：“我们将整合我们的消费品业务，从而建立一个强大的综合业务部，以此作为未来盈利增长的基础。整合后的消费品牌业务部将为汉高、我们的股东、客户和相关团队带来显著收益，并将有利于在不断变化的行业中</w:t>
      </w:r>
      <w:r w:rsidR="00630049" w:rsidRPr="00A936F0">
        <w:rPr>
          <w:rFonts w:hint="eastAsia"/>
          <w:b/>
          <w:snapToGrid/>
        </w:rPr>
        <w:t>积极塑造</w:t>
      </w:r>
      <w:r w:rsidRPr="00A936F0">
        <w:rPr>
          <w:rFonts w:hint="eastAsia"/>
          <w:b/>
          <w:snapToGrid/>
        </w:rPr>
        <w:t>未来。”</w:t>
      </w:r>
    </w:p>
    <w:p w14:paraId="3632D742" w14:textId="28E248D0" w:rsidR="00062AA3" w:rsidRPr="00A936F0" w:rsidRDefault="00296953" w:rsidP="00062AA3">
      <w:pPr>
        <w:spacing w:after="163"/>
        <w:rPr>
          <w:rFonts w:cs="Arial"/>
          <w:b/>
          <w:snapToGrid/>
        </w:rPr>
      </w:pPr>
      <w:r w:rsidRPr="00A936F0">
        <w:rPr>
          <w:rFonts w:hint="eastAsia"/>
          <w:b/>
          <w:snapToGrid/>
        </w:rPr>
        <w:t>“我们正在打造一个销售额约为</w:t>
      </w:r>
      <w:r w:rsidRPr="00A936F0">
        <w:rPr>
          <w:rFonts w:hint="eastAsia"/>
          <w:b/>
          <w:snapToGrid/>
        </w:rPr>
        <w:t>100</w:t>
      </w:r>
      <w:r w:rsidRPr="00A936F0">
        <w:rPr>
          <w:rFonts w:hint="eastAsia"/>
          <w:b/>
          <w:snapToGrid/>
        </w:rPr>
        <w:t>亿欧元的多品类平台。这将为进一步优化和塑造我们的</w:t>
      </w:r>
      <w:r w:rsidRPr="00A936F0">
        <w:rPr>
          <w:rFonts w:hint="eastAsia"/>
          <w:b/>
          <w:snapToGrid/>
        </w:rPr>
        <w:lastRenderedPageBreak/>
        <w:t>产品组合，从而实现更高的增长和利润率奠定更广泛的基础。我们还将获得显著的协同效应和效率提升，使我们能够</w:t>
      </w:r>
      <w:r w:rsidR="001175DF">
        <w:rPr>
          <w:rFonts w:hint="eastAsia"/>
          <w:b/>
          <w:snapToGrid/>
        </w:rPr>
        <w:t>释放</w:t>
      </w:r>
      <w:r w:rsidRPr="00A936F0">
        <w:rPr>
          <w:rFonts w:hint="eastAsia"/>
          <w:b/>
          <w:snapToGrid/>
        </w:rPr>
        <w:t>资源，</w:t>
      </w:r>
      <w:r w:rsidR="001175DF">
        <w:rPr>
          <w:rFonts w:hint="eastAsia"/>
          <w:b/>
          <w:snapToGrid/>
        </w:rPr>
        <w:t>其中</w:t>
      </w:r>
      <w:r w:rsidRPr="00A936F0">
        <w:rPr>
          <w:rFonts w:hint="eastAsia"/>
          <w:b/>
          <w:snapToGrid/>
        </w:rPr>
        <w:t>部分</w:t>
      </w:r>
      <w:r w:rsidR="001175DF">
        <w:rPr>
          <w:rFonts w:hint="eastAsia"/>
          <w:b/>
          <w:snapToGrid/>
        </w:rPr>
        <w:t>将</w:t>
      </w:r>
      <w:r w:rsidRPr="00A936F0">
        <w:rPr>
          <w:rFonts w:hint="eastAsia"/>
          <w:b/>
          <w:snapToGrid/>
        </w:rPr>
        <w:t>用于对我们的战略优先事项，如创新、可持续发展和数字化</w:t>
      </w:r>
      <w:r w:rsidR="001175DF">
        <w:rPr>
          <w:rFonts w:hint="eastAsia"/>
          <w:b/>
          <w:snapToGrid/>
        </w:rPr>
        <w:t>方面</w:t>
      </w:r>
      <w:r w:rsidRPr="00A936F0">
        <w:rPr>
          <w:rFonts w:hint="eastAsia"/>
          <w:b/>
          <w:snapToGrid/>
        </w:rPr>
        <w:t>进行有针对性的投资。我们将成为更具吸引力的雇主</w:t>
      </w:r>
      <w:r w:rsidR="001175DF">
        <w:rPr>
          <w:rFonts w:hint="eastAsia"/>
          <w:b/>
          <w:snapToGrid/>
        </w:rPr>
        <w:t>品牌</w:t>
      </w:r>
      <w:r w:rsidRPr="00A936F0">
        <w:rPr>
          <w:rFonts w:hint="eastAsia"/>
          <w:b/>
          <w:snapToGrid/>
        </w:rPr>
        <w:t>，在这个令人兴奋的行业中提供更</w:t>
      </w:r>
      <w:r w:rsidR="007B3F2B">
        <w:rPr>
          <w:rFonts w:hint="eastAsia"/>
          <w:b/>
          <w:snapToGrid/>
        </w:rPr>
        <w:t>好</w:t>
      </w:r>
      <w:r w:rsidRPr="00A936F0">
        <w:rPr>
          <w:rFonts w:hint="eastAsia"/>
          <w:b/>
          <w:snapToGrid/>
        </w:rPr>
        <w:t>的职</w:t>
      </w:r>
      <w:r w:rsidR="007B3F2B">
        <w:rPr>
          <w:rFonts w:hint="eastAsia"/>
          <w:b/>
          <w:snapToGrid/>
        </w:rPr>
        <w:t>位</w:t>
      </w:r>
      <w:r w:rsidRPr="00A936F0">
        <w:rPr>
          <w:rFonts w:hint="eastAsia"/>
          <w:b/>
          <w:snapToGrid/>
        </w:rPr>
        <w:t>和</w:t>
      </w:r>
      <w:r w:rsidR="007B3F2B">
        <w:rPr>
          <w:rFonts w:hint="eastAsia"/>
          <w:b/>
          <w:snapToGrid/>
        </w:rPr>
        <w:t>更多的</w:t>
      </w:r>
      <w:r w:rsidRPr="00A936F0">
        <w:rPr>
          <w:rFonts w:hint="eastAsia"/>
          <w:b/>
          <w:snapToGrid/>
        </w:rPr>
        <w:t>发展机遇。总之</w:t>
      </w:r>
      <w:r w:rsidR="001175DF">
        <w:rPr>
          <w:rFonts w:hint="eastAsia"/>
          <w:b/>
          <w:snapToGrid/>
        </w:rPr>
        <w:t>，</w:t>
      </w:r>
      <w:r w:rsidRPr="00A936F0">
        <w:rPr>
          <w:rFonts w:hint="eastAsia"/>
          <w:b/>
          <w:snapToGrid/>
        </w:rPr>
        <w:t>我确信这一合并将使我们的目标性增长议程更上一层楼。”</w:t>
      </w:r>
    </w:p>
    <w:p w14:paraId="531CB058" w14:textId="6004641E" w:rsidR="00062AA3" w:rsidRPr="00A936F0" w:rsidRDefault="00296953" w:rsidP="00062AA3">
      <w:pPr>
        <w:spacing w:after="163"/>
        <w:rPr>
          <w:rFonts w:cs="Arial"/>
          <w:b/>
          <w:snapToGrid/>
        </w:rPr>
      </w:pPr>
      <w:r w:rsidRPr="00A936F0">
        <w:rPr>
          <w:rFonts w:hint="eastAsia"/>
          <w:b/>
          <w:snapToGrid/>
        </w:rPr>
        <w:t>此次合并旨在推动消费品业务和公司的增长</w:t>
      </w:r>
      <w:r w:rsidR="001175DF">
        <w:rPr>
          <w:rFonts w:hint="eastAsia"/>
          <w:b/>
          <w:snapToGrid/>
        </w:rPr>
        <w:t>与</w:t>
      </w:r>
      <w:r w:rsidRPr="00A936F0">
        <w:rPr>
          <w:rFonts w:hint="eastAsia"/>
          <w:b/>
          <w:snapToGrid/>
        </w:rPr>
        <w:t>盈利能力。这也反映在汉高制定的新的中长期财务目标上：公司当前的目标是实现</w:t>
      </w:r>
      <w:r w:rsidRPr="00A936F0">
        <w:rPr>
          <w:rFonts w:hint="eastAsia"/>
          <w:b/>
          <w:snapToGrid/>
        </w:rPr>
        <w:t>3%</w:t>
      </w:r>
      <w:r w:rsidRPr="00A936F0">
        <w:rPr>
          <w:rFonts w:hint="eastAsia"/>
          <w:b/>
          <w:snapToGrid/>
        </w:rPr>
        <w:t>至</w:t>
      </w:r>
      <w:r w:rsidRPr="00A936F0">
        <w:rPr>
          <w:rFonts w:hint="eastAsia"/>
          <w:b/>
          <w:snapToGrid/>
        </w:rPr>
        <w:t>4%</w:t>
      </w:r>
      <w:r w:rsidRPr="00A936F0">
        <w:rPr>
          <w:rFonts w:hint="eastAsia"/>
          <w:b/>
          <w:snapToGrid/>
        </w:rPr>
        <w:t>的有机销售额增长，约为</w:t>
      </w:r>
      <w:r w:rsidRPr="00A936F0">
        <w:rPr>
          <w:rFonts w:hint="eastAsia"/>
          <w:b/>
          <w:snapToGrid/>
        </w:rPr>
        <w:t>16%</w:t>
      </w:r>
      <w:r w:rsidRPr="00A936F0">
        <w:rPr>
          <w:rFonts w:hint="eastAsia"/>
          <w:b/>
          <w:snapToGrid/>
        </w:rPr>
        <w:t>的调整后息税前利润率</w:t>
      </w:r>
      <w:r w:rsidR="001175DF">
        <w:rPr>
          <w:rFonts w:hint="eastAsia"/>
          <w:b/>
          <w:snapToGrid/>
        </w:rPr>
        <w:t>，以及</w:t>
      </w:r>
      <w:r w:rsidRPr="00A936F0">
        <w:rPr>
          <w:rFonts w:hint="eastAsia"/>
          <w:b/>
          <w:snapToGrid/>
        </w:rPr>
        <w:t>中等至较高个位数百分比的调整后优先股每股收益增长（按固定汇率计算，包括并购）。</w:t>
      </w:r>
    </w:p>
    <w:p w14:paraId="201D29FA" w14:textId="77777777" w:rsidR="005055A2" w:rsidRDefault="005055A2" w:rsidP="00062AA3">
      <w:pPr>
        <w:spacing w:after="163"/>
        <w:rPr>
          <w:b/>
          <w:snapToGrid/>
          <w:lang w:eastAsia="en-US"/>
        </w:rPr>
      </w:pPr>
    </w:p>
    <w:p w14:paraId="141F0153" w14:textId="1DC816BE" w:rsidR="00062AA3" w:rsidRPr="00A936F0" w:rsidRDefault="00296953" w:rsidP="00062AA3">
      <w:pPr>
        <w:spacing w:after="163"/>
        <w:rPr>
          <w:rFonts w:cs="Arial"/>
          <w:b/>
          <w:snapToGrid/>
        </w:rPr>
      </w:pPr>
      <w:r w:rsidRPr="00A936F0">
        <w:rPr>
          <w:rFonts w:hint="eastAsia"/>
          <w:b/>
          <w:snapToGrid/>
        </w:rPr>
        <w:t>强大的平台：聚焦于</w:t>
      </w:r>
      <w:r w:rsidR="00B6027B">
        <w:rPr>
          <w:rFonts w:hint="eastAsia"/>
          <w:b/>
        </w:rPr>
        <w:t>具有良好</w:t>
      </w:r>
      <w:r w:rsidR="00B6027B" w:rsidRPr="00A936F0">
        <w:rPr>
          <w:rFonts w:hint="eastAsia"/>
          <w:b/>
        </w:rPr>
        <w:t>增长和利润潜力</w:t>
      </w:r>
      <w:r w:rsidRPr="00A936F0">
        <w:rPr>
          <w:rFonts w:hint="eastAsia"/>
          <w:b/>
          <w:snapToGrid/>
        </w:rPr>
        <w:t>的</w:t>
      </w:r>
      <w:r w:rsidR="00D07BC9">
        <w:rPr>
          <w:rFonts w:hint="eastAsia"/>
          <w:b/>
          <w:snapToGrid/>
        </w:rPr>
        <w:t>业务</w:t>
      </w:r>
      <w:r w:rsidRPr="00A936F0">
        <w:rPr>
          <w:rFonts w:hint="eastAsia"/>
          <w:b/>
          <w:snapToGrid/>
        </w:rPr>
        <w:t>组合</w:t>
      </w:r>
    </w:p>
    <w:p w14:paraId="2144E75B" w14:textId="16A397C8" w:rsidR="00062AA3" w:rsidRPr="00A936F0" w:rsidRDefault="007B3F2B" w:rsidP="00062AA3">
      <w:pPr>
        <w:spacing w:after="163"/>
        <w:rPr>
          <w:rFonts w:cs="Arial"/>
          <w:snapToGrid/>
        </w:rPr>
      </w:pPr>
      <w:r w:rsidRPr="00A936F0">
        <w:rPr>
          <w:rFonts w:hint="eastAsia"/>
          <w:snapToGrid/>
        </w:rPr>
        <w:t>在</w:t>
      </w:r>
      <w:r w:rsidRPr="00A936F0">
        <w:rPr>
          <w:rFonts w:hint="eastAsia"/>
          <w:snapToGrid/>
        </w:rPr>
        <w:t>2021</w:t>
      </w:r>
      <w:r w:rsidRPr="00A936F0">
        <w:rPr>
          <w:rFonts w:hint="eastAsia"/>
          <w:snapToGrid/>
        </w:rPr>
        <w:t>年底完成的积极</w:t>
      </w:r>
      <w:r>
        <w:rPr>
          <w:rFonts w:hint="eastAsia"/>
          <w:snapToGrid/>
        </w:rPr>
        <w:t>的业务</w:t>
      </w:r>
      <w:r w:rsidRPr="00A936F0">
        <w:rPr>
          <w:rFonts w:hint="eastAsia"/>
          <w:snapToGrid/>
        </w:rPr>
        <w:t>组合管理之外，</w:t>
      </w:r>
      <w:r w:rsidR="00296953" w:rsidRPr="00A936F0">
        <w:rPr>
          <w:rFonts w:hint="eastAsia"/>
          <w:snapToGrid/>
        </w:rPr>
        <w:t>汉高消费品牌业务部将使</w:t>
      </w:r>
      <w:r w:rsidR="00D07BC9">
        <w:rPr>
          <w:rFonts w:hint="eastAsia"/>
          <w:snapToGrid/>
        </w:rPr>
        <w:t>公司</w:t>
      </w:r>
      <w:r w:rsidR="00296953" w:rsidRPr="00A936F0">
        <w:rPr>
          <w:rFonts w:hint="eastAsia"/>
          <w:snapToGrid/>
        </w:rPr>
        <w:t>有机会更好地获得有机和无机增长的潜力，并聚焦于</w:t>
      </w:r>
      <w:r w:rsidR="000D24AC" w:rsidRPr="000D24AC">
        <w:rPr>
          <w:rFonts w:hint="eastAsia"/>
          <w:snapToGrid/>
        </w:rPr>
        <w:t>具有良好增长和利润潜力</w:t>
      </w:r>
      <w:r w:rsidR="00296953" w:rsidRPr="00A936F0">
        <w:rPr>
          <w:rFonts w:hint="eastAsia"/>
          <w:snapToGrid/>
        </w:rPr>
        <w:t>的产品。</w:t>
      </w:r>
    </w:p>
    <w:p w14:paraId="359639DC" w14:textId="1A0E89C3" w:rsidR="00062AA3" w:rsidRPr="00A936F0" w:rsidRDefault="00296953" w:rsidP="00062AA3">
      <w:pPr>
        <w:spacing w:after="163"/>
        <w:rPr>
          <w:rFonts w:cs="Arial"/>
          <w:snapToGrid/>
        </w:rPr>
      </w:pPr>
      <w:r w:rsidRPr="00A936F0">
        <w:rPr>
          <w:rFonts w:hint="eastAsia"/>
          <w:snapToGrid/>
        </w:rPr>
        <w:t>进一步的</w:t>
      </w:r>
      <w:r w:rsidR="007B3F2B">
        <w:rPr>
          <w:rFonts w:hint="eastAsia"/>
          <w:snapToGrid/>
        </w:rPr>
        <w:t>业务</w:t>
      </w:r>
      <w:r w:rsidRPr="00A936F0">
        <w:rPr>
          <w:rFonts w:hint="eastAsia"/>
          <w:snapToGrid/>
        </w:rPr>
        <w:t>组合</w:t>
      </w:r>
      <w:r w:rsidR="007B3F2B">
        <w:rPr>
          <w:rFonts w:hint="eastAsia"/>
          <w:snapToGrid/>
        </w:rPr>
        <w:t>管理</w:t>
      </w:r>
      <w:r w:rsidRPr="00A936F0">
        <w:rPr>
          <w:rFonts w:hint="eastAsia"/>
          <w:snapToGrid/>
        </w:rPr>
        <w:t>措施将包括撤资或终止非核心品牌和业务，以及在整个消费品领域的品类中进行收购。与化妆品</w:t>
      </w:r>
      <w:r w:rsidRPr="00A936F0">
        <w:rPr>
          <w:rFonts w:hint="eastAsia"/>
          <w:snapToGrid/>
        </w:rPr>
        <w:t>/</w:t>
      </w:r>
      <w:r w:rsidRPr="00A936F0">
        <w:rPr>
          <w:rFonts w:hint="eastAsia"/>
          <w:snapToGrid/>
        </w:rPr>
        <w:t>美容用品产品组合有关的首批措施将在</w:t>
      </w:r>
      <w:r w:rsidRPr="00A936F0">
        <w:rPr>
          <w:rFonts w:hint="eastAsia"/>
          <w:snapToGrid/>
        </w:rPr>
        <w:t>2022</w:t>
      </w:r>
      <w:r w:rsidRPr="00A936F0">
        <w:rPr>
          <w:rFonts w:hint="eastAsia"/>
          <w:snapToGrid/>
        </w:rPr>
        <w:t>年内实施。</w:t>
      </w:r>
    </w:p>
    <w:p w14:paraId="467D801A" w14:textId="77777777" w:rsidR="005055A2" w:rsidRDefault="005055A2" w:rsidP="00062AA3">
      <w:pPr>
        <w:spacing w:after="163"/>
        <w:rPr>
          <w:b/>
          <w:snapToGrid/>
          <w:lang w:eastAsia="en-US"/>
        </w:rPr>
      </w:pPr>
    </w:p>
    <w:p w14:paraId="4B4CA7F5" w14:textId="2F074F64" w:rsidR="00062AA3" w:rsidRPr="00A936F0" w:rsidRDefault="00296953" w:rsidP="00062AA3">
      <w:pPr>
        <w:spacing w:after="163"/>
        <w:rPr>
          <w:rFonts w:cs="Arial"/>
          <w:b/>
          <w:snapToGrid/>
        </w:rPr>
      </w:pPr>
      <w:r w:rsidRPr="00A936F0">
        <w:rPr>
          <w:rFonts w:hint="eastAsia"/>
          <w:b/>
          <w:snapToGrid/>
        </w:rPr>
        <w:t>创造规模：显著的协同效应和效率提升</w:t>
      </w:r>
    </w:p>
    <w:p w14:paraId="28674F5D" w14:textId="3AC7AC85" w:rsidR="00062AA3" w:rsidRPr="00A936F0" w:rsidRDefault="00296953" w:rsidP="00062AA3">
      <w:pPr>
        <w:spacing w:after="163"/>
        <w:rPr>
          <w:rFonts w:cs="Arial"/>
          <w:snapToGrid/>
        </w:rPr>
      </w:pPr>
      <w:r w:rsidRPr="00A936F0">
        <w:rPr>
          <w:rFonts w:hint="eastAsia"/>
          <w:snapToGrid/>
        </w:rPr>
        <w:t>通过整合这两个业务部，汉高将创造出更大的规模，使公司能够获得显著的协同效应，变得更为高效和灵活，并帮助</w:t>
      </w:r>
      <w:r w:rsidR="007B3F2B">
        <w:rPr>
          <w:rFonts w:hint="eastAsia"/>
          <w:snapToGrid/>
        </w:rPr>
        <w:t>公司</w:t>
      </w:r>
      <w:r w:rsidRPr="00A936F0">
        <w:rPr>
          <w:rFonts w:hint="eastAsia"/>
          <w:snapToGrid/>
        </w:rPr>
        <w:t>在高度动荡的环境中更快更灵活地采取行动。预计将会在行政、分销、营销和供应链等领域产生协同效应。</w:t>
      </w:r>
    </w:p>
    <w:p w14:paraId="5C795F8E" w14:textId="395C1978" w:rsidR="00062AA3" w:rsidRPr="00A936F0" w:rsidRDefault="00296953" w:rsidP="00062AA3">
      <w:pPr>
        <w:spacing w:after="163"/>
        <w:rPr>
          <w:rFonts w:cs="Arial"/>
          <w:snapToGrid/>
        </w:rPr>
      </w:pPr>
      <w:r w:rsidRPr="00A936F0">
        <w:rPr>
          <w:rFonts w:hint="eastAsia"/>
          <w:snapToGrid/>
        </w:rPr>
        <w:t>这将使新的消费品牌业务部能够</w:t>
      </w:r>
      <w:r w:rsidR="007B3F2B">
        <w:rPr>
          <w:rFonts w:hint="eastAsia"/>
          <w:snapToGrid/>
        </w:rPr>
        <w:t>释放</w:t>
      </w:r>
      <w:r w:rsidRPr="00A936F0">
        <w:rPr>
          <w:rFonts w:hint="eastAsia"/>
          <w:snapToGrid/>
        </w:rPr>
        <w:t>资源进行更大的投资，并将这些投资更有针对性地用于提升战略能力，例如数字化</w:t>
      </w:r>
      <w:r w:rsidR="007B3F2B" w:rsidRPr="00A936F0">
        <w:rPr>
          <w:rFonts w:hint="eastAsia"/>
          <w:snapToGrid/>
        </w:rPr>
        <w:t>研发</w:t>
      </w:r>
      <w:r w:rsidRPr="00A936F0">
        <w:rPr>
          <w:rFonts w:hint="eastAsia"/>
          <w:snapToGrid/>
        </w:rPr>
        <w:t>、电子商务能力或围绕可回收包装的可持续发展计划。这些协同效应还将用于加强该业务部的盈利能力。</w:t>
      </w:r>
    </w:p>
    <w:p w14:paraId="39AEC5BD" w14:textId="77777777" w:rsidR="001E5B0E" w:rsidRDefault="001E5B0E" w:rsidP="00062AA3">
      <w:pPr>
        <w:spacing w:after="163"/>
        <w:rPr>
          <w:b/>
          <w:snapToGrid/>
          <w:lang w:eastAsia="en-US"/>
        </w:rPr>
      </w:pPr>
    </w:p>
    <w:p w14:paraId="2155DE90" w14:textId="23D4E701" w:rsidR="00062AA3" w:rsidRPr="00A936F0" w:rsidRDefault="00296953" w:rsidP="00062AA3">
      <w:pPr>
        <w:spacing w:after="163"/>
        <w:rPr>
          <w:rFonts w:cs="Arial"/>
          <w:b/>
          <w:snapToGrid/>
        </w:rPr>
      </w:pPr>
      <w:r w:rsidRPr="00A936F0">
        <w:rPr>
          <w:rFonts w:hint="eastAsia"/>
          <w:b/>
          <w:snapToGrid/>
        </w:rPr>
        <w:t>联合团队：更精简的架构、更快的决策和有吸引力的机遇</w:t>
      </w:r>
    </w:p>
    <w:p w14:paraId="414926BE" w14:textId="1D5FAA1C" w:rsidR="00062AA3" w:rsidRPr="00A936F0" w:rsidRDefault="00296953" w:rsidP="00062AA3">
      <w:pPr>
        <w:spacing w:after="163"/>
        <w:rPr>
          <w:rFonts w:cs="Arial"/>
          <w:snapToGrid/>
        </w:rPr>
      </w:pPr>
      <w:r w:rsidRPr="00A936F0">
        <w:rPr>
          <w:rFonts w:hint="eastAsia"/>
          <w:snapToGrid/>
        </w:rPr>
        <w:t>新的业务部将</w:t>
      </w:r>
      <w:r w:rsidR="006E7132" w:rsidRPr="00A936F0">
        <w:rPr>
          <w:rFonts w:hint="eastAsia"/>
          <w:snapToGrid/>
        </w:rPr>
        <w:t>采用针对所有消费品类的零售商、贸易或渠道合作伙伴的综合方法</w:t>
      </w:r>
      <w:r w:rsidR="006E7132">
        <w:rPr>
          <w:rFonts w:hint="eastAsia"/>
          <w:snapToGrid/>
        </w:rPr>
        <w:t>，</w:t>
      </w:r>
      <w:r w:rsidRPr="00A936F0">
        <w:rPr>
          <w:rFonts w:hint="eastAsia"/>
          <w:snapToGrid/>
        </w:rPr>
        <w:t>以客户和渠道为中心进行</w:t>
      </w:r>
      <w:r w:rsidR="006E7132">
        <w:rPr>
          <w:rFonts w:hint="eastAsia"/>
          <w:snapToGrid/>
        </w:rPr>
        <w:t>组建</w:t>
      </w:r>
      <w:r w:rsidRPr="00A936F0">
        <w:rPr>
          <w:rFonts w:hint="eastAsia"/>
          <w:snapToGrid/>
        </w:rPr>
        <w:t>。</w:t>
      </w:r>
    </w:p>
    <w:p w14:paraId="3A54FEE3" w14:textId="1D49ED35" w:rsidR="00062AA3" w:rsidRPr="00A936F0" w:rsidRDefault="00296953" w:rsidP="00062AA3">
      <w:pPr>
        <w:spacing w:after="163"/>
        <w:rPr>
          <w:rFonts w:cs="Arial"/>
          <w:snapToGrid/>
        </w:rPr>
      </w:pPr>
      <w:r w:rsidRPr="00A936F0">
        <w:rPr>
          <w:rFonts w:hint="eastAsia"/>
          <w:snapToGrid/>
        </w:rPr>
        <w:t>在</w:t>
      </w:r>
      <w:r w:rsidR="007B3F2B">
        <w:rPr>
          <w:rFonts w:hint="eastAsia"/>
          <w:snapToGrid/>
        </w:rPr>
        <w:t>统一的领导</w:t>
      </w:r>
      <w:r w:rsidRPr="00A936F0">
        <w:rPr>
          <w:rFonts w:hint="eastAsia"/>
          <w:snapToGrid/>
        </w:rPr>
        <w:t>下，合并后的团队将专注于以更精简的架构和更快的决策速度推进整个消费品业务。在合并后的业务部，汉高将提供更好的职位和更大的机遇，从而成为对团队、领导者、人才和新员工</w:t>
      </w:r>
      <w:r w:rsidR="007B3F2B">
        <w:rPr>
          <w:rFonts w:hint="eastAsia"/>
          <w:snapToGrid/>
        </w:rPr>
        <w:t>都</w:t>
      </w:r>
      <w:r w:rsidRPr="00A936F0">
        <w:rPr>
          <w:rFonts w:hint="eastAsia"/>
          <w:snapToGrid/>
        </w:rPr>
        <w:t>更具吸引力的雇主。</w:t>
      </w:r>
    </w:p>
    <w:p w14:paraId="3D4474AB" w14:textId="77777777" w:rsidR="001E5B0E" w:rsidRDefault="001E5B0E" w:rsidP="00062AA3">
      <w:pPr>
        <w:spacing w:after="163"/>
        <w:rPr>
          <w:b/>
          <w:snapToGrid/>
          <w:lang w:eastAsia="en-US"/>
        </w:rPr>
      </w:pPr>
    </w:p>
    <w:p w14:paraId="76916786" w14:textId="77777777" w:rsidR="001E5B0E" w:rsidRDefault="001E5B0E" w:rsidP="00062AA3">
      <w:pPr>
        <w:spacing w:after="163"/>
        <w:rPr>
          <w:b/>
          <w:snapToGrid/>
        </w:rPr>
      </w:pPr>
    </w:p>
    <w:p w14:paraId="7D3AE2AE" w14:textId="204AF478" w:rsidR="00062AA3" w:rsidRPr="00A936F0" w:rsidRDefault="00296953" w:rsidP="00062AA3">
      <w:pPr>
        <w:spacing w:after="163"/>
        <w:rPr>
          <w:rFonts w:cs="Arial"/>
          <w:b/>
          <w:snapToGrid/>
        </w:rPr>
      </w:pPr>
      <w:r w:rsidRPr="00A936F0">
        <w:rPr>
          <w:rFonts w:hint="eastAsia"/>
          <w:b/>
          <w:snapToGrid/>
        </w:rPr>
        <w:lastRenderedPageBreak/>
        <w:t>新的消费品牌业务部的清晰领导架构</w:t>
      </w:r>
    </w:p>
    <w:p w14:paraId="2C6D2D54" w14:textId="15BA52EB" w:rsidR="00062AA3" w:rsidRPr="00A936F0" w:rsidRDefault="00296953" w:rsidP="00062AA3">
      <w:pPr>
        <w:spacing w:after="163"/>
        <w:rPr>
          <w:rFonts w:cs="Arial"/>
          <w:snapToGrid/>
        </w:rPr>
      </w:pPr>
      <w:r w:rsidRPr="00A936F0">
        <w:rPr>
          <w:rFonts w:hint="eastAsia"/>
          <w:snapToGrid/>
        </w:rPr>
        <w:t>整合过程</w:t>
      </w:r>
      <w:r w:rsidR="00933555">
        <w:rPr>
          <w:rFonts w:hint="eastAsia"/>
          <w:snapToGrid/>
        </w:rPr>
        <w:t>与</w:t>
      </w:r>
      <w:r w:rsidRPr="00A936F0">
        <w:rPr>
          <w:rFonts w:hint="eastAsia"/>
          <w:snapToGrid/>
        </w:rPr>
        <w:t>合并后的新部门将由现任汉高化妆品</w:t>
      </w:r>
      <w:r w:rsidRPr="00A936F0">
        <w:rPr>
          <w:rFonts w:hint="eastAsia"/>
          <w:snapToGrid/>
        </w:rPr>
        <w:t>/</w:t>
      </w:r>
      <w:r w:rsidRPr="00A936F0">
        <w:rPr>
          <w:rFonts w:hint="eastAsia"/>
          <w:snapToGrid/>
        </w:rPr>
        <w:t>美容用品业务部执行副总裁的</w:t>
      </w:r>
      <w:r w:rsidR="00933555" w:rsidRPr="00933555">
        <w:rPr>
          <w:rFonts w:hint="eastAsia"/>
          <w:snapToGrid/>
        </w:rPr>
        <w:t>沃尔夫冈•柯尼希</w:t>
      </w:r>
      <w:r w:rsidR="00933555">
        <w:rPr>
          <w:rFonts w:hint="eastAsia"/>
          <w:snapToGrid/>
        </w:rPr>
        <w:t>（</w:t>
      </w:r>
      <w:r w:rsidRPr="00A936F0">
        <w:rPr>
          <w:rFonts w:hint="eastAsia"/>
          <w:snapToGrid/>
        </w:rPr>
        <w:t>Wolfgang König</w:t>
      </w:r>
      <w:r w:rsidR="00933555">
        <w:rPr>
          <w:rFonts w:hint="eastAsia"/>
          <w:snapToGrid/>
        </w:rPr>
        <w:t>）</w:t>
      </w:r>
      <w:r w:rsidRPr="00A936F0">
        <w:rPr>
          <w:rFonts w:hint="eastAsia"/>
          <w:snapToGrid/>
        </w:rPr>
        <w:t>（</w:t>
      </w:r>
      <w:r w:rsidRPr="00A936F0">
        <w:rPr>
          <w:rFonts w:hint="eastAsia"/>
          <w:snapToGrid/>
        </w:rPr>
        <w:t>49</w:t>
      </w:r>
      <w:r w:rsidRPr="00A936F0">
        <w:rPr>
          <w:rFonts w:hint="eastAsia"/>
          <w:snapToGrid/>
        </w:rPr>
        <w:t>岁）</w:t>
      </w:r>
      <w:r w:rsidR="00933555">
        <w:rPr>
          <w:rFonts w:hint="eastAsia"/>
          <w:snapToGrid/>
        </w:rPr>
        <w:t>所</w:t>
      </w:r>
      <w:r w:rsidRPr="00A936F0">
        <w:rPr>
          <w:rFonts w:hint="eastAsia"/>
          <w:snapToGrid/>
        </w:rPr>
        <w:t>领导。自</w:t>
      </w:r>
      <w:r w:rsidRPr="00A936F0">
        <w:rPr>
          <w:rFonts w:hint="eastAsia"/>
          <w:snapToGrid/>
        </w:rPr>
        <w:t>2011</w:t>
      </w:r>
      <w:r w:rsidRPr="00A936F0">
        <w:rPr>
          <w:rFonts w:hint="eastAsia"/>
          <w:snapToGrid/>
        </w:rPr>
        <w:t>年起担任汉高洗涤剂及家用护理业务部执行副总裁的布鲁诺·皮亚琴察（</w:t>
      </w:r>
      <w:r w:rsidRPr="00A936F0">
        <w:rPr>
          <w:rFonts w:hint="eastAsia"/>
          <w:snapToGrid/>
        </w:rPr>
        <w:t>Bruno Piacenza</w:t>
      </w:r>
      <w:r w:rsidRPr="00A936F0">
        <w:rPr>
          <w:rFonts w:hint="eastAsia"/>
          <w:snapToGrid/>
        </w:rPr>
        <w:t>）（</w:t>
      </w:r>
      <w:r w:rsidRPr="00A936F0">
        <w:rPr>
          <w:rFonts w:hint="eastAsia"/>
          <w:snapToGrid/>
        </w:rPr>
        <w:t>56</w:t>
      </w:r>
      <w:r w:rsidRPr="00A936F0">
        <w:rPr>
          <w:rFonts w:hint="eastAsia"/>
          <w:snapToGrid/>
        </w:rPr>
        <w:t>岁）将继续领导洗涤剂及家用护理业务，与</w:t>
      </w:r>
      <w:r w:rsidR="00DF48F7" w:rsidRPr="00933555">
        <w:rPr>
          <w:rFonts w:hint="eastAsia"/>
          <w:snapToGrid/>
        </w:rPr>
        <w:t>沃尔夫冈•柯尼希</w:t>
      </w:r>
      <w:r w:rsidRPr="00A936F0">
        <w:rPr>
          <w:rFonts w:hint="eastAsia"/>
          <w:snapToGrid/>
        </w:rPr>
        <w:t>就过渡过程进行密切合作，并在</w:t>
      </w:r>
      <w:r w:rsidR="00933555">
        <w:rPr>
          <w:rFonts w:hint="eastAsia"/>
          <w:snapToGrid/>
        </w:rPr>
        <w:t>汉高工作至</w:t>
      </w:r>
      <w:r w:rsidRPr="00A936F0">
        <w:rPr>
          <w:rFonts w:hint="eastAsia"/>
          <w:snapToGrid/>
        </w:rPr>
        <w:t>2022</w:t>
      </w:r>
      <w:r w:rsidRPr="00A936F0">
        <w:rPr>
          <w:rFonts w:hint="eastAsia"/>
          <w:snapToGrid/>
        </w:rPr>
        <w:t>年底。</w:t>
      </w:r>
    </w:p>
    <w:p w14:paraId="47D2A646" w14:textId="40300D2D" w:rsidR="00062AA3" w:rsidRPr="00A936F0" w:rsidRDefault="00296953" w:rsidP="00062AA3">
      <w:pPr>
        <w:spacing w:after="163"/>
        <w:rPr>
          <w:rFonts w:cs="Arial"/>
          <w:snapToGrid/>
        </w:rPr>
      </w:pPr>
      <w:r w:rsidRPr="00A936F0">
        <w:rPr>
          <w:rFonts w:hint="eastAsia"/>
          <w:snapToGrid/>
        </w:rPr>
        <w:t>汉高股东委员会和监事会主席白舒曼（</w:t>
      </w:r>
      <w:r w:rsidRPr="00A936F0">
        <w:rPr>
          <w:rFonts w:hint="eastAsia"/>
          <w:snapToGrid/>
        </w:rPr>
        <w:t>Simone Bagel-Trah</w:t>
      </w:r>
      <w:r w:rsidRPr="00A936F0">
        <w:rPr>
          <w:rFonts w:hint="eastAsia"/>
          <w:snapToGrid/>
        </w:rPr>
        <w:t>）博士称：“我谨代表汉高股东委员会和监事会祝愿</w:t>
      </w:r>
      <w:r w:rsidR="00933555" w:rsidRPr="00933555">
        <w:rPr>
          <w:rFonts w:hint="eastAsia"/>
          <w:snapToGrid/>
        </w:rPr>
        <w:t>沃尔夫冈•柯尼希</w:t>
      </w:r>
      <w:r w:rsidRPr="00A936F0">
        <w:rPr>
          <w:rFonts w:hint="eastAsia"/>
          <w:snapToGrid/>
        </w:rPr>
        <w:t>在新的岗位上一切顺利。他在消费品、家居和个人护理行业</w:t>
      </w:r>
      <w:r w:rsidR="00933555">
        <w:rPr>
          <w:rFonts w:hint="eastAsia"/>
          <w:snapToGrid/>
        </w:rPr>
        <w:t>具有</w:t>
      </w:r>
      <w:r w:rsidRPr="00A936F0">
        <w:rPr>
          <w:rFonts w:hint="eastAsia"/>
          <w:snapToGrid/>
        </w:rPr>
        <w:t>国际管理和领导经验</w:t>
      </w:r>
      <w:r w:rsidR="00933555">
        <w:rPr>
          <w:rFonts w:hint="eastAsia"/>
          <w:snapToGrid/>
        </w:rPr>
        <w:t>。这些</w:t>
      </w:r>
      <w:r w:rsidRPr="00A936F0">
        <w:rPr>
          <w:rFonts w:hint="eastAsia"/>
          <w:snapToGrid/>
        </w:rPr>
        <w:t>对于与新的领导团队一起成功组建并发展我们新的消费品牌业务部具有非常重要的价值。”</w:t>
      </w:r>
    </w:p>
    <w:p w14:paraId="2EC9BE95" w14:textId="6B68F7DE" w:rsidR="00062AA3" w:rsidRPr="00A936F0" w:rsidRDefault="00296953" w:rsidP="00062AA3">
      <w:pPr>
        <w:spacing w:after="163"/>
        <w:rPr>
          <w:rFonts w:cs="Arial"/>
          <w:snapToGrid/>
        </w:rPr>
      </w:pPr>
      <w:r w:rsidRPr="00A936F0">
        <w:rPr>
          <w:rFonts w:hint="eastAsia"/>
          <w:snapToGrid/>
        </w:rPr>
        <w:t>“我还要衷心感谢布鲁诺·皮亚琴察。他在汉高工作了</w:t>
      </w:r>
      <w:r w:rsidRPr="00A936F0">
        <w:rPr>
          <w:rFonts w:hint="eastAsia"/>
          <w:snapToGrid/>
        </w:rPr>
        <w:t>30</w:t>
      </w:r>
      <w:r w:rsidRPr="00A936F0">
        <w:rPr>
          <w:rFonts w:hint="eastAsia"/>
          <w:snapToGrid/>
        </w:rPr>
        <w:t>多年，并在超过</w:t>
      </w:r>
      <w:r w:rsidRPr="00A936F0">
        <w:rPr>
          <w:rFonts w:hint="eastAsia"/>
          <w:snapToGrid/>
        </w:rPr>
        <w:t>11</w:t>
      </w:r>
      <w:r w:rsidRPr="00A936F0">
        <w:rPr>
          <w:rFonts w:hint="eastAsia"/>
          <w:snapToGrid/>
        </w:rPr>
        <w:t>年的时间里作为执行副总裁领导我们的洗涤剂及家用护理业务部。得益于他的热情和专业能力，我们的顶级品牌和业务在此期间实现了成功的发展。我们非常感谢他</w:t>
      </w:r>
      <w:r w:rsidR="00933555">
        <w:rPr>
          <w:rFonts w:hint="eastAsia"/>
          <w:snapToGrid/>
        </w:rPr>
        <w:t>所</w:t>
      </w:r>
      <w:r w:rsidRPr="00A936F0">
        <w:rPr>
          <w:rFonts w:hint="eastAsia"/>
          <w:snapToGrid/>
        </w:rPr>
        <w:t>付出的努力和贡献，很高兴他将与</w:t>
      </w:r>
      <w:r w:rsidR="00933555" w:rsidRPr="00933555">
        <w:rPr>
          <w:rFonts w:hint="eastAsia"/>
          <w:snapToGrid/>
        </w:rPr>
        <w:t>沃尔夫冈•柯尼希</w:t>
      </w:r>
      <w:r w:rsidRPr="00A936F0">
        <w:rPr>
          <w:rFonts w:hint="eastAsia"/>
          <w:snapToGrid/>
        </w:rPr>
        <w:t>合作</w:t>
      </w:r>
      <w:r w:rsidR="00933555">
        <w:rPr>
          <w:rFonts w:hint="eastAsia"/>
          <w:snapToGrid/>
        </w:rPr>
        <w:t>以</w:t>
      </w:r>
      <w:r w:rsidRPr="00A936F0">
        <w:rPr>
          <w:rFonts w:hint="eastAsia"/>
          <w:snapToGrid/>
        </w:rPr>
        <w:t>确保实现高效的过渡过程。”</w:t>
      </w:r>
    </w:p>
    <w:p w14:paraId="1C0C2888" w14:textId="34F9EA1F" w:rsidR="00062AA3" w:rsidRPr="00A936F0" w:rsidRDefault="00296953" w:rsidP="00062AA3">
      <w:pPr>
        <w:spacing w:after="163"/>
        <w:rPr>
          <w:rFonts w:cs="Arial"/>
          <w:snapToGrid/>
        </w:rPr>
      </w:pPr>
      <w:r w:rsidRPr="00A936F0">
        <w:rPr>
          <w:rFonts w:hint="eastAsia"/>
          <w:snapToGrid/>
        </w:rPr>
        <w:t>汉高首席执行官卡斯滕·诺贝尔补充道：“在</w:t>
      </w:r>
      <w:r w:rsidR="00DE7807" w:rsidRPr="00933555">
        <w:rPr>
          <w:rFonts w:hint="eastAsia"/>
          <w:snapToGrid/>
        </w:rPr>
        <w:t>沃尔夫冈•柯尼希</w:t>
      </w:r>
      <w:r w:rsidRPr="00A936F0">
        <w:rPr>
          <w:rFonts w:hint="eastAsia"/>
          <w:snapToGrid/>
        </w:rPr>
        <w:t>的领导下，合并后的团队将专注于以更精简的架构和更快的决策速度推进整个消费品牌业务部的发展。我还要对布鲁诺·皮亚琴察以及他在汉高</w:t>
      </w:r>
      <w:r w:rsidRPr="00A936F0">
        <w:rPr>
          <w:rFonts w:hint="eastAsia"/>
          <w:snapToGrid/>
        </w:rPr>
        <w:t>30</w:t>
      </w:r>
      <w:r w:rsidRPr="00A936F0">
        <w:rPr>
          <w:rFonts w:hint="eastAsia"/>
          <w:snapToGrid/>
        </w:rPr>
        <w:t>多年中取得的众多成就表示赞赏</w:t>
      </w:r>
      <w:r w:rsidR="00DE7807">
        <w:rPr>
          <w:rFonts w:hint="eastAsia"/>
          <w:snapToGrid/>
        </w:rPr>
        <w:t>与感谢</w:t>
      </w:r>
      <w:r w:rsidRPr="00A936F0">
        <w:rPr>
          <w:rFonts w:hint="eastAsia"/>
          <w:snapToGrid/>
        </w:rPr>
        <w:t>。”</w:t>
      </w:r>
    </w:p>
    <w:p w14:paraId="41295AD2" w14:textId="77777777" w:rsidR="001E5B0E" w:rsidRDefault="001E5B0E" w:rsidP="00062AA3">
      <w:pPr>
        <w:spacing w:after="163"/>
        <w:rPr>
          <w:b/>
          <w:snapToGrid/>
          <w:lang w:eastAsia="en-US"/>
        </w:rPr>
      </w:pPr>
    </w:p>
    <w:p w14:paraId="3849843D" w14:textId="6559CD64" w:rsidR="00062AA3" w:rsidRPr="00A936F0" w:rsidRDefault="00296953" w:rsidP="00062AA3">
      <w:pPr>
        <w:spacing w:after="163"/>
        <w:rPr>
          <w:rFonts w:cs="Arial"/>
          <w:b/>
          <w:snapToGrid/>
        </w:rPr>
      </w:pPr>
      <w:r w:rsidRPr="00A936F0">
        <w:rPr>
          <w:rFonts w:hint="eastAsia"/>
          <w:b/>
          <w:snapToGrid/>
        </w:rPr>
        <w:t>高达</w:t>
      </w:r>
      <w:r w:rsidRPr="00A936F0">
        <w:rPr>
          <w:rFonts w:hint="eastAsia"/>
          <w:b/>
          <w:snapToGrid/>
        </w:rPr>
        <w:t>10</w:t>
      </w:r>
      <w:r w:rsidRPr="00A936F0">
        <w:rPr>
          <w:rFonts w:hint="eastAsia"/>
          <w:b/>
          <w:snapToGrid/>
        </w:rPr>
        <w:t>亿欧元的股票回购计划</w:t>
      </w:r>
    </w:p>
    <w:p w14:paraId="26AEE0EB" w14:textId="774A7A63" w:rsidR="00062AA3" w:rsidRPr="00A936F0" w:rsidRDefault="00296953" w:rsidP="00062AA3">
      <w:pPr>
        <w:spacing w:after="163"/>
        <w:rPr>
          <w:rFonts w:cs="Arial"/>
          <w:snapToGrid/>
        </w:rPr>
      </w:pPr>
      <w:r w:rsidRPr="00A936F0">
        <w:rPr>
          <w:rFonts w:hint="eastAsia"/>
          <w:snapToGrid/>
        </w:rPr>
        <w:t>汉高还启动了一项总金额最高达</w:t>
      </w:r>
      <w:r w:rsidRPr="00A936F0">
        <w:rPr>
          <w:rFonts w:hint="eastAsia"/>
          <w:snapToGrid/>
        </w:rPr>
        <w:t>10</w:t>
      </w:r>
      <w:r w:rsidRPr="00A936F0">
        <w:rPr>
          <w:rFonts w:hint="eastAsia"/>
          <w:snapToGrid/>
        </w:rPr>
        <w:t>亿欧元的股票回购计划。汉高将回购总价最高为</w:t>
      </w:r>
      <w:r w:rsidRPr="00A936F0">
        <w:rPr>
          <w:rFonts w:hint="eastAsia"/>
          <w:snapToGrid/>
        </w:rPr>
        <w:t>8</w:t>
      </w:r>
      <w:r w:rsidRPr="00A936F0">
        <w:rPr>
          <w:rFonts w:hint="eastAsia"/>
          <w:snapToGrid/>
        </w:rPr>
        <w:t>亿欧元的优先股和总价最高为</w:t>
      </w:r>
      <w:r w:rsidRPr="00A936F0">
        <w:rPr>
          <w:rFonts w:hint="eastAsia"/>
          <w:snapToGrid/>
        </w:rPr>
        <w:t>2</w:t>
      </w:r>
      <w:r w:rsidRPr="00A936F0">
        <w:rPr>
          <w:rFonts w:hint="eastAsia"/>
          <w:snapToGrid/>
        </w:rPr>
        <w:t>亿欧元的普通股。根据当前的股价，这</w:t>
      </w:r>
      <w:r w:rsidR="00DE7807">
        <w:rPr>
          <w:rFonts w:hint="eastAsia"/>
          <w:snapToGrid/>
        </w:rPr>
        <w:t>约等于</w:t>
      </w:r>
      <w:r w:rsidRPr="00A936F0">
        <w:rPr>
          <w:rFonts w:hint="eastAsia"/>
          <w:snapToGrid/>
        </w:rPr>
        <w:t>公司股本的</w:t>
      </w:r>
      <w:r w:rsidRPr="00A936F0">
        <w:rPr>
          <w:rFonts w:hint="eastAsia"/>
          <w:snapToGrid/>
        </w:rPr>
        <w:t>3%</w:t>
      </w:r>
      <w:r w:rsidRPr="00A936F0">
        <w:rPr>
          <w:rFonts w:hint="eastAsia"/>
          <w:snapToGrid/>
        </w:rPr>
        <w:t>。该计划预计将于</w:t>
      </w:r>
      <w:r w:rsidRPr="00A936F0">
        <w:rPr>
          <w:rFonts w:hint="eastAsia"/>
          <w:snapToGrid/>
        </w:rPr>
        <w:t>2022</w:t>
      </w:r>
      <w:r w:rsidRPr="00A936F0">
        <w:rPr>
          <w:rFonts w:hint="eastAsia"/>
          <w:snapToGrid/>
        </w:rPr>
        <w:t>年</w:t>
      </w:r>
      <w:r w:rsidRPr="00A936F0">
        <w:rPr>
          <w:rFonts w:hint="eastAsia"/>
          <w:snapToGrid/>
        </w:rPr>
        <w:t>2</w:t>
      </w:r>
      <w:r w:rsidRPr="00A936F0">
        <w:rPr>
          <w:rFonts w:hint="eastAsia"/>
          <w:snapToGrid/>
        </w:rPr>
        <w:t>月开始，最迟将于</w:t>
      </w:r>
      <w:r w:rsidRPr="00A936F0">
        <w:rPr>
          <w:rFonts w:hint="eastAsia"/>
          <w:snapToGrid/>
        </w:rPr>
        <w:t>2023</w:t>
      </w:r>
      <w:r w:rsidRPr="00A936F0">
        <w:rPr>
          <w:rFonts w:hint="eastAsia"/>
          <w:snapToGrid/>
        </w:rPr>
        <w:t>年</w:t>
      </w:r>
      <w:r w:rsidRPr="00A936F0">
        <w:rPr>
          <w:rFonts w:hint="eastAsia"/>
          <w:snapToGrid/>
        </w:rPr>
        <w:t>3</w:t>
      </w:r>
      <w:r w:rsidRPr="00A936F0">
        <w:rPr>
          <w:rFonts w:hint="eastAsia"/>
          <w:snapToGrid/>
        </w:rPr>
        <w:t>月</w:t>
      </w:r>
      <w:r w:rsidRPr="00A936F0">
        <w:rPr>
          <w:rFonts w:hint="eastAsia"/>
          <w:snapToGrid/>
        </w:rPr>
        <w:t>31</w:t>
      </w:r>
      <w:r w:rsidRPr="00A936F0">
        <w:rPr>
          <w:rFonts w:hint="eastAsia"/>
          <w:snapToGrid/>
        </w:rPr>
        <w:t>日前执行，由一家银行通过股市实施。</w:t>
      </w:r>
      <w:r w:rsidRPr="00A936F0">
        <w:rPr>
          <w:rFonts w:hint="eastAsia"/>
          <w:snapToGrid/>
        </w:rPr>
        <w:t>2019</w:t>
      </w:r>
      <w:r w:rsidRPr="00A936F0">
        <w:rPr>
          <w:rFonts w:hint="eastAsia"/>
          <w:snapToGrid/>
        </w:rPr>
        <w:t>年</w:t>
      </w:r>
      <w:r w:rsidRPr="00A936F0">
        <w:rPr>
          <w:rFonts w:hint="eastAsia"/>
          <w:snapToGrid/>
        </w:rPr>
        <w:t>4</w:t>
      </w:r>
      <w:r w:rsidRPr="00A936F0">
        <w:rPr>
          <w:rFonts w:hint="eastAsia"/>
          <w:snapToGrid/>
        </w:rPr>
        <w:t>月，年度股东大会授权汉高管理委员会收购占股本最多</w:t>
      </w:r>
      <w:r w:rsidRPr="00A936F0">
        <w:rPr>
          <w:rFonts w:hint="eastAsia"/>
          <w:snapToGrid/>
        </w:rPr>
        <w:t>10%</w:t>
      </w:r>
      <w:r w:rsidRPr="00A936F0">
        <w:rPr>
          <w:rFonts w:hint="eastAsia"/>
          <w:snapToGrid/>
        </w:rPr>
        <w:t>的库存股。汉高</w:t>
      </w:r>
      <w:r w:rsidR="00DE7807">
        <w:rPr>
          <w:rFonts w:hint="eastAsia"/>
          <w:snapToGrid/>
        </w:rPr>
        <w:t>有意</w:t>
      </w:r>
      <w:r w:rsidRPr="00A936F0">
        <w:rPr>
          <w:rFonts w:hint="eastAsia"/>
          <w:snapToGrid/>
        </w:rPr>
        <w:t>将回购</w:t>
      </w:r>
      <w:r w:rsidR="00DE7807">
        <w:rPr>
          <w:rFonts w:hint="eastAsia"/>
          <w:snapToGrid/>
        </w:rPr>
        <w:t>股份先</w:t>
      </w:r>
      <w:r w:rsidRPr="00A936F0">
        <w:rPr>
          <w:rFonts w:hint="eastAsia"/>
          <w:snapToGrid/>
        </w:rPr>
        <w:t>作为库存股持有，保留注销这些股票</w:t>
      </w:r>
      <w:r w:rsidR="00DE7807">
        <w:rPr>
          <w:rFonts w:hint="eastAsia"/>
          <w:snapToGrid/>
        </w:rPr>
        <w:t>及</w:t>
      </w:r>
      <w:r w:rsidRPr="00A936F0">
        <w:rPr>
          <w:rFonts w:hint="eastAsia"/>
          <w:snapToGrid/>
        </w:rPr>
        <w:t>相应减少股本的权利。</w:t>
      </w:r>
    </w:p>
    <w:p w14:paraId="38577AF2" w14:textId="536ED987" w:rsidR="00062AA3" w:rsidRPr="00A936F0" w:rsidRDefault="00296953" w:rsidP="00062AA3">
      <w:pPr>
        <w:spacing w:after="163"/>
        <w:rPr>
          <w:rFonts w:cs="Arial"/>
          <w:snapToGrid/>
        </w:rPr>
      </w:pPr>
      <w:r w:rsidRPr="00A936F0">
        <w:rPr>
          <w:rFonts w:hint="eastAsia"/>
          <w:snapToGrid/>
        </w:rPr>
        <w:t>汉高首席执行官卡斯滕·诺贝尔称：“通过这个计划，我们正在为我们的股东创造价值，并巩固我们对自身财务实力和未来业务潜力的信心。鉴于我们强劲的资产负债表和低债务水平，以及强大的现金流，这不会影响我们在消费品牌和粘合剂技术业务部进行战略收购的能力。”</w:t>
      </w:r>
    </w:p>
    <w:p w14:paraId="3BC30F12" w14:textId="77777777" w:rsidR="00833BB5" w:rsidRDefault="00833BB5" w:rsidP="00062AA3">
      <w:pPr>
        <w:spacing w:after="163"/>
        <w:rPr>
          <w:b/>
          <w:snapToGrid/>
        </w:rPr>
      </w:pPr>
    </w:p>
    <w:p w14:paraId="1D3B5A5C" w14:textId="25D01BB1" w:rsidR="00062AA3" w:rsidRPr="00A936F0" w:rsidRDefault="00296953" w:rsidP="00062AA3">
      <w:pPr>
        <w:spacing w:after="163"/>
        <w:rPr>
          <w:rFonts w:cs="Arial"/>
          <w:b/>
          <w:snapToGrid/>
        </w:rPr>
      </w:pPr>
      <w:r w:rsidRPr="00A936F0">
        <w:rPr>
          <w:rFonts w:hint="eastAsia"/>
          <w:b/>
          <w:snapToGrid/>
        </w:rPr>
        <w:t>汉高公布</w:t>
      </w:r>
      <w:r w:rsidRPr="00A936F0">
        <w:rPr>
          <w:rFonts w:hint="eastAsia"/>
          <w:b/>
          <w:snapToGrid/>
        </w:rPr>
        <w:t>2021</w:t>
      </w:r>
      <w:r w:rsidRPr="00A936F0">
        <w:rPr>
          <w:rFonts w:hint="eastAsia"/>
          <w:b/>
          <w:snapToGrid/>
        </w:rPr>
        <w:t>年初步财务数据</w:t>
      </w:r>
    </w:p>
    <w:p w14:paraId="4CE6035D" w14:textId="33215143" w:rsidR="00062AA3" w:rsidRPr="00A936F0" w:rsidRDefault="00296953" w:rsidP="00062AA3">
      <w:pPr>
        <w:spacing w:after="163"/>
        <w:rPr>
          <w:rFonts w:cs="Arial"/>
          <w:snapToGrid/>
        </w:rPr>
      </w:pPr>
      <w:r w:rsidRPr="00A936F0">
        <w:rPr>
          <w:rFonts w:hint="eastAsia"/>
          <w:snapToGrid/>
        </w:rPr>
        <w:t>根据初步财务数据</w:t>
      </w:r>
      <w:r w:rsidR="00DE7807">
        <w:rPr>
          <w:rFonts w:hint="eastAsia"/>
          <w:snapToGrid/>
        </w:rPr>
        <w:t>显示</w:t>
      </w:r>
      <w:r w:rsidRPr="00A936F0">
        <w:rPr>
          <w:rFonts w:hint="eastAsia"/>
          <w:snapToGrid/>
        </w:rPr>
        <w:t>，汉高在</w:t>
      </w:r>
      <w:r w:rsidRPr="00A936F0">
        <w:rPr>
          <w:rFonts w:hint="eastAsia"/>
          <w:snapToGrid/>
        </w:rPr>
        <w:t>2021</w:t>
      </w:r>
      <w:r w:rsidRPr="00A936F0">
        <w:rPr>
          <w:rFonts w:hint="eastAsia"/>
          <w:snapToGrid/>
        </w:rPr>
        <w:t>财年取得了总体良好的业绩。这</w:t>
      </w:r>
      <w:r w:rsidR="00162A5A">
        <w:rPr>
          <w:rFonts w:hint="eastAsia"/>
          <w:snapToGrid/>
        </w:rPr>
        <w:t>一表现主要</w:t>
      </w:r>
      <w:r w:rsidRPr="00A936F0">
        <w:rPr>
          <w:rFonts w:hint="eastAsia"/>
          <w:snapToGrid/>
        </w:rPr>
        <w:t>是由粘合剂技术业务部的两位数增长</w:t>
      </w:r>
      <w:r w:rsidR="00D31A61">
        <w:rPr>
          <w:rFonts w:hint="eastAsia"/>
          <w:snapToGrid/>
        </w:rPr>
        <w:t>所</w:t>
      </w:r>
      <w:r w:rsidRPr="00A936F0">
        <w:rPr>
          <w:rFonts w:hint="eastAsia"/>
          <w:snapToGrid/>
        </w:rPr>
        <w:t>推动的，而新冠疫情的持续，</w:t>
      </w:r>
      <w:r w:rsidR="00A70640">
        <w:rPr>
          <w:rFonts w:hint="eastAsia"/>
          <w:snapToGrid/>
        </w:rPr>
        <w:t>尤其</w:t>
      </w:r>
      <w:r w:rsidRPr="00A936F0">
        <w:rPr>
          <w:rFonts w:hint="eastAsia"/>
          <w:snapToGrid/>
        </w:rPr>
        <w:t>是原材料价格的急剧上涨和供应链的紧张</w:t>
      </w:r>
      <w:r w:rsidR="00263559">
        <w:rPr>
          <w:rFonts w:hint="eastAsia"/>
          <w:snapToGrid/>
        </w:rPr>
        <w:t>，</w:t>
      </w:r>
      <w:r w:rsidR="00263559" w:rsidRPr="00A936F0">
        <w:rPr>
          <w:rFonts w:hint="eastAsia"/>
          <w:snapToGrid/>
        </w:rPr>
        <w:t>影响了盈利情况</w:t>
      </w:r>
      <w:r w:rsidRPr="00A936F0">
        <w:rPr>
          <w:rFonts w:hint="eastAsia"/>
          <w:snapToGrid/>
        </w:rPr>
        <w:t>。</w:t>
      </w:r>
    </w:p>
    <w:p w14:paraId="5DF7CF9A" w14:textId="77777777" w:rsidR="00062AA3" w:rsidRPr="00A936F0" w:rsidRDefault="00296953" w:rsidP="00062AA3">
      <w:pPr>
        <w:spacing w:after="163"/>
        <w:rPr>
          <w:rFonts w:cs="Arial"/>
          <w:snapToGrid/>
        </w:rPr>
      </w:pPr>
      <w:r w:rsidRPr="00A936F0">
        <w:rPr>
          <w:rFonts w:hint="eastAsia"/>
          <w:snapToGrid/>
        </w:rPr>
        <w:t>根据初步数据，</w:t>
      </w:r>
      <w:r w:rsidRPr="00A936F0">
        <w:rPr>
          <w:rFonts w:hint="eastAsia"/>
          <w:b/>
          <w:bCs/>
          <w:snapToGrid/>
        </w:rPr>
        <w:t>汉高集团</w:t>
      </w:r>
      <w:r w:rsidRPr="00A936F0">
        <w:rPr>
          <w:rFonts w:hint="eastAsia"/>
          <w:snapToGrid/>
        </w:rPr>
        <w:t>2021</w:t>
      </w:r>
      <w:r w:rsidRPr="00A936F0">
        <w:rPr>
          <w:rFonts w:hint="eastAsia"/>
          <w:snapToGrid/>
        </w:rPr>
        <w:t>财年的</w:t>
      </w:r>
      <w:r w:rsidRPr="00A936F0">
        <w:rPr>
          <w:rFonts w:hint="eastAsia"/>
          <w:b/>
          <w:bCs/>
          <w:snapToGrid/>
        </w:rPr>
        <w:t>销售额</w:t>
      </w:r>
      <w:r w:rsidRPr="00A936F0">
        <w:rPr>
          <w:rFonts w:hint="eastAsia"/>
          <w:snapToGrid/>
        </w:rPr>
        <w:t>增至</w:t>
      </w:r>
      <w:r w:rsidRPr="00A936F0">
        <w:rPr>
          <w:rFonts w:hint="eastAsia"/>
          <w:snapToGrid/>
        </w:rPr>
        <w:t>200.66</w:t>
      </w:r>
      <w:r w:rsidRPr="00A936F0">
        <w:rPr>
          <w:rFonts w:hint="eastAsia"/>
          <w:snapToGrid/>
        </w:rPr>
        <w:t>亿欧元。有机销售额增长</w:t>
      </w:r>
      <w:r w:rsidRPr="00A936F0">
        <w:rPr>
          <w:rFonts w:hint="eastAsia"/>
          <w:snapToGrid/>
        </w:rPr>
        <w:t>7.8%</w:t>
      </w:r>
      <w:r w:rsidRPr="00A936F0">
        <w:rPr>
          <w:rFonts w:hint="eastAsia"/>
          <w:snapToGrid/>
        </w:rPr>
        <w:t>。</w:t>
      </w:r>
      <w:r w:rsidRPr="00A936F0">
        <w:rPr>
          <w:rFonts w:hint="eastAsia"/>
          <w:b/>
          <w:bCs/>
          <w:snapToGrid/>
        </w:rPr>
        <w:t>粘合剂技术业务部</w:t>
      </w:r>
      <w:r w:rsidRPr="00A936F0">
        <w:rPr>
          <w:rFonts w:hint="eastAsia"/>
          <w:snapToGrid/>
        </w:rPr>
        <w:t>的销售额为</w:t>
      </w:r>
      <w:r w:rsidRPr="00A936F0">
        <w:rPr>
          <w:rFonts w:hint="eastAsia"/>
          <w:snapToGrid/>
        </w:rPr>
        <w:t>96.41</w:t>
      </w:r>
      <w:r w:rsidRPr="00A936F0">
        <w:rPr>
          <w:rFonts w:hint="eastAsia"/>
          <w:snapToGrid/>
        </w:rPr>
        <w:t>亿欧元。有机销售额实现两位数增长，达到</w:t>
      </w:r>
      <w:r w:rsidRPr="00A936F0">
        <w:rPr>
          <w:rFonts w:hint="eastAsia"/>
          <w:snapToGrid/>
        </w:rPr>
        <w:t>13.4%</w:t>
      </w:r>
      <w:r w:rsidRPr="00A936F0">
        <w:rPr>
          <w:rFonts w:hint="eastAsia"/>
          <w:snapToGrid/>
        </w:rPr>
        <w:t>。</w:t>
      </w:r>
      <w:r w:rsidRPr="00A936F0">
        <w:rPr>
          <w:rFonts w:hint="eastAsia"/>
          <w:b/>
          <w:bCs/>
          <w:snapToGrid/>
        </w:rPr>
        <w:t>化妆品</w:t>
      </w:r>
      <w:r w:rsidRPr="00A936F0">
        <w:rPr>
          <w:rFonts w:hint="eastAsia"/>
          <w:b/>
          <w:bCs/>
          <w:snapToGrid/>
        </w:rPr>
        <w:t>/</w:t>
      </w:r>
      <w:r w:rsidRPr="00A936F0">
        <w:rPr>
          <w:rFonts w:hint="eastAsia"/>
          <w:b/>
          <w:bCs/>
          <w:snapToGrid/>
        </w:rPr>
        <w:t>美容用品业务部</w:t>
      </w:r>
      <w:r w:rsidRPr="00A936F0">
        <w:rPr>
          <w:rFonts w:hint="eastAsia"/>
          <w:snapToGrid/>
        </w:rPr>
        <w:t>的销售额为</w:t>
      </w:r>
      <w:r w:rsidRPr="00A936F0">
        <w:rPr>
          <w:rFonts w:hint="eastAsia"/>
          <w:snapToGrid/>
        </w:rPr>
        <w:t>36.78</w:t>
      </w:r>
      <w:r w:rsidRPr="00A936F0">
        <w:rPr>
          <w:rFonts w:hint="eastAsia"/>
          <w:snapToGrid/>
        </w:rPr>
        <w:t>亿欧元，有机销售额增长</w:t>
      </w:r>
      <w:r w:rsidRPr="00A936F0">
        <w:rPr>
          <w:rFonts w:hint="eastAsia"/>
          <w:snapToGrid/>
        </w:rPr>
        <w:t>1.4%</w:t>
      </w:r>
      <w:r w:rsidRPr="00A936F0">
        <w:rPr>
          <w:rFonts w:hint="eastAsia"/>
          <w:snapToGrid/>
        </w:rPr>
        <w:t>。</w:t>
      </w:r>
      <w:r w:rsidRPr="00A936F0">
        <w:rPr>
          <w:rFonts w:hint="eastAsia"/>
          <w:b/>
          <w:bCs/>
          <w:snapToGrid/>
        </w:rPr>
        <w:t>洗涤剂及家用护理</w:t>
      </w:r>
      <w:r w:rsidRPr="00A936F0">
        <w:rPr>
          <w:rFonts w:hint="eastAsia"/>
          <w:b/>
          <w:bCs/>
          <w:snapToGrid/>
        </w:rPr>
        <w:lastRenderedPageBreak/>
        <w:t>业务部</w:t>
      </w:r>
      <w:r w:rsidRPr="00A936F0">
        <w:rPr>
          <w:rFonts w:hint="eastAsia"/>
          <w:snapToGrid/>
        </w:rPr>
        <w:t>的销售额增长至</w:t>
      </w:r>
      <w:r w:rsidRPr="00A936F0">
        <w:rPr>
          <w:rFonts w:hint="eastAsia"/>
          <w:snapToGrid/>
        </w:rPr>
        <w:t>66.05</w:t>
      </w:r>
      <w:r w:rsidRPr="00A936F0">
        <w:rPr>
          <w:rFonts w:hint="eastAsia"/>
          <w:snapToGrid/>
        </w:rPr>
        <w:t>亿欧元，有机销售额增长</w:t>
      </w:r>
      <w:r w:rsidRPr="00A936F0">
        <w:rPr>
          <w:rFonts w:hint="eastAsia"/>
          <w:snapToGrid/>
        </w:rPr>
        <w:t>3.9%</w:t>
      </w:r>
      <w:r w:rsidRPr="00A936F0">
        <w:rPr>
          <w:rFonts w:hint="eastAsia"/>
          <w:snapToGrid/>
        </w:rPr>
        <w:t>。对于汉高，</w:t>
      </w:r>
      <w:r w:rsidRPr="00A936F0">
        <w:rPr>
          <w:rFonts w:hint="eastAsia"/>
          <w:b/>
          <w:bCs/>
          <w:snapToGrid/>
        </w:rPr>
        <w:t>调整后的销售回报率（息税前利润率）</w:t>
      </w:r>
      <w:r w:rsidRPr="00A936F0">
        <w:rPr>
          <w:rFonts w:hint="eastAsia"/>
          <w:snapToGrid/>
        </w:rPr>
        <w:t>为</w:t>
      </w:r>
      <w:r w:rsidRPr="00A936F0">
        <w:rPr>
          <w:rFonts w:hint="eastAsia"/>
          <w:snapToGrid/>
        </w:rPr>
        <w:t>13.4%</w:t>
      </w:r>
      <w:r w:rsidRPr="00A936F0">
        <w:rPr>
          <w:rFonts w:hint="eastAsia"/>
          <w:snapToGrid/>
        </w:rPr>
        <w:t>。粘合剂技术业务部调整后的销售回报率为</w:t>
      </w:r>
      <w:r w:rsidRPr="00A936F0">
        <w:rPr>
          <w:rFonts w:hint="eastAsia"/>
          <w:snapToGrid/>
        </w:rPr>
        <w:t>16.2%</w:t>
      </w:r>
      <w:r w:rsidRPr="00A936F0">
        <w:rPr>
          <w:rFonts w:hint="eastAsia"/>
          <w:snapToGrid/>
        </w:rPr>
        <w:t>。化妆品</w:t>
      </w:r>
      <w:r w:rsidRPr="00A936F0">
        <w:rPr>
          <w:rFonts w:hint="eastAsia"/>
          <w:snapToGrid/>
        </w:rPr>
        <w:t>/</w:t>
      </w:r>
      <w:r w:rsidRPr="00A936F0">
        <w:rPr>
          <w:rFonts w:hint="eastAsia"/>
          <w:snapToGrid/>
        </w:rPr>
        <w:t>美容用品业务部调整后的销售回报率为</w:t>
      </w:r>
      <w:r w:rsidRPr="00A936F0">
        <w:rPr>
          <w:rFonts w:hint="eastAsia"/>
          <w:snapToGrid/>
        </w:rPr>
        <w:t>9.5%</w:t>
      </w:r>
      <w:r w:rsidRPr="00A936F0">
        <w:rPr>
          <w:rFonts w:hint="eastAsia"/>
          <w:snapToGrid/>
        </w:rPr>
        <w:t>，而洗涤剂及家用护理业务部调整后的销售回报率为</w:t>
      </w:r>
      <w:r w:rsidRPr="00A936F0">
        <w:rPr>
          <w:rFonts w:hint="eastAsia"/>
          <w:snapToGrid/>
        </w:rPr>
        <w:t>13.7%</w:t>
      </w:r>
      <w:r w:rsidRPr="00A936F0">
        <w:rPr>
          <w:rFonts w:hint="eastAsia"/>
          <w:snapToGrid/>
        </w:rPr>
        <w:t>。</w:t>
      </w:r>
      <w:r w:rsidRPr="00A936F0">
        <w:rPr>
          <w:rFonts w:hint="eastAsia"/>
          <w:b/>
          <w:bCs/>
          <w:snapToGrid/>
        </w:rPr>
        <w:t>集团调整后的优先股每股收益（</w:t>
      </w:r>
      <w:r w:rsidRPr="00A936F0">
        <w:rPr>
          <w:rFonts w:hint="eastAsia"/>
          <w:b/>
          <w:bCs/>
          <w:snapToGrid/>
        </w:rPr>
        <w:t>EPS</w:t>
      </w:r>
      <w:r w:rsidRPr="00A936F0">
        <w:rPr>
          <w:rFonts w:hint="eastAsia"/>
          <w:b/>
          <w:bCs/>
          <w:snapToGrid/>
        </w:rPr>
        <w:t>）</w:t>
      </w:r>
      <w:r w:rsidRPr="00A936F0">
        <w:rPr>
          <w:rFonts w:hint="eastAsia"/>
          <w:snapToGrid/>
        </w:rPr>
        <w:t>增至</w:t>
      </w:r>
      <w:r w:rsidRPr="00A936F0">
        <w:rPr>
          <w:rFonts w:hint="eastAsia"/>
          <w:snapToGrid/>
        </w:rPr>
        <w:t>4.56</w:t>
      </w:r>
      <w:r w:rsidRPr="00A936F0">
        <w:rPr>
          <w:rFonts w:hint="eastAsia"/>
          <w:snapToGrid/>
        </w:rPr>
        <w:t>欧元，增长率为</w:t>
      </w:r>
      <w:r w:rsidRPr="00A936F0">
        <w:rPr>
          <w:rFonts w:hint="eastAsia"/>
          <w:snapToGrid/>
        </w:rPr>
        <w:t>9.2%</w:t>
      </w:r>
      <w:r w:rsidRPr="00A936F0">
        <w:rPr>
          <w:rFonts w:hint="eastAsia"/>
          <w:snapToGrid/>
        </w:rPr>
        <w:t>（按固定汇率计算）。以上均为初步数据。</w:t>
      </w:r>
    </w:p>
    <w:p w14:paraId="7C11EAED" w14:textId="3507632B" w:rsidR="00062AA3" w:rsidRPr="00A936F0" w:rsidRDefault="00296953" w:rsidP="00062AA3">
      <w:pPr>
        <w:spacing w:after="163"/>
        <w:rPr>
          <w:rFonts w:cs="Arial"/>
          <w:snapToGrid/>
        </w:rPr>
      </w:pPr>
      <w:r w:rsidRPr="00A936F0">
        <w:rPr>
          <w:rFonts w:hint="eastAsia"/>
          <w:snapToGrid/>
        </w:rPr>
        <w:t>汉高首席执行官卡斯滕·诺贝尔</w:t>
      </w:r>
      <w:r w:rsidR="00A15E31">
        <w:rPr>
          <w:rFonts w:hint="eastAsia"/>
          <w:snapToGrid/>
        </w:rPr>
        <w:t>表示</w:t>
      </w:r>
      <w:r w:rsidRPr="00A936F0">
        <w:rPr>
          <w:rFonts w:hint="eastAsia"/>
          <w:snapToGrid/>
        </w:rPr>
        <w:t>：“尽管业务环境充满挑战，全球供应链遭遇前所未有的中断，原材料出现短缺和价格大幅飙升，但在所有业务部</w:t>
      </w:r>
      <w:r w:rsidR="0087500F">
        <w:rPr>
          <w:rFonts w:hint="eastAsia"/>
          <w:snapToGrid/>
        </w:rPr>
        <w:t>门的努力下，我们</w:t>
      </w:r>
      <w:r w:rsidR="00264832" w:rsidRPr="00A936F0">
        <w:rPr>
          <w:rFonts w:hint="eastAsia"/>
          <w:snapToGrid/>
        </w:rPr>
        <w:t>仍取得了总体良好的业绩</w:t>
      </w:r>
      <w:r w:rsidR="00264832">
        <w:rPr>
          <w:rFonts w:hint="eastAsia"/>
          <w:snapToGrid/>
        </w:rPr>
        <w:t>，</w:t>
      </w:r>
      <w:r w:rsidRPr="00A936F0">
        <w:rPr>
          <w:rFonts w:hint="eastAsia"/>
          <w:snapToGrid/>
        </w:rPr>
        <w:t>实现</w:t>
      </w:r>
      <w:r w:rsidR="00264832">
        <w:rPr>
          <w:rFonts w:hint="eastAsia"/>
          <w:snapToGrid/>
        </w:rPr>
        <w:t>了</w:t>
      </w:r>
      <w:r w:rsidRPr="00A936F0">
        <w:rPr>
          <w:rFonts w:hint="eastAsia"/>
          <w:snapToGrid/>
        </w:rPr>
        <w:t>显著</w:t>
      </w:r>
      <w:r w:rsidR="00264832">
        <w:rPr>
          <w:rFonts w:hint="eastAsia"/>
          <w:snapToGrid/>
        </w:rPr>
        <w:t>的</w:t>
      </w:r>
      <w:r w:rsidRPr="00A936F0">
        <w:rPr>
          <w:rFonts w:hint="eastAsia"/>
          <w:snapToGrid/>
        </w:rPr>
        <w:t>有机增长、稳定利润率和非常强劲的每股收益增长</w:t>
      </w:r>
      <w:r w:rsidR="00264832">
        <w:rPr>
          <w:rFonts w:hint="eastAsia"/>
          <w:snapToGrid/>
        </w:rPr>
        <w:t>。</w:t>
      </w:r>
      <w:r w:rsidRPr="00A936F0">
        <w:rPr>
          <w:rFonts w:hint="eastAsia"/>
          <w:snapToGrid/>
        </w:rPr>
        <w:t>这是汉高全球团队取得的成就，</w:t>
      </w:r>
      <w:r w:rsidR="00C94700">
        <w:rPr>
          <w:rFonts w:hint="eastAsia"/>
          <w:snapToGrid/>
        </w:rPr>
        <w:t>我</w:t>
      </w:r>
      <w:r w:rsidRPr="00A936F0">
        <w:rPr>
          <w:rFonts w:hint="eastAsia"/>
          <w:snapToGrid/>
        </w:rPr>
        <w:t>们再次实现了</w:t>
      </w:r>
      <w:r w:rsidR="00BC346B">
        <w:rPr>
          <w:rFonts w:hint="eastAsia"/>
          <w:snapToGrid/>
        </w:rPr>
        <w:t>突破</w:t>
      </w:r>
      <w:r w:rsidRPr="00A936F0">
        <w:rPr>
          <w:rFonts w:hint="eastAsia"/>
          <w:snapToGrid/>
        </w:rPr>
        <w:t>，从而保持业务正常运转，为全球客户和消费者提供服务。”</w:t>
      </w:r>
    </w:p>
    <w:p w14:paraId="4CF46E2F" w14:textId="77777777" w:rsidR="00B570CF" w:rsidRDefault="00B570CF" w:rsidP="00062AA3">
      <w:pPr>
        <w:spacing w:after="163"/>
        <w:rPr>
          <w:b/>
          <w:snapToGrid/>
        </w:rPr>
      </w:pPr>
    </w:p>
    <w:p w14:paraId="66F562CE" w14:textId="30411CA3" w:rsidR="00062AA3" w:rsidRPr="00A936F0" w:rsidRDefault="00296953" w:rsidP="00062AA3">
      <w:pPr>
        <w:spacing w:after="163"/>
        <w:rPr>
          <w:rFonts w:cs="Arial"/>
          <w:b/>
          <w:snapToGrid/>
        </w:rPr>
      </w:pPr>
      <w:r w:rsidRPr="00A936F0">
        <w:rPr>
          <w:rFonts w:hint="eastAsia"/>
          <w:b/>
          <w:snapToGrid/>
        </w:rPr>
        <w:t>2022</w:t>
      </w:r>
      <w:r w:rsidRPr="00A936F0">
        <w:rPr>
          <w:rFonts w:hint="eastAsia"/>
          <w:b/>
          <w:snapToGrid/>
        </w:rPr>
        <w:t>财年展望</w:t>
      </w:r>
    </w:p>
    <w:p w14:paraId="1B2AA5A9" w14:textId="2E806B1F" w:rsidR="00062AA3" w:rsidRPr="00A936F0" w:rsidRDefault="00296953" w:rsidP="00062AA3">
      <w:pPr>
        <w:spacing w:after="163"/>
        <w:rPr>
          <w:rFonts w:cs="Arial"/>
          <w:snapToGrid/>
        </w:rPr>
      </w:pPr>
      <w:r w:rsidRPr="00A936F0">
        <w:rPr>
          <w:rFonts w:hint="eastAsia"/>
          <w:snapToGrid/>
        </w:rPr>
        <w:t>考虑到当前对市场环境的评估，尤其是原材料市场和供应链持续紧张</w:t>
      </w:r>
      <w:r w:rsidR="003C1E94">
        <w:rPr>
          <w:rFonts w:hint="eastAsia"/>
          <w:snapToGrid/>
        </w:rPr>
        <w:t>的</w:t>
      </w:r>
      <w:r w:rsidRPr="00A936F0">
        <w:rPr>
          <w:rFonts w:hint="eastAsia"/>
          <w:snapToGrid/>
        </w:rPr>
        <w:t>局面，以及相关直接材料成本进一步上涨的情况下，汉高公布了</w:t>
      </w:r>
      <w:r w:rsidRPr="00A936F0">
        <w:rPr>
          <w:rFonts w:hint="eastAsia"/>
          <w:b/>
          <w:bCs/>
          <w:snapToGrid/>
        </w:rPr>
        <w:t>对</w:t>
      </w:r>
      <w:r w:rsidRPr="00A936F0">
        <w:rPr>
          <w:rFonts w:hint="eastAsia"/>
          <w:b/>
          <w:bCs/>
          <w:snapToGrid/>
        </w:rPr>
        <w:t>2022</w:t>
      </w:r>
      <w:r w:rsidRPr="00A936F0">
        <w:rPr>
          <w:rFonts w:hint="eastAsia"/>
          <w:b/>
          <w:bCs/>
          <w:snapToGrid/>
        </w:rPr>
        <w:t>财年的业绩展望</w:t>
      </w:r>
      <w:r w:rsidRPr="00A936F0">
        <w:rPr>
          <w:rFonts w:hint="eastAsia"/>
          <w:snapToGrid/>
        </w:rPr>
        <w:t>（基于当前三个业务部的架构）。</w:t>
      </w:r>
    </w:p>
    <w:p w14:paraId="0AC9D9AF" w14:textId="69BEF752" w:rsidR="00062AA3" w:rsidRPr="00A936F0" w:rsidRDefault="00296953" w:rsidP="00062AA3">
      <w:pPr>
        <w:spacing w:after="163"/>
        <w:rPr>
          <w:rFonts w:cs="Arial"/>
          <w:snapToGrid/>
        </w:rPr>
      </w:pPr>
      <w:r w:rsidRPr="00A936F0">
        <w:rPr>
          <w:rFonts w:hint="eastAsia"/>
          <w:b/>
          <w:bCs/>
          <w:snapToGrid/>
        </w:rPr>
        <w:t>汉高</w:t>
      </w:r>
      <w:r w:rsidRPr="00A936F0">
        <w:rPr>
          <w:rFonts w:hint="eastAsia"/>
          <w:snapToGrid/>
        </w:rPr>
        <w:t>预计</w:t>
      </w:r>
      <w:r w:rsidRPr="00A936F0">
        <w:rPr>
          <w:rFonts w:hint="eastAsia"/>
          <w:snapToGrid/>
        </w:rPr>
        <w:t>2022</w:t>
      </w:r>
      <w:r w:rsidRPr="00A936F0">
        <w:rPr>
          <w:rFonts w:hint="eastAsia"/>
          <w:snapToGrid/>
        </w:rPr>
        <w:t>年集团有机销售额增长将在</w:t>
      </w:r>
      <w:r w:rsidRPr="00A936F0">
        <w:rPr>
          <w:rFonts w:hint="eastAsia"/>
          <w:snapToGrid/>
        </w:rPr>
        <w:t>2%</w:t>
      </w:r>
      <w:r w:rsidRPr="00A936F0">
        <w:rPr>
          <w:rFonts w:hint="eastAsia"/>
          <w:snapToGrid/>
        </w:rPr>
        <w:t>至</w:t>
      </w:r>
      <w:r w:rsidRPr="00A936F0">
        <w:rPr>
          <w:rFonts w:hint="eastAsia"/>
          <w:snapToGrid/>
        </w:rPr>
        <w:t>4%</w:t>
      </w:r>
      <w:r w:rsidRPr="00A936F0">
        <w:rPr>
          <w:rFonts w:hint="eastAsia"/>
          <w:snapToGrid/>
        </w:rPr>
        <w:t>之间。对于</w:t>
      </w:r>
      <w:r w:rsidRPr="00A936F0">
        <w:rPr>
          <w:rFonts w:hint="eastAsia"/>
          <w:b/>
          <w:bCs/>
          <w:snapToGrid/>
        </w:rPr>
        <w:t>粘合剂技术业务部</w:t>
      </w:r>
      <w:r w:rsidRPr="00A936F0">
        <w:rPr>
          <w:rFonts w:hint="eastAsia"/>
          <w:snapToGrid/>
        </w:rPr>
        <w:t>，汉高预计</w:t>
      </w:r>
      <w:r w:rsidRPr="00A936F0">
        <w:rPr>
          <w:rFonts w:hint="eastAsia"/>
          <w:snapToGrid/>
        </w:rPr>
        <w:t>2022</w:t>
      </w:r>
      <w:r w:rsidRPr="00A936F0">
        <w:rPr>
          <w:rFonts w:hint="eastAsia"/>
          <w:snapToGrid/>
        </w:rPr>
        <w:t>年有机销售额增长将在</w:t>
      </w:r>
      <w:r w:rsidRPr="00A936F0">
        <w:rPr>
          <w:rFonts w:hint="eastAsia"/>
          <w:snapToGrid/>
        </w:rPr>
        <w:t>5%</w:t>
      </w:r>
      <w:r w:rsidRPr="00A936F0">
        <w:rPr>
          <w:rFonts w:hint="eastAsia"/>
          <w:snapToGrid/>
        </w:rPr>
        <w:t>至</w:t>
      </w:r>
      <w:r w:rsidRPr="00A936F0">
        <w:rPr>
          <w:rFonts w:hint="eastAsia"/>
          <w:snapToGrid/>
        </w:rPr>
        <w:t>7%</w:t>
      </w:r>
      <w:r w:rsidRPr="00A936F0">
        <w:rPr>
          <w:rFonts w:hint="eastAsia"/>
          <w:snapToGrid/>
        </w:rPr>
        <w:t>之间。对于</w:t>
      </w:r>
      <w:r w:rsidRPr="00A936F0">
        <w:rPr>
          <w:rFonts w:hint="eastAsia"/>
          <w:b/>
          <w:bCs/>
          <w:snapToGrid/>
        </w:rPr>
        <w:t>化妆品</w:t>
      </w:r>
      <w:r w:rsidRPr="00A936F0">
        <w:rPr>
          <w:rFonts w:hint="eastAsia"/>
          <w:b/>
          <w:bCs/>
          <w:snapToGrid/>
        </w:rPr>
        <w:t>/</w:t>
      </w:r>
      <w:r w:rsidRPr="00A936F0">
        <w:rPr>
          <w:rFonts w:hint="eastAsia"/>
          <w:b/>
          <w:bCs/>
          <w:snapToGrid/>
        </w:rPr>
        <w:t>美容用品业务部</w:t>
      </w:r>
      <w:r w:rsidRPr="00A936F0">
        <w:rPr>
          <w:rFonts w:hint="eastAsia"/>
          <w:snapToGrid/>
        </w:rPr>
        <w:t>，预计将出现有机销售负增长，</w:t>
      </w:r>
      <w:r w:rsidR="00C73D23">
        <w:rPr>
          <w:rFonts w:hint="eastAsia"/>
          <w:snapToGrid/>
        </w:rPr>
        <w:t>在</w:t>
      </w:r>
      <w:r w:rsidRPr="00A936F0">
        <w:rPr>
          <w:rFonts w:hint="eastAsia"/>
          <w:snapToGrid/>
        </w:rPr>
        <w:t>-5%</w:t>
      </w:r>
      <w:r w:rsidRPr="00A936F0">
        <w:rPr>
          <w:rFonts w:hint="eastAsia"/>
          <w:snapToGrid/>
        </w:rPr>
        <w:t>至</w:t>
      </w:r>
      <w:r w:rsidRPr="00A936F0">
        <w:rPr>
          <w:rFonts w:hint="eastAsia"/>
          <w:snapToGrid/>
        </w:rPr>
        <w:t>-3%</w:t>
      </w:r>
      <w:r w:rsidRPr="00A936F0">
        <w:rPr>
          <w:rFonts w:hint="eastAsia"/>
          <w:snapToGrid/>
        </w:rPr>
        <w:t>之间</w:t>
      </w:r>
      <w:r w:rsidR="00CE3576">
        <w:rPr>
          <w:rFonts w:hint="eastAsia"/>
          <w:snapToGrid/>
        </w:rPr>
        <w:t>，</w:t>
      </w:r>
      <w:r w:rsidRPr="00A936F0">
        <w:rPr>
          <w:rFonts w:hint="eastAsia"/>
          <w:snapToGrid/>
        </w:rPr>
        <w:t>主要是由于已经决定并正在实施</w:t>
      </w:r>
      <w:r w:rsidR="00053F3C">
        <w:rPr>
          <w:rFonts w:hint="eastAsia"/>
          <w:snapToGrid/>
        </w:rPr>
        <w:t>的</w:t>
      </w:r>
      <w:r w:rsidR="003D3EE8">
        <w:rPr>
          <w:rFonts w:hint="eastAsia"/>
          <w:snapToGrid/>
        </w:rPr>
        <w:t>优化业务</w:t>
      </w:r>
      <w:r w:rsidRPr="00A936F0">
        <w:rPr>
          <w:rFonts w:hint="eastAsia"/>
          <w:snapToGrid/>
        </w:rPr>
        <w:t>组合的措施，其中包括停止不属于未来核心业务的活动，这占到该业务部</w:t>
      </w:r>
      <w:r w:rsidRPr="00A936F0">
        <w:rPr>
          <w:rFonts w:hint="eastAsia"/>
          <w:snapToGrid/>
        </w:rPr>
        <w:t>2021</w:t>
      </w:r>
      <w:r w:rsidRPr="00A936F0">
        <w:rPr>
          <w:rFonts w:hint="eastAsia"/>
          <w:snapToGrid/>
        </w:rPr>
        <w:t>年销售额的</w:t>
      </w:r>
      <w:r w:rsidRPr="00A936F0">
        <w:rPr>
          <w:rFonts w:hint="eastAsia"/>
          <w:snapToGrid/>
        </w:rPr>
        <w:t>5%</w:t>
      </w:r>
      <w:r w:rsidRPr="00A936F0">
        <w:rPr>
          <w:rFonts w:hint="eastAsia"/>
          <w:snapToGrid/>
        </w:rPr>
        <w:t>左右。对于</w:t>
      </w:r>
      <w:r w:rsidRPr="00A936F0">
        <w:rPr>
          <w:rFonts w:hint="eastAsia"/>
          <w:b/>
          <w:bCs/>
          <w:snapToGrid/>
        </w:rPr>
        <w:t>洗涤剂及家用护理业务部</w:t>
      </w:r>
      <w:r w:rsidRPr="00A936F0">
        <w:rPr>
          <w:rFonts w:hint="eastAsia"/>
          <w:snapToGrid/>
        </w:rPr>
        <w:t>，汉高预计有机销售额增长为</w:t>
      </w:r>
      <w:r w:rsidRPr="00A936F0">
        <w:rPr>
          <w:rFonts w:hint="eastAsia"/>
          <w:snapToGrid/>
        </w:rPr>
        <w:t>2%</w:t>
      </w:r>
      <w:r w:rsidRPr="00A936F0">
        <w:rPr>
          <w:rFonts w:hint="eastAsia"/>
          <w:snapToGrid/>
        </w:rPr>
        <w:t>至</w:t>
      </w:r>
      <w:r w:rsidRPr="00A936F0">
        <w:rPr>
          <w:rFonts w:hint="eastAsia"/>
          <w:snapToGrid/>
        </w:rPr>
        <w:t>4%</w:t>
      </w:r>
      <w:r w:rsidRPr="00A936F0">
        <w:rPr>
          <w:rFonts w:hint="eastAsia"/>
          <w:snapToGrid/>
        </w:rPr>
        <w:t>。</w:t>
      </w:r>
    </w:p>
    <w:p w14:paraId="2472FA00" w14:textId="77777777" w:rsidR="00062AA3" w:rsidRPr="00A936F0" w:rsidRDefault="00296953" w:rsidP="00062AA3">
      <w:pPr>
        <w:spacing w:after="163"/>
        <w:rPr>
          <w:rFonts w:cs="Arial"/>
          <w:snapToGrid/>
        </w:rPr>
      </w:pPr>
      <w:r w:rsidRPr="00A936F0">
        <w:rPr>
          <w:rFonts w:hint="eastAsia"/>
          <w:snapToGrid/>
        </w:rPr>
        <w:t>集团</w:t>
      </w:r>
      <w:r w:rsidRPr="00A936F0">
        <w:rPr>
          <w:rFonts w:hint="eastAsia"/>
          <w:b/>
          <w:bCs/>
          <w:snapToGrid/>
        </w:rPr>
        <w:t>调整后的销售回报率（息税前利润率）</w:t>
      </w:r>
      <w:r w:rsidRPr="00A936F0">
        <w:rPr>
          <w:rFonts w:hint="eastAsia"/>
          <w:snapToGrid/>
        </w:rPr>
        <w:t>预计在</w:t>
      </w:r>
      <w:r w:rsidRPr="00A936F0">
        <w:rPr>
          <w:rFonts w:hint="eastAsia"/>
          <w:snapToGrid/>
        </w:rPr>
        <w:t>11.5%</w:t>
      </w:r>
      <w:r w:rsidRPr="00A936F0">
        <w:rPr>
          <w:rFonts w:hint="eastAsia"/>
          <w:snapToGrid/>
        </w:rPr>
        <w:t>至</w:t>
      </w:r>
      <w:r w:rsidRPr="00A936F0">
        <w:rPr>
          <w:rFonts w:hint="eastAsia"/>
          <w:snapToGrid/>
        </w:rPr>
        <w:t>13.5%</w:t>
      </w:r>
      <w:r w:rsidRPr="00A936F0">
        <w:rPr>
          <w:rFonts w:hint="eastAsia"/>
          <w:snapToGrid/>
        </w:rPr>
        <w:t>之间。对于</w:t>
      </w:r>
      <w:r w:rsidRPr="00A936F0">
        <w:rPr>
          <w:rFonts w:hint="eastAsia"/>
          <w:b/>
          <w:bCs/>
          <w:snapToGrid/>
        </w:rPr>
        <w:t>粘合剂技术业务部</w:t>
      </w:r>
      <w:r w:rsidRPr="00A936F0">
        <w:rPr>
          <w:rFonts w:hint="eastAsia"/>
          <w:snapToGrid/>
        </w:rPr>
        <w:t>，汉高预计调整后的销售回报率在</w:t>
      </w:r>
      <w:r w:rsidRPr="00A936F0">
        <w:rPr>
          <w:rFonts w:hint="eastAsia"/>
          <w:snapToGrid/>
        </w:rPr>
        <w:t>15%</w:t>
      </w:r>
      <w:r w:rsidRPr="00A936F0">
        <w:rPr>
          <w:rFonts w:hint="eastAsia"/>
          <w:snapToGrid/>
        </w:rPr>
        <w:t>至</w:t>
      </w:r>
      <w:r w:rsidRPr="00A936F0">
        <w:rPr>
          <w:rFonts w:hint="eastAsia"/>
          <w:snapToGrid/>
        </w:rPr>
        <w:t>17%</w:t>
      </w:r>
      <w:r w:rsidRPr="00A936F0">
        <w:rPr>
          <w:rFonts w:hint="eastAsia"/>
          <w:snapToGrid/>
        </w:rPr>
        <w:t>之间，</w:t>
      </w:r>
      <w:r w:rsidRPr="00A936F0">
        <w:rPr>
          <w:rFonts w:hint="eastAsia"/>
          <w:b/>
          <w:bCs/>
          <w:snapToGrid/>
        </w:rPr>
        <w:t>化妆品</w:t>
      </w:r>
      <w:r w:rsidRPr="00A936F0">
        <w:rPr>
          <w:rFonts w:hint="eastAsia"/>
          <w:b/>
          <w:bCs/>
          <w:snapToGrid/>
        </w:rPr>
        <w:t>/</w:t>
      </w:r>
      <w:r w:rsidRPr="00A936F0">
        <w:rPr>
          <w:rFonts w:hint="eastAsia"/>
          <w:b/>
          <w:bCs/>
          <w:snapToGrid/>
        </w:rPr>
        <w:t>美容用品业务部</w:t>
      </w:r>
      <w:r w:rsidRPr="00A936F0">
        <w:rPr>
          <w:rFonts w:hint="eastAsia"/>
          <w:snapToGrid/>
        </w:rPr>
        <w:t>在</w:t>
      </w:r>
      <w:r w:rsidRPr="00A936F0">
        <w:rPr>
          <w:rFonts w:hint="eastAsia"/>
          <w:snapToGrid/>
        </w:rPr>
        <w:t>7.5%</w:t>
      </w:r>
      <w:r w:rsidRPr="00A936F0">
        <w:rPr>
          <w:rFonts w:hint="eastAsia"/>
          <w:snapToGrid/>
        </w:rPr>
        <w:t>至</w:t>
      </w:r>
      <w:r w:rsidRPr="00A936F0">
        <w:rPr>
          <w:rFonts w:hint="eastAsia"/>
          <w:snapToGrid/>
        </w:rPr>
        <w:t>10%</w:t>
      </w:r>
      <w:r w:rsidRPr="00A936F0">
        <w:rPr>
          <w:rFonts w:hint="eastAsia"/>
          <w:snapToGrid/>
        </w:rPr>
        <w:t>之间，</w:t>
      </w:r>
      <w:r w:rsidRPr="00A936F0">
        <w:rPr>
          <w:rFonts w:hint="eastAsia"/>
          <w:b/>
          <w:bCs/>
          <w:snapToGrid/>
        </w:rPr>
        <w:t>洗涤剂及家用护理业务部</w:t>
      </w:r>
      <w:r w:rsidRPr="00A936F0">
        <w:rPr>
          <w:rFonts w:hint="eastAsia"/>
          <w:snapToGrid/>
        </w:rPr>
        <w:t>在</w:t>
      </w:r>
      <w:r w:rsidRPr="00A936F0">
        <w:rPr>
          <w:rFonts w:hint="eastAsia"/>
          <w:snapToGrid/>
        </w:rPr>
        <w:t>10.5%</w:t>
      </w:r>
      <w:r w:rsidRPr="00A936F0">
        <w:rPr>
          <w:rFonts w:hint="eastAsia"/>
          <w:snapToGrid/>
        </w:rPr>
        <w:t>至</w:t>
      </w:r>
      <w:r w:rsidRPr="00A936F0">
        <w:rPr>
          <w:rFonts w:hint="eastAsia"/>
          <w:snapToGrid/>
        </w:rPr>
        <w:t>13%</w:t>
      </w:r>
      <w:r w:rsidRPr="00A936F0">
        <w:rPr>
          <w:rFonts w:hint="eastAsia"/>
          <w:snapToGrid/>
        </w:rPr>
        <w:t>之间。</w:t>
      </w:r>
    </w:p>
    <w:p w14:paraId="5A14D4BF" w14:textId="75DCCC07" w:rsidR="00062AA3" w:rsidRPr="00A936F0" w:rsidRDefault="00296953" w:rsidP="00062AA3">
      <w:pPr>
        <w:spacing w:after="163"/>
        <w:rPr>
          <w:rFonts w:cs="Arial"/>
          <w:snapToGrid/>
        </w:rPr>
      </w:pPr>
      <w:r w:rsidRPr="00A936F0">
        <w:rPr>
          <w:rFonts w:hint="eastAsia"/>
          <w:snapToGrid/>
        </w:rPr>
        <w:t>在集团层面，汉高预计</w:t>
      </w:r>
      <w:r w:rsidRPr="00A936F0">
        <w:rPr>
          <w:rFonts w:hint="eastAsia"/>
          <w:b/>
          <w:bCs/>
          <w:snapToGrid/>
        </w:rPr>
        <w:t>调整后的优先股每股收益（</w:t>
      </w:r>
      <w:r w:rsidRPr="00A936F0">
        <w:rPr>
          <w:rFonts w:hint="eastAsia"/>
          <w:b/>
          <w:bCs/>
          <w:snapToGrid/>
        </w:rPr>
        <w:t>EPS</w:t>
      </w:r>
      <w:r w:rsidRPr="00A936F0">
        <w:rPr>
          <w:rFonts w:hint="eastAsia"/>
          <w:b/>
          <w:bCs/>
          <w:snapToGrid/>
        </w:rPr>
        <w:t>）</w:t>
      </w:r>
      <w:r w:rsidRPr="00A936F0">
        <w:rPr>
          <w:rFonts w:hint="eastAsia"/>
          <w:snapToGrid/>
        </w:rPr>
        <w:t>在</w:t>
      </w:r>
      <w:r w:rsidRPr="00A936F0">
        <w:rPr>
          <w:rFonts w:hint="eastAsia"/>
          <w:snapToGrid/>
        </w:rPr>
        <w:t>-15%</w:t>
      </w:r>
      <w:r w:rsidRPr="00A936F0">
        <w:rPr>
          <w:rFonts w:hint="eastAsia"/>
          <w:snapToGrid/>
        </w:rPr>
        <w:t>至</w:t>
      </w:r>
      <w:r w:rsidRPr="00A936F0">
        <w:rPr>
          <w:rFonts w:hint="eastAsia"/>
          <w:snapToGrid/>
        </w:rPr>
        <w:t>5%</w:t>
      </w:r>
      <w:r w:rsidRPr="00A936F0">
        <w:rPr>
          <w:rFonts w:hint="eastAsia"/>
          <w:snapToGrid/>
        </w:rPr>
        <w:t>之间（按固定汇率计算），这反映出市场</w:t>
      </w:r>
      <w:r w:rsidR="00B11E58" w:rsidRPr="00A936F0">
        <w:rPr>
          <w:rFonts w:hint="eastAsia"/>
          <w:snapToGrid/>
        </w:rPr>
        <w:t>的高度</w:t>
      </w:r>
      <w:r w:rsidRPr="00A936F0">
        <w:rPr>
          <w:rFonts w:hint="eastAsia"/>
          <w:snapToGrid/>
        </w:rPr>
        <w:t>不确定性和波动性。</w:t>
      </w:r>
    </w:p>
    <w:p w14:paraId="6C3290DB" w14:textId="328C2B4B" w:rsidR="00A936F0" w:rsidRDefault="00A936F0">
      <w:pPr>
        <w:widowControl/>
        <w:adjustRightInd/>
        <w:snapToGrid/>
        <w:spacing w:afterLines="0" w:after="0" w:line="240" w:lineRule="auto"/>
        <w:jc w:val="left"/>
        <w:rPr>
          <w:b/>
          <w:snapToGrid/>
        </w:rPr>
      </w:pPr>
    </w:p>
    <w:p w14:paraId="7C4310C3" w14:textId="77777777" w:rsidR="00062AA3" w:rsidRPr="00A936F0" w:rsidRDefault="00296953" w:rsidP="00062AA3">
      <w:pPr>
        <w:spacing w:after="163"/>
        <w:rPr>
          <w:rFonts w:cs="Arial"/>
          <w:b/>
          <w:snapToGrid/>
        </w:rPr>
      </w:pPr>
      <w:r w:rsidRPr="00A936F0">
        <w:rPr>
          <w:rFonts w:hint="eastAsia"/>
          <w:b/>
          <w:snapToGrid/>
        </w:rPr>
        <w:t>新的中长期财务目标</w:t>
      </w:r>
    </w:p>
    <w:p w14:paraId="42CE2BAC" w14:textId="0D2F5662" w:rsidR="00062AA3" w:rsidRPr="00A936F0" w:rsidRDefault="00296953" w:rsidP="00062AA3">
      <w:pPr>
        <w:spacing w:after="163"/>
        <w:rPr>
          <w:rFonts w:cs="Arial"/>
          <w:snapToGrid/>
        </w:rPr>
      </w:pPr>
      <w:r w:rsidRPr="00A936F0">
        <w:rPr>
          <w:rFonts w:hint="eastAsia"/>
          <w:snapToGrid/>
        </w:rPr>
        <w:t>凭借其新的多品类平台和</w:t>
      </w:r>
      <w:r w:rsidR="000873F7">
        <w:rPr>
          <w:rFonts w:hint="eastAsia"/>
          <w:snapToGrid/>
        </w:rPr>
        <w:t>整合的</w:t>
      </w:r>
      <w:r w:rsidRPr="00A936F0">
        <w:rPr>
          <w:rFonts w:hint="eastAsia"/>
          <w:snapToGrid/>
        </w:rPr>
        <w:t>消费品团队，汉高将推动消费品业务和集团的增长及盈利能力。作为新的中长期财务目标的一部分，汉高旨在使其</w:t>
      </w:r>
      <w:r w:rsidRPr="00A936F0">
        <w:rPr>
          <w:rFonts w:hint="eastAsia"/>
          <w:b/>
          <w:bCs/>
          <w:snapToGrid/>
        </w:rPr>
        <w:t>消费品牌业务部</w:t>
      </w:r>
      <w:r w:rsidRPr="00A936F0">
        <w:rPr>
          <w:rFonts w:hint="eastAsia"/>
          <w:snapToGrid/>
        </w:rPr>
        <w:t>能够持续提高增长和利润率，并实现</w:t>
      </w:r>
      <w:r w:rsidRPr="00A936F0">
        <w:rPr>
          <w:rFonts w:hint="eastAsia"/>
          <w:snapToGrid/>
        </w:rPr>
        <w:t>3%</w:t>
      </w:r>
      <w:r w:rsidRPr="00A936F0">
        <w:rPr>
          <w:rFonts w:hint="eastAsia"/>
          <w:snapToGrid/>
        </w:rPr>
        <w:t>至</w:t>
      </w:r>
      <w:r w:rsidRPr="00A936F0">
        <w:rPr>
          <w:rFonts w:hint="eastAsia"/>
          <w:snapToGrid/>
        </w:rPr>
        <w:t>4%</w:t>
      </w:r>
      <w:r w:rsidRPr="00A936F0">
        <w:rPr>
          <w:rFonts w:hint="eastAsia"/>
          <w:snapToGrid/>
        </w:rPr>
        <w:t>的有机销售额增长以及</w:t>
      </w:r>
      <w:r w:rsidRPr="00A936F0">
        <w:rPr>
          <w:rFonts w:hint="eastAsia"/>
          <w:snapToGrid/>
        </w:rPr>
        <w:t>15%</w:t>
      </w:r>
      <w:r w:rsidRPr="00A936F0">
        <w:rPr>
          <w:rFonts w:hint="eastAsia"/>
          <w:snapToGrid/>
        </w:rPr>
        <w:t>左右的调整后息税前利润率。对于</w:t>
      </w:r>
      <w:r w:rsidRPr="00A936F0">
        <w:rPr>
          <w:rFonts w:hint="eastAsia"/>
          <w:b/>
          <w:bCs/>
          <w:snapToGrid/>
        </w:rPr>
        <w:t>粘合剂技术业务部</w:t>
      </w:r>
      <w:r w:rsidRPr="00A936F0">
        <w:rPr>
          <w:rFonts w:hint="eastAsia"/>
          <w:snapToGrid/>
        </w:rPr>
        <w:t>，汉高的目标是实现</w:t>
      </w:r>
      <w:r w:rsidRPr="00A936F0">
        <w:rPr>
          <w:rFonts w:hint="eastAsia"/>
          <w:snapToGrid/>
        </w:rPr>
        <w:t>3%</w:t>
      </w:r>
      <w:r w:rsidRPr="00A936F0">
        <w:rPr>
          <w:rFonts w:hint="eastAsia"/>
          <w:snapToGrid/>
        </w:rPr>
        <w:t>至</w:t>
      </w:r>
      <w:r w:rsidRPr="00A936F0">
        <w:rPr>
          <w:rFonts w:hint="eastAsia"/>
          <w:snapToGrid/>
        </w:rPr>
        <w:t>5%</w:t>
      </w:r>
      <w:r w:rsidRPr="00A936F0">
        <w:rPr>
          <w:rFonts w:hint="eastAsia"/>
          <w:snapToGrid/>
        </w:rPr>
        <w:t>的有机销售额增长，并将调整后的息税前利润率保持在</w:t>
      </w:r>
      <w:r w:rsidR="00797CE3">
        <w:rPr>
          <w:snapToGrid/>
        </w:rPr>
        <w:t>17%</w:t>
      </w:r>
      <w:r w:rsidR="00797CE3">
        <w:rPr>
          <w:rFonts w:hint="eastAsia"/>
          <w:snapToGrid/>
        </w:rPr>
        <w:t>至</w:t>
      </w:r>
      <w:r w:rsidR="00797CE3">
        <w:rPr>
          <w:rFonts w:hint="eastAsia"/>
          <w:snapToGrid/>
        </w:rPr>
        <w:t>1</w:t>
      </w:r>
      <w:r w:rsidR="00797CE3">
        <w:rPr>
          <w:snapToGrid/>
        </w:rPr>
        <w:t>9</w:t>
      </w:r>
      <w:r w:rsidRPr="00A936F0">
        <w:rPr>
          <w:rFonts w:hint="eastAsia"/>
          <w:snapToGrid/>
        </w:rPr>
        <w:t>%</w:t>
      </w:r>
      <w:r w:rsidRPr="00A936F0">
        <w:rPr>
          <w:rFonts w:hint="eastAsia"/>
          <w:snapToGrid/>
        </w:rPr>
        <w:t>。</w:t>
      </w:r>
    </w:p>
    <w:p w14:paraId="7271C578" w14:textId="6C11AC04" w:rsidR="00062AA3" w:rsidRPr="00A936F0" w:rsidRDefault="00296953" w:rsidP="00062AA3">
      <w:pPr>
        <w:spacing w:after="163"/>
        <w:rPr>
          <w:rFonts w:cs="Arial"/>
          <w:snapToGrid/>
        </w:rPr>
      </w:pPr>
      <w:r w:rsidRPr="00A936F0">
        <w:rPr>
          <w:rFonts w:hint="eastAsia"/>
          <w:snapToGrid/>
        </w:rPr>
        <w:t>基于此，汉高为</w:t>
      </w:r>
      <w:r w:rsidRPr="00A936F0">
        <w:rPr>
          <w:rFonts w:hint="eastAsia"/>
          <w:b/>
          <w:bCs/>
          <w:snapToGrid/>
        </w:rPr>
        <w:t>集团</w:t>
      </w:r>
      <w:r w:rsidRPr="00A936F0">
        <w:rPr>
          <w:rFonts w:hint="eastAsia"/>
          <w:snapToGrid/>
        </w:rPr>
        <w:t>制定了中长期目标，即实现</w:t>
      </w:r>
      <w:r w:rsidRPr="00A936F0">
        <w:rPr>
          <w:rFonts w:hint="eastAsia"/>
          <w:snapToGrid/>
        </w:rPr>
        <w:t>3%</w:t>
      </w:r>
      <w:r w:rsidRPr="00A936F0">
        <w:rPr>
          <w:rFonts w:hint="eastAsia"/>
          <w:snapToGrid/>
        </w:rPr>
        <w:t>至</w:t>
      </w:r>
      <w:r w:rsidRPr="00A936F0">
        <w:rPr>
          <w:rFonts w:hint="eastAsia"/>
          <w:snapToGrid/>
        </w:rPr>
        <w:t>4%</w:t>
      </w:r>
      <w:r w:rsidRPr="00A936F0">
        <w:rPr>
          <w:rFonts w:hint="eastAsia"/>
          <w:snapToGrid/>
        </w:rPr>
        <w:t>的有机销售增长，调整后的息税前利润率约为</w:t>
      </w:r>
      <w:r w:rsidRPr="00A936F0">
        <w:rPr>
          <w:rFonts w:hint="eastAsia"/>
          <w:snapToGrid/>
        </w:rPr>
        <w:t>16%</w:t>
      </w:r>
      <w:r w:rsidRPr="00A936F0">
        <w:rPr>
          <w:rFonts w:hint="eastAsia"/>
          <w:snapToGrid/>
        </w:rPr>
        <w:t>，调整后的优先股每股收益（</w:t>
      </w:r>
      <w:r w:rsidRPr="00A936F0">
        <w:rPr>
          <w:rFonts w:hint="eastAsia"/>
          <w:snapToGrid/>
        </w:rPr>
        <w:t>EPS</w:t>
      </w:r>
      <w:r w:rsidRPr="00A936F0">
        <w:rPr>
          <w:rFonts w:hint="eastAsia"/>
          <w:snapToGrid/>
        </w:rPr>
        <w:t>）</w:t>
      </w:r>
      <w:r w:rsidR="00914061">
        <w:rPr>
          <w:rFonts w:hint="eastAsia"/>
          <w:snapToGrid/>
        </w:rPr>
        <w:t>增长率为</w:t>
      </w:r>
      <w:r w:rsidRPr="00A936F0">
        <w:rPr>
          <w:rFonts w:hint="eastAsia"/>
          <w:snapToGrid/>
        </w:rPr>
        <w:t>中等至较高个位数百分比（按固定汇率计算，包括收购）。与此同时，汉高将继续专注于扩大自由现金流。</w:t>
      </w:r>
    </w:p>
    <w:p w14:paraId="60BB9F27" w14:textId="7D00FB0D" w:rsidR="00062AA3" w:rsidRPr="00A936F0" w:rsidRDefault="00296953" w:rsidP="00062AA3">
      <w:pPr>
        <w:spacing w:after="163"/>
        <w:rPr>
          <w:rFonts w:cs="Arial"/>
          <w:b/>
          <w:snapToGrid/>
        </w:rPr>
      </w:pPr>
      <w:r w:rsidRPr="00A936F0">
        <w:rPr>
          <w:rFonts w:hint="eastAsia"/>
          <w:b/>
          <w:snapToGrid/>
        </w:rPr>
        <w:lastRenderedPageBreak/>
        <w:t>后续</w:t>
      </w:r>
      <w:r w:rsidR="002578C2">
        <w:rPr>
          <w:rFonts w:hint="eastAsia"/>
          <w:b/>
          <w:snapToGrid/>
        </w:rPr>
        <w:t>举措</w:t>
      </w:r>
    </w:p>
    <w:p w14:paraId="50EAF468" w14:textId="77777777" w:rsidR="00062AA3" w:rsidRPr="00A936F0" w:rsidRDefault="00296953" w:rsidP="00062AA3">
      <w:pPr>
        <w:spacing w:after="163"/>
        <w:rPr>
          <w:rFonts w:cs="Arial"/>
          <w:snapToGrid/>
        </w:rPr>
      </w:pPr>
      <w:r w:rsidRPr="00A936F0">
        <w:rPr>
          <w:rFonts w:hint="eastAsia"/>
          <w:snapToGrid/>
        </w:rPr>
        <w:t>鉴于合并计划也将对全球范围内的两个业务部的员工产生影响，因此汉高将尽快启动与相应员工代表的信息沟通和咨询流程。</w:t>
      </w:r>
    </w:p>
    <w:p w14:paraId="36BEB5E0" w14:textId="29AC2D9E" w:rsidR="00062AA3" w:rsidRPr="00A936F0" w:rsidRDefault="00296953" w:rsidP="00062AA3">
      <w:pPr>
        <w:spacing w:after="163"/>
        <w:rPr>
          <w:rFonts w:cs="Arial"/>
          <w:snapToGrid/>
        </w:rPr>
      </w:pPr>
      <w:r w:rsidRPr="00A936F0">
        <w:rPr>
          <w:rFonts w:hint="eastAsia"/>
          <w:snapToGrid/>
        </w:rPr>
        <w:t>有关</w:t>
      </w:r>
      <w:r w:rsidRPr="00A936F0">
        <w:rPr>
          <w:rFonts w:hint="eastAsia"/>
          <w:snapToGrid/>
        </w:rPr>
        <w:t>2021</w:t>
      </w:r>
      <w:r w:rsidRPr="00A936F0">
        <w:rPr>
          <w:rFonts w:hint="eastAsia"/>
          <w:snapToGrid/>
        </w:rPr>
        <w:t>财年业务发展和</w:t>
      </w:r>
      <w:r w:rsidRPr="00A936F0">
        <w:rPr>
          <w:rFonts w:hint="eastAsia"/>
          <w:snapToGrid/>
        </w:rPr>
        <w:t>2022</w:t>
      </w:r>
      <w:r w:rsidRPr="00A936F0">
        <w:rPr>
          <w:rFonts w:hint="eastAsia"/>
          <w:snapToGrid/>
        </w:rPr>
        <w:t>财年业绩展望的更多详细信息，以及公司目标性增长战略议程的进展和后续措施的最新信息，将在</w:t>
      </w:r>
      <w:r w:rsidRPr="00A936F0">
        <w:rPr>
          <w:rFonts w:hint="eastAsia"/>
          <w:snapToGrid/>
        </w:rPr>
        <w:t>2022</w:t>
      </w:r>
      <w:r w:rsidRPr="00A936F0">
        <w:rPr>
          <w:rFonts w:hint="eastAsia"/>
          <w:snapToGrid/>
        </w:rPr>
        <w:t>年</w:t>
      </w:r>
      <w:r w:rsidRPr="00A936F0">
        <w:rPr>
          <w:rFonts w:hint="eastAsia"/>
          <w:snapToGrid/>
        </w:rPr>
        <w:t>2</w:t>
      </w:r>
      <w:r w:rsidRPr="00A936F0">
        <w:rPr>
          <w:rFonts w:hint="eastAsia"/>
          <w:snapToGrid/>
        </w:rPr>
        <w:t>月</w:t>
      </w:r>
      <w:r w:rsidRPr="00A936F0">
        <w:rPr>
          <w:rFonts w:hint="eastAsia"/>
          <w:snapToGrid/>
        </w:rPr>
        <w:t>23</w:t>
      </w:r>
      <w:r w:rsidRPr="00A936F0">
        <w:rPr>
          <w:rFonts w:hint="eastAsia"/>
          <w:snapToGrid/>
        </w:rPr>
        <w:t>日的分析</w:t>
      </w:r>
      <w:r w:rsidR="003F3A46">
        <w:rPr>
          <w:rFonts w:hint="eastAsia"/>
          <w:snapToGrid/>
        </w:rPr>
        <w:t>师</w:t>
      </w:r>
      <w:r w:rsidR="00007B1F">
        <w:rPr>
          <w:rFonts w:hint="eastAsia"/>
          <w:snapToGrid/>
        </w:rPr>
        <w:t>与媒体</w:t>
      </w:r>
      <w:r w:rsidRPr="00A936F0">
        <w:rPr>
          <w:rFonts w:hint="eastAsia"/>
          <w:snapToGrid/>
        </w:rPr>
        <w:t>发布会上公布。</w:t>
      </w:r>
    </w:p>
    <w:p w14:paraId="47AAE292" w14:textId="4D5EBEAB" w:rsidR="00062AA3" w:rsidRPr="00A936F0" w:rsidRDefault="00296953" w:rsidP="00062AA3">
      <w:pPr>
        <w:spacing w:after="163"/>
        <w:rPr>
          <w:rFonts w:cs="Arial"/>
          <w:snapToGrid/>
        </w:rPr>
      </w:pPr>
      <w:r w:rsidRPr="00A936F0">
        <w:rPr>
          <w:rFonts w:hint="eastAsia"/>
          <w:snapToGrid/>
        </w:rPr>
        <w:t>有关两个消费品业务部整合过程的更多信息以及计划</w:t>
      </w:r>
      <w:r w:rsidR="00007B1F">
        <w:rPr>
          <w:rFonts w:hint="eastAsia"/>
          <w:snapToGrid/>
        </w:rPr>
        <w:t>进行的业务</w:t>
      </w:r>
      <w:r w:rsidRPr="00A936F0">
        <w:rPr>
          <w:rFonts w:hint="eastAsia"/>
          <w:snapToGrid/>
        </w:rPr>
        <w:t>组合</w:t>
      </w:r>
      <w:r w:rsidR="001F08C7">
        <w:rPr>
          <w:rFonts w:hint="eastAsia"/>
          <w:snapToGrid/>
        </w:rPr>
        <w:t>管理</w:t>
      </w:r>
      <w:r w:rsidRPr="00A936F0">
        <w:rPr>
          <w:rFonts w:hint="eastAsia"/>
          <w:snapToGrid/>
        </w:rPr>
        <w:t>措施，包括预期的协同效应和重组费用，将与</w:t>
      </w:r>
      <w:r w:rsidRPr="00A936F0">
        <w:rPr>
          <w:rFonts w:hint="eastAsia"/>
          <w:snapToGrid/>
        </w:rPr>
        <w:t>2022</w:t>
      </w:r>
      <w:r w:rsidRPr="00A936F0">
        <w:rPr>
          <w:rFonts w:hint="eastAsia"/>
          <w:snapToGrid/>
        </w:rPr>
        <w:t>年</w:t>
      </w:r>
      <w:r w:rsidRPr="00A936F0">
        <w:rPr>
          <w:rFonts w:hint="eastAsia"/>
          <w:snapToGrid/>
        </w:rPr>
        <w:t>5</w:t>
      </w:r>
      <w:r w:rsidRPr="00A936F0">
        <w:rPr>
          <w:rFonts w:hint="eastAsia"/>
          <w:snapToGrid/>
        </w:rPr>
        <w:t>月</w:t>
      </w:r>
      <w:r w:rsidRPr="00A936F0">
        <w:rPr>
          <w:rFonts w:hint="eastAsia"/>
          <w:snapToGrid/>
        </w:rPr>
        <w:t>5</w:t>
      </w:r>
      <w:r w:rsidRPr="00A936F0">
        <w:rPr>
          <w:rFonts w:hint="eastAsia"/>
          <w:snapToGrid/>
        </w:rPr>
        <w:t>日的第一季度报告一同发布。</w:t>
      </w:r>
    </w:p>
    <w:p w14:paraId="298D5780" w14:textId="60F1E9F3" w:rsidR="00062AA3" w:rsidRPr="00A936F0" w:rsidRDefault="00892EE2" w:rsidP="00062AA3">
      <w:pPr>
        <w:spacing w:after="163"/>
        <w:rPr>
          <w:rFonts w:cs="Arial"/>
          <w:snapToGrid/>
        </w:rPr>
      </w:pPr>
      <w:r w:rsidRPr="00A936F0">
        <w:rPr>
          <w:rFonts w:hint="eastAsia"/>
          <w:snapToGrid/>
        </w:rPr>
        <w:t>消费品牌和粘合剂技术</w:t>
      </w:r>
      <w:r w:rsidR="00296953" w:rsidRPr="00A936F0">
        <w:rPr>
          <w:rFonts w:hint="eastAsia"/>
          <w:snapToGrid/>
        </w:rPr>
        <w:t>两</w:t>
      </w:r>
      <w:r>
        <w:rPr>
          <w:rFonts w:hint="eastAsia"/>
          <w:snapToGrid/>
        </w:rPr>
        <w:t>大</w:t>
      </w:r>
      <w:r w:rsidR="00296953" w:rsidRPr="00A936F0">
        <w:rPr>
          <w:rFonts w:hint="eastAsia"/>
          <w:snapToGrid/>
        </w:rPr>
        <w:t>业务部的最新详情将在</w:t>
      </w:r>
      <w:r w:rsidR="00296953" w:rsidRPr="00A936F0">
        <w:rPr>
          <w:rFonts w:hint="eastAsia"/>
          <w:snapToGrid/>
        </w:rPr>
        <w:t>2022</w:t>
      </w:r>
      <w:r w:rsidR="00296953" w:rsidRPr="00A936F0">
        <w:rPr>
          <w:rFonts w:hint="eastAsia"/>
          <w:snapToGrid/>
        </w:rPr>
        <w:t>年的投资者大会上公布。</w:t>
      </w:r>
    </w:p>
    <w:p w14:paraId="0A9EF628" w14:textId="77777777" w:rsidR="00630049" w:rsidRDefault="00630049" w:rsidP="00062AA3">
      <w:pPr>
        <w:spacing w:after="163"/>
        <w:rPr>
          <w:b/>
          <w:snapToGrid/>
        </w:rPr>
      </w:pPr>
    </w:p>
    <w:p w14:paraId="6A311F04" w14:textId="07A93902" w:rsidR="00630049" w:rsidRDefault="00630049" w:rsidP="00892EE2">
      <w:pPr>
        <w:spacing w:after="163"/>
        <w:rPr>
          <w:b/>
          <w:snapToGrid/>
        </w:rPr>
      </w:pPr>
      <w:r w:rsidRPr="00A21A89">
        <w:rPr>
          <w:rFonts w:hint="eastAsia"/>
          <w:i/>
          <w:iCs/>
          <w:snapToGrid/>
          <w:sz w:val="20"/>
          <w:szCs w:val="18"/>
        </w:rPr>
        <w:t>*</w:t>
      </w:r>
      <w:r w:rsidRPr="00A21A89">
        <w:rPr>
          <w:rFonts w:hint="eastAsia"/>
          <w:i/>
          <w:iCs/>
          <w:snapToGrid/>
          <w:sz w:val="20"/>
          <w:szCs w:val="18"/>
        </w:rPr>
        <w:t>对一次性费用和收入以及重组费用进行了调整</w:t>
      </w:r>
    </w:p>
    <w:p w14:paraId="41931178" w14:textId="77777777" w:rsidR="00630049" w:rsidRDefault="00630049" w:rsidP="00062AA3">
      <w:pPr>
        <w:spacing w:after="163"/>
        <w:rPr>
          <w:b/>
          <w:snapToGrid/>
        </w:rPr>
      </w:pPr>
    </w:p>
    <w:p w14:paraId="0163B0D2" w14:textId="77777777" w:rsidR="008C4FC8" w:rsidRPr="0006078E" w:rsidRDefault="008C4FC8" w:rsidP="008C4FC8">
      <w:pPr>
        <w:spacing w:after="163"/>
        <w:rPr>
          <w:rStyle w:val="AboutandContactHeadline"/>
          <w:sz w:val="16"/>
        </w:rPr>
      </w:pPr>
      <w:r w:rsidRPr="0006078E">
        <w:rPr>
          <w:rStyle w:val="AboutandContactHeadline"/>
          <w:rFonts w:hint="eastAsia"/>
          <w:sz w:val="16"/>
        </w:rPr>
        <w:t>关于汉高</w:t>
      </w:r>
    </w:p>
    <w:p w14:paraId="68832A99" w14:textId="27410C7B" w:rsidR="008C4FC8" w:rsidRPr="0006078E" w:rsidRDefault="008C4FC8" w:rsidP="008C4FC8">
      <w:pPr>
        <w:spacing w:after="163"/>
        <w:rPr>
          <w:rStyle w:val="AboutandContactBody"/>
          <w:sz w:val="16"/>
        </w:rPr>
      </w:pPr>
      <w:r w:rsidRPr="0006078E">
        <w:rPr>
          <w:rStyle w:val="AboutandContactBody"/>
          <w:rFonts w:hint="eastAsia"/>
          <w:sz w:val="16"/>
        </w:rPr>
        <w:t>汉高在全球范围内经营均衡且多元化的业务组合。通过强大的品牌、卓越的创新和先进的技术，公司在工业和消费领域的三大业务板块中确立了领先地位。汉高粘合剂技术业务部是全球粘合剂市场的领导者，服务于全球各行各业。洗涤剂及家用护理以及化妆品</w:t>
      </w:r>
      <w:r w:rsidRPr="0006078E">
        <w:rPr>
          <w:rStyle w:val="AboutandContactBody"/>
          <w:rFonts w:hint="eastAsia"/>
          <w:sz w:val="16"/>
        </w:rPr>
        <w:t>/</w:t>
      </w:r>
      <w:r w:rsidRPr="0006078E">
        <w:rPr>
          <w:rStyle w:val="AboutandContactBody"/>
          <w:rFonts w:hint="eastAsia"/>
          <w:sz w:val="16"/>
        </w:rPr>
        <w:t>美容用品两大业务也是各国市场和众多应用领域中的领先品牌。公司成立于</w:t>
      </w:r>
      <w:r w:rsidRPr="0006078E">
        <w:rPr>
          <w:rStyle w:val="AboutandContactBody"/>
          <w:rFonts w:hint="eastAsia"/>
          <w:sz w:val="16"/>
        </w:rPr>
        <w:t>1876</w:t>
      </w:r>
      <w:r w:rsidRPr="0006078E">
        <w:rPr>
          <w:rStyle w:val="AboutandContactBody"/>
          <w:rFonts w:hint="eastAsia"/>
          <w:sz w:val="16"/>
        </w:rPr>
        <w:t>年，迄今已有</w:t>
      </w:r>
      <w:r w:rsidRPr="0006078E">
        <w:rPr>
          <w:rStyle w:val="AboutandContactBody"/>
          <w:rFonts w:hint="eastAsia"/>
          <w:sz w:val="16"/>
        </w:rPr>
        <w:t>140</w:t>
      </w:r>
      <w:r w:rsidRPr="0006078E">
        <w:rPr>
          <w:rStyle w:val="AboutandContactBody"/>
          <w:rFonts w:hint="eastAsia"/>
          <w:sz w:val="16"/>
        </w:rPr>
        <w:t>多年光辉历史。</w:t>
      </w:r>
      <w:r w:rsidRPr="0006078E">
        <w:rPr>
          <w:rStyle w:val="AboutandContactBody"/>
          <w:rFonts w:hint="eastAsia"/>
          <w:sz w:val="16"/>
        </w:rPr>
        <w:t>202</w:t>
      </w:r>
      <w:r w:rsidR="0013503B">
        <w:rPr>
          <w:rStyle w:val="AboutandContactBody"/>
          <w:sz w:val="16"/>
        </w:rPr>
        <w:t>1</w:t>
      </w:r>
      <w:r w:rsidRPr="0006078E">
        <w:rPr>
          <w:rStyle w:val="AboutandContactBody"/>
          <w:rFonts w:hint="eastAsia"/>
          <w:sz w:val="16"/>
        </w:rPr>
        <w:t>年，汉高实现销售额逾</w:t>
      </w:r>
      <w:r w:rsidR="0013503B">
        <w:rPr>
          <w:rStyle w:val="AboutandContactBody"/>
          <w:sz w:val="16"/>
        </w:rPr>
        <w:t>200</w:t>
      </w:r>
      <w:r w:rsidRPr="0006078E">
        <w:rPr>
          <w:rStyle w:val="AboutandContactBody"/>
          <w:rFonts w:hint="eastAsia"/>
          <w:sz w:val="16"/>
        </w:rPr>
        <w:t>亿欧元。汉高在全球范围内约有</w:t>
      </w:r>
      <w:r w:rsidRPr="0006078E">
        <w:rPr>
          <w:rStyle w:val="AboutandContactBody"/>
          <w:rFonts w:hint="eastAsia"/>
          <w:sz w:val="16"/>
        </w:rPr>
        <w:t>5.3</w:t>
      </w:r>
      <w:r w:rsidRPr="0006078E">
        <w:rPr>
          <w:rStyle w:val="AboutandContactBody"/>
          <w:rFonts w:hint="eastAsia"/>
          <w:sz w:val="16"/>
        </w:rPr>
        <w:t>万名员工，在强大的企业文化、共同的企业目标与价值观的引领下，他们融合为一支热情、多元化的团队。作为企业可持续发展的表率，汉高在许多国际性指数和排行榜中名列前茅。汉高的优先股已列入德国</w:t>
      </w:r>
      <w:r w:rsidRPr="0006078E">
        <w:rPr>
          <w:rStyle w:val="AboutandContactBody"/>
          <w:rFonts w:hint="eastAsia"/>
          <w:sz w:val="16"/>
        </w:rPr>
        <w:t>DAX</w:t>
      </w:r>
      <w:r w:rsidRPr="0006078E">
        <w:rPr>
          <w:rStyle w:val="AboutandContactBody"/>
          <w:rFonts w:hint="eastAsia"/>
          <w:sz w:val="16"/>
        </w:rPr>
        <w:t>指数。更多资讯，敬请访问</w:t>
      </w:r>
      <w:hyperlink r:id="rId8" w:history="1">
        <w:r w:rsidRPr="0006078E">
          <w:rPr>
            <w:rStyle w:val="ad"/>
            <w:rFonts w:hint="eastAsia"/>
            <w:sz w:val="16"/>
            <w:szCs w:val="16"/>
          </w:rPr>
          <w:t>www.henkel.com</w:t>
        </w:r>
      </w:hyperlink>
      <w:r w:rsidRPr="0006078E">
        <w:rPr>
          <w:rStyle w:val="AboutandContactBody"/>
          <w:rFonts w:hint="eastAsia"/>
          <w:sz w:val="16"/>
        </w:rPr>
        <w:t>。</w:t>
      </w:r>
    </w:p>
    <w:p w14:paraId="6FB7BAC9" w14:textId="77777777" w:rsidR="008C4FC8" w:rsidRPr="0006078E" w:rsidRDefault="008C4FC8" w:rsidP="008C4FC8">
      <w:pPr>
        <w:spacing w:after="163"/>
        <w:rPr>
          <w:rFonts w:asciiTheme="majorHAnsi" w:hAnsiTheme="majorHAnsi" w:cstheme="majorHAnsi"/>
          <w:sz w:val="20"/>
        </w:rPr>
      </w:pPr>
      <w:r w:rsidRPr="0006078E">
        <w:rPr>
          <w:rFonts w:asciiTheme="majorHAnsi" w:hAnsiTheme="majorHAnsi" w:hint="eastAsia"/>
          <w:sz w:val="12"/>
        </w:rPr>
        <w:t>本文件所含前瞻性表述乃汉高股份及两合公司管理层基于现有的预测和假设。前瞻性表述的特点是使用诸如期望、打算、计划、预测、假设、相信、预计、预期、预见和类似的表述。该等表述在任何情况下都不应该被理解成保证该等预期的准确无误。汉高股份及两合公司及其关联公司实际实现的未来业绩和结果取决于一系列的风险和不确定性，因此可能与前瞻性表述有明显差别。很多因素，例如未来的经济环境和竞争者行为以及市场上其他参与者的行为，均在汉高的控制之外，无法准确预计。汉高不计划也不承诺更新前瞻性表述。</w:t>
      </w:r>
      <w:r w:rsidRPr="0006078E">
        <w:rPr>
          <w:rFonts w:asciiTheme="majorHAnsi" w:hAnsiTheme="majorHAnsi" w:hint="eastAsia"/>
          <w:sz w:val="12"/>
        </w:rPr>
        <w:t xml:space="preserve"> </w:t>
      </w:r>
    </w:p>
    <w:p w14:paraId="020C481C" w14:textId="77777777" w:rsidR="008C4FC8" w:rsidRPr="0006078E" w:rsidRDefault="008C4FC8" w:rsidP="008C4FC8">
      <w:pPr>
        <w:spacing w:after="163"/>
        <w:rPr>
          <w:rFonts w:asciiTheme="majorHAnsi" w:hAnsiTheme="majorHAnsi" w:cstheme="majorHAnsi"/>
          <w:bCs/>
          <w:sz w:val="12"/>
          <w:szCs w:val="12"/>
        </w:rPr>
      </w:pPr>
      <w:r w:rsidRPr="0006078E">
        <w:rPr>
          <w:rFonts w:asciiTheme="majorHAnsi" w:hAnsiTheme="majorHAnsi" w:hint="eastAsia"/>
          <w:sz w:val="12"/>
        </w:rPr>
        <w:t>本文件在适用的财务报告框架中未明确界定的补充性财务计量指标，这些指标是或可能是替代性财务表现计量（非公认会计原则）。这些补充财务计量指标是根据综合财务报表中适用的财务报告框架提出的，不应被孤立看待，也不应被视为汉高净资产、财务状况或运营结果的替代计量指标。其他公司对于报告或描述类似项目的替代性财务计量指标，可能使用不同的计算方法。</w:t>
      </w:r>
    </w:p>
    <w:p w14:paraId="58105F99" w14:textId="77777777" w:rsidR="008C4FC8" w:rsidRPr="0006078E" w:rsidRDefault="008C4FC8" w:rsidP="008C4FC8">
      <w:pPr>
        <w:spacing w:after="163"/>
        <w:rPr>
          <w:rFonts w:asciiTheme="majorHAnsi" w:hAnsiTheme="majorHAnsi" w:cstheme="majorHAnsi"/>
          <w:bCs/>
          <w:sz w:val="12"/>
          <w:szCs w:val="12"/>
        </w:rPr>
      </w:pPr>
      <w:r w:rsidRPr="0006078E">
        <w:rPr>
          <w:rFonts w:asciiTheme="majorHAnsi" w:hAnsiTheme="majorHAnsi" w:hint="eastAsia"/>
          <w:sz w:val="12"/>
        </w:rPr>
        <w:t>本文件仅供参考，并不构成任何对证券的投资建议、出售要约或购买要约。</w:t>
      </w:r>
    </w:p>
    <w:p w14:paraId="52867551" w14:textId="77777777" w:rsidR="008C4FC8" w:rsidRPr="00A936F0" w:rsidRDefault="008C4FC8" w:rsidP="00062AA3">
      <w:pPr>
        <w:spacing w:after="163"/>
        <w:rPr>
          <w:rFonts w:cs="Arial"/>
          <w:snapToGrid/>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6"/>
        <w:gridCol w:w="2016"/>
        <w:gridCol w:w="3826"/>
      </w:tblGrid>
      <w:tr w:rsidR="0091561C" w:rsidRPr="00A936F0" w14:paraId="1B0645DA" w14:textId="77777777" w:rsidTr="0091561C">
        <w:tc>
          <w:tcPr>
            <w:tcW w:w="1969" w:type="pct"/>
          </w:tcPr>
          <w:p w14:paraId="4CFDE0BF" w14:textId="62B7A5CF" w:rsidR="0091561C" w:rsidRPr="00A936F0" w:rsidRDefault="0091561C" w:rsidP="0091561C">
            <w:pPr>
              <w:pStyle w:val="ab"/>
              <w:spacing w:before="65" w:after="65"/>
              <w:rPr>
                <w:rFonts w:cs="Arial"/>
                <w:b/>
                <w:snapToGrid/>
              </w:rPr>
            </w:pPr>
          </w:p>
        </w:tc>
        <w:tc>
          <w:tcPr>
            <w:tcW w:w="1046" w:type="pct"/>
          </w:tcPr>
          <w:p w14:paraId="42A3D8ED" w14:textId="77777777" w:rsidR="0091561C" w:rsidRPr="00A936F0" w:rsidRDefault="0091561C" w:rsidP="0091561C">
            <w:pPr>
              <w:pStyle w:val="ab"/>
              <w:spacing w:before="65" w:after="65"/>
              <w:rPr>
                <w:rFonts w:cs="Arial"/>
                <w:b/>
                <w:snapToGrid/>
              </w:rPr>
            </w:pPr>
          </w:p>
        </w:tc>
        <w:tc>
          <w:tcPr>
            <w:tcW w:w="1985" w:type="pct"/>
          </w:tcPr>
          <w:p w14:paraId="22C5D843" w14:textId="3A60D270" w:rsidR="0091561C" w:rsidRPr="00A936F0" w:rsidRDefault="0091561C" w:rsidP="0091561C">
            <w:pPr>
              <w:pStyle w:val="ab"/>
              <w:spacing w:before="65" w:after="65"/>
              <w:rPr>
                <w:rFonts w:cs="Arial"/>
                <w:b/>
                <w:snapToGrid/>
              </w:rPr>
            </w:pPr>
          </w:p>
        </w:tc>
      </w:tr>
      <w:tr w:rsidR="0091561C" w:rsidRPr="00A936F0" w14:paraId="75215E4A" w14:textId="77777777" w:rsidTr="0091561C">
        <w:tc>
          <w:tcPr>
            <w:tcW w:w="1969" w:type="pct"/>
          </w:tcPr>
          <w:p w14:paraId="5AB288EC" w14:textId="77777777" w:rsidR="0091561C" w:rsidRPr="00A936F0" w:rsidRDefault="0091561C" w:rsidP="0091561C">
            <w:pPr>
              <w:pStyle w:val="ab"/>
              <w:spacing w:before="65" w:after="65"/>
              <w:rPr>
                <w:rFonts w:cs="Arial"/>
                <w:snapToGrid/>
              </w:rPr>
            </w:pPr>
          </w:p>
        </w:tc>
        <w:tc>
          <w:tcPr>
            <w:tcW w:w="1046" w:type="pct"/>
          </w:tcPr>
          <w:p w14:paraId="0E3B9F94" w14:textId="77777777" w:rsidR="0091561C" w:rsidRPr="00A936F0" w:rsidRDefault="0091561C" w:rsidP="0091561C">
            <w:pPr>
              <w:pStyle w:val="ab"/>
              <w:spacing w:before="65" w:after="65"/>
              <w:rPr>
                <w:rFonts w:cs="Arial"/>
                <w:snapToGrid/>
              </w:rPr>
            </w:pPr>
          </w:p>
        </w:tc>
        <w:tc>
          <w:tcPr>
            <w:tcW w:w="1985" w:type="pct"/>
          </w:tcPr>
          <w:p w14:paraId="20659C14" w14:textId="77777777" w:rsidR="0091561C" w:rsidRPr="00A936F0" w:rsidRDefault="0091561C" w:rsidP="0091561C">
            <w:pPr>
              <w:pStyle w:val="ab"/>
              <w:spacing w:before="65" w:after="65"/>
              <w:rPr>
                <w:rFonts w:cs="Arial"/>
                <w:snapToGrid/>
              </w:rPr>
            </w:pPr>
          </w:p>
        </w:tc>
      </w:tr>
      <w:tr w:rsidR="0091561C" w:rsidRPr="00A936F0" w14:paraId="0CAC0D9B" w14:textId="77777777" w:rsidTr="0091561C">
        <w:tc>
          <w:tcPr>
            <w:tcW w:w="1969" w:type="pct"/>
          </w:tcPr>
          <w:p w14:paraId="1C2B3179" w14:textId="2F75DD2B" w:rsidR="0091561C" w:rsidRPr="00A936F0" w:rsidRDefault="0091561C" w:rsidP="0091561C">
            <w:pPr>
              <w:pStyle w:val="ab"/>
              <w:spacing w:before="65" w:after="65"/>
              <w:rPr>
                <w:rFonts w:cs="Arial"/>
                <w:b/>
                <w:snapToGrid/>
              </w:rPr>
            </w:pPr>
          </w:p>
        </w:tc>
        <w:tc>
          <w:tcPr>
            <w:tcW w:w="1046" w:type="pct"/>
          </w:tcPr>
          <w:p w14:paraId="4015BAB6" w14:textId="77777777" w:rsidR="0091561C" w:rsidRPr="00A936F0" w:rsidRDefault="0091561C" w:rsidP="0091561C">
            <w:pPr>
              <w:pStyle w:val="ab"/>
              <w:spacing w:before="65" w:after="65"/>
              <w:rPr>
                <w:rFonts w:cs="Arial"/>
                <w:b/>
                <w:snapToGrid/>
              </w:rPr>
            </w:pPr>
          </w:p>
        </w:tc>
        <w:tc>
          <w:tcPr>
            <w:tcW w:w="1985" w:type="pct"/>
          </w:tcPr>
          <w:p w14:paraId="1CA8A419" w14:textId="57B2833A" w:rsidR="0091561C" w:rsidRPr="00A936F0" w:rsidRDefault="0091561C" w:rsidP="0091561C">
            <w:pPr>
              <w:pStyle w:val="ab"/>
              <w:spacing w:before="65" w:after="65"/>
              <w:rPr>
                <w:rFonts w:cs="Arial"/>
                <w:b/>
                <w:snapToGrid/>
              </w:rPr>
            </w:pPr>
          </w:p>
        </w:tc>
      </w:tr>
      <w:tr w:rsidR="0091561C" w:rsidRPr="00A936F0" w14:paraId="1FD84748" w14:textId="77777777" w:rsidTr="0091561C">
        <w:tc>
          <w:tcPr>
            <w:tcW w:w="1969" w:type="pct"/>
          </w:tcPr>
          <w:p w14:paraId="3F92A177" w14:textId="076D18AC" w:rsidR="0091561C" w:rsidRPr="00A936F0" w:rsidRDefault="0091561C" w:rsidP="0091561C">
            <w:pPr>
              <w:pStyle w:val="ab"/>
              <w:spacing w:before="65" w:after="65"/>
              <w:rPr>
                <w:rFonts w:cs="Arial"/>
                <w:snapToGrid/>
              </w:rPr>
            </w:pPr>
          </w:p>
        </w:tc>
        <w:tc>
          <w:tcPr>
            <w:tcW w:w="1046" w:type="pct"/>
          </w:tcPr>
          <w:p w14:paraId="774927DF" w14:textId="77777777" w:rsidR="0091561C" w:rsidRPr="00A936F0" w:rsidRDefault="0091561C" w:rsidP="0091561C">
            <w:pPr>
              <w:pStyle w:val="ab"/>
              <w:spacing w:before="65" w:after="65"/>
              <w:rPr>
                <w:rFonts w:cs="Arial"/>
                <w:snapToGrid/>
              </w:rPr>
            </w:pPr>
          </w:p>
        </w:tc>
        <w:tc>
          <w:tcPr>
            <w:tcW w:w="1985" w:type="pct"/>
          </w:tcPr>
          <w:p w14:paraId="4C8B8774" w14:textId="7F584357" w:rsidR="0091561C" w:rsidRPr="00A936F0" w:rsidRDefault="0091561C" w:rsidP="0091561C">
            <w:pPr>
              <w:pStyle w:val="ab"/>
              <w:spacing w:before="65" w:after="65"/>
              <w:rPr>
                <w:rFonts w:cs="Arial"/>
                <w:snapToGrid/>
              </w:rPr>
            </w:pPr>
          </w:p>
        </w:tc>
      </w:tr>
      <w:tr w:rsidR="0091561C" w:rsidRPr="00A936F0" w14:paraId="23D89C18" w14:textId="77777777" w:rsidTr="0091561C">
        <w:tc>
          <w:tcPr>
            <w:tcW w:w="1969" w:type="pct"/>
          </w:tcPr>
          <w:p w14:paraId="47335C57" w14:textId="73505BCE" w:rsidR="0091561C" w:rsidRPr="00A936F0" w:rsidRDefault="0091561C" w:rsidP="0091561C">
            <w:pPr>
              <w:pStyle w:val="ab"/>
              <w:spacing w:before="65" w:after="65"/>
              <w:rPr>
                <w:rFonts w:cs="Arial"/>
                <w:snapToGrid/>
              </w:rPr>
            </w:pPr>
          </w:p>
        </w:tc>
        <w:tc>
          <w:tcPr>
            <w:tcW w:w="1046" w:type="pct"/>
          </w:tcPr>
          <w:p w14:paraId="186A3E83" w14:textId="77777777" w:rsidR="0091561C" w:rsidRPr="00A936F0" w:rsidRDefault="0091561C" w:rsidP="0091561C">
            <w:pPr>
              <w:pStyle w:val="ab"/>
              <w:spacing w:before="65" w:after="65"/>
              <w:rPr>
                <w:rFonts w:cs="Arial"/>
                <w:snapToGrid/>
              </w:rPr>
            </w:pPr>
          </w:p>
        </w:tc>
        <w:tc>
          <w:tcPr>
            <w:tcW w:w="1985" w:type="pct"/>
          </w:tcPr>
          <w:p w14:paraId="3EECF750" w14:textId="3B81F3DE" w:rsidR="0091561C" w:rsidRPr="00A936F0" w:rsidRDefault="0091561C" w:rsidP="0091561C">
            <w:pPr>
              <w:pStyle w:val="ab"/>
              <w:spacing w:before="65" w:after="65"/>
              <w:rPr>
                <w:rFonts w:cs="Arial"/>
                <w:snapToGrid/>
              </w:rPr>
            </w:pPr>
          </w:p>
        </w:tc>
      </w:tr>
      <w:tr w:rsidR="0091561C" w:rsidRPr="00A936F0" w14:paraId="64A9C778" w14:textId="77777777" w:rsidTr="0091561C">
        <w:tc>
          <w:tcPr>
            <w:tcW w:w="1969" w:type="pct"/>
          </w:tcPr>
          <w:p w14:paraId="47E90B00" w14:textId="77777777" w:rsidR="0091561C" w:rsidRPr="00A936F0" w:rsidRDefault="0091561C" w:rsidP="0091561C">
            <w:pPr>
              <w:pStyle w:val="ab"/>
              <w:spacing w:before="65" w:after="65"/>
              <w:rPr>
                <w:rFonts w:cs="Arial"/>
                <w:snapToGrid/>
              </w:rPr>
            </w:pPr>
          </w:p>
        </w:tc>
        <w:tc>
          <w:tcPr>
            <w:tcW w:w="1046" w:type="pct"/>
          </w:tcPr>
          <w:p w14:paraId="5257E760" w14:textId="77777777" w:rsidR="0091561C" w:rsidRPr="00A936F0" w:rsidRDefault="0091561C" w:rsidP="0091561C">
            <w:pPr>
              <w:pStyle w:val="ab"/>
              <w:spacing w:before="65" w:after="65"/>
              <w:rPr>
                <w:rFonts w:cs="Arial"/>
                <w:snapToGrid/>
              </w:rPr>
            </w:pPr>
          </w:p>
        </w:tc>
        <w:tc>
          <w:tcPr>
            <w:tcW w:w="1985" w:type="pct"/>
          </w:tcPr>
          <w:p w14:paraId="115428B1" w14:textId="77777777" w:rsidR="0091561C" w:rsidRPr="00A936F0" w:rsidRDefault="0091561C" w:rsidP="0091561C">
            <w:pPr>
              <w:pStyle w:val="ab"/>
              <w:spacing w:before="65" w:after="65"/>
              <w:rPr>
                <w:rFonts w:cs="Arial"/>
                <w:snapToGrid/>
              </w:rPr>
            </w:pPr>
          </w:p>
        </w:tc>
      </w:tr>
      <w:tr w:rsidR="0091561C" w:rsidRPr="00A936F0" w14:paraId="58028335" w14:textId="77777777" w:rsidTr="0091561C">
        <w:tc>
          <w:tcPr>
            <w:tcW w:w="1969" w:type="pct"/>
          </w:tcPr>
          <w:p w14:paraId="60563722" w14:textId="03756A49" w:rsidR="0091561C" w:rsidRPr="00A936F0" w:rsidRDefault="0091561C" w:rsidP="0091561C">
            <w:pPr>
              <w:pStyle w:val="ab"/>
              <w:spacing w:before="65" w:after="65"/>
              <w:rPr>
                <w:rFonts w:cs="Arial"/>
                <w:b/>
                <w:snapToGrid/>
              </w:rPr>
            </w:pPr>
          </w:p>
        </w:tc>
        <w:tc>
          <w:tcPr>
            <w:tcW w:w="1046" w:type="pct"/>
          </w:tcPr>
          <w:p w14:paraId="668E0CCF" w14:textId="77777777" w:rsidR="0091561C" w:rsidRPr="00A936F0" w:rsidRDefault="0091561C" w:rsidP="0091561C">
            <w:pPr>
              <w:pStyle w:val="ab"/>
              <w:spacing w:before="65" w:after="65"/>
              <w:rPr>
                <w:rFonts w:cs="Arial"/>
                <w:b/>
                <w:snapToGrid/>
              </w:rPr>
            </w:pPr>
          </w:p>
        </w:tc>
        <w:tc>
          <w:tcPr>
            <w:tcW w:w="1985" w:type="pct"/>
          </w:tcPr>
          <w:p w14:paraId="728E4BE5" w14:textId="73DCEC04" w:rsidR="0091561C" w:rsidRPr="00A936F0" w:rsidRDefault="0091561C" w:rsidP="0091561C">
            <w:pPr>
              <w:pStyle w:val="ab"/>
              <w:spacing w:before="65" w:after="65"/>
              <w:rPr>
                <w:rFonts w:cs="Arial"/>
                <w:b/>
                <w:snapToGrid/>
              </w:rPr>
            </w:pPr>
          </w:p>
        </w:tc>
      </w:tr>
      <w:tr w:rsidR="0091561C" w:rsidRPr="00A936F0" w14:paraId="2E62D328" w14:textId="77777777" w:rsidTr="0091561C">
        <w:tc>
          <w:tcPr>
            <w:tcW w:w="1969" w:type="pct"/>
          </w:tcPr>
          <w:p w14:paraId="73705B32" w14:textId="7D574C5C" w:rsidR="0091561C" w:rsidRPr="00A936F0" w:rsidRDefault="0091561C" w:rsidP="0091561C">
            <w:pPr>
              <w:pStyle w:val="ab"/>
              <w:spacing w:before="65" w:after="65"/>
              <w:rPr>
                <w:rFonts w:cs="Arial"/>
                <w:snapToGrid/>
              </w:rPr>
            </w:pPr>
          </w:p>
        </w:tc>
        <w:tc>
          <w:tcPr>
            <w:tcW w:w="1046" w:type="pct"/>
          </w:tcPr>
          <w:p w14:paraId="3867904A" w14:textId="77777777" w:rsidR="0091561C" w:rsidRPr="00A936F0" w:rsidRDefault="0091561C" w:rsidP="0091561C">
            <w:pPr>
              <w:pStyle w:val="ab"/>
              <w:spacing w:before="65" w:after="65"/>
              <w:rPr>
                <w:rFonts w:cs="Arial"/>
                <w:snapToGrid/>
              </w:rPr>
            </w:pPr>
          </w:p>
        </w:tc>
        <w:tc>
          <w:tcPr>
            <w:tcW w:w="1985" w:type="pct"/>
          </w:tcPr>
          <w:p w14:paraId="78173BEC" w14:textId="19196FD1" w:rsidR="0091561C" w:rsidRPr="00A936F0" w:rsidRDefault="0091561C" w:rsidP="0091561C">
            <w:pPr>
              <w:pStyle w:val="ab"/>
              <w:spacing w:before="65" w:after="65"/>
              <w:rPr>
                <w:rFonts w:cs="Arial"/>
                <w:snapToGrid/>
              </w:rPr>
            </w:pPr>
          </w:p>
        </w:tc>
      </w:tr>
      <w:tr w:rsidR="0091561C" w:rsidRPr="00A936F0" w14:paraId="0230A2AC" w14:textId="77777777" w:rsidTr="0091561C">
        <w:tc>
          <w:tcPr>
            <w:tcW w:w="1969" w:type="pct"/>
          </w:tcPr>
          <w:p w14:paraId="204B7A47" w14:textId="52979880" w:rsidR="0091561C" w:rsidRPr="00A936F0" w:rsidRDefault="0091561C" w:rsidP="0091561C">
            <w:pPr>
              <w:pStyle w:val="ab"/>
              <w:spacing w:before="65" w:after="65"/>
              <w:rPr>
                <w:rFonts w:cs="Arial"/>
                <w:snapToGrid/>
              </w:rPr>
            </w:pPr>
          </w:p>
        </w:tc>
        <w:tc>
          <w:tcPr>
            <w:tcW w:w="1046" w:type="pct"/>
          </w:tcPr>
          <w:p w14:paraId="0A9EB9FB" w14:textId="77777777" w:rsidR="0091561C" w:rsidRPr="00A936F0" w:rsidRDefault="0091561C" w:rsidP="0091561C">
            <w:pPr>
              <w:pStyle w:val="ab"/>
              <w:spacing w:before="65" w:after="65"/>
              <w:rPr>
                <w:rFonts w:cs="Arial"/>
                <w:snapToGrid/>
              </w:rPr>
            </w:pPr>
          </w:p>
        </w:tc>
        <w:tc>
          <w:tcPr>
            <w:tcW w:w="1985" w:type="pct"/>
          </w:tcPr>
          <w:p w14:paraId="065190E7" w14:textId="62B82073" w:rsidR="0091561C" w:rsidRPr="00A936F0" w:rsidRDefault="0091561C" w:rsidP="0091561C">
            <w:pPr>
              <w:pStyle w:val="ab"/>
              <w:spacing w:before="65" w:after="65"/>
              <w:rPr>
                <w:rFonts w:cs="Arial"/>
                <w:snapToGrid/>
              </w:rPr>
            </w:pPr>
          </w:p>
        </w:tc>
      </w:tr>
      <w:tr w:rsidR="0091561C" w:rsidRPr="00A936F0" w14:paraId="46387ABA" w14:textId="77777777" w:rsidTr="0091561C">
        <w:tc>
          <w:tcPr>
            <w:tcW w:w="1969" w:type="pct"/>
          </w:tcPr>
          <w:p w14:paraId="1EDD4F2B" w14:textId="77777777" w:rsidR="0091561C" w:rsidRPr="00A936F0" w:rsidRDefault="0091561C" w:rsidP="0091561C">
            <w:pPr>
              <w:pStyle w:val="ab"/>
              <w:spacing w:before="65" w:after="65"/>
              <w:rPr>
                <w:rFonts w:cs="Arial"/>
                <w:snapToGrid/>
              </w:rPr>
            </w:pPr>
          </w:p>
        </w:tc>
        <w:tc>
          <w:tcPr>
            <w:tcW w:w="1046" w:type="pct"/>
          </w:tcPr>
          <w:p w14:paraId="2B32DE52" w14:textId="77777777" w:rsidR="0091561C" w:rsidRPr="00A936F0" w:rsidRDefault="0091561C" w:rsidP="0091561C">
            <w:pPr>
              <w:pStyle w:val="ab"/>
              <w:spacing w:before="65" w:after="65"/>
              <w:rPr>
                <w:rFonts w:cs="Arial"/>
                <w:snapToGrid/>
              </w:rPr>
            </w:pPr>
          </w:p>
        </w:tc>
        <w:tc>
          <w:tcPr>
            <w:tcW w:w="1985" w:type="pct"/>
          </w:tcPr>
          <w:p w14:paraId="5987B506" w14:textId="77777777" w:rsidR="0091561C" w:rsidRPr="00A936F0" w:rsidRDefault="0091561C" w:rsidP="0091561C">
            <w:pPr>
              <w:pStyle w:val="ab"/>
              <w:spacing w:before="65" w:after="65"/>
              <w:rPr>
                <w:rFonts w:cs="Arial"/>
                <w:snapToGrid/>
              </w:rPr>
            </w:pPr>
          </w:p>
        </w:tc>
      </w:tr>
      <w:tr w:rsidR="0091561C" w:rsidRPr="00A936F0" w14:paraId="1EBADBA8" w14:textId="77777777" w:rsidTr="0091561C">
        <w:tc>
          <w:tcPr>
            <w:tcW w:w="1969" w:type="pct"/>
          </w:tcPr>
          <w:p w14:paraId="7FC8F959" w14:textId="4CC1C08E" w:rsidR="0091561C" w:rsidRPr="00A936F0" w:rsidRDefault="0091561C" w:rsidP="0091561C">
            <w:pPr>
              <w:pStyle w:val="ab"/>
              <w:spacing w:before="65" w:after="65"/>
              <w:rPr>
                <w:rFonts w:cs="Arial"/>
                <w:b/>
                <w:snapToGrid/>
              </w:rPr>
            </w:pPr>
          </w:p>
        </w:tc>
        <w:tc>
          <w:tcPr>
            <w:tcW w:w="1046" w:type="pct"/>
          </w:tcPr>
          <w:p w14:paraId="5C12CBFC" w14:textId="77777777" w:rsidR="0091561C" w:rsidRPr="00A936F0" w:rsidRDefault="0091561C" w:rsidP="0091561C">
            <w:pPr>
              <w:pStyle w:val="ab"/>
              <w:spacing w:before="65" w:after="65"/>
              <w:rPr>
                <w:rFonts w:cs="Arial"/>
                <w:b/>
                <w:snapToGrid/>
              </w:rPr>
            </w:pPr>
          </w:p>
        </w:tc>
        <w:tc>
          <w:tcPr>
            <w:tcW w:w="1985" w:type="pct"/>
          </w:tcPr>
          <w:p w14:paraId="582857BD" w14:textId="4004ED30" w:rsidR="0091561C" w:rsidRPr="00A936F0" w:rsidRDefault="0091561C" w:rsidP="0091561C">
            <w:pPr>
              <w:pStyle w:val="ab"/>
              <w:spacing w:before="65" w:after="65"/>
              <w:rPr>
                <w:rFonts w:cs="Arial"/>
                <w:b/>
                <w:snapToGrid/>
              </w:rPr>
            </w:pPr>
          </w:p>
        </w:tc>
      </w:tr>
      <w:tr w:rsidR="0091561C" w:rsidRPr="00A936F0" w14:paraId="041807F7" w14:textId="77777777" w:rsidTr="0091561C">
        <w:tc>
          <w:tcPr>
            <w:tcW w:w="1969" w:type="pct"/>
          </w:tcPr>
          <w:p w14:paraId="01898863" w14:textId="180C2FF8" w:rsidR="0091561C" w:rsidRPr="00A936F0" w:rsidRDefault="0091561C" w:rsidP="0091561C">
            <w:pPr>
              <w:pStyle w:val="ab"/>
              <w:spacing w:before="65" w:after="65"/>
              <w:rPr>
                <w:rFonts w:cs="Arial"/>
                <w:snapToGrid/>
              </w:rPr>
            </w:pPr>
          </w:p>
        </w:tc>
        <w:tc>
          <w:tcPr>
            <w:tcW w:w="1046" w:type="pct"/>
          </w:tcPr>
          <w:p w14:paraId="1441F4F7" w14:textId="77777777" w:rsidR="0091561C" w:rsidRPr="00A936F0" w:rsidRDefault="0091561C" w:rsidP="0091561C">
            <w:pPr>
              <w:pStyle w:val="ab"/>
              <w:spacing w:before="65" w:after="65"/>
              <w:rPr>
                <w:rFonts w:cs="Arial"/>
                <w:snapToGrid/>
              </w:rPr>
            </w:pPr>
          </w:p>
        </w:tc>
        <w:tc>
          <w:tcPr>
            <w:tcW w:w="1985" w:type="pct"/>
          </w:tcPr>
          <w:p w14:paraId="415F67A5" w14:textId="2698F54B" w:rsidR="0091561C" w:rsidRPr="00A936F0" w:rsidRDefault="0091561C" w:rsidP="0091561C">
            <w:pPr>
              <w:pStyle w:val="ab"/>
              <w:spacing w:before="65" w:after="65"/>
              <w:rPr>
                <w:rFonts w:cs="Arial"/>
                <w:snapToGrid/>
              </w:rPr>
            </w:pPr>
          </w:p>
        </w:tc>
      </w:tr>
      <w:tr w:rsidR="0091561C" w:rsidRPr="00A936F0" w14:paraId="06BEAE95" w14:textId="77777777" w:rsidTr="0091561C">
        <w:tc>
          <w:tcPr>
            <w:tcW w:w="1969" w:type="pct"/>
          </w:tcPr>
          <w:p w14:paraId="28F63073" w14:textId="07C7489F" w:rsidR="0091561C" w:rsidRPr="00A936F0" w:rsidRDefault="0091561C" w:rsidP="00D83D2B">
            <w:pPr>
              <w:pStyle w:val="ab"/>
              <w:spacing w:before="65" w:after="65"/>
              <w:rPr>
                <w:rFonts w:cs="Arial"/>
                <w:snapToGrid/>
              </w:rPr>
            </w:pPr>
          </w:p>
        </w:tc>
        <w:tc>
          <w:tcPr>
            <w:tcW w:w="1046" w:type="pct"/>
          </w:tcPr>
          <w:p w14:paraId="07AD7B94" w14:textId="77777777" w:rsidR="0091561C" w:rsidRPr="00A936F0" w:rsidRDefault="0091561C" w:rsidP="0091561C">
            <w:pPr>
              <w:pStyle w:val="ab"/>
              <w:spacing w:before="65" w:after="65"/>
              <w:rPr>
                <w:rFonts w:cs="Arial"/>
                <w:snapToGrid/>
              </w:rPr>
            </w:pPr>
          </w:p>
        </w:tc>
        <w:tc>
          <w:tcPr>
            <w:tcW w:w="1985" w:type="pct"/>
          </w:tcPr>
          <w:p w14:paraId="256AA167" w14:textId="58D07423" w:rsidR="0091561C" w:rsidRPr="00A936F0" w:rsidRDefault="0091561C" w:rsidP="00D83D2B">
            <w:pPr>
              <w:pStyle w:val="ab"/>
              <w:spacing w:before="65" w:after="65"/>
              <w:rPr>
                <w:rFonts w:cs="Arial"/>
                <w:snapToGrid/>
              </w:rPr>
            </w:pPr>
          </w:p>
        </w:tc>
      </w:tr>
      <w:tr w:rsidR="0091561C" w:rsidRPr="00A936F0" w14:paraId="4E8EDFFA" w14:textId="77777777" w:rsidTr="0091561C">
        <w:tc>
          <w:tcPr>
            <w:tcW w:w="1969" w:type="pct"/>
          </w:tcPr>
          <w:p w14:paraId="5C3C4C84" w14:textId="77777777" w:rsidR="0091561C" w:rsidRPr="00A936F0" w:rsidRDefault="0091561C" w:rsidP="0091561C">
            <w:pPr>
              <w:pStyle w:val="ab"/>
              <w:spacing w:before="65" w:after="65"/>
              <w:rPr>
                <w:rFonts w:cs="Arial"/>
                <w:snapToGrid/>
              </w:rPr>
            </w:pPr>
          </w:p>
        </w:tc>
        <w:tc>
          <w:tcPr>
            <w:tcW w:w="1046" w:type="pct"/>
          </w:tcPr>
          <w:p w14:paraId="10503B3F" w14:textId="77777777" w:rsidR="0091561C" w:rsidRPr="00A936F0" w:rsidRDefault="0091561C" w:rsidP="0091561C">
            <w:pPr>
              <w:pStyle w:val="ab"/>
              <w:spacing w:before="65" w:after="65"/>
              <w:rPr>
                <w:rFonts w:cs="Arial"/>
                <w:snapToGrid/>
              </w:rPr>
            </w:pPr>
          </w:p>
        </w:tc>
        <w:tc>
          <w:tcPr>
            <w:tcW w:w="1985" w:type="pct"/>
          </w:tcPr>
          <w:p w14:paraId="70FDAAD0" w14:textId="77777777" w:rsidR="0091561C" w:rsidRPr="00A936F0" w:rsidRDefault="0091561C" w:rsidP="0091561C">
            <w:pPr>
              <w:pStyle w:val="ab"/>
              <w:spacing w:before="65" w:after="65"/>
              <w:rPr>
                <w:rFonts w:cs="Arial"/>
                <w:snapToGrid/>
              </w:rPr>
            </w:pPr>
          </w:p>
        </w:tc>
      </w:tr>
      <w:tr w:rsidR="0091561C" w:rsidRPr="00A936F0" w14:paraId="7EDFCC05" w14:textId="77777777" w:rsidTr="0091561C">
        <w:tc>
          <w:tcPr>
            <w:tcW w:w="1969" w:type="pct"/>
          </w:tcPr>
          <w:p w14:paraId="5A3361BF" w14:textId="77777777" w:rsidR="0091561C" w:rsidRPr="00A936F0" w:rsidRDefault="0091561C" w:rsidP="0091561C">
            <w:pPr>
              <w:pStyle w:val="ab"/>
              <w:spacing w:before="65" w:after="65"/>
              <w:rPr>
                <w:rFonts w:cs="Arial"/>
                <w:snapToGrid/>
              </w:rPr>
            </w:pPr>
          </w:p>
        </w:tc>
        <w:tc>
          <w:tcPr>
            <w:tcW w:w="1046" w:type="pct"/>
          </w:tcPr>
          <w:p w14:paraId="0039B3C2" w14:textId="77777777" w:rsidR="0091561C" w:rsidRPr="00A936F0" w:rsidRDefault="0091561C" w:rsidP="0091561C">
            <w:pPr>
              <w:pStyle w:val="ab"/>
              <w:spacing w:before="65" w:after="65"/>
              <w:rPr>
                <w:rFonts w:cs="Arial"/>
                <w:snapToGrid/>
              </w:rPr>
            </w:pPr>
          </w:p>
        </w:tc>
        <w:tc>
          <w:tcPr>
            <w:tcW w:w="1985" w:type="pct"/>
          </w:tcPr>
          <w:p w14:paraId="40B1C503" w14:textId="77777777" w:rsidR="0091561C" w:rsidRPr="00A936F0" w:rsidRDefault="0091561C" w:rsidP="0091561C">
            <w:pPr>
              <w:pStyle w:val="ab"/>
              <w:spacing w:before="65" w:after="65"/>
              <w:rPr>
                <w:rFonts w:cs="Arial"/>
                <w:snapToGrid/>
              </w:rPr>
            </w:pPr>
          </w:p>
        </w:tc>
      </w:tr>
      <w:tr w:rsidR="0091561C" w:rsidRPr="00A936F0" w14:paraId="037CBFA3" w14:textId="77777777" w:rsidTr="0091561C">
        <w:tc>
          <w:tcPr>
            <w:tcW w:w="1969" w:type="pct"/>
          </w:tcPr>
          <w:p w14:paraId="6AA2D26D" w14:textId="50045B47" w:rsidR="0091561C" w:rsidRPr="00A936F0" w:rsidRDefault="0091561C" w:rsidP="0091561C">
            <w:pPr>
              <w:pStyle w:val="ab"/>
              <w:spacing w:before="65" w:after="65"/>
              <w:rPr>
                <w:rFonts w:cs="Arial"/>
                <w:b/>
                <w:snapToGrid/>
              </w:rPr>
            </w:pPr>
          </w:p>
        </w:tc>
        <w:tc>
          <w:tcPr>
            <w:tcW w:w="1046" w:type="pct"/>
          </w:tcPr>
          <w:p w14:paraId="036F8E1F" w14:textId="77777777" w:rsidR="0091561C" w:rsidRPr="00A936F0" w:rsidRDefault="0091561C" w:rsidP="0091561C">
            <w:pPr>
              <w:pStyle w:val="ab"/>
              <w:spacing w:before="65" w:after="65"/>
              <w:rPr>
                <w:rFonts w:cs="Arial"/>
                <w:b/>
                <w:snapToGrid/>
              </w:rPr>
            </w:pPr>
          </w:p>
        </w:tc>
        <w:tc>
          <w:tcPr>
            <w:tcW w:w="1985" w:type="pct"/>
          </w:tcPr>
          <w:p w14:paraId="69ABEBAA" w14:textId="522E873D" w:rsidR="0091561C" w:rsidRPr="00A936F0" w:rsidRDefault="0091561C" w:rsidP="0091561C">
            <w:pPr>
              <w:pStyle w:val="ab"/>
              <w:spacing w:before="65" w:after="65"/>
              <w:rPr>
                <w:rFonts w:cs="Arial"/>
                <w:b/>
                <w:snapToGrid/>
              </w:rPr>
            </w:pPr>
          </w:p>
        </w:tc>
      </w:tr>
      <w:tr w:rsidR="0091561C" w:rsidRPr="00A936F0" w14:paraId="1DF00ED1" w14:textId="77777777" w:rsidTr="0091561C">
        <w:tc>
          <w:tcPr>
            <w:tcW w:w="1969" w:type="pct"/>
          </w:tcPr>
          <w:p w14:paraId="63D092C0" w14:textId="5E06FDD5" w:rsidR="0091561C" w:rsidRPr="00A936F0" w:rsidRDefault="0091561C" w:rsidP="0091561C">
            <w:pPr>
              <w:pStyle w:val="ab"/>
              <w:spacing w:before="65" w:after="65"/>
              <w:rPr>
                <w:rFonts w:cs="Arial"/>
                <w:snapToGrid/>
              </w:rPr>
            </w:pPr>
          </w:p>
        </w:tc>
        <w:tc>
          <w:tcPr>
            <w:tcW w:w="1046" w:type="pct"/>
          </w:tcPr>
          <w:p w14:paraId="539AB4FA" w14:textId="77777777" w:rsidR="0091561C" w:rsidRPr="00A936F0" w:rsidRDefault="0091561C" w:rsidP="0091561C">
            <w:pPr>
              <w:pStyle w:val="ab"/>
              <w:spacing w:before="65" w:after="65"/>
              <w:rPr>
                <w:rFonts w:cs="Arial"/>
                <w:snapToGrid/>
              </w:rPr>
            </w:pPr>
          </w:p>
        </w:tc>
        <w:tc>
          <w:tcPr>
            <w:tcW w:w="1985" w:type="pct"/>
          </w:tcPr>
          <w:p w14:paraId="711DC3DE" w14:textId="4D44C9F1" w:rsidR="0091561C" w:rsidRPr="00A936F0" w:rsidRDefault="0091561C" w:rsidP="0091561C">
            <w:pPr>
              <w:pStyle w:val="ab"/>
              <w:spacing w:before="65" w:after="65"/>
              <w:rPr>
                <w:rFonts w:cs="Arial"/>
                <w:snapToGrid/>
              </w:rPr>
            </w:pPr>
          </w:p>
        </w:tc>
      </w:tr>
      <w:tr w:rsidR="0091561C" w:rsidRPr="00A936F0" w14:paraId="06C9AFAD" w14:textId="77777777" w:rsidTr="0091561C">
        <w:tc>
          <w:tcPr>
            <w:tcW w:w="1969" w:type="pct"/>
          </w:tcPr>
          <w:p w14:paraId="1D752272" w14:textId="2AEDBA64" w:rsidR="0091561C" w:rsidRPr="00A936F0" w:rsidRDefault="0091561C" w:rsidP="00D83D2B">
            <w:pPr>
              <w:pStyle w:val="ab"/>
              <w:spacing w:before="65" w:after="65"/>
              <w:rPr>
                <w:rFonts w:cs="Arial"/>
                <w:snapToGrid/>
              </w:rPr>
            </w:pPr>
          </w:p>
        </w:tc>
        <w:tc>
          <w:tcPr>
            <w:tcW w:w="1046" w:type="pct"/>
          </w:tcPr>
          <w:p w14:paraId="31B743EF" w14:textId="77777777" w:rsidR="0091561C" w:rsidRPr="00A936F0" w:rsidRDefault="0091561C" w:rsidP="0091561C">
            <w:pPr>
              <w:pStyle w:val="ab"/>
              <w:spacing w:before="65" w:after="65"/>
              <w:rPr>
                <w:rFonts w:cs="Arial"/>
                <w:snapToGrid/>
              </w:rPr>
            </w:pPr>
          </w:p>
        </w:tc>
        <w:tc>
          <w:tcPr>
            <w:tcW w:w="1985" w:type="pct"/>
          </w:tcPr>
          <w:p w14:paraId="5EB5FD77" w14:textId="0EF658F3" w:rsidR="0091561C" w:rsidRPr="00A936F0" w:rsidRDefault="0091561C" w:rsidP="00D83D2B">
            <w:pPr>
              <w:pStyle w:val="ab"/>
              <w:spacing w:before="65" w:after="65"/>
              <w:rPr>
                <w:rFonts w:cs="Arial"/>
                <w:snapToGrid/>
              </w:rPr>
            </w:pPr>
          </w:p>
        </w:tc>
      </w:tr>
    </w:tbl>
    <w:p w14:paraId="0265337A" w14:textId="77777777" w:rsidR="00062AA3" w:rsidRPr="00A936F0" w:rsidRDefault="00062AA3" w:rsidP="00062AA3">
      <w:pPr>
        <w:spacing w:after="163"/>
        <w:rPr>
          <w:rFonts w:cs="Arial"/>
          <w:snapToGrid/>
        </w:rPr>
      </w:pPr>
    </w:p>
    <w:p w14:paraId="34A7F3D4" w14:textId="0C44070C" w:rsidR="00827AAE" w:rsidRPr="00296953" w:rsidRDefault="00827AAE" w:rsidP="00062AA3">
      <w:pPr>
        <w:spacing w:after="163"/>
        <w:rPr>
          <w:rFonts w:cs="Arial"/>
          <w:vanish/>
          <w:color w:val="0000FF"/>
          <w:u w:val="single"/>
        </w:rPr>
      </w:pPr>
    </w:p>
    <w:sectPr w:rsidR="00827AAE" w:rsidRPr="00296953" w:rsidSect="00DD673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B898" w14:textId="77777777" w:rsidR="001B1198" w:rsidRDefault="001B1198" w:rsidP="00BC050C">
      <w:pPr>
        <w:spacing w:after="120" w:line="240" w:lineRule="auto"/>
      </w:pPr>
      <w:r>
        <w:separator/>
      </w:r>
    </w:p>
  </w:endnote>
  <w:endnote w:type="continuationSeparator" w:id="0">
    <w:p w14:paraId="1E788FE5" w14:textId="77777777" w:rsidR="001B1198" w:rsidRDefault="001B1198" w:rsidP="00BC050C">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ourierNewPSMT">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3E876" w14:textId="77777777" w:rsidR="00D27CB0" w:rsidRDefault="00D27CB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ADE9" w14:textId="77744B00" w:rsidR="005A4ED3" w:rsidRPr="00DD6732" w:rsidRDefault="00DD6732" w:rsidP="00DD6732">
    <w:pPr>
      <w:pStyle w:val="a9"/>
      <w:tabs>
        <w:tab w:val="clear" w:pos="4153"/>
        <w:tab w:val="clear" w:pos="8306"/>
        <w:tab w:val="right" w:pos="9638"/>
      </w:tabs>
      <w:rPr>
        <w:rFonts w:cs="Arial"/>
      </w:rPr>
    </w:pPr>
    <w:r>
      <w:rPr>
        <w:rFonts w:hint="eastAsia"/>
      </w:rPr>
      <w:tab/>
    </w:r>
    <w:r>
      <w:rPr>
        <w:rFonts w:hint="eastAsia"/>
      </w:rPr>
      <w:t>第</w:t>
    </w:r>
    <w:r>
      <w:rPr>
        <w:rFonts w:hint="eastAsia"/>
      </w:rPr>
      <w:t xml:space="preserve"> </w:t>
    </w:r>
    <w:r>
      <w:rPr>
        <w:rFonts w:hint="eastAsia"/>
      </w:rPr>
      <w:t>页，共</w:t>
    </w:r>
    <w:r w:rsidRPr="00DD6732">
      <w:rPr>
        <w:rFonts w:cs="Arial" w:hint="eastAsia"/>
        <w:snapToGrid/>
      </w:rPr>
      <w:fldChar w:fldCharType="begin"/>
    </w:r>
    <w:r w:rsidRPr="00DD6732">
      <w:rPr>
        <w:rFonts w:cs="Arial" w:hint="eastAsia"/>
        <w:snapToGrid/>
      </w:rPr>
      <w:instrText>PAGE  \* Arabic  \* MERGEFORMAT</w:instrText>
    </w:r>
    <w:r w:rsidRPr="00DD6732">
      <w:rPr>
        <w:rFonts w:cs="Arial" w:hint="eastAsia"/>
        <w:snapToGrid/>
      </w:rPr>
      <w:fldChar w:fldCharType="separate"/>
    </w:r>
    <w:r w:rsidR="00844D47">
      <w:rPr>
        <w:rFonts w:cs="Arial"/>
        <w:noProof/>
        <w:snapToGrid/>
      </w:rPr>
      <w:t>2</w:t>
    </w:r>
    <w:r w:rsidRPr="00DD6732">
      <w:rPr>
        <w:rFonts w:cs="Arial" w:hint="eastAsia"/>
        <w:snapToGrid/>
      </w:rPr>
      <w:fldChar w:fldCharType="end"/>
    </w:r>
    <w:r>
      <w:rPr>
        <w:rFonts w:hint="eastAsia"/>
      </w:rPr>
      <w:t>页</w:t>
    </w:r>
    <w:r>
      <w:rPr>
        <w:rFonts w:hint="eastAsia"/>
        <w:snapToGrid/>
      </w:rPr>
      <w:t xml:space="preserve"> </w:t>
    </w:r>
    <w:r w:rsidRPr="00DD6732">
      <w:rPr>
        <w:rFonts w:cs="Arial" w:hint="eastAsia"/>
        <w:snapToGrid/>
      </w:rPr>
      <w:fldChar w:fldCharType="begin"/>
    </w:r>
    <w:r w:rsidRPr="00DD6732">
      <w:rPr>
        <w:rFonts w:cs="Arial" w:hint="eastAsia"/>
        <w:snapToGrid/>
      </w:rPr>
      <w:instrText>NUMPAGES  \* Arabic  \* MERGEFORMAT</w:instrText>
    </w:r>
    <w:r w:rsidRPr="00DD6732">
      <w:rPr>
        <w:rFonts w:cs="Arial" w:hint="eastAsia"/>
        <w:snapToGrid/>
      </w:rPr>
      <w:fldChar w:fldCharType="separate"/>
    </w:r>
    <w:r w:rsidR="00844D47">
      <w:rPr>
        <w:rFonts w:cs="Arial"/>
        <w:noProof/>
        <w:snapToGrid/>
      </w:rPr>
      <w:t>11</w:t>
    </w:r>
    <w:r w:rsidRPr="00DD6732">
      <w:rPr>
        <w:rFonts w:cs="Arial" w:hint="eastAsia"/>
        <w:snapToGr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4A9" w14:textId="77777777" w:rsidR="00D27CB0" w:rsidRPr="00DD6732" w:rsidRDefault="00DD6732" w:rsidP="00DD6732">
    <w:pPr>
      <w:pStyle w:val="a9"/>
      <w:jc w:val="right"/>
      <w:rPr>
        <w:rFonts w:cs="Arial"/>
      </w:rPr>
    </w:pPr>
    <w:r>
      <w:rPr>
        <w:rFonts w:hint="eastAsia"/>
      </w:rPr>
      <w:t>第</w:t>
    </w:r>
    <w:r w:rsidRPr="00DD6732">
      <w:rPr>
        <w:rFonts w:cs="Arial" w:hint="eastAsia"/>
        <w:snapToGrid/>
      </w:rPr>
      <w:fldChar w:fldCharType="begin"/>
    </w:r>
    <w:r w:rsidRPr="00DD6732">
      <w:rPr>
        <w:rFonts w:cs="Arial" w:hint="eastAsia"/>
        <w:snapToGrid/>
      </w:rPr>
      <w:instrText>PAGE  \* Arabic  \* MERGEFORMAT</w:instrText>
    </w:r>
    <w:r w:rsidRPr="00DD6732">
      <w:rPr>
        <w:rFonts w:cs="Arial" w:hint="eastAsia"/>
        <w:snapToGrid/>
      </w:rPr>
      <w:fldChar w:fldCharType="separate"/>
    </w:r>
    <w:r w:rsidR="00844D47">
      <w:rPr>
        <w:rFonts w:cs="Arial"/>
        <w:noProof/>
        <w:snapToGrid/>
      </w:rPr>
      <w:t>1</w:t>
    </w:r>
    <w:r w:rsidRPr="00DD6732">
      <w:rPr>
        <w:rFonts w:cs="Arial" w:hint="eastAsia"/>
        <w:snapToGrid/>
      </w:rPr>
      <w:fldChar w:fldCharType="end"/>
    </w:r>
    <w:r>
      <w:rPr>
        <w:rFonts w:hint="eastAsia"/>
      </w:rPr>
      <w:t>页，共</w:t>
    </w:r>
    <w:r>
      <w:rPr>
        <w:rFonts w:hint="eastAsia"/>
      </w:rPr>
      <w:t xml:space="preserve"> </w:t>
    </w:r>
    <w:r>
      <w:rPr>
        <w:rFonts w:hint="eastAsia"/>
      </w:rPr>
      <w:t>页</w:t>
    </w:r>
    <w:r>
      <w:rPr>
        <w:rFonts w:hint="eastAsia"/>
        <w:snapToGrid/>
      </w:rPr>
      <w:t xml:space="preserve"> </w:t>
    </w:r>
    <w:r w:rsidRPr="00DD6732">
      <w:rPr>
        <w:rFonts w:cs="Arial" w:hint="eastAsia"/>
        <w:snapToGrid/>
      </w:rPr>
      <w:fldChar w:fldCharType="begin"/>
    </w:r>
    <w:r w:rsidRPr="00DD6732">
      <w:rPr>
        <w:rFonts w:cs="Arial" w:hint="eastAsia"/>
        <w:snapToGrid/>
      </w:rPr>
      <w:instrText>NUMPAGES  \* Arabic  \* MERGEFORMAT</w:instrText>
    </w:r>
    <w:r w:rsidRPr="00DD6732">
      <w:rPr>
        <w:rFonts w:cs="Arial" w:hint="eastAsia"/>
        <w:snapToGrid/>
      </w:rPr>
      <w:fldChar w:fldCharType="separate"/>
    </w:r>
    <w:r w:rsidR="00844D47">
      <w:rPr>
        <w:rFonts w:cs="Arial"/>
        <w:noProof/>
        <w:snapToGrid/>
      </w:rPr>
      <w:t>11</w:t>
    </w:r>
    <w:r w:rsidRPr="00DD6732">
      <w:rPr>
        <w:rFonts w:cs="Arial" w:hint="eastAsia"/>
        <w:snapToGr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D4F3" w14:textId="77777777" w:rsidR="001B1198" w:rsidRDefault="001B1198" w:rsidP="00BC050C">
      <w:pPr>
        <w:spacing w:after="120" w:line="240" w:lineRule="auto"/>
      </w:pPr>
      <w:r>
        <w:separator/>
      </w:r>
    </w:p>
  </w:footnote>
  <w:footnote w:type="continuationSeparator" w:id="0">
    <w:p w14:paraId="3F337460" w14:textId="77777777" w:rsidR="001B1198" w:rsidRDefault="001B1198" w:rsidP="00BC050C">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964C" w14:textId="77777777" w:rsidR="00D27CB0" w:rsidRDefault="00D27CB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06AF" w14:textId="77777777" w:rsidR="005A4ED3" w:rsidRPr="00C2057D" w:rsidRDefault="005A4ED3" w:rsidP="0069320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F162" w14:textId="77777777" w:rsidR="00D27CB0" w:rsidRDefault="00DD6732" w:rsidP="00DD6732">
    <w:pPr>
      <w:pStyle w:val="a7"/>
      <w:jc w:val="right"/>
    </w:pPr>
    <w:r>
      <w:rPr>
        <w:rFonts w:hint="eastAsia"/>
        <w:noProof/>
        <w:snapToGrid/>
      </w:rPr>
      <w:drawing>
        <wp:inline distT="0" distB="0" distL="0" distR="0" wp14:anchorId="1251C8E3" wp14:editId="66945CDE">
          <wp:extent cx="1052023"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52023" cy="603503"/>
                  </a:xfrm>
                  <a:prstGeom prst="rect">
                    <a:avLst/>
                  </a:prstGeom>
                </pic:spPr>
              </pic:pic>
            </a:graphicData>
          </a:graphic>
        </wp:inline>
      </w:drawing>
    </w:r>
  </w:p>
  <w:p w14:paraId="5CBF1E88" w14:textId="77777777" w:rsidR="00DD6732" w:rsidRDefault="00DD6732" w:rsidP="00DD6732">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F75C4"/>
    <w:multiLevelType w:val="hybridMultilevel"/>
    <w:tmpl w:val="6AACE12A"/>
    <w:lvl w:ilvl="0" w:tplc="A3B6FDEE">
      <w:start w:val="1"/>
      <w:numFmt w:val="bullet"/>
      <w:lvlText w:val=""/>
      <w:lvlJc w:val="left"/>
      <w:pPr>
        <w:ind w:left="508" w:hanging="358"/>
      </w:pPr>
      <w:rPr>
        <w:rFonts w:ascii="Wingdings" w:eastAsia="Wingdings" w:hAnsi="Wingdings" w:hint="default"/>
        <w:color w:val="E0000F"/>
        <w:w w:val="100"/>
        <w:sz w:val="24"/>
        <w:szCs w:val="24"/>
      </w:rPr>
    </w:lvl>
    <w:lvl w:ilvl="1" w:tplc="3A54FBFC">
      <w:start w:val="1"/>
      <w:numFmt w:val="bullet"/>
      <w:lvlText w:val="•"/>
      <w:lvlJc w:val="left"/>
      <w:pPr>
        <w:ind w:left="1434" w:hanging="358"/>
      </w:pPr>
      <w:rPr>
        <w:rFonts w:hint="default"/>
      </w:rPr>
    </w:lvl>
    <w:lvl w:ilvl="2" w:tplc="A06CF0E4">
      <w:start w:val="1"/>
      <w:numFmt w:val="bullet"/>
      <w:lvlText w:val="•"/>
      <w:lvlJc w:val="left"/>
      <w:pPr>
        <w:ind w:left="2369" w:hanging="358"/>
      </w:pPr>
      <w:rPr>
        <w:rFonts w:hint="default"/>
      </w:rPr>
    </w:lvl>
    <w:lvl w:ilvl="3" w:tplc="E424B916">
      <w:start w:val="1"/>
      <w:numFmt w:val="bullet"/>
      <w:lvlText w:val="•"/>
      <w:lvlJc w:val="left"/>
      <w:pPr>
        <w:ind w:left="3303" w:hanging="358"/>
      </w:pPr>
      <w:rPr>
        <w:rFonts w:hint="default"/>
      </w:rPr>
    </w:lvl>
    <w:lvl w:ilvl="4" w:tplc="03CAB6B2">
      <w:start w:val="1"/>
      <w:numFmt w:val="bullet"/>
      <w:lvlText w:val="•"/>
      <w:lvlJc w:val="left"/>
      <w:pPr>
        <w:ind w:left="4238" w:hanging="358"/>
      </w:pPr>
      <w:rPr>
        <w:rFonts w:hint="default"/>
      </w:rPr>
    </w:lvl>
    <w:lvl w:ilvl="5" w:tplc="835861BA">
      <w:start w:val="1"/>
      <w:numFmt w:val="bullet"/>
      <w:lvlText w:val="•"/>
      <w:lvlJc w:val="left"/>
      <w:pPr>
        <w:ind w:left="5173" w:hanging="358"/>
      </w:pPr>
      <w:rPr>
        <w:rFonts w:hint="default"/>
      </w:rPr>
    </w:lvl>
    <w:lvl w:ilvl="6" w:tplc="97EA8840">
      <w:start w:val="1"/>
      <w:numFmt w:val="bullet"/>
      <w:lvlText w:val="•"/>
      <w:lvlJc w:val="left"/>
      <w:pPr>
        <w:ind w:left="6107" w:hanging="358"/>
      </w:pPr>
      <w:rPr>
        <w:rFonts w:hint="default"/>
      </w:rPr>
    </w:lvl>
    <w:lvl w:ilvl="7" w:tplc="A418BF8E">
      <w:start w:val="1"/>
      <w:numFmt w:val="bullet"/>
      <w:lvlText w:val="•"/>
      <w:lvlJc w:val="left"/>
      <w:pPr>
        <w:ind w:left="7042" w:hanging="358"/>
      </w:pPr>
      <w:rPr>
        <w:rFonts w:hint="default"/>
      </w:rPr>
    </w:lvl>
    <w:lvl w:ilvl="8" w:tplc="271E29F6">
      <w:start w:val="1"/>
      <w:numFmt w:val="bullet"/>
      <w:lvlText w:val="•"/>
      <w:lvlJc w:val="left"/>
      <w:pPr>
        <w:ind w:left="7977" w:hanging="358"/>
      </w:pPr>
      <w:rPr>
        <w:rFonts w:hint="default"/>
      </w:rPr>
    </w:lvl>
  </w:abstractNum>
  <w:abstractNum w:abstractNumId="1" w15:restartNumberingAfterBreak="0">
    <w:nsid w:val="486E6882"/>
    <w:multiLevelType w:val="hybridMultilevel"/>
    <w:tmpl w:val="44980B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A34011A"/>
    <w:multiLevelType w:val="hybridMultilevel"/>
    <w:tmpl w:val="F65A8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CD84E71"/>
    <w:multiLevelType w:val="hybridMultilevel"/>
    <w:tmpl w:val="0E342C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2FB24AE"/>
    <w:multiLevelType w:val="hybridMultilevel"/>
    <w:tmpl w:val="D86E95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F6378ED"/>
    <w:multiLevelType w:val="hybridMultilevel"/>
    <w:tmpl w:val="BD169CF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0B63702"/>
    <w:multiLevelType w:val="hybridMultilevel"/>
    <w:tmpl w:val="21F05050"/>
    <w:lvl w:ilvl="0" w:tplc="66182C0E">
      <w:start w:val="1"/>
      <w:numFmt w:val="bullet"/>
      <w:lvlText w:val=""/>
      <w:lvlJc w:val="left"/>
      <w:pPr>
        <w:ind w:left="840" w:hanging="420"/>
      </w:pPr>
      <w:rPr>
        <w:rFonts w:ascii="Wingdings" w:hAnsi="Wingdings" w:hint="default"/>
        <w:color w:val="FF000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714B133A"/>
    <w:multiLevelType w:val="hybridMultilevel"/>
    <w:tmpl w:val="59C4276E"/>
    <w:lvl w:ilvl="0" w:tplc="ECCE49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A3"/>
    <w:rsid w:val="00007B1F"/>
    <w:rsid w:val="00012BEC"/>
    <w:rsid w:val="00013869"/>
    <w:rsid w:val="00023DFB"/>
    <w:rsid w:val="00043780"/>
    <w:rsid w:val="00050F9A"/>
    <w:rsid w:val="000518E6"/>
    <w:rsid w:val="00053F3C"/>
    <w:rsid w:val="00062AA3"/>
    <w:rsid w:val="00083DB3"/>
    <w:rsid w:val="000873C5"/>
    <w:rsid w:val="000873F7"/>
    <w:rsid w:val="000C5486"/>
    <w:rsid w:val="000D24AC"/>
    <w:rsid w:val="000D60EB"/>
    <w:rsid w:val="000F14E1"/>
    <w:rsid w:val="00103919"/>
    <w:rsid w:val="001119E3"/>
    <w:rsid w:val="001175DF"/>
    <w:rsid w:val="00117901"/>
    <w:rsid w:val="00130BCC"/>
    <w:rsid w:val="0013503B"/>
    <w:rsid w:val="00135490"/>
    <w:rsid w:val="00141902"/>
    <w:rsid w:val="0015184F"/>
    <w:rsid w:val="00151C8F"/>
    <w:rsid w:val="001577C3"/>
    <w:rsid w:val="00162A5A"/>
    <w:rsid w:val="00165F5D"/>
    <w:rsid w:val="001754FB"/>
    <w:rsid w:val="001B1198"/>
    <w:rsid w:val="001C5D57"/>
    <w:rsid w:val="001E4B7B"/>
    <w:rsid w:val="001E5B0E"/>
    <w:rsid w:val="001F08C7"/>
    <w:rsid w:val="001F1CBE"/>
    <w:rsid w:val="001F4AEA"/>
    <w:rsid w:val="001F5222"/>
    <w:rsid w:val="001F5FAC"/>
    <w:rsid w:val="001F68A1"/>
    <w:rsid w:val="002230C5"/>
    <w:rsid w:val="002270BE"/>
    <w:rsid w:val="00231E20"/>
    <w:rsid w:val="00240EE3"/>
    <w:rsid w:val="00251A0E"/>
    <w:rsid w:val="002578C2"/>
    <w:rsid w:val="00263559"/>
    <w:rsid w:val="00264832"/>
    <w:rsid w:val="0027172A"/>
    <w:rsid w:val="00291C7F"/>
    <w:rsid w:val="00294CED"/>
    <w:rsid w:val="002960B9"/>
    <w:rsid w:val="00296953"/>
    <w:rsid w:val="002A36A3"/>
    <w:rsid w:val="002B64DF"/>
    <w:rsid w:val="002E5E2C"/>
    <w:rsid w:val="002E6EA7"/>
    <w:rsid w:val="00305369"/>
    <w:rsid w:val="00307EB1"/>
    <w:rsid w:val="003111B4"/>
    <w:rsid w:val="0031198B"/>
    <w:rsid w:val="003462B1"/>
    <w:rsid w:val="00346686"/>
    <w:rsid w:val="00347F52"/>
    <w:rsid w:val="003502D2"/>
    <w:rsid w:val="00363774"/>
    <w:rsid w:val="0036732A"/>
    <w:rsid w:val="00370469"/>
    <w:rsid w:val="00371923"/>
    <w:rsid w:val="003801F4"/>
    <w:rsid w:val="003A724D"/>
    <w:rsid w:val="003B58A4"/>
    <w:rsid w:val="003B7868"/>
    <w:rsid w:val="003C15FC"/>
    <w:rsid w:val="003C1E94"/>
    <w:rsid w:val="003C2BD2"/>
    <w:rsid w:val="003C6849"/>
    <w:rsid w:val="003C76C2"/>
    <w:rsid w:val="003D218F"/>
    <w:rsid w:val="003D36B8"/>
    <w:rsid w:val="003D3EE8"/>
    <w:rsid w:val="003D7191"/>
    <w:rsid w:val="003E5332"/>
    <w:rsid w:val="003E631D"/>
    <w:rsid w:val="003F154B"/>
    <w:rsid w:val="003F1B6B"/>
    <w:rsid w:val="003F3A46"/>
    <w:rsid w:val="003F5540"/>
    <w:rsid w:val="003F5E4D"/>
    <w:rsid w:val="00413FEC"/>
    <w:rsid w:val="004149D8"/>
    <w:rsid w:val="004256A6"/>
    <w:rsid w:val="004336ED"/>
    <w:rsid w:val="00444579"/>
    <w:rsid w:val="00467293"/>
    <w:rsid w:val="00471EC2"/>
    <w:rsid w:val="004B0040"/>
    <w:rsid w:val="004B62D0"/>
    <w:rsid w:val="004C6EBE"/>
    <w:rsid w:val="004D244F"/>
    <w:rsid w:val="004E4979"/>
    <w:rsid w:val="004F099D"/>
    <w:rsid w:val="005001AD"/>
    <w:rsid w:val="005007AF"/>
    <w:rsid w:val="005055A2"/>
    <w:rsid w:val="00513D3F"/>
    <w:rsid w:val="00523295"/>
    <w:rsid w:val="00556E40"/>
    <w:rsid w:val="00592095"/>
    <w:rsid w:val="005A0BA9"/>
    <w:rsid w:val="005A4ED3"/>
    <w:rsid w:val="005A75AE"/>
    <w:rsid w:val="005D0FE2"/>
    <w:rsid w:val="005D3C6C"/>
    <w:rsid w:val="005E4192"/>
    <w:rsid w:val="005F59D7"/>
    <w:rsid w:val="0060793C"/>
    <w:rsid w:val="006176A5"/>
    <w:rsid w:val="00630049"/>
    <w:rsid w:val="00652AD0"/>
    <w:rsid w:val="00653AF2"/>
    <w:rsid w:val="00653E5C"/>
    <w:rsid w:val="006568FD"/>
    <w:rsid w:val="00662077"/>
    <w:rsid w:val="006670A4"/>
    <w:rsid w:val="00684C36"/>
    <w:rsid w:val="0068702B"/>
    <w:rsid w:val="00693202"/>
    <w:rsid w:val="006B06B3"/>
    <w:rsid w:val="006B0D1F"/>
    <w:rsid w:val="006D6FCB"/>
    <w:rsid w:val="006E0CB8"/>
    <w:rsid w:val="006E7132"/>
    <w:rsid w:val="006F575C"/>
    <w:rsid w:val="00732630"/>
    <w:rsid w:val="0074208D"/>
    <w:rsid w:val="007506B0"/>
    <w:rsid w:val="00754868"/>
    <w:rsid w:val="007565E8"/>
    <w:rsid w:val="00771DD5"/>
    <w:rsid w:val="007733CE"/>
    <w:rsid w:val="00777147"/>
    <w:rsid w:val="00797CE3"/>
    <w:rsid w:val="007A007F"/>
    <w:rsid w:val="007B3F2B"/>
    <w:rsid w:val="007B46FF"/>
    <w:rsid w:val="007F7A28"/>
    <w:rsid w:val="00815A7E"/>
    <w:rsid w:val="00827AAE"/>
    <w:rsid w:val="00830A59"/>
    <w:rsid w:val="00830B5C"/>
    <w:rsid w:val="00833BB5"/>
    <w:rsid w:val="00844D47"/>
    <w:rsid w:val="0087500F"/>
    <w:rsid w:val="00881A7A"/>
    <w:rsid w:val="00892EE2"/>
    <w:rsid w:val="00893EB7"/>
    <w:rsid w:val="008A282A"/>
    <w:rsid w:val="008A7E08"/>
    <w:rsid w:val="008B2A6D"/>
    <w:rsid w:val="008B3C33"/>
    <w:rsid w:val="008C4FC8"/>
    <w:rsid w:val="008D3299"/>
    <w:rsid w:val="008F0745"/>
    <w:rsid w:val="0090643A"/>
    <w:rsid w:val="00911116"/>
    <w:rsid w:val="00914061"/>
    <w:rsid w:val="0091561C"/>
    <w:rsid w:val="00933555"/>
    <w:rsid w:val="00935B48"/>
    <w:rsid w:val="00937410"/>
    <w:rsid w:val="0094426F"/>
    <w:rsid w:val="00945E42"/>
    <w:rsid w:val="00954E6E"/>
    <w:rsid w:val="0095627C"/>
    <w:rsid w:val="00985074"/>
    <w:rsid w:val="00990F3E"/>
    <w:rsid w:val="00995A80"/>
    <w:rsid w:val="009B29AA"/>
    <w:rsid w:val="009B71F3"/>
    <w:rsid w:val="009D6D19"/>
    <w:rsid w:val="009E16AF"/>
    <w:rsid w:val="009E3938"/>
    <w:rsid w:val="009F2E22"/>
    <w:rsid w:val="009F4565"/>
    <w:rsid w:val="00A15E31"/>
    <w:rsid w:val="00A21A89"/>
    <w:rsid w:val="00A2210B"/>
    <w:rsid w:val="00A3398E"/>
    <w:rsid w:val="00A34A44"/>
    <w:rsid w:val="00A46352"/>
    <w:rsid w:val="00A55AC7"/>
    <w:rsid w:val="00A56190"/>
    <w:rsid w:val="00A67B50"/>
    <w:rsid w:val="00A70640"/>
    <w:rsid w:val="00A80083"/>
    <w:rsid w:val="00A90CCA"/>
    <w:rsid w:val="00A936F0"/>
    <w:rsid w:val="00A97DF5"/>
    <w:rsid w:val="00AA004B"/>
    <w:rsid w:val="00AA08F7"/>
    <w:rsid w:val="00AA61AB"/>
    <w:rsid w:val="00AD0D4E"/>
    <w:rsid w:val="00AD7E0C"/>
    <w:rsid w:val="00AE02BA"/>
    <w:rsid w:val="00B079F1"/>
    <w:rsid w:val="00B11E58"/>
    <w:rsid w:val="00B121D8"/>
    <w:rsid w:val="00B15F30"/>
    <w:rsid w:val="00B2005F"/>
    <w:rsid w:val="00B27C1C"/>
    <w:rsid w:val="00B31D8B"/>
    <w:rsid w:val="00B34269"/>
    <w:rsid w:val="00B37800"/>
    <w:rsid w:val="00B42CEF"/>
    <w:rsid w:val="00B472E8"/>
    <w:rsid w:val="00B5003D"/>
    <w:rsid w:val="00B50087"/>
    <w:rsid w:val="00B51486"/>
    <w:rsid w:val="00B570CF"/>
    <w:rsid w:val="00B6027B"/>
    <w:rsid w:val="00B6113F"/>
    <w:rsid w:val="00B65852"/>
    <w:rsid w:val="00B73B45"/>
    <w:rsid w:val="00BC050C"/>
    <w:rsid w:val="00BC346B"/>
    <w:rsid w:val="00BD1BE9"/>
    <w:rsid w:val="00BD6ADE"/>
    <w:rsid w:val="00BF337A"/>
    <w:rsid w:val="00C06F70"/>
    <w:rsid w:val="00C0781C"/>
    <w:rsid w:val="00C15AAE"/>
    <w:rsid w:val="00C2057D"/>
    <w:rsid w:val="00C35C9D"/>
    <w:rsid w:val="00C603B3"/>
    <w:rsid w:val="00C73D23"/>
    <w:rsid w:val="00C94700"/>
    <w:rsid w:val="00CB0D68"/>
    <w:rsid w:val="00CB3C97"/>
    <w:rsid w:val="00CD645F"/>
    <w:rsid w:val="00CE3576"/>
    <w:rsid w:val="00CF5DDB"/>
    <w:rsid w:val="00D017FE"/>
    <w:rsid w:val="00D059E9"/>
    <w:rsid w:val="00D07137"/>
    <w:rsid w:val="00D07BC9"/>
    <w:rsid w:val="00D12337"/>
    <w:rsid w:val="00D21953"/>
    <w:rsid w:val="00D27CB0"/>
    <w:rsid w:val="00D31A61"/>
    <w:rsid w:val="00D461AB"/>
    <w:rsid w:val="00D73884"/>
    <w:rsid w:val="00D80222"/>
    <w:rsid w:val="00D83D2B"/>
    <w:rsid w:val="00D84D3F"/>
    <w:rsid w:val="00DA1AE6"/>
    <w:rsid w:val="00DB40AF"/>
    <w:rsid w:val="00DD08BA"/>
    <w:rsid w:val="00DD6732"/>
    <w:rsid w:val="00DE6377"/>
    <w:rsid w:val="00DE7807"/>
    <w:rsid w:val="00DE7F95"/>
    <w:rsid w:val="00DE7FDD"/>
    <w:rsid w:val="00DF3535"/>
    <w:rsid w:val="00DF48F7"/>
    <w:rsid w:val="00E13100"/>
    <w:rsid w:val="00E31C46"/>
    <w:rsid w:val="00E4008C"/>
    <w:rsid w:val="00E41B0B"/>
    <w:rsid w:val="00E6584D"/>
    <w:rsid w:val="00EB37C3"/>
    <w:rsid w:val="00EC7E85"/>
    <w:rsid w:val="00EE69DC"/>
    <w:rsid w:val="00EF23E2"/>
    <w:rsid w:val="00F50672"/>
    <w:rsid w:val="00F50B8A"/>
    <w:rsid w:val="00F6546C"/>
    <w:rsid w:val="00F803F3"/>
    <w:rsid w:val="00FB2B7D"/>
    <w:rsid w:val="00FB53C2"/>
    <w:rsid w:val="00FC5F29"/>
    <w:rsid w:val="00FD285D"/>
    <w:rsid w:val="00FF6B5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0D895"/>
  <w15:chartTrackingRefBased/>
  <w15:docId w15:val="{3D07C3D9-DAAA-4AD0-9D7E-7A96639D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B5C"/>
    <w:pPr>
      <w:widowControl w:val="0"/>
      <w:adjustRightInd w:val="0"/>
      <w:snapToGrid w:val="0"/>
      <w:spacing w:afterLines="50" w:after="50" w:line="288" w:lineRule="auto"/>
      <w:jc w:val="both"/>
    </w:pPr>
    <w:rPr>
      <w:rFonts w:ascii="Arial" w:hAnsi="Arial"/>
      <w:snapToGrid w:val="0"/>
      <w:sz w:val="24"/>
      <w:szCs w:val="22"/>
    </w:rPr>
  </w:style>
  <w:style w:type="paragraph" w:styleId="1">
    <w:name w:val="heading 1"/>
    <w:basedOn w:val="a"/>
    <w:next w:val="a"/>
    <w:link w:val="10"/>
    <w:uiPriority w:val="1"/>
    <w:qFormat/>
    <w:rsid w:val="00A3398E"/>
    <w:pPr>
      <w:keepNext/>
      <w:keepLines/>
      <w:ind w:left="350" w:hangingChars="350" w:hanging="350"/>
      <w:outlineLvl w:val="0"/>
    </w:pPr>
    <w:rPr>
      <w:b/>
      <w:bCs/>
      <w:sz w:val="28"/>
      <w:szCs w:val="44"/>
    </w:rPr>
  </w:style>
  <w:style w:type="paragraph" w:styleId="2">
    <w:name w:val="heading 2"/>
    <w:basedOn w:val="a"/>
    <w:next w:val="a"/>
    <w:link w:val="20"/>
    <w:uiPriority w:val="1"/>
    <w:unhideWhenUsed/>
    <w:qFormat/>
    <w:rsid w:val="00A3398E"/>
    <w:pPr>
      <w:keepNext/>
      <w:keepLines/>
      <w:ind w:left="400" w:hangingChars="400" w:hanging="400"/>
      <w:outlineLvl w:val="1"/>
    </w:pPr>
    <w:rPr>
      <w:b/>
      <w:bCs/>
      <w:szCs w:val="32"/>
    </w:rPr>
  </w:style>
  <w:style w:type="paragraph" w:styleId="3">
    <w:name w:val="heading 3"/>
    <w:basedOn w:val="a"/>
    <w:next w:val="a"/>
    <w:link w:val="30"/>
    <w:uiPriority w:val="9"/>
    <w:unhideWhenUsed/>
    <w:qFormat/>
    <w:rsid w:val="00A3398E"/>
    <w:pPr>
      <w:keepNext/>
      <w:keepLines/>
      <w:ind w:left="400" w:hangingChars="400" w:hanging="400"/>
      <w:outlineLvl w:val="2"/>
    </w:pPr>
    <w:rPr>
      <w:b/>
      <w:bCs/>
      <w:szCs w:val="32"/>
    </w:rPr>
  </w:style>
  <w:style w:type="paragraph" w:styleId="4">
    <w:name w:val="heading 4"/>
    <w:basedOn w:val="a"/>
    <w:next w:val="a"/>
    <w:link w:val="40"/>
    <w:uiPriority w:val="9"/>
    <w:unhideWhenUsed/>
    <w:qFormat/>
    <w:rsid w:val="00A3398E"/>
    <w:pPr>
      <w:keepNext/>
      <w:keepLines/>
      <w:ind w:left="400" w:hangingChars="400" w:hanging="400"/>
      <w:outlineLvl w:val="3"/>
    </w:pPr>
    <w:rPr>
      <w:b/>
      <w:bCs/>
      <w:szCs w:val="28"/>
    </w:rPr>
  </w:style>
  <w:style w:type="paragraph" w:styleId="5">
    <w:name w:val="heading 5"/>
    <w:basedOn w:val="a"/>
    <w:next w:val="a"/>
    <w:link w:val="50"/>
    <w:uiPriority w:val="9"/>
    <w:unhideWhenUsed/>
    <w:qFormat/>
    <w:rsid w:val="00A3398E"/>
    <w:pPr>
      <w:keepNext/>
      <w:keepLines/>
      <w:ind w:left="450" w:hangingChars="450" w:hanging="450"/>
      <w:outlineLvl w:val="4"/>
    </w:pPr>
    <w:rPr>
      <w:b/>
      <w:bCs/>
      <w:szCs w:val="28"/>
    </w:rPr>
  </w:style>
  <w:style w:type="paragraph" w:styleId="6">
    <w:name w:val="heading 6"/>
    <w:basedOn w:val="a"/>
    <w:next w:val="a"/>
    <w:link w:val="60"/>
    <w:uiPriority w:val="9"/>
    <w:semiHidden/>
    <w:unhideWhenUsed/>
    <w:qFormat/>
    <w:rsid w:val="00A3398E"/>
    <w:pPr>
      <w:keepNext/>
      <w:keepLines/>
      <w:ind w:left="450" w:hangingChars="450" w:hanging="450"/>
      <w:outlineLvl w:val="5"/>
    </w:pPr>
    <w:rPr>
      <w:rFonts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A3398E"/>
    <w:rPr>
      <w:rFonts w:ascii="Arial" w:eastAsia="宋体" w:hAnsi="Arial"/>
      <w:b/>
      <w:bCs/>
      <w:snapToGrid w:val="0"/>
      <w:sz w:val="28"/>
      <w:szCs w:val="44"/>
    </w:rPr>
  </w:style>
  <w:style w:type="character" w:customStyle="1" w:styleId="20">
    <w:name w:val="标题 2 字符"/>
    <w:link w:val="2"/>
    <w:uiPriority w:val="9"/>
    <w:rsid w:val="00A3398E"/>
    <w:rPr>
      <w:rFonts w:ascii="Arial" w:eastAsia="宋体" w:hAnsi="Arial"/>
      <w:b/>
      <w:bCs/>
      <w:snapToGrid w:val="0"/>
      <w:sz w:val="24"/>
      <w:szCs w:val="32"/>
    </w:rPr>
  </w:style>
  <w:style w:type="character" w:customStyle="1" w:styleId="30">
    <w:name w:val="标题 3 字符"/>
    <w:link w:val="3"/>
    <w:uiPriority w:val="9"/>
    <w:rsid w:val="00A3398E"/>
    <w:rPr>
      <w:rFonts w:ascii="Arial" w:eastAsia="宋体" w:hAnsi="Arial"/>
      <w:b/>
      <w:bCs/>
      <w:snapToGrid w:val="0"/>
      <w:sz w:val="24"/>
      <w:szCs w:val="32"/>
    </w:rPr>
  </w:style>
  <w:style w:type="character" w:customStyle="1" w:styleId="40">
    <w:name w:val="标题 4 字符"/>
    <w:link w:val="4"/>
    <w:uiPriority w:val="9"/>
    <w:rsid w:val="00A3398E"/>
    <w:rPr>
      <w:rFonts w:ascii="Arial" w:eastAsia="宋体" w:hAnsi="Arial"/>
      <w:b/>
      <w:bCs/>
      <w:snapToGrid w:val="0"/>
      <w:sz w:val="24"/>
      <w:szCs w:val="28"/>
    </w:rPr>
  </w:style>
  <w:style w:type="character" w:customStyle="1" w:styleId="50">
    <w:name w:val="标题 5 字符"/>
    <w:link w:val="5"/>
    <w:uiPriority w:val="9"/>
    <w:rsid w:val="00A3398E"/>
    <w:rPr>
      <w:rFonts w:ascii="Arial" w:eastAsia="宋体" w:hAnsi="Arial"/>
      <w:b/>
      <w:bCs/>
      <w:snapToGrid w:val="0"/>
      <w:sz w:val="24"/>
      <w:szCs w:val="28"/>
    </w:rPr>
  </w:style>
  <w:style w:type="paragraph" w:customStyle="1" w:styleId="a3">
    <w:name w:val="表目录"/>
    <w:basedOn w:val="a4"/>
    <w:autoRedefine/>
    <w:qFormat/>
    <w:rsid w:val="00A3398E"/>
    <w:pPr>
      <w:ind w:leftChars="0" w:left="450" w:hangingChars="450" w:hanging="450"/>
    </w:pPr>
    <w:rPr>
      <w:b/>
    </w:rPr>
  </w:style>
  <w:style w:type="paragraph" w:customStyle="1" w:styleId="a5">
    <w:name w:val="图目录"/>
    <w:basedOn w:val="a4"/>
    <w:qFormat/>
    <w:rsid w:val="00A3398E"/>
    <w:pPr>
      <w:ind w:leftChars="0" w:left="450" w:hangingChars="450" w:hanging="450"/>
    </w:pPr>
    <w:rPr>
      <w:b/>
    </w:rPr>
  </w:style>
  <w:style w:type="paragraph" w:styleId="a4">
    <w:name w:val="table of figures"/>
    <w:basedOn w:val="a"/>
    <w:next w:val="a"/>
    <w:uiPriority w:val="99"/>
    <w:semiHidden/>
    <w:unhideWhenUsed/>
    <w:rsid w:val="003C76C2"/>
    <w:pPr>
      <w:ind w:leftChars="200" w:left="200" w:hangingChars="200" w:hanging="200"/>
    </w:pPr>
  </w:style>
  <w:style w:type="paragraph" w:customStyle="1" w:styleId="a6">
    <w:name w:val="附录目录"/>
    <w:basedOn w:val="a4"/>
    <w:qFormat/>
    <w:rsid w:val="00A3398E"/>
    <w:pPr>
      <w:ind w:leftChars="0" w:left="0" w:firstLineChars="0" w:firstLine="0"/>
    </w:pPr>
    <w:rPr>
      <w:b/>
    </w:rPr>
  </w:style>
  <w:style w:type="paragraph" w:styleId="a7">
    <w:name w:val="header"/>
    <w:basedOn w:val="a"/>
    <w:link w:val="a8"/>
    <w:uiPriority w:val="99"/>
    <w:unhideWhenUsed/>
    <w:rsid w:val="00A3398E"/>
    <w:pPr>
      <w:tabs>
        <w:tab w:val="center" w:pos="4153"/>
        <w:tab w:val="right" w:pos="8306"/>
      </w:tabs>
      <w:spacing w:afterLines="0" w:after="0" w:line="240" w:lineRule="auto"/>
    </w:pPr>
    <w:rPr>
      <w:sz w:val="18"/>
      <w:szCs w:val="18"/>
    </w:rPr>
  </w:style>
  <w:style w:type="character" w:customStyle="1" w:styleId="a8">
    <w:name w:val="页眉 字符"/>
    <w:link w:val="a7"/>
    <w:uiPriority w:val="99"/>
    <w:rsid w:val="00A3398E"/>
    <w:rPr>
      <w:rFonts w:ascii="Arial" w:eastAsia="宋体" w:hAnsi="Arial"/>
      <w:snapToGrid w:val="0"/>
      <w:sz w:val="18"/>
      <w:szCs w:val="18"/>
    </w:rPr>
  </w:style>
  <w:style w:type="paragraph" w:styleId="a9">
    <w:name w:val="footer"/>
    <w:basedOn w:val="a"/>
    <w:link w:val="aa"/>
    <w:uiPriority w:val="99"/>
    <w:unhideWhenUsed/>
    <w:rsid w:val="00A3398E"/>
    <w:pPr>
      <w:tabs>
        <w:tab w:val="center" w:pos="4153"/>
        <w:tab w:val="right" w:pos="8306"/>
      </w:tabs>
      <w:spacing w:afterLines="0" w:after="0" w:line="240" w:lineRule="auto"/>
    </w:pPr>
    <w:rPr>
      <w:sz w:val="18"/>
      <w:szCs w:val="18"/>
    </w:rPr>
  </w:style>
  <w:style w:type="character" w:customStyle="1" w:styleId="aa">
    <w:name w:val="页脚 字符"/>
    <w:link w:val="a9"/>
    <w:uiPriority w:val="99"/>
    <w:rsid w:val="00A3398E"/>
    <w:rPr>
      <w:rFonts w:ascii="Arial" w:eastAsia="宋体" w:hAnsi="Arial"/>
      <w:snapToGrid w:val="0"/>
      <w:sz w:val="18"/>
      <w:szCs w:val="18"/>
    </w:rPr>
  </w:style>
  <w:style w:type="paragraph" w:customStyle="1" w:styleId="ab">
    <w:name w:val="表格式"/>
    <w:basedOn w:val="a"/>
    <w:qFormat/>
    <w:rsid w:val="00830B5C"/>
    <w:pPr>
      <w:spacing w:beforeLines="20" w:before="20" w:afterLines="20" w:after="20" w:line="240" w:lineRule="auto"/>
    </w:pPr>
    <w:rPr>
      <w:sz w:val="20"/>
    </w:rPr>
  </w:style>
  <w:style w:type="table" w:styleId="ac">
    <w:name w:val="Table Grid"/>
    <w:basedOn w:val="a1"/>
    <w:uiPriority w:val="59"/>
    <w:rsid w:val="000D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827AAE"/>
    <w:rPr>
      <w:color w:val="0000FF"/>
      <w:u w:val="single"/>
    </w:rPr>
  </w:style>
  <w:style w:type="paragraph" w:customStyle="1" w:styleId="ae">
    <w:name w:val="附表目录"/>
    <w:basedOn w:val="a3"/>
    <w:qFormat/>
    <w:rsid w:val="00827AAE"/>
    <w:pPr>
      <w:ind w:left="400"/>
      <w:jc w:val="center"/>
    </w:pPr>
    <w:rPr>
      <w:snapToGrid/>
    </w:rPr>
  </w:style>
  <w:style w:type="paragraph" w:customStyle="1" w:styleId="af">
    <w:name w:val="附表格式"/>
    <w:basedOn w:val="ab"/>
    <w:qFormat/>
    <w:rsid w:val="00513D3F"/>
    <w:pPr>
      <w:spacing w:beforeLines="0" w:before="0" w:afterLines="0" w:after="0"/>
    </w:pPr>
  </w:style>
  <w:style w:type="paragraph" w:customStyle="1" w:styleId="11">
    <w:name w:val="附表格式缩进1"/>
    <w:basedOn w:val="af"/>
    <w:rsid w:val="00513D3F"/>
    <w:pPr>
      <w:ind w:leftChars="100" w:left="100"/>
    </w:pPr>
    <w:rPr>
      <w:rFonts w:cs="CourierNewPSMT"/>
      <w:snapToGrid/>
      <w:szCs w:val="20"/>
    </w:rPr>
  </w:style>
  <w:style w:type="paragraph" w:customStyle="1" w:styleId="af0">
    <w:name w:val="加粗缩进"/>
    <w:basedOn w:val="a"/>
    <w:qFormat/>
    <w:rsid w:val="003F1B6B"/>
    <w:pPr>
      <w:spacing w:after="163"/>
      <w:ind w:leftChars="50" w:left="120"/>
    </w:pPr>
    <w:rPr>
      <w:b/>
    </w:rPr>
  </w:style>
  <w:style w:type="paragraph" w:customStyle="1" w:styleId="22">
    <w:name w:val="2级缩进2"/>
    <w:basedOn w:val="af"/>
    <w:rsid w:val="00BD6ADE"/>
    <w:pPr>
      <w:ind w:leftChars="200" w:left="200"/>
    </w:pPr>
  </w:style>
  <w:style w:type="paragraph" w:customStyle="1" w:styleId="af1">
    <w:name w:val="表下注释"/>
    <w:basedOn w:val="a"/>
    <w:qFormat/>
    <w:rsid w:val="00A3398E"/>
    <w:pPr>
      <w:spacing w:afterLines="0" w:after="0" w:line="240" w:lineRule="auto"/>
    </w:pPr>
    <w:rPr>
      <w:sz w:val="18"/>
    </w:rPr>
  </w:style>
  <w:style w:type="character" w:customStyle="1" w:styleId="60">
    <w:name w:val="标题 6 字符"/>
    <w:basedOn w:val="a0"/>
    <w:link w:val="6"/>
    <w:uiPriority w:val="9"/>
    <w:semiHidden/>
    <w:rsid w:val="00A3398E"/>
    <w:rPr>
      <w:rFonts w:ascii="Arial" w:eastAsia="宋体" w:hAnsi="Arial" w:cstheme="majorBidi"/>
      <w:b/>
      <w:bCs/>
      <w:snapToGrid w:val="0"/>
      <w:sz w:val="24"/>
      <w:szCs w:val="24"/>
    </w:rPr>
  </w:style>
  <w:style w:type="numbering" w:customStyle="1" w:styleId="12">
    <w:name w:val="无列表1"/>
    <w:next w:val="a2"/>
    <w:uiPriority w:val="99"/>
    <w:semiHidden/>
    <w:unhideWhenUsed/>
    <w:rsid w:val="00062AA3"/>
  </w:style>
  <w:style w:type="table" w:customStyle="1" w:styleId="TableNormal1">
    <w:name w:val="Table Normal1"/>
    <w:uiPriority w:val="2"/>
    <w:semiHidden/>
    <w:unhideWhenUsed/>
    <w:qFormat/>
    <w:rsid w:val="00062AA3"/>
    <w:pPr>
      <w:widowControl w:val="0"/>
    </w:pPr>
    <w:rPr>
      <w:sz w:val="22"/>
      <w:szCs w:val="22"/>
    </w:rPr>
    <w:tblPr>
      <w:tblInd w:w="0" w:type="dxa"/>
      <w:tblCellMar>
        <w:top w:w="0" w:type="dxa"/>
        <w:left w:w="0" w:type="dxa"/>
        <w:bottom w:w="0" w:type="dxa"/>
        <w:right w:w="0" w:type="dxa"/>
      </w:tblCellMar>
    </w:tblPr>
  </w:style>
  <w:style w:type="paragraph" w:styleId="af2">
    <w:name w:val="Body Text"/>
    <w:basedOn w:val="a"/>
    <w:link w:val="af3"/>
    <w:uiPriority w:val="1"/>
    <w:qFormat/>
    <w:rsid w:val="00062AA3"/>
    <w:pPr>
      <w:adjustRightInd/>
      <w:snapToGrid/>
      <w:spacing w:afterLines="0" w:after="0" w:line="240" w:lineRule="auto"/>
      <w:ind w:left="112"/>
      <w:jc w:val="left"/>
    </w:pPr>
    <w:rPr>
      <w:rFonts w:ascii="Segoe UI" w:hAnsi="Segoe UI"/>
      <w:snapToGrid/>
      <w:sz w:val="22"/>
    </w:rPr>
  </w:style>
  <w:style w:type="character" w:customStyle="1" w:styleId="af3">
    <w:name w:val="正文文本 字符"/>
    <w:basedOn w:val="a0"/>
    <w:link w:val="af2"/>
    <w:uiPriority w:val="1"/>
    <w:rsid w:val="00062AA3"/>
    <w:rPr>
      <w:rFonts w:ascii="Segoe UI" w:eastAsia="宋体" w:hAnsi="Segoe UI"/>
      <w:sz w:val="22"/>
      <w:szCs w:val="22"/>
      <w:lang w:eastAsia="zh-CN"/>
    </w:rPr>
  </w:style>
  <w:style w:type="paragraph" w:styleId="af4">
    <w:name w:val="List Paragraph"/>
    <w:basedOn w:val="a"/>
    <w:uiPriority w:val="1"/>
    <w:qFormat/>
    <w:rsid w:val="00062AA3"/>
    <w:pPr>
      <w:adjustRightInd/>
      <w:snapToGrid/>
      <w:spacing w:afterLines="0" w:after="0" w:line="240" w:lineRule="auto"/>
      <w:jc w:val="left"/>
    </w:pPr>
    <w:rPr>
      <w:rFonts w:ascii="Calibri" w:hAnsi="Calibri"/>
      <w:snapToGrid/>
      <w:sz w:val="22"/>
    </w:rPr>
  </w:style>
  <w:style w:type="paragraph" w:customStyle="1" w:styleId="TableParagraph">
    <w:name w:val="Table Paragraph"/>
    <w:basedOn w:val="a"/>
    <w:uiPriority w:val="1"/>
    <w:qFormat/>
    <w:rsid w:val="00062AA3"/>
    <w:pPr>
      <w:adjustRightInd/>
      <w:snapToGrid/>
      <w:spacing w:afterLines="0" w:after="0" w:line="240" w:lineRule="auto"/>
      <w:jc w:val="left"/>
    </w:pPr>
    <w:rPr>
      <w:rFonts w:ascii="Calibri" w:hAnsi="Calibri"/>
      <w:snapToGrid/>
      <w:sz w:val="22"/>
    </w:rPr>
  </w:style>
  <w:style w:type="paragraph" w:styleId="af5">
    <w:name w:val="Balloon Text"/>
    <w:basedOn w:val="a"/>
    <w:link w:val="af6"/>
    <w:uiPriority w:val="99"/>
    <w:semiHidden/>
    <w:unhideWhenUsed/>
    <w:rsid w:val="00A936F0"/>
    <w:pPr>
      <w:spacing w:after="0" w:line="240" w:lineRule="auto"/>
    </w:pPr>
    <w:rPr>
      <w:sz w:val="18"/>
      <w:szCs w:val="18"/>
    </w:rPr>
  </w:style>
  <w:style w:type="character" w:customStyle="1" w:styleId="af6">
    <w:name w:val="批注框文本 字符"/>
    <w:basedOn w:val="a0"/>
    <w:link w:val="af5"/>
    <w:uiPriority w:val="99"/>
    <w:semiHidden/>
    <w:rsid w:val="00A936F0"/>
    <w:rPr>
      <w:rFonts w:ascii="Arial" w:hAnsi="Arial"/>
      <w:snapToGrid w:val="0"/>
      <w:sz w:val="18"/>
      <w:szCs w:val="18"/>
    </w:rPr>
  </w:style>
  <w:style w:type="paragraph" w:styleId="af7">
    <w:name w:val="Revision"/>
    <w:hidden/>
    <w:uiPriority w:val="99"/>
    <w:semiHidden/>
    <w:rsid w:val="00050F9A"/>
    <w:rPr>
      <w:rFonts w:ascii="Arial" w:hAnsi="Arial"/>
      <w:snapToGrid w:val="0"/>
      <w:sz w:val="24"/>
      <w:szCs w:val="22"/>
    </w:rPr>
  </w:style>
  <w:style w:type="character" w:customStyle="1" w:styleId="AboutandContactBody">
    <w:name w:val="About and Contact Body"/>
    <w:basedOn w:val="a0"/>
    <w:rsid w:val="008C4FC8"/>
    <w:rPr>
      <w:rFonts w:ascii="Segoe UI" w:hAnsi="Segoe UI"/>
      <w:sz w:val="18"/>
    </w:rPr>
  </w:style>
  <w:style w:type="character" w:customStyle="1" w:styleId="AboutandContactHeadline">
    <w:name w:val="About and Contact Headline"/>
    <w:basedOn w:val="a0"/>
    <w:rsid w:val="008C4FC8"/>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ischerl\AppData\Local\Microsoft\Windows\INetCache\Content.Outlook\2MGCYH4Y\www.henke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158B-78C3-42E8-8079-73DD1450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微软用户</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任庆垒</dc:creator>
  <cp:keywords/>
  <dc:description/>
  <cp:lastModifiedBy>Liki Qin</cp:lastModifiedBy>
  <cp:revision>12</cp:revision>
  <dcterms:created xsi:type="dcterms:W3CDTF">2022-01-29T07:39:00Z</dcterms:created>
  <dcterms:modified xsi:type="dcterms:W3CDTF">2022-01-29T07:46:00Z</dcterms:modified>
</cp:coreProperties>
</file>