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0773414" w:rsidR="00B422EC" w:rsidRPr="0060222C" w:rsidRDefault="004569F7" w:rsidP="00643D8A">
      <w:pPr>
        <w:pStyle w:val="MonthDayYear"/>
        <w:rPr>
          <w:lang w:val="sl-SI"/>
        </w:rPr>
      </w:pPr>
      <w:r>
        <w:rPr>
          <w:lang w:val="sl-SI"/>
        </w:rPr>
        <w:t>28. januar</w:t>
      </w:r>
      <w:r w:rsidR="00BF6E82" w:rsidRPr="0060222C">
        <w:rPr>
          <w:lang w:val="sl-SI"/>
        </w:rPr>
        <w:t>, 20</w:t>
      </w:r>
      <w:r w:rsidR="00F635FC" w:rsidRPr="0060222C">
        <w:rPr>
          <w:lang w:val="sl-SI"/>
        </w:rPr>
        <w:t>2</w:t>
      </w:r>
      <w:r>
        <w:rPr>
          <w:lang w:val="sl-SI"/>
        </w:rPr>
        <w:t>2</w:t>
      </w:r>
    </w:p>
    <w:p w14:paraId="09896324" w14:textId="312622C3" w:rsidR="007F0F63" w:rsidRPr="0060222C" w:rsidRDefault="004569F7" w:rsidP="009D1522">
      <w:pPr>
        <w:pStyle w:val="Topline"/>
        <w:rPr>
          <w:lang w:val="sl-SI"/>
        </w:rPr>
      </w:pPr>
      <w:r w:rsidRPr="004569F7">
        <w:rPr>
          <w:lang w:val="sl-SI"/>
        </w:rPr>
        <w:t>Celoviti ukrepi za nadgradnjo načrta za celostno rast</w:t>
      </w:r>
    </w:p>
    <w:p w14:paraId="76AD0789" w14:textId="14300906" w:rsidR="007F0F63" w:rsidRPr="0060222C" w:rsidRDefault="004569F7" w:rsidP="004569F7">
      <w:pPr>
        <w:jc w:val="left"/>
        <w:rPr>
          <w:rStyle w:val="Headline"/>
          <w:lang w:val="sl-SI"/>
        </w:rPr>
      </w:pPr>
      <w:r w:rsidRPr="004569F7">
        <w:rPr>
          <w:rStyle w:val="Headline"/>
          <w:lang w:val="sl-SI"/>
        </w:rPr>
        <w:t>Henkel z združitvijo poslovnih programov Laundry &amp; Home Care (Pralna sredstva in čistila) ter Beauty Care načrtuje oblikovanje nove poslovne enote Consumer Brands (Potrošniške tržne znamke)</w:t>
      </w:r>
    </w:p>
    <w:p w14:paraId="6706FA18" w14:textId="77777777" w:rsidR="00852511" w:rsidRPr="0060222C" w:rsidRDefault="00852511" w:rsidP="00365E44">
      <w:pPr>
        <w:rPr>
          <w:lang w:val="sl-SI"/>
        </w:rPr>
      </w:pPr>
    </w:p>
    <w:p w14:paraId="6DE5CD33" w14:textId="3F0A2086" w:rsidR="004569F7" w:rsidRPr="004569F7" w:rsidRDefault="004569F7" w:rsidP="004569F7">
      <w:pPr>
        <w:pStyle w:val="ListParagraph"/>
        <w:numPr>
          <w:ilvl w:val="0"/>
          <w:numId w:val="7"/>
        </w:numPr>
        <w:rPr>
          <w:rFonts w:cs="Segoe UI"/>
          <w:b/>
          <w:bCs/>
          <w:szCs w:val="22"/>
          <w:lang w:val="sl-SI"/>
        </w:rPr>
      </w:pPr>
      <w:r w:rsidRPr="004569F7">
        <w:rPr>
          <w:rFonts w:cs="Segoe UI"/>
          <w:b/>
          <w:bCs/>
          <w:szCs w:val="22"/>
          <w:lang w:val="sl-SI"/>
        </w:rPr>
        <w:t xml:space="preserve">Oblikovanje platforme, sestavljene iz več kategorij, za rast s približno 10 milijardami evrov prodaje </w:t>
      </w:r>
    </w:p>
    <w:p w14:paraId="23FE1976" w14:textId="7DAE6F3D" w:rsidR="004569F7" w:rsidRPr="004569F7" w:rsidRDefault="004569F7" w:rsidP="004569F7">
      <w:pPr>
        <w:pStyle w:val="ListParagraph"/>
        <w:numPr>
          <w:ilvl w:val="0"/>
          <w:numId w:val="7"/>
        </w:numPr>
        <w:rPr>
          <w:rFonts w:cs="Segoe UI"/>
          <w:b/>
          <w:bCs/>
          <w:szCs w:val="22"/>
          <w:lang w:val="sl-SI"/>
        </w:rPr>
      </w:pPr>
      <w:r w:rsidRPr="004569F7">
        <w:rPr>
          <w:rFonts w:cs="Segoe UI"/>
          <w:b/>
          <w:bCs/>
          <w:szCs w:val="22"/>
          <w:lang w:val="sl-SI"/>
        </w:rPr>
        <w:t xml:space="preserve">Nadaljnja optimizacija prodajnega portfolia: Poudarek na glavnih </w:t>
      </w:r>
      <w:r>
        <w:rPr>
          <w:rFonts w:cs="Segoe UI"/>
          <w:b/>
          <w:bCs/>
          <w:szCs w:val="22"/>
          <w:lang w:val="sl-SI"/>
        </w:rPr>
        <w:t>tržnih</w:t>
      </w:r>
      <w:r w:rsidRPr="004569F7">
        <w:rPr>
          <w:rFonts w:cs="Segoe UI"/>
          <w:b/>
          <w:bCs/>
          <w:szCs w:val="22"/>
          <w:lang w:val="sl-SI"/>
        </w:rPr>
        <w:t xml:space="preserve"> znamkah in poslovnih področjih z velikim potencialom rasti in marže ter močnejša osnova za združitve in prevzeme v potrošniškem prostoru</w:t>
      </w:r>
    </w:p>
    <w:p w14:paraId="66238820" w14:textId="7B706C73" w:rsidR="004569F7" w:rsidRPr="004569F7" w:rsidRDefault="004569F7" w:rsidP="004569F7">
      <w:pPr>
        <w:pStyle w:val="ListParagraph"/>
        <w:numPr>
          <w:ilvl w:val="0"/>
          <w:numId w:val="7"/>
        </w:numPr>
        <w:rPr>
          <w:rFonts w:cs="Segoe UI"/>
          <w:b/>
          <w:bCs/>
          <w:szCs w:val="22"/>
          <w:lang w:val="sl-SI"/>
        </w:rPr>
      </w:pPr>
      <w:r w:rsidRPr="004569F7">
        <w:rPr>
          <w:rFonts w:cs="Segoe UI"/>
          <w:b/>
          <w:bCs/>
          <w:szCs w:val="22"/>
          <w:lang w:val="sl-SI"/>
        </w:rPr>
        <w:t xml:space="preserve">Z združitvijo do pomembnih sinergij in izboljšanja učinkovitosti </w:t>
      </w:r>
    </w:p>
    <w:p w14:paraId="7C2A1FAB" w14:textId="71FBFDD3" w:rsidR="004569F7" w:rsidRPr="004569F7" w:rsidRDefault="004569F7" w:rsidP="004569F7">
      <w:pPr>
        <w:pStyle w:val="ListParagraph"/>
        <w:numPr>
          <w:ilvl w:val="0"/>
          <w:numId w:val="7"/>
        </w:numPr>
        <w:rPr>
          <w:rFonts w:cs="Segoe UI"/>
          <w:b/>
          <w:bCs/>
          <w:szCs w:val="22"/>
          <w:lang w:val="sl-SI"/>
        </w:rPr>
      </w:pPr>
      <w:r w:rsidRPr="004569F7">
        <w:rPr>
          <w:rFonts w:cs="Segoe UI"/>
          <w:b/>
          <w:bCs/>
          <w:szCs w:val="22"/>
          <w:lang w:val="sl-SI"/>
        </w:rPr>
        <w:t>Začetek programa za odkup delnic v vrednosti do 1 milijarde evrov: Izkoristiti močno bilanco stanja in denarni tok, optimizirati kapitalske strukture in nakazati trdno zaupanje v prihodnji potencial za dobičkonosno rast</w:t>
      </w:r>
    </w:p>
    <w:p w14:paraId="770DE079" w14:textId="6576CE82" w:rsidR="004569F7" w:rsidRPr="004569F7" w:rsidRDefault="004569F7" w:rsidP="004569F7">
      <w:pPr>
        <w:pStyle w:val="ListParagraph"/>
        <w:numPr>
          <w:ilvl w:val="0"/>
          <w:numId w:val="7"/>
        </w:numPr>
        <w:rPr>
          <w:rFonts w:cs="Segoe UI"/>
          <w:b/>
          <w:bCs/>
          <w:szCs w:val="22"/>
          <w:lang w:val="sl-SI"/>
        </w:rPr>
      </w:pPr>
      <w:r w:rsidRPr="004569F7">
        <w:rPr>
          <w:rFonts w:cs="Segoe UI"/>
          <w:b/>
          <w:bCs/>
          <w:szCs w:val="22"/>
          <w:lang w:val="sl-SI"/>
        </w:rPr>
        <w:t>Objavljeni so bili predhodni rezultati za poslovno leto 2021: Organska rast prodaje v višini +7,8 odstotka, marža iz poslovanja (EBIT)* v višini 13,4 odstotka in rast dobička na prednostno delnico (EPS)* v višini +9,2 odstotka (pri stalnih menjalnih tečajih)</w:t>
      </w:r>
    </w:p>
    <w:p w14:paraId="6A697DD0" w14:textId="57705E53" w:rsidR="004569F7" w:rsidRPr="004569F7" w:rsidRDefault="004569F7" w:rsidP="004569F7">
      <w:pPr>
        <w:pStyle w:val="ListParagraph"/>
        <w:numPr>
          <w:ilvl w:val="0"/>
          <w:numId w:val="7"/>
        </w:numPr>
        <w:rPr>
          <w:rFonts w:cs="Segoe UI"/>
          <w:b/>
          <w:bCs/>
          <w:szCs w:val="22"/>
          <w:lang w:val="sl-SI"/>
        </w:rPr>
      </w:pPr>
      <w:r w:rsidRPr="004569F7">
        <w:rPr>
          <w:rFonts w:cs="Segoe UI"/>
          <w:b/>
          <w:bCs/>
          <w:szCs w:val="22"/>
          <w:lang w:val="sl-SI"/>
        </w:rPr>
        <w:t xml:space="preserve">Napovedi za poslovno leto 2022: Organska rast prodaje: 2 do 4 odstotke, razvoj marže iz poslovanja (EBIT)*: 11,5 do 13,5 odstotka, razvoj dobička na prednostno delnico (EPS)*: –15 do +5 odstotkov (pri stalnih menjalnih tečajih), kar temelji na visoki ravni negotovosti in nestabilnosti na trgu </w:t>
      </w:r>
    </w:p>
    <w:p w14:paraId="443ACCD2" w14:textId="77777777" w:rsidR="004569F7" w:rsidRDefault="004569F7" w:rsidP="004569F7">
      <w:pPr>
        <w:pStyle w:val="ListParagraph"/>
        <w:numPr>
          <w:ilvl w:val="0"/>
          <w:numId w:val="7"/>
        </w:numPr>
        <w:rPr>
          <w:rFonts w:cs="Segoe UI"/>
          <w:b/>
          <w:bCs/>
          <w:szCs w:val="22"/>
          <w:lang w:val="sl-SI"/>
        </w:rPr>
      </w:pPr>
      <w:r w:rsidRPr="004569F7">
        <w:rPr>
          <w:rFonts w:cs="Segoe UI"/>
          <w:b/>
          <w:bCs/>
          <w:szCs w:val="22"/>
          <w:lang w:val="sl-SI"/>
        </w:rPr>
        <w:t>Novi srednje- do dolgoročni finančni cilji družbe Henkel: Organska rast prodaje v višini 3 do 4 odstotke, marža iz poslovanja (EBIT)* v višini približno 16 odstotkov</w:t>
      </w:r>
    </w:p>
    <w:p w14:paraId="3A5A997A" w14:textId="77777777" w:rsidR="004569F7" w:rsidRDefault="004569F7" w:rsidP="004569F7">
      <w:pPr>
        <w:pStyle w:val="ListParagraph"/>
        <w:numPr>
          <w:ilvl w:val="0"/>
          <w:numId w:val="7"/>
        </w:numPr>
        <w:rPr>
          <w:rFonts w:cs="Segoe UI"/>
          <w:b/>
          <w:bCs/>
          <w:szCs w:val="22"/>
          <w:lang w:val="sl-SI"/>
        </w:rPr>
      </w:pPr>
      <w:r w:rsidRPr="004569F7">
        <w:rPr>
          <w:rFonts w:cs="Segoe UI"/>
          <w:b/>
          <w:bCs/>
          <w:szCs w:val="22"/>
          <w:lang w:val="sl-SI"/>
        </w:rPr>
        <w:t>in srednja do visoka enomestna odstotna vrednost rasti dobička na prednostno delnico (EPS)* (pri stalnih menjalnih tečajih vključno z združitvami in prevzemi)</w:t>
      </w:r>
    </w:p>
    <w:p w14:paraId="6C0C7824" w14:textId="1ED05BB3" w:rsidR="004569F7" w:rsidRPr="004569F7" w:rsidRDefault="004569F7" w:rsidP="004569F7">
      <w:pPr>
        <w:pStyle w:val="ListParagraph"/>
        <w:rPr>
          <w:rFonts w:cs="Segoe UI"/>
          <w:b/>
          <w:bCs/>
          <w:szCs w:val="22"/>
          <w:lang w:val="sl-SI"/>
        </w:rPr>
      </w:pPr>
      <w:r w:rsidRPr="004569F7">
        <w:rPr>
          <w:rFonts w:cs="Segoe UI"/>
          <w:b/>
          <w:bCs/>
          <w:szCs w:val="22"/>
          <w:lang w:val="sl-SI"/>
        </w:rPr>
        <w:lastRenderedPageBreak/>
        <w:t xml:space="preserve"> </w:t>
      </w:r>
    </w:p>
    <w:p w14:paraId="3AB40C88" w14:textId="78F3F1D9" w:rsidR="004569F7" w:rsidRPr="004569F7" w:rsidRDefault="004569F7" w:rsidP="004569F7">
      <w:pPr>
        <w:rPr>
          <w:rFonts w:cs="Segoe UI"/>
          <w:b/>
          <w:bCs/>
          <w:szCs w:val="22"/>
          <w:lang w:val="sl-SI"/>
        </w:rPr>
      </w:pPr>
      <w:r w:rsidRPr="004569F7">
        <w:rPr>
          <w:rFonts w:cs="Segoe UI"/>
          <w:b/>
          <w:bCs/>
          <w:szCs w:val="22"/>
          <w:lang w:val="sl-SI"/>
        </w:rPr>
        <w:t xml:space="preserve">Düsseldorf: Družba Henkel je danes predstavila načrte za združitev svojih poslovnih programov Laundry &amp; Home Care (Pralna sredstva in čistila) in Beauty Care v eno poslovno enoto: Henkel Consumer Brands (Potrošniške </w:t>
      </w:r>
      <w:r w:rsidRPr="004569F7">
        <w:rPr>
          <w:rFonts w:cs="Segoe UI"/>
          <w:b/>
          <w:bCs/>
          <w:szCs w:val="22"/>
          <w:lang w:val="sl-SI"/>
        </w:rPr>
        <w:t>tržne</w:t>
      </w:r>
      <w:r w:rsidRPr="004569F7">
        <w:rPr>
          <w:rFonts w:cs="Segoe UI"/>
          <w:b/>
          <w:bCs/>
          <w:szCs w:val="22"/>
          <w:lang w:val="sl-SI"/>
        </w:rPr>
        <w:t xml:space="preserve"> znamke). Družba bo nemudoma začela s pripravami na postopek integracije in načrtuje vzpostavitev nove ureditve najpozneje do začetka leta 2023. Z novim poslovnim programom bodo pri Henklu oblikovali platformo za rast, sestavljeno iz več kategorij, tako da bodo združili svoje </w:t>
      </w:r>
      <w:r w:rsidRPr="004569F7">
        <w:rPr>
          <w:rFonts w:cs="Segoe UI"/>
          <w:b/>
          <w:bCs/>
          <w:szCs w:val="22"/>
          <w:lang w:val="sl-SI"/>
        </w:rPr>
        <w:t>tržne</w:t>
      </w:r>
      <w:r w:rsidRPr="004569F7">
        <w:rPr>
          <w:rFonts w:cs="Segoe UI"/>
          <w:b/>
          <w:bCs/>
          <w:szCs w:val="22"/>
          <w:lang w:val="sl-SI"/>
        </w:rPr>
        <w:t xml:space="preserve"> znamke in poslovna področja, vključno z znamenitimi </w:t>
      </w:r>
      <w:r w:rsidRPr="004569F7">
        <w:rPr>
          <w:rFonts w:cs="Segoe UI"/>
          <w:b/>
          <w:bCs/>
          <w:szCs w:val="22"/>
          <w:lang w:val="sl-SI"/>
        </w:rPr>
        <w:t>tržnimi</w:t>
      </w:r>
      <w:r w:rsidRPr="004569F7">
        <w:rPr>
          <w:rFonts w:cs="Segoe UI"/>
          <w:b/>
          <w:bCs/>
          <w:szCs w:val="22"/>
          <w:lang w:val="sl-SI"/>
        </w:rPr>
        <w:t xml:space="preserve"> znamkami, kot sta Persil in Schwarzkopf, kar vključuje tudi segment za profesionalne frizerske salone.  </w:t>
      </w:r>
    </w:p>
    <w:p w14:paraId="4C92F27B" w14:textId="77777777" w:rsidR="004569F7" w:rsidRPr="004569F7" w:rsidRDefault="004569F7" w:rsidP="004569F7">
      <w:pPr>
        <w:rPr>
          <w:rFonts w:cs="Segoe UI"/>
          <w:b/>
          <w:bCs/>
          <w:szCs w:val="22"/>
          <w:lang w:val="sl-SI"/>
        </w:rPr>
      </w:pPr>
    </w:p>
    <w:p w14:paraId="08991B52" w14:textId="77777777" w:rsidR="004569F7" w:rsidRPr="004569F7" w:rsidRDefault="004569F7" w:rsidP="004569F7">
      <w:pPr>
        <w:rPr>
          <w:rFonts w:cs="Segoe UI"/>
          <w:b/>
          <w:bCs/>
          <w:szCs w:val="22"/>
          <w:lang w:val="sl-SI"/>
        </w:rPr>
      </w:pPr>
      <w:r w:rsidRPr="004569F7">
        <w:rPr>
          <w:rFonts w:cs="Segoe UI"/>
          <w:b/>
          <w:bCs/>
          <w:szCs w:val="22"/>
          <w:lang w:val="sl-SI"/>
        </w:rPr>
        <w:t xml:space="preserve">»Združili bomo moči v naših segmentih potrošniškega blaga in ustvarili močno, celostno poslovno enoto kot osnovo za prihodnjo dobičkonosno rast. Celostni segment Consumer Brands (Potrošniške </w:t>
      </w:r>
      <w:r w:rsidRPr="004569F7">
        <w:rPr>
          <w:rFonts w:cs="Segoe UI"/>
          <w:b/>
          <w:bCs/>
          <w:szCs w:val="22"/>
          <w:lang w:val="sl-SI"/>
        </w:rPr>
        <w:t>tržne</w:t>
      </w:r>
      <w:r w:rsidRPr="004569F7">
        <w:rPr>
          <w:rFonts w:cs="Segoe UI"/>
          <w:b/>
          <w:bCs/>
          <w:szCs w:val="22"/>
          <w:lang w:val="sl-SI"/>
        </w:rPr>
        <w:t xml:space="preserve"> znamke) bo prinesel znatne prednosti za Henkel, naše delničarje, stranke ter time, poleg tega bo imel dobre možnosti za aktivno oblikovanje svoje prihodnosti v izjemno dinamični industriji,« je povedal Carsten Knobel, predsednik upravnega odbora družbe Henkel. </w:t>
      </w:r>
    </w:p>
    <w:p w14:paraId="285195F9" w14:textId="6414AF61" w:rsidR="004569F7" w:rsidRPr="004569F7" w:rsidRDefault="004569F7" w:rsidP="004569F7">
      <w:pPr>
        <w:rPr>
          <w:rFonts w:cs="Segoe UI"/>
          <w:b/>
          <w:bCs/>
          <w:szCs w:val="22"/>
          <w:lang w:val="sl-SI"/>
        </w:rPr>
      </w:pPr>
      <w:r w:rsidRPr="004569F7">
        <w:rPr>
          <w:rFonts w:cs="Segoe UI"/>
          <w:b/>
          <w:bCs/>
          <w:szCs w:val="22"/>
          <w:lang w:val="sl-SI"/>
        </w:rPr>
        <w:t xml:space="preserve"> </w:t>
      </w:r>
    </w:p>
    <w:p w14:paraId="5CF33FC1" w14:textId="3AFF1F29" w:rsidR="004569F7" w:rsidRPr="004569F7" w:rsidRDefault="004569F7" w:rsidP="004569F7">
      <w:pPr>
        <w:rPr>
          <w:rFonts w:cs="Segoe UI"/>
          <w:b/>
          <w:bCs/>
          <w:szCs w:val="22"/>
          <w:lang w:val="sl-SI"/>
        </w:rPr>
      </w:pPr>
      <w:r w:rsidRPr="004569F7">
        <w:rPr>
          <w:rFonts w:cs="Segoe UI"/>
          <w:b/>
          <w:bCs/>
          <w:szCs w:val="22"/>
          <w:lang w:val="sl-SI"/>
        </w:rPr>
        <w:t xml:space="preserve">»Oblikujemo platformo iz več kategorij, ki bo imela približno 10 milijard evrov prodaje. To bo doprineslo k boljši osnovi za nadaljnjo optimizacijo in oblikovanje našega portfolia za doseganje večjega profila rasti in marže. Poleg tega bomo zajeli pomembne sinergije in izboljšanje učinkovitosti, kar nam bo omogočilo sprostitev sredstev, ki jih bomo delno uporabili za ciljno usmerjene investicije v naše strateške prioritete, kot so inovacije, trajnostni razvoj in digitalizacija. Postali bomo še zanimivejši delodajalec, ki nudi pomembnejše vloge in možnosti za napredovanje v zanimivi industriji. Če povzamem: </w:t>
      </w:r>
      <w:r w:rsidRPr="004569F7">
        <w:rPr>
          <w:rFonts w:cs="Segoe UI"/>
          <w:b/>
          <w:bCs/>
          <w:szCs w:val="22"/>
          <w:lang w:val="sl-SI"/>
        </w:rPr>
        <w:t>P</w:t>
      </w:r>
      <w:r w:rsidRPr="004569F7">
        <w:rPr>
          <w:rFonts w:cs="Segoe UI"/>
          <w:b/>
          <w:bCs/>
          <w:szCs w:val="22"/>
          <w:lang w:val="sl-SI"/>
        </w:rPr>
        <w:t>repričan sem, da bo ta združitev naš načrt za celostno rast dvignila na naslednjo raven.«</w:t>
      </w:r>
    </w:p>
    <w:p w14:paraId="7AE1C832" w14:textId="77777777" w:rsidR="004569F7" w:rsidRPr="004569F7" w:rsidRDefault="004569F7" w:rsidP="004569F7">
      <w:pPr>
        <w:rPr>
          <w:rFonts w:cs="Segoe UI"/>
          <w:szCs w:val="22"/>
          <w:lang w:val="sl-SI"/>
        </w:rPr>
      </w:pPr>
    </w:p>
    <w:p w14:paraId="42CA1462" w14:textId="6B8B7272" w:rsidR="004569F7" w:rsidRDefault="004569F7" w:rsidP="004569F7">
      <w:pPr>
        <w:rPr>
          <w:rFonts w:cs="Segoe UI"/>
          <w:b/>
          <w:bCs/>
          <w:szCs w:val="22"/>
          <w:lang w:val="sl-SI"/>
        </w:rPr>
      </w:pPr>
      <w:r w:rsidRPr="004569F7">
        <w:rPr>
          <w:rFonts w:cs="Segoe UI"/>
          <w:b/>
          <w:bCs/>
          <w:szCs w:val="22"/>
          <w:lang w:val="sl-SI"/>
        </w:rPr>
        <w:t>Združitev je zasnovana za spodbujanje rasti in dobičkonosnosti segmenta za potrošniško blago ter podjetja. To se odraža tudi v novih srednje- do dolgoročnih finančnih ciljih, ki jih je predstavil Henkel: Družba zdaj načrtuje 3- do 4-odstotno organsko rast prodaje, prilagojeno maržo iz poslovanja (EBIT) v višini približno 16 odstotkov in srednjo do visoko enomestno odstotno vrednost rasti prilagojenega dobička na prednostno delnico (pri stalnih menjalnih tečajih vključno z združitvami in prevzemi).</w:t>
      </w:r>
    </w:p>
    <w:p w14:paraId="5FB27CC4" w14:textId="77777777" w:rsidR="004569F7" w:rsidRPr="004569F7" w:rsidRDefault="004569F7" w:rsidP="004569F7">
      <w:pPr>
        <w:rPr>
          <w:rFonts w:cs="Segoe UI"/>
          <w:b/>
          <w:bCs/>
          <w:szCs w:val="22"/>
          <w:lang w:val="sl-SI"/>
        </w:rPr>
      </w:pPr>
    </w:p>
    <w:p w14:paraId="5D7CD4EF" w14:textId="77777777" w:rsidR="004569F7" w:rsidRPr="004569F7" w:rsidRDefault="004569F7" w:rsidP="004569F7">
      <w:pPr>
        <w:rPr>
          <w:rFonts w:cs="Segoe UI"/>
          <w:b/>
          <w:bCs/>
          <w:szCs w:val="22"/>
          <w:lang w:val="sl-SI"/>
        </w:rPr>
      </w:pPr>
      <w:r w:rsidRPr="004569F7">
        <w:rPr>
          <w:rFonts w:cs="Segoe UI"/>
          <w:b/>
          <w:bCs/>
          <w:szCs w:val="22"/>
          <w:lang w:val="sl-SI"/>
        </w:rPr>
        <w:t>Močna platforma: Portfolio s poudarkom na velikem potencialu rasti in marže</w:t>
      </w:r>
    </w:p>
    <w:p w14:paraId="1901ACCB" w14:textId="77777777" w:rsidR="004569F7" w:rsidRPr="004569F7" w:rsidRDefault="004569F7" w:rsidP="004569F7">
      <w:pPr>
        <w:rPr>
          <w:rFonts w:cs="Segoe UI"/>
          <w:szCs w:val="22"/>
          <w:lang w:val="sl-SI"/>
        </w:rPr>
      </w:pPr>
    </w:p>
    <w:p w14:paraId="704EA4A9" w14:textId="44599BB6" w:rsidR="004569F7" w:rsidRPr="004569F7" w:rsidRDefault="004569F7" w:rsidP="004569F7">
      <w:pPr>
        <w:rPr>
          <w:rFonts w:cs="Segoe UI"/>
          <w:szCs w:val="22"/>
          <w:lang w:val="sl-SI"/>
        </w:rPr>
      </w:pPr>
      <w:r w:rsidRPr="004569F7">
        <w:rPr>
          <w:rFonts w:cs="Segoe UI"/>
          <w:szCs w:val="22"/>
          <w:lang w:val="sl-SI"/>
        </w:rPr>
        <w:t xml:space="preserve">Poslovna enota Henkel Consumer Brands (Potrošniške </w:t>
      </w:r>
      <w:r>
        <w:rPr>
          <w:rFonts w:cs="Segoe UI"/>
          <w:szCs w:val="22"/>
          <w:lang w:val="sl-SI"/>
        </w:rPr>
        <w:t>tržne</w:t>
      </w:r>
      <w:r w:rsidRPr="004569F7">
        <w:rPr>
          <w:rFonts w:cs="Segoe UI"/>
          <w:szCs w:val="22"/>
          <w:lang w:val="sl-SI"/>
        </w:rPr>
        <w:t xml:space="preserve"> znamke) bo nudila priložnost za boljše uresničevanje celotnega potenciala za organsko in neorgansko rast ter za osredotočanje </w:t>
      </w:r>
      <w:r w:rsidRPr="004569F7">
        <w:rPr>
          <w:rFonts w:cs="Segoe UI"/>
          <w:szCs w:val="22"/>
          <w:lang w:val="sl-SI"/>
        </w:rPr>
        <w:lastRenderedPageBreak/>
        <w:t xml:space="preserve">na izdelke z velikim potencialom rasti in marže – poleg ukrepov v okviru aktivnega upravljanja portfolia, ki so bili sprejeti do konca leta 2021. </w:t>
      </w:r>
    </w:p>
    <w:p w14:paraId="140FDB16" w14:textId="77777777" w:rsidR="004569F7" w:rsidRPr="004569F7" w:rsidRDefault="004569F7" w:rsidP="004569F7">
      <w:pPr>
        <w:rPr>
          <w:rFonts w:cs="Segoe UI"/>
          <w:szCs w:val="22"/>
          <w:lang w:val="sl-SI"/>
        </w:rPr>
      </w:pPr>
    </w:p>
    <w:p w14:paraId="3F549FDA" w14:textId="0FC40A20" w:rsidR="004569F7" w:rsidRPr="004569F7" w:rsidRDefault="004569F7" w:rsidP="004569F7">
      <w:pPr>
        <w:rPr>
          <w:rFonts w:cs="Segoe UI"/>
          <w:szCs w:val="22"/>
          <w:lang w:val="sl-SI"/>
        </w:rPr>
      </w:pPr>
      <w:r w:rsidRPr="004569F7">
        <w:rPr>
          <w:rFonts w:cs="Segoe UI"/>
          <w:szCs w:val="22"/>
          <w:lang w:val="sl-SI"/>
        </w:rPr>
        <w:t xml:space="preserve">Nadaljnji ukrepi upravljanja portfolia bodo vključevali odprodaje oziroma umaknitve neključnih </w:t>
      </w:r>
      <w:r>
        <w:rPr>
          <w:rFonts w:cs="Segoe UI"/>
          <w:szCs w:val="22"/>
          <w:lang w:val="sl-SI"/>
        </w:rPr>
        <w:t>tržnih</w:t>
      </w:r>
      <w:r w:rsidRPr="004569F7">
        <w:rPr>
          <w:rFonts w:cs="Segoe UI"/>
          <w:szCs w:val="22"/>
          <w:lang w:val="sl-SI"/>
        </w:rPr>
        <w:t xml:space="preserve"> znamk in segmentov ter prevzeme v kategorijah potrošniškega prostora. Prvi ukrepi za portfolio poslovne enote Beauty Care bodo implementirani tekom leta 2022. </w:t>
      </w:r>
    </w:p>
    <w:p w14:paraId="2C854543" w14:textId="77777777" w:rsidR="004569F7" w:rsidRPr="004569F7" w:rsidRDefault="004569F7" w:rsidP="004569F7">
      <w:pPr>
        <w:rPr>
          <w:rFonts w:cs="Segoe UI"/>
          <w:szCs w:val="22"/>
          <w:lang w:val="sl-SI"/>
        </w:rPr>
      </w:pPr>
      <w:r w:rsidRPr="004569F7">
        <w:rPr>
          <w:rFonts w:cs="Segoe UI"/>
          <w:szCs w:val="22"/>
          <w:lang w:val="sl-SI"/>
        </w:rPr>
        <w:t xml:space="preserve"> </w:t>
      </w:r>
    </w:p>
    <w:p w14:paraId="0FBEF7BB" w14:textId="77777777" w:rsidR="004569F7" w:rsidRPr="004569F7" w:rsidRDefault="004569F7" w:rsidP="004569F7">
      <w:pPr>
        <w:rPr>
          <w:rFonts w:cs="Segoe UI"/>
          <w:b/>
          <w:bCs/>
          <w:szCs w:val="22"/>
          <w:lang w:val="sl-SI"/>
        </w:rPr>
      </w:pPr>
      <w:r w:rsidRPr="004569F7">
        <w:rPr>
          <w:rFonts w:cs="Segoe UI"/>
          <w:b/>
          <w:bCs/>
          <w:szCs w:val="22"/>
          <w:lang w:val="sl-SI"/>
        </w:rPr>
        <w:t>Ustvarjanje večjega obsega: Pomembne sinergije in izboljšanje učinkovitosti</w:t>
      </w:r>
    </w:p>
    <w:p w14:paraId="2C3272FD" w14:textId="77777777" w:rsidR="004569F7" w:rsidRPr="004569F7" w:rsidRDefault="004569F7" w:rsidP="004569F7">
      <w:pPr>
        <w:rPr>
          <w:rFonts w:cs="Segoe UI"/>
          <w:szCs w:val="22"/>
          <w:lang w:val="sl-SI"/>
        </w:rPr>
      </w:pPr>
    </w:p>
    <w:p w14:paraId="26721447" w14:textId="77777777" w:rsidR="004569F7" w:rsidRPr="004569F7" w:rsidRDefault="004569F7" w:rsidP="004569F7">
      <w:pPr>
        <w:rPr>
          <w:rFonts w:cs="Segoe UI"/>
          <w:szCs w:val="22"/>
          <w:lang w:val="sl-SI"/>
        </w:rPr>
      </w:pPr>
      <w:r w:rsidRPr="004569F7">
        <w:rPr>
          <w:rFonts w:cs="Segoe UI"/>
          <w:szCs w:val="22"/>
          <w:lang w:val="sl-SI"/>
        </w:rPr>
        <w:t>Z združitvijo obeh poslovnih enot bodo pri Henklu ustvarili večji obseg, s katerim bo lahko podjetje zajelo pomembne sinergije in postalo bolj učinkovito in prilagodljivo, obenem pa se bo lahko nova ureditev hitreje in bolj fleksibilno odzvala izjemno nestabilnemu okolju. Sinergije pričakujemo na področju administracije, distribucije, marketinga in dobavne verige.</w:t>
      </w:r>
    </w:p>
    <w:p w14:paraId="01809C66" w14:textId="77777777" w:rsidR="004569F7" w:rsidRPr="004569F7" w:rsidRDefault="004569F7" w:rsidP="004569F7">
      <w:pPr>
        <w:rPr>
          <w:rFonts w:cs="Segoe UI"/>
          <w:szCs w:val="22"/>
          <w:lang w:val="sl-SI"/>
        </w:rPr>
      </w:pPr>
    </w:p>
    <w:p w14:paraId="3DFC95CC" w14:textId="3F5E4A2E" w:rsidR="004569F7" w:rsidRPr="004569F7" w:rsidRDefault="004569F7" w:rsidP="004569F7">
      <w:pPr>
        <w:rPr>
          <w:rFonts w:cs="Segoe UI"/>
          <w:szCs w:val="22"/>
          <w:lang w:val="sl-SI"/>
        </w:rPr>
      </w:pPr>
      <w:r w:rsidRPr="004569F7">
        <w:rPr>
          <w:rFonts w:cs="Segoe UI"/>
          <w:szCs w:val="22"/>
          <w:lang w:val="sl-SI"/>
        </w:rPr>
        <w:t xml:space="preserve">To bo novemu segmentu Consumer Brands (Potrošniške </w:t>
      </w:r>
      <w:r>
        <w:rPr>
          <w:rFonts w:cs="Segoe UI"/>
          <w:szCs w:val="22"/>
          <w:lang w:val="sl-SI"/>
        </w:rPr>
        <w:t>tržne</w:t>
      </w:r>
      <w:r w:rsidRPr="004569F7">
        <w:rPr>
          <w:rFonts w:cs="Segoe UI"/>
          <w:szCs w:val="22"/>
          <w:lang w:val="sl-SI"/>
        </w:rPr>
        <w:t xml:space="preserve"> znamke) omogočilo sprostitev sredstev za večje investicije in boljše usmerjanje teh naložb v strateške zmogljivosti, na primer v digitalizacijo oddelka za raziskave in razvoj, zmogljivost elektronskega poslovanja ali prizadevanja na področju trajnostnega razvoja v povezavi z embalažo, ki jo je mogoče reciklirati. Sinergije bodo uporabljene tudi za krepitev profila marže poslovne enote. </w:t>
      </w:r>
    </w:p>
    <w:p w14:paraId="1E0B9B6A" w14:textId="77777777" w:rsidR="004569F7" w:rsidRPr="004569F7" w:rsidRDefault="004569F7" w:rsidP="004569F7">
      <w:pPr>
        <w:rPr>
          <w:rFonts w:cs="Segoe UI"/>
          <w:szCs w:val="22"/>
          <w:lang w:val="sl-SI"/>
        </w:rPr>
      </w:pPr>
    </w:p>
    <w:p w14:paraId="3E55EA74" w14:textId="77777777" w:rsidR="004569F7" w:rsidRPr="004569F7" w:rsidRDefault="004569F7" w:rsidP="004569F7">
      <w:pPr>
        <w:rPr>
          <w:rFonts w:cs="Segoe UI"/>
          <w:b/>
          <w:bCs/>
          <w:szCs w:val="22"/>
          <w:lang w:val="sl-SI"/>
        </w:rPr>
      </w:pPr>
      <w:r w:rsidRPr="004569F7">
        <w:rPr>
          <w:rFonts w:cs="Segoe UI"/>
          <w:b/>
          <w:bCs/>
          <w:szCs w:val="22"/>
          <w:lang w:val="sl-SI"/>
        </w:rPr>
        <w:t>Enoten tim: Poenostavljena struktura, hitrejše odločanje in privlačne priložnosti</w:t>
      </w:r>
    </w:p>
    <w:p w14:paraId="01103FC8" w14:textId="77777777" w:rsidR="004569F7" w:rsidRPr="004569F7" w:rsidRDefault="004569F7" w:rsidP="004569F7">
      <w:pPr>
        <w:rPr>
          <w:rFonts w:cs="Segoe UI"/>
          <w:szCs w:val="22"/>
          <w:lang w:val="sl-SI"/>
        </w:rPr>
      </w:pPr>
    </w:p>
    <w:p w14:paraId="676B94C0" w14:textId="77777777" w:rsidR="004569F7" w:rsidRPr="004569F7" w:rsidRDefault="004569F7" w:rsidP="004569F7">
      <w:pPr>
        <w:rPr>
          <w:rFonts w:cs="Segoe UI"/>
          <w:szCs w:val="22"/>
          <w:lang w:val="sl-SI"/>
        </w:rPr>
      </w:pPr>
      <w:r w:rsidRPr="004569F7">
        <w:rPr>
          <w:rFonts w:cs="Segoe UI"/>
          <w:szCs w:val="22"/>
          <w:lang w:val="sl-SI"/>
        </w:rPr>
        <w:t xml:space="preserve">Nova poslovna enota se bo osredotočala na potrošnike in distribucijsko verigo – s celostnim pristopom za trgovce na drobno in trgovinske oziroma distribucijske partnerje v vseh potrošniških kategorijah. </w:t>
      </w:r>
    </w:p>
    <w:p w14:paraId="25367354" w14:textId="77777777" w:rsidR="004569F7" w:rsidRPr="004569F7" w:rsidRDefault="004569F7" w:rsidP="004569F7">
      <w:pPr>
        <w:rPr>
          <w:rFonts w:cs="Segoe UI"/>
          <w:szCs w:val="22"/>
          <w:lang w:val="sl-SI"/>
        </w:rPr>
      </w:pPr>
    </w:p>
    <w:p w14:paraId="34F319D5" w14:textId="77777777" w:rsidR="004569F7" w:rsidRPr="004569F7" w:rsidRDefault="004569F7" w:rsidP="004569F7">
      <w:pPr>
        <w:rPr>
          <w:rFonts w:cs="Segoe UI"/>
          <w:szCs w:val="22"/>
          <w:lang w:val="sl-SI"/>
        </w:rPr>
      </w:pPr>
      <w:r w:rsidRPr="004569F7">
        <w:rPr>
          <w:rFonts w:cs="Segoe UI"/>
          <w:szCs w:val="22"/>
          <w:lang w:val="sl-SI"/>
        </w:rPr>
        <w:t xml:space="preserve">Pod enim vodstvom se bo združeni tim osredotočal na izboljšanje celotnega segmenta za prodajo potrošniškega blaga, s poenostavljenimi strukturami in hitrejšim odločanjem. V združenem segmentu bo Henkel nudil pomembnejše vloge in priložnosti ter tako postal še privlačnejši delodajalec za time, vodje, nadarjene posameznike in novo zaposlene.  </w:t>
      </w:r>
    </w:p>
    <w:p w14:paraId="6D32E2AF" w14:textId="77777777" w:rsidR="004569F7" w:rsidRPr="004569F7" w:rsidRDefault="004569F7" w:rsidP="004569F7">
      <w:pPr>
        <w:rPr>
          <w:rFonts w:cs="Segoe UI"/>
          <w:szCs w:val="22"/>
          <w:lang w:val="sl-SI"/>
        </w:rPr>
      </w:pPr>
    </w:p>
    <w:p w14:paraId="542F3967" w14:textId="258A2FF6" w:rsidR="004569F7" w:rsidRPr="004569F7" w:rsidRDefault="004569F7" w:rsidP="004569F7">
      <w:pPr>
        <w:rPr>
          <w:rFonts w:cs="Segoe UI"/>
          <w:b/>
          <w:bCs/>
          <w:szCs w:val="22"/>
          <w:lang w:val="sl-SI"/>
        </w:rPr>
      </w:pPr>
      <w:r w:rsidRPr="004569F7">
        <w:rPr>
          <w:rFonts w:cs="Segoe UI"/>
          <w:b/>
          <w:bCs/>
          <w:szCs w:val="22"/>
          <w:lang w:val="sl-SI"/>
        </w:rPr>
        <w:t xml:space="preserve">Jasno določene vodstvene strukture za novo poslovno enoto Consumer Brands (Potrošniške </w:t>
      </w:r>
      <w:r>
        <w:rPr>
          <w:rFonts w:cs="Segoe UI"/>
          <w:b/>
          <w:bCs/>
          <w:szCs w:val="22"/>
          <w:lang w:val="sl-SI"/>
        </w:rPr>
        <w:t>tržne</w:t>
      </w:r>
      <w:r w:rsidRPr="004569F7">
        <w:rPr>
          <w:rFonts w:cs="Segoe UI"/>
          <w:b/>
          <w:bCs/>
          <w:szCs w:val="22"/>
          <w:lang w:val="sl-SI"/>
        </w:rPr>
        <w:t xml:space="preserve"> znamke)</w:t>
      </w:r>
    </w:p>
    <w:p w14:paraId="32B9F890" w14:textId="77777777" w:rsidR="004569F7" w:rsidRPr="004569F7" w:rsidRDefault="004569F7" w:rsidP="004569F7">
      <w:pPr>
        <w:rPr>
          <w:rFonts w:cs="Segoe UI"/>
          <w:szCs w:val="22"/>
          <w:lang w:val="sl-SI"/>
        </w:rPr>
      </w:pPr>
    </w:p>
    <w:p w14:paraId="2381857B" w14:textId="77777777" w:rsidR="004569F7" w:rsidRPr="004569F7" w:rsidRDefault="004569F7" w:rsidP="004569F7">
      <w:pPr>
        <w:rPr>
          <w:rFonts w:cs="Segoe UI"/>
          <w:szCs w:val="22"/>
          <w:lang w:val="sl-SI"/>
        </w:rPr>
      </w:pPr>
      <w:r w:rsidRPr="004569F7">
        <w:rPr>
          <w:rFonts w:cs="Segoe UI"/>
          <w:szCs w:val="22"/>
          <w:lang w:val="sl-SI"/>
        </w:rPr>
        <w:t xml:space="preserve">Postopek integracije in novo združeno enoto bo vodil Wolfgang König (49), trenutni izvršni podpredsednik poslovnega programa Beauty Care. Bruno Piacenza (56), ki od leta 2011 kot izvršni podpredsednik vodi Henklov poslovni program Laundry &amp; Home Care (Pralna sredstva in čistila), ostaja na vodstvenem položaju poslovnega programa Laundry &amp; Home Care (Pralna </w:t>
      </w:r>
      <w:r w:rsidRPr="004569F7">
        <w:rPr>
          <w:rFonts w:cs="Segoe UI"/>
          <w:szCs w:val="22"/>
          <w:lang w:val="sl-SI"/>
        </w:rPr>
        <w:lastRenderedPageBreak/>
        <w:t xml:space="preserve">sredstva in čistila), obenem pa bo tesno sodeloval z Wolfgangom Königom pri procesu tranzicije ter ostal pri Henklu najpozneje do konca leta 2022. </w:t>
      </w:r>
    </w:p>
    <w:p w14:paraId="3AEA7901" w14:textId="77777777" w:rsidR="004569F7" w:rsidRPr="004569F7" w:rsidRDefault="004569F7" w:rsidP="004569F7">
      <w:pPr>
        <w:rPr>
          <w:rFonts w:cs="Segoe UI"/>
          <w:szCs w:val="22"/>
          <w:lang w:val="sl-SI"/>
        </w:rPr>
      </w:pPr>
    </w:p>
    <w:p w14:paraId="5030F37A" w14:textId="6572951E" w:rsidR="004569F7" w:rsidRPr="004569F7" w:rsidRDefault="004569F7" w:rsidP="004569F7">
      <w:pPr>
        <w:rPr>
          <w:rFonts w:cs="Segoe UI"/>
          <w:szCs w:val="22"/>
          <w:lang w:val="sl-SI"/>
        </w:rPr>
      </w:pPr>
      <w:r w:rsidRPr="004569F7">
        <w:rPr>
          <w:rFonts w:cs="Segoe UI"/>
          <w:szCs w:val="22"/>
          <w:lang w:val="sl-SI"/>
        </w:rPr>
        <w:t xml:space="preserve">»V imenu odbora delničarjev in nadzornega sveta podjetja Henkel želim Wolfgangu Königu vse najboljše na njegovem novem položaju. Njegove izkušnje iz mednarodnega menedžmenta in vodenja na področju potrošniškega blaga ter industrije čistil in izdelkov za osebno nego bodo zelo dragocene pri oblikovanju ter uspešnem razvijanju naše nove poslovne enote Consumer Brands (Potrošniške </w:t>
      </w:r>
      <w:r>
        <w:rPr>
          <w:rFonts w:cs="Segoe UI"/>
          <w:szCs w:val="22"/>
          <w:lang w:val="sl-SI"/>
        </w:rPr>
        <w:t>tržne</w:t>
      </w:r>
      <w:r w:rsidRPr="004569F7">
        <w:rPr>
          <w:rFonts w:cs="Segoe UI"/>
          <w:szCs w:val="22"/>
          <w:lang w:val="sl-SI"/>
        </w:rPr>
        <w:t xml:space="preserve"> znamke) – v sodelovanju z novim vodstvenim timom,« je povedala dr. Simone Bagel-Trah, predsednica nadzornega sveta in odbora delničarjev podjetja Henkel.   </w:t>
      </w:r>
    </w:p>
    <w:p w14:paraId="00F9808B" w14:textId="0DE8236E" w:rsidR="004569F7" w:rsidRPr="004569F7" w:rsidRDefault="004569F7" w:rsidP="004569F7">
      <w:pPr>
        <w:rPr>
          <w:rFonts w:cs="Segoe UI"/>
          <w:szCs w:val="22"/>
          <w:lang w:val="sl-SI"/>
        </w:rPr>
      </w:pPr>
      <w:r w:rsidRPr="004569F7">
        <w:rPr>
          <w:rFonts w:cs="Segoe UI"/>
          <w:szCs w:val="22"/>
          <w:lang w:val="sl-SI"/>
        </w:rPr>
        <w:t xml:space="preserve">»Poleg tega bi se želela iskreno zahvaliti gospodu Brunu Piacenzi. Že več kot 30 let je del podjetja Henkel in več kot 11 let je kot izvršni podpredsednik vodil našo poslovno enoto Laundry &amp; Home Care (Pralna sredstva in čistila). Zahvaljujoč njegovi strasti in strokovnemu znanju so se v tem obdobju naše najboljše </w:t>
      </w:r>
      <w:r w:rsidR="00994843">
        <w:rPr>
          <w:rFonts w:cs="Segoe UI"/>
          <w:szCs w:val="22"/>
          <w:lang w:val="sl-SI"/>
        </w:rPr>
        <w:t>tržne</w:t>
      </w:r>
      <w:r w:rsidRPr="004569F7">
        <w:rPr>
          <w:rFonts w:cs="Segoe UI"/>
          <w:szCs w:val="22"/>
          <w:lang w:val="sl-SI"/>
        </w:rPr>
        <w:t xml:space="preserve"> znamke in poslovni segmenti uspešno oblikovali. Zelo smo hvaležni za njegovo predanost ter doprinos in veseli smo, da bo sodeloval z Wolfgangom Königom pri zagotovitvi uspešnega procesa tranzicije.«</w:t>
      </w:r>
    </w:p>
    <w:p w14:paraId="7EC4F337" w14:textId="77777777" w:rsidR="004569F7" w:rsidRPr="004569F7" w:rsidRDefault="004569F7" w:rsidP="004569F7">
      <w:pPr>
        <w:rPr>
          <w:rFonts w:cs="Segoe UI"/>
          <w:szCs w:val="22"/>
          <w:lang w:val="sl-SI"/>
        </w:rPr>
      </w:pPr>
    </w:p>
    <w:p w14:paraId="64B370F4" w14:textId="77777777" w:rsidR="004569F7" w:rsidRPr="004569F7" w:rsidRDefault="004569F7" w:rsidP="004569F7">
      <w:pPr>
        <w:rPr>
          <w:rFonts w:cs="Segoe UI"/>
          <w:szCs w:val="22"/>
          <w:lang w:val="sl-SI"/>
        </w:rPr>
      </w:pPr>
      <w:r w:rsidRPr="004569F7">
        <w:rPr>
          <w:rFonts w:cs="Segoe UI"/>
          <w:szCs w:val="22"/>
          <w:lang w:val="sl-SI"/>
        </w:rPr>
        <w:t xml:space="preserve">»Pod vodstvom Wolfganga Königa se bo združeni tim osredotočal na izboljšanje celotne poslovne enote Consumer Brands (Potrošniške blagovne znamke) s poenostavljeno strukturo in hitrejšim odločanjem. Poleg tega bi se rad osebno zahvalil Brunu Piacenzi za njegove številne dosežke v več kot treh desetletjih dela pri Henklu,« je dodal predsednik upravnega odbora družbe Henkel Carsten Knobel. </w:t>
      </w:r>
    </w:p>
    <w:p w14:paraId="53011C47" w14:textId="77777777" w:rsidR="004569F7" w:rsidRPr="00994843" w:rsidRDefault="004569F7" w:rsidP="004569F7">
      <w:pPr>
        <w:rPr>
          <w:rFonts w:cs="Segoe UI"/>
          <w:b/>
          <w:bCs/>
          <w:szCs w:val="22"/>
          <w:lang w:val="sl-SI"/>
        </w:rPr>
      </w:pPr>
    </w:p>
    <w:p w14:paraId="6CA6AF40" w14:textId="77777777" w:rsidR="004569F7" w:rsidRPr="00994843" w:rsidRDefault="004569F7" w:rsidP="004569F7">
      <w:pPr>
        <w:rPr>
          <w:rFonts w:cs="Segoe UI"/>
          <w:b/>
          <w:bCs/>
          <w:szCs w:val="22"/>
          <w:lang w:val="sl-SI"/>
        </w:rPr>
      </w:pPr>
      <w:r w:rsidRPr="00994843">
        <w:rPr>
          <w:rFonts w:cs="Segoe UI"/>
          <w:b/>
          <w:bCs/>
          <w:szCs w:val="22"/>
          <w:lang w:val="sl-SI"/>
        </w:rPr>
        <w:t>Program za odkup delnic z obsegom do 1 milijarde evrov</w:t>
      </w:r>
    </w:p>
    <w:p w14:paraId="519E13D3" w14:textId="77777777" w:rsidR="004569F7" w:rsidRPr="004569F7" w:rsidRDefault="004569F7" w:rsidP="004569F7">
      <w:pPr>
        <w:rPr>
          <w:rFonts w:cs="Segoe UI"/>
          <w:szCs w:val="22"/>
          <w:lang w:val="sl-SI"/>
        </w:rPr>
      </w:pPr>
    </w:p>
    <w:p w14:paraId="386B5CF2" w14:textId="77777777" w:rsidR="004569F7" w:rsidRPr="004569F7" w:rsidRDefault="004569F7" w:rsidP="004569F7">
      <w:pPr>
        <w:rPr>
          <w:rFonts w:cs="Segoe UI"/>
          <w:szCs w:val="22"/>
          <w:lang w:val="sl-SI"/>
        </w:rPr>
      </w:pPr>
      <w:r w:rsidRPr="004569F7">
        <w:rPr>
          <w:rFonts w:cs="Segoe UI"/>
          <w:szCs w:val="22"/>
          <w:lang w:val="sl-SI"/>
        </w:rPr>
        <w:t xml:space="preserve">Družba Henkel bo začela tudi s programom za odkup delnic s skupnim obsegom do 1 milijarde evrov. Prednostne delnice v skupni vrednosti do 800 milijonov evrov in navadne delnice v skupni vrednosti do 200 milijonov evrov družbe Henkel bodo odkupljene. Na podlagi trenutne vrednosti delnic na borzi to ustreza delnici s približno 3-odstotnim deležem delniškega kapitala družbe. Program naj bi se začel sredi meseca februarja 2022 in bo potekal najpozneje do 31. marca 2023, preko borze pa bo vključena tudi banka. Aprila 2019 so na letni skupščini pooblastili upravni odbor družbe Henkel za pridobitev trezorskih delnic v višini do 10 odstotkov delniškega kapitala. Henkel namerava odkupljene delnice sprva obdržati kot trezorske delnice in si s tem pridržati pravico do razveljavitve delnic in zmanjšanja delniškega kapitala. </w:t>
      </w:r>
    </w:p>
    <w:p w14:paraId="09D97AD9" w14:textId="77777777" w:rsidR="004569F7" w:rsidRPr="004569F7" w:rsidRDefault="004569F7" w:rsidP="004569F7">
      <w:pPr>
        <w:rPr>
          <w:rFonts w:cs="Segoe UI"/>
          <w:szCs w:val="22"/>
          <w:lang w:val="sl-SI"/>
        </w:rPr>
      </w:pPr>
    </w:p>
    <w:p w14:paraId="774A7C85" w14:textId="169138D9" w:rsidR="004569F7" w:rsidRPr="004569F7" w:rsidRDefault="004569F7" w:rsidP="004569F7">
      <w:pPr>
        <w:rPr>
          <w:rFonts w:cs="Segoe UI"/>
          <w:szCs w:val="22"/>
          <w:lang w:val="sl-SI"/>
        </w:rPr>
      </w:pPr>
      <w:r w:rsidRPr="004569F7">
        <w:rPr>
          <w:rFonts w:cs="Segoe UI"/>
          <w:szCs w:val="22"/>
          <w:lang w:val="sl-SI"/>
        </w:rPr>
        <w:t xml:space="preserve">»S tem programom ustvarjamo vrednost za naše delničarje ter krepimo zaupanje v našo finančno moč in prihodnje možnosti naših poslovnih programov. Glede na našo močno bilanco stanja in nizko raven dolga kot tudi močno ustvarjanje denarnega toka to ne bo vplivalo na našo zmožnost opravljanja strateških prevzemov – v obeh poslovnih enotah, tako Consumer </w:t>
      </w:r>
      <w:r w:rsidRPr="004569F7">
        <w:rPr>
          <w:rFonts w:cs="Segoe UI"/>
          <w:szCs w:val="22"/>
          <w:lang w:val="sl-SI"/>
        </w:rPr>
        <w:lastRenderedPageBreak/>
        <w:t xml:space="preserve">Brands (Potrošniške </w:t>
      </w:r>
      <w:r w:rsidR="00994843">
        <w:rPr>
          <w:rFonts w:cs="Segoe UI"/>
          <w:szCs w:val="22"/>
          <w:lang w:val="sl-SI"/>
        </w:rPr>
        <w:t>tržne</w:t>
      </w:r>
      <w:r w:rsidRPr="004569F7">
        <w:rPr>
          <w:rFonts w:cs="Segoe UI"/>
          <w:szCs w:val="22"/>
          <w:lang w:val="sl-SI"/>
        </w:rPr>
        <w:t xml:space="preserve"> znamke) kot tudi Adhesive Technologies (Lepila in tehnologije),« je povedal predsednik upravnega odbora družbe Henkel Carsten Knobel.</w:t>
      </w:r>
    </w:p>
    <w:p w14:paraId="7F97E22A" w14:textId="77777777" w:rsidR="004569F7" w:rsidRPr="004569F7" w:rsidRDefault="004569F7" w:rsidP="004569F7">
      <w:pPr>
        <w:rPr>
          <w:rFonts w:cs="Segoe UI"/>
          <w:szCs w:val="22"/>
          <w:lang w:val="sl-SI"/>
        </w:rPr>
      </w:pPr>
    </w:p>
    <w:p w14:paraId="00CC5C2C" w14:textId="77777777" w:rsidR="004569F7" w:rsidRPr="00994843" w:rsidRDefault="004569F7" w:rsidP="004569F7">
      <w:pPr>
        <w:rPr>
          <w:rFonts w:cs="Segoe UI"/>
          <w:b/>
          <w:bCs/>
          <w:szCs w:val="22"/>
          <w:lang w:val="sl-SI"/>
        </w:rPr>
      </w:pPr>
      <w:r w:rsidRPr="00994843">
        <w:rPr>
          <w:rFonts w:cs="Segoe UI"/>
          <w:b/>
          <w:bCs/>
          <w:szCs w:val="22"/>
          <w:lang w:val="sl-SI"/>
        </w:rPr>
        <w:t>Henkel je objavil predhodne podatke za leto 2021</w:t>
      </w:r>
    </w:p>
    <w:p w14:paraId="3AF8C1A7" w14:textId="77777777" w:rsidR="004569F7" w:rsidRPr="004569F7" w:rsidRDefault="004569F7" w:rsidP="004569F7">
      <w:pPr>
        <w:rPr>
          <w:rFonts w:cs="Segoe UI"/>
          <w:szCs w:val="22"/>
          <w:lang w:val="sl-SI"/>
        </w:rPr>
      </w:pPr>
    </w:p>
    <w:p w14:paraId="7429E9F3" w14:textId="77777777" w:rsidR="004569F7" w:rsidRPr="004569F7" w:rsidRDefault="004569F7" w:rsidP="004569F7">
      <w:pPr>
        <w:rPr>
          <w:rFonts w:cs="Segoe UI"/>
          <w:szCs w:val="22"/>
          <w:lang w:val="sl-SI"/>
        </w:rPr>
      </w:pPr>
      <w:r w:rsidRPr="004569F7">
        <w:rPr>
          <w:rFonts w:cs="Segoe UI"/>
          <w:szCs w:val="22"/>
          <w:lang w:val="sl-SI"/>
        </w:rPr>
        <w:t xml:space="preserve">Glede na predhodne podatke je </w:t>
      </w:r>
      <w:r w:rsidRPr="00994843">
        <w:rPr>
          <w:rFonts w:cs="Segoe UI"/>
          <w:szCs w:val="22"/>
          <w:lang w:val="sl-SI"/>
        </w:rPr>
        <w:t>Henkel</w:t>
      </w:r>
      <w:r w:rsidRPr="00994843">
        <w:rPr>
          <w:rFonts w:cs="Segoe UI"/>
          <w:b/>
          <w:bCs/>
          <w:szCs w:val="22"/>
          <w:lang w:val="sl-SI"/>
        </w:rPr>
        <w:t xml:space="preserve"> </w:t>
      </w:r>
      <w:r w:rsidRPr="004569F7">
        <w:rPr>
          <w:rFonts w:cs="Segoe UI"/>
          <w:szCs w:val="22"/>
          <w:lang w:val="sl-SI"/>
        </w:rPr>
        <w:t xml:space="preserve">na splošno v poslovnem letu 2021 dosegel dobre rezultate. Za ta razvoj je zaslužna predvsem dvomestna vrednost rasti poslovne enote </w:t>
      </w:r>
      <w:r w:rsidRPr="00994843">
        <w:rPr>
          <w:rFonts w:cs="Segoe UI"/>
          <w:szCs w:val="22"/>
          <w:lang w:val="sl-SI"/>
        </w:rPr>
        <w:t xml:space="preserve">Adhesive Technologies (Lepila in tehnologije), </w:t>
      </w:r>
      <w:r w:rsidRPr="004569F7">
        <w:rPr>
          <w:rFonts w:cs="Segoe UI"/>
          <w:szCs w:val="22"/>
          <w:lang w:val="sl-SI"/>
        </w:rPr>
        <w:t xml:space="preserve">medtem ko je pandemija covida-19 še naprej vplivala na dobičkonosnost, še posebej zaradi močnega povišanja cen surovin in okrnjenih dobavnih verig.  </w:t>
      </w:r>
    </w:p>
    <w:p w14:paraId="0701031F" w14:textId="77777777" w:rsidR="004569F7" w:rsidRPr="004569F7" w:rsidRDefault="004569F7" w:rsidP="004569F7">
      <w:pPr>
        <w:rPr>
          <w:rFonts w:cs="Segoe UI"/>
          <w:szCs w:val="22"/>
          <w:lang w:val="sl-SI"/>
        </w:rPr>
      </w:pPr>
      <w:r w:rsidRPr="004569F7">
        <w:rPr>
          <w:rFonts w:cs="Segoe UI"/>
          <w:szCs w:val="22"/>
          <w:lang w:val="sl-SI"/>
        </w:rPr>
        <w:t xml:space="preserve">Na osnovi predhodnih podatkov se je </w:t>
      </w:r>
      <w:r w:rsidRPr="00994843">
        <w:rPr>
          <w:rFonts w:cs="Segoe UI"/>
          <w:b/>
          <w:bCs/>
          <w:szCs w:val="22"/>
          <w:lang w:val="sl-SI"/>
        </w:rPr>
        <w:t>prodaja na ravni celotne družbe Henkel</w:t>
      </w:r>
      <w:r w:rsidRPr="004569F7">
        <w:rPr>
          <w:rFonts w:cs="Segoe UI"/>
          <w:szCs w:val="22"/>
          <w:lang w:val="sl-SI"/>
        </w:rPr>
        <w:t xml:space="preserve"> v poslovnem letu 2021 zvišala na 20,066 milijarde evrov. Organska rast prodaje je znašala 7,8 odstotka. </w:t>
      </w:r>
      <w:r w:rsidRPr="00994843">
        <w:rPr>
          <w:rFonts w:cs="Segoe UI"/>
          <w:b/>
          <w:bCs/>
          <w:szCs w:val="22"/>
          <w:lang w:val="sl-SI"/>
        </w:rPr>
        <w:t>Poslovna enota Adhesive Technologies (Lepila in tehnologije)</w:t>
      </w:r>
      <w:r w:rsidRPr="004569F7">
        <w:rPr>
          <w:rFonts w:cs="Segoe UI"/>
          <w:szCs w:val="22"/>
          <w:lang w:val="sl-SI"/>
        </w:rPr>
        <w:t xml:space="preserve"> je zabeležila prodajo v višini 9,641 milijarde evrov, kar predstavlja dvomestno vrednost organske rasti v višini 13,4 odstotka. </w:t>
      </w:r>
      <w:r w:rsidRPr="00994843">
        <w:rPr>
          <w:rFonts w:cs="Segoe UI"/>
          <w:b/>
          <w:bCs/>
          <w:szCs w:val="22"/>
          <w:lang w:val="sl-SI"/>
        </w:rPr>
        <w:t>Poslovna enota Beauty Care</w:t>
      </w:r>
      <w:r w:rsidRPr="004569F7">
        <w:rPr>
          <w:rFonts w:cs="Segoe UI"/>
          <w:szCs w:val="22"/>
          <w:lang w:val="sl-SI"/>
        </w:rPr>
        <w:t xml:space="preserve"> je zabeležila prodajo v višini 3,678 milijarde evrov in 1,4-odstotno organsko rast. </w:t>
      </w:r>
      <w:r w:rsidRPr="00994843">
        <w:rPr>
          <w:rFonts w:cs="Segoe UI"/>
          <w:b/>
          <w:bCs/>
          <w:szCs w:val="22"/>
          <w:lang w:val="sl-SI"/>
        </w:rPr>
        <w:t>Prodaja poslovne enote Laundry &amp; Home Care (Pralna sredstva in čistila)</w:t>
      </w:r>
      <w:r w:rsidRPr="004569F7">
        <w:rPr>
          <w:rFonts w:cs="Segoe UI"/>
          <w:szCs w:val="22"/>
          <w:lang w:val="sl-SI"/>
        </w:rPr>
        <w:t xml:space="preserve"> se je zvišala na 6,605 milijarde evrov, kar predstavlja 3,9-odstotno organsko rast. </w:t>
      </w:r>
      <w:r w:rsidRPr="00994843">
        <w:rPr>
          <w:rFonts w:cs="Segoe UI"/>
          <w:b/>
          <w:bCs/>
          <w:szCs w:val="22"/>
          <w:lang w:val="sl-SI"/>
        </w:rPr>
        <w:t xml:space="preserve">Prilagojena marža iz poslovanja (EBIT) </w:t>
      </w:r>
      <w:r w:rsidRPr="004569F7">
        <w:rPr>
          <w:rFonts w:cs="Segoe UI"/>
          <w:szCs w:val="22"/>
          <w:lang w:val="sl-SI"/>
        </w:rPr>
        <w:t xml:space="preserve">družbe Henkel je znašala 13,4 odstotka. Poslovna enota Adhesive Technologies (Lepila in tehnologije) je dosegla prilagojeno maržo iz poslovanja v višini 16,2 odstotka. Prilagojena marža iz poslovanja poslovne enote Beauty Care je znašala 9,5 odstotka, medtem ko je poslovna enota Laundry &amp; Home Care (Pralna sredstva in čistila) dosegla prilagojeno maržo iz poslovanja v višini 13,7 odstotka. </w:t>
      </w:r>
      <w:r w:rsidRPr="00994843">
        <w:rPr>
          <w:rFonts w:cs="Segoe UI"/>
          <w:b/>
          <w:bCs/>
          <w:szCs w:val="22"/>
          <w:lang w:val="sl-SI"/>
        </w:rPr>
        <w:t>Prilagojeni dobiček na prednostno delnico (EPS) na ravni celotne družbe Henkel</w:t>
      </w:r>
      <w:r w:rsidRPr="004569F7">
        <w:rPr>
          <w:rFonts w:cs="Segoe UI"/>
          <w:szCs w:val="22"/>
          <w:lang w:val="sl-SI"/>
        </w:rPr>
        <w:t xml:space="preserve"> se je povišal na 4,56 evra oziroma +9,2 odstotka (pri stalnih menjalnih tečajih). Vse številke temeljijo na predhodnih podatkih. </w:t>
      </w:r>
    </w:p>
    <w:p w14:paraId="4CE168D8" w14:textId="77777777" w:rsidR="004569F7" w:rsidRPr="004569F7" w:rsidRDefault="004569F7" w:rsidP="004569F7">
      <w:pPr>
        <w:rPr>
          <w:rFonts w:cs="Segoe UI"/>
          <w:szCs w:val="22"/>
          <w:lang w:val="sl-SI"/>
        </w:rPr>
      </w:pPr>
    </w:p>
    <w:p w14:paraId="7E80033A" w14:textId="77777777" w:rsidR="004569F7" w:rsidRPr="004569F7" w:rsidRDefault="004569F7" w:rsidP="004569F7">
      <w:pPr>
        <w:rPr>
          <w:rFonts w:cs="Segoe UI"/>
          <w:szCs w:val="22"/>
          <w:lang w:val="sl-SI"/>
        </w:rPr>
      </w:pPr>
      <w:r w:rsidRPr="004569F7">
        <w:rPr>
          <w:rFonts w:cs="Segoe UI"/>
          <w:szCs w:val="22"/>
          <w:lang w:val="sl-SI"/>
        </w:rPr>
        <w:t xml:space="preserve">»Kljub zelo težavnemu poslovnemu okolju z močnimi motnjami v globalnih dobavnih verigah, pomanjkanju surovin in bliskoviti rasti cen smo na splošno dosegli dobre rezultate s pomembno organsko rastjo, h kateri so doprinesle vse poslovne enote, stabilno maržo in zelo močno povečanje dobička na delnico. To je dosežek našega globalnega tima, ki se je ponovno zelo trudil, da bi obdržal naše poslovanje na zeleni veji ter zagotovil storitve našim strankam in potrošnikom po vsem svetu,« je pojasnil Carsten Knobel. </w:t>
      </w:r>
    </w:p>
    <w:p w14:paraId="1008C355" w14:textId="77777777" w:rsidR="004569F7" w:rsidRPr="004569F7" w:rsidRDefault="004569F7" w:rsidP="004569F7">
      <w:pPr>
        <w:rPr>
          <w:rFonts w:cs="Segoe UI"/>
          <w:szCs w:val="22"/>
          <w:lang w:val="sl-SI"/>
        </w:rPr>
      </w:pPr>
    </w:p>
    <w:p w14:paraId="3B3A3FB6" w14:textId="77777777" w:rsidR="004569F7" w:rsidRPr="00994843" w:rsidRDefault="004569F7" w:rsidP="004569F7">
      <w:pPr>
        <w:rPr>
          <w:rFonts w:cs="Segoe UI"/>
          <w:b/>
          <w:bCs/>
          <w:szCs w:val="22"/>
          <w:lang w:val="sl-SI"/>
        </w:rPr>
      </w:pPr>
      <w:r w:rsidRPr="00994843">
        <w:rPr>
          <w:rFonts w:cs="Segoe UI"/>
          <w:b/>
          <w:bCs/>
          <w:szCs w:val="22"/>
          <w:lang w:val="sl-SI"/>
        </w:rPr>
        <w:t>Napovedi za poslovno leto 2022</w:t>
      </w:r>
    </w:p>
    <w:p w14:paraId="44AB0CEC" w14:textId="77777777" w:rsidR="004569F7" w:rsidRPr="004569F7" w:rsidRDefault="004569F7" w:rsidP="004569F7">
      <w:pPr>
        <w:rPr>
          <w:rFonts w:cs="Segoe UI"/>
          <w:szCs w:val="22"/>
          <w:lang w:val="sl-SI"/>
        </w:rPr>
      </w:pPr>
    </w:p>
    <w:p w14:paraId="711B9179" w14:textId="77777777" w:rsidR="004569F7" w:rsidRPr="004569F7" w:rsidRDefault="004569F7" w:rsidP="004569F7">
      <w:pPr>
        <w:rPr>
          <w:rFonts w:cs="Segoe UI"/>
          <w:szCs w:val="22"/>
          <w:lang w:val="sl-SI"/>
        </w:rPr>
      </w:pPr>
      <w:r w:rsidRPr="004569F7">
        <w:rPr>
          <w:rFonts w:cs="Segoe UI"/>
          <w:szCs w:val="22"/>
          <w:lang w:val="sl-SI"/>
        </w:rPr>
        <w:t xml:space="preserve">Ob upoštevanju trenutne ocene tržnega okolja, zlasti težke situacije na trgih surovin in v dobavni verigi ter s tem povezanim velikim povečanjem neposrednih stroškov je Henkel predstavil </w:t>
      </w:r>
      <w:r w:rsidRPr="00994843">
        <w:rPr>
          <w:rFonts w:cs="Segoe UI"/>
          <w:b/>
          <w:bCs/>
          <w:szCs w:val="22"/>
          <w:lang w:val="sl-SI"/>
        </w:rPr>
        <w:t>napovedi za poslovno leto 2022</w:t>
      </w:r>
      <w:r w:rsidRPr="004569F7">
        <w:rPr>
          <w:rFonts w:cs="Segoe UI"/>
          <w:szCs w:val="22"/>
          <w:lang w:val="sl-SI"/>
        </w:rPr>
        <w:t xml:space="preserve"> (na podlagi trenutne ureditve s tremi poslovnimi enotami). </w:t>
      </w:r>
    </w:p>
    <w:p w14:paraId="49A8C3B2" w14:textId="77777777" w:rsidR="004569F7" w:rsidRPr="004569F7" w:rsidRDefault="004569F7" w:rsidP="004569F7">
      <w:pPr>
        <w:rPr>
          <w:rFonts w:cs="Segoe UI"/>
          <w:szCs w:val="22"/>
          <w:lang w:val="sl-SI"/>
        </w:rPr>
      </w:pPr>
    </w:p>
    <w:p w14:paraId="6A685D80" w14:textId="77777777" w:rsidR="004569F7" w:rsidRPr="004569F7" w:rsidRDefault="004569F7" w:rsidP="004569F7">
      <w:pPr>
        <w:rPr>
          <w:rFonts w:cs="Segoe UI"/>
          <w:szCs w:val="22"/>
          <w:lang w:val="sl-SI"/>
        </w:rPr>
      </w:pPr>
      <w:r w:rsidRPr="00994843">
        <w:rPr>
          <w:rFonts w:cs="Segoe UI"/>
          <w:b/>
          <w:bCs/>
          <w:szCs w:val="22"/>
          <w:lang w:val="sl-SI"/>
        </w:rPr>
        <w:lastRenderedPageBreak/>
        <w:t>Henkel</w:t>
      </w:r>
      <w:r w:rsidRPr="004569F7">
        <w:rPr>
          <w:rFonts w:cs="Segoe UI"/>
          <w:szCs w:val="22"/>
          <w:lang w:val="sl-SI"/>
        </w:rPr>
        <w:t xml:space="preserve"> v letu 2022 pričakuje od 2- do 4-odstotno organsko rast prodaje na ravni celotne družbe. Za poslovno enoto </w:t>
      </w:r>
      <w:r w:rsidRPr="00994843">
        <w:rPr>
          <w:rFonts w:cs="Segoe UI"/>
          <w:b/>
          <w:bCs/>
          <w:szCs w:val="22"/>
          <w:lang w:val="sl-SI"/>
        </w:rPr>
        <w:t>Adhesive Technologies (Lepila in tehnologije)</w:t>
      </w:r>
      <w:r w:rsidRPr="004569F7">
        <w:rPr>
          <w:rFonts w:cs="Segoe UI"/>
          <w:szCs w:val="22"/>
          <w:lang w:val="sl-SI"/>
        </w:rPr>
        <w:t xml:space="preserve"> pričakuje organsko rast prodaje od 5 do 7 odstotkov, za poslovno enoto </w:t>
      </w:r>
      <w:r w:rsidRPr="00994843">
        <w:rPr>
          <w:rFonts w:cs="Segoe UI"/>
          <w:b/>
          <w:bCs/>
          <w:szCs w:val="22"/>
          <w:lang w:val="sl-SI"/>
        </w:rPr>
        <w:t>Beauty Care</w:t>
      </w:r>
      <w:r w:rsidRPr="004569F7">
        <w:rPr>
          <w:rFonts w:cs="Segoe UI"/>
          <w:szCs w:val="22"/>
          <w:lang w:val="sl-SI"/>
        </w:rPr>
        <w:t xml:space="preserve"> pa negativni razvoj organske prodaje v višini od –5 do –3 odstotke. Negativni razvoj je predvsem posledica že sprejetih ukrepov, ki se izvajajo za namen izboljšanja portfolia, vključno s prekinitvijo dejavnosti, ki ne bodo del prihodnjega glavnega poslovnega področja in ki znašajo približno 5 odstotkov prodaje v letu 2021. Za poslovno enoto </w:t>
      </w:r>
      <w:r w:rsidRPr="00994843">
        <w:rPr>
          <w:rFonts w:cs="Segoe UI"/>
          <w:b/>
          <w:bCs/>
          <w:szCs w:val="22"/>
          <w:lang w:val="sl-SI"/>
        </w:rPr>
        <w:t>Laundry &amp; Home Care (Pralna sredstva in čistila)</w:t>
      </w:r>
      <w:r w:rsidRPr="004569F7">
        <w:rPr>
          <w:rFonts w:cs="Segoe UI"/>
          <w:szCs w:val="22"/>
          <w:lang w:val="sl-SI"/>
        </w:rPr>
        <w:t xml:space="preserve"> Henkel pričakuje organsko rast v višini od 2 do 4 odstotke.</w:t>
      </w:r>
    </w:p>
    <w:p w14:paraId="40D7EF89" w14:textId="77777777" w:rsidR="004569F7" w:rsidRPr="004569F7" w:rsidRDefault="004569F7" w:rsidP="004569F7">
      <w:pPr>
        <w:rPr>
          <w:rFonts w:cs="Segoe UI"/>
          <w:szCs w:val="22"/>
          <w:lang w:val="sl-SI"/>
        </w:rPr>
      </w:pPr>
      <w:r w:rsidRPr="004569F7">
        <w:rPr>
          <w:rFonts w:cs="Segoe UI"/>
          <w:szCs w:val="22"/>
          <w:lang w:val="sl-SI"/>
        </w:rPr>
        <w:t xml:space="preserve"> </w:t>
      </w:r>
    </w:p>
    <w:p w14:paraId="370D3429" w14:textId="77777777" w:rsidR="004569F7" w:rsidRPr="004569F7" w:rsidRDefault="004569F7" w:rsidP="004569F7">
      <w:pPr>
        <w:rPr>
          <w:rFonts w:cs="Segoe UI"/>
          <w:szCs w:val="22"/>
          <w:lang w:val="sl-SI"/>
        </w:rPr>
      </w:pPr>
      <w:r w:rsidRPr="004569F7">
        <w:rPr>
          <w:rFonts w:cs="Segoe UI"/>
          <w:szCs w:val="22"/>
          <w:lang w:val="sl-SI"/>
        </w:rPr>
        <w:t xml:space="preserve">Na ravni celotne družbe Henkel pričakuje </w:t>
      </w:r>
      <w:r w:rsidRPr="00315DD9">
        <w:rPr>
          <w:rFonts w:cs="Segoe UI"/>
          <w:b/>
          <w:bCs/>
          <w:szCs w:val="22"/>
          <w:lang w:val="sl-SI"/>
        </w:rPr>
        <w:t>prilagojeno maržo iz poslovanja (EBIT)</w:t>
      </w:r>
      <w:r w:rsidRPr="004569F7">
        <w:rPr>
          <w:rFonts w:cs="Segoe UI"/>
          <w:szCs w:val="22"/>
          <w:lang w:val="sl-SI"/>
        </w:rPr>
        <w:t xml:space="preserve"> v višini med 11,5  in 13,5 odstotka. Za poslovno enoto </w:t>
      </w:r>
      <w:r w:rsidRPr="00315DD9">
        <w:rPr>
          <w:rFonts w:cs="Segoe UI"/>
          <w:b/>
          <w:bCs/>
          <w:szCs w:val="22"/>
          <w:lang w:val="sl-SI"/>
        </w:rPr>
        <w:t>Adhesive Technologies (Lepila in tehnologije)</w:t>
      </w:r>
      <w:r w:rsidRPr="004569F7">
        <w:rPr>
          <w:rFonts w:cs="Segoe UI"/>
          <w:szCs w:val="22"/>
          <w:lang w:val="sl-SI"/>
        </w:rPr>
        <w:t xml:space="preserve"> se pričakuje prilagojena marža iz poslovanja med 15 in 17 odstotkov, za poslovno enoto </w:t>
      </w:r>
      <w:r w:rsidRPr="00315DD9">
        <w:rPr>
          <w:rFonts w:cs="Segoe UI"/>
          <w:b/>
          <w:bCs/>
          <w:szCs w:val="22"/>
          <w:lang w:val="sl-SI"/>
        </w:rPr>
        <w:t>Beauty Care</w:t>
      </w:r>
      <w:r w:rsidRPr="004569F7">
        <w:rPr>
          <w:rFonts w:cs="Segoe UI"/>
          <w:szCs w:val="22"/>
          <w:lang w:val="sl-SI"/>
        </w:rPr>
        <w:t xml:space="preserve"> med 7,5 in 10 odstotkov, za poslovno enoto </w:t>
      </w:r>
      <w:r w:rsidRPr="00315DD9">
        <w:rPr>
          <w:rFonts w:cs="Segoe UI"/>
          <w:b/>
          <w:bCs/>
          <w:szCs w:val="22"/>
          <w:lang w:val="sl-SI"/>
        </w:rPr>
        <w:t>Laundry &amp; Home Care (Pralna sredstva in čistila)</w:t>
      </w:r>
      <w:r w:rsidRPr="004569F7">
        <w:rPr>
          <w:rFonts w:cs="Segoe UI"/>
          <w:szCs w:val="22"/>
          <w:lang w:val="sl-SI"/>
        </w:rPr>
        <w:t xml:space="preserve"> pa v višini od 10,5 do 13 odstotkov.</w:t>
      </w:r>
    </w:p>
    <w:p w14:paraId="1096D71F" w14:textId="77777777" w:rsidR="004569F7" w:rsidRPr="004569F7" w:rsidRDefault="004569F7" w:rsidP="004569F7">
      <w:pPr>
        <w:rPr>
          <w:rFonts w:cs="Segoe UI"/>
          <w:szCs w:val="22"/>
          <w:lang w:val="sl-SI"/>
        </w:rPr>
      </w:pPr>
    </w:p>
    <w:p w14:paraId="05C78C05" w14:textId="77777777" w:rsidR="004569F7" w:rsidRPr="004569F7" w:rsidRDefault="004569F7" w:rsidP="004569F7">
      <w:pPr>
        <w:rPr>
          <w:rFonts w:cs="Segoe UI"/>
          <w:szCs w:val="22"/>
          <w:lang w:val="sl-SI"/>
        </w:rPr>
      </w:pPr>
      <w:r w:rsidRPr="004569F7">
        <w:rPr>
          <w:rFonts w:cs="Segoe UI"/>
          <w:szCs w:val="22"/>
          <w:lang w:val="sl-SI"/>
        </w:rPr>
        <w:t xml:space="preserve">Za </w:t>
      </w:r>
      <w:r w:rsidRPr="00315DD9">
        <w:rPr>
          <w:rFonts w:cs="Segoe UI"/>
          <w:b/>
          <w:bCs/>
          <w:szCs w:val="22"/>
          <w:lang w:val="sl-SI"/>
        </w:rPr>
        <w:t xml:space="preserve">prilagojeni dobiček na prednostno delnico (EPS) </w:t>
      </w:r>
      <w:r w:rsidRPr="00315DD9">
        <w:rPr>
          <w:rFonts w:cs="Segoe UI"/>
          <w:szCs w:val="22"/>
          <w:lang w:val="sl-SI"/>
        </w:rPr>
        <w:t>na ravni celotne družbe Henkel</w:t>
      </w:r>
      <w:r w:rsidRPr="004569F7">
        <w:rPr>
          <w:rFonts w:cs="Segoe UI"/>
          <w:szCs w:val="22"/>
          <w:lang w:val="sl-SI"/>
        </w:rPr>
        <w:t xml:space="preserve"> pričakuje razvoj v višini od –15 do +5 odstotkov (pri stalnih menjalnih tečajih), kar temelji na visoki ravni negotovosti in nestabilnosti trga.  </w:t>
      </w:r>
    </w:p>
    <w:p w14:paraId="5353416E" w14:textId="77777777" w:rsidR="004569F7" w:rsidRPr="004569F7" w:rsidRDefault="004569F7" w:rsidP="004569F7">
      <w:pPr>
        <w:rPr>
          <w:rFonts w:cs="Segoe UI"/>
          <w:szCs w:val="22"/>
          <w:lang w:val="sl-SI"/>
        </w:rPr>
      </w:pPr>
    </w:p>
    <w:p w14:paraId="3C01F9D8" w14:textId="77777777" w:rsidR="004569F7" w:rsidRPr="00315DD9" w:rsidRDefault="004569F7" w:rsidP="004569F7">
      <w:pPr>
        <w:rPr>
          <w:rFonts w:cs="Segoe UI"/>
          <w:b/>
          <w:bCs/>
          <w:szCs w:val="22"/>
          <w:lang w:val="sl-SI"/>
        </w:rPr>
      </w:pPr>
      <w:r w:rsidRPr="00315DD9">
        <w:rPr>
          <w:rFonts w:cs="Segoe UI"/>
          <w:b/>
          <w:bCs/>
          <w:szCs w:val="22"/>
          <w:lang w:val="sl-SI"/>
        </w:rPr>
        <w:t xml:space="preserve">Novi srednje- do dolgoročni finančni cilji </w:t>
      </w:r>
    </w:p>
    <w:p w14:paraId="32DAA7FD" w14:textId="77777777" w:rsidR="004569F7" w:rsidRPr="004569F7" w:rsidRDefault="004569F7" w:rsidP="004569F7">
      <w:pPr>
        <w:rPr>
          <w:rFonts w:cs="Segoe UI"/>
          <w:szCs w:val="22"/>
          <w:lang w:val="sl-SI"/>
        </w:rPr>
      </w:pPr>
    </w:p>
    <w:p w14:paraId="096B6A8F" w14:textId="4E4C6F16" w:rsidR="004569F7" w:rsidRPr="004569F7" w:rsidRDefault="004569F7" w:rsidP="004569F7">
      <w:pPr>
        <w:rPr>
          <w:rFonts w:cs="Segoe UI"/>
          <w:szCs w:val="22"/>
          <w:lang w:val="sl-SI"/>
        </w:rPr>
      </w:pPr>
      <w:r w:rsidRPr="004569F7">
        <w:rPr>
          <w:rFonts w:cs="Segoe UI"/>
          <w:szCs w:val="22"/>
          <w:lang w:val="sl-SI"/>
        </w:rPr>
        <w:t xml:space="preserve">Z novo platformo, ki jo sestavlja več kategorij, in skupnim timom za potrošniško blago bo Henkel spodbujal rast ter dobičkonosnost segmenta za potrošniško blago in celotne družbe. V sklopu novih srednje- do dolgoročnih finančnih ciljev namerava Henkel s svojo poslovno enoto </w:t>
      </w:r>
      <w:r w:rsidRPr="00315DD9">
        <w:rPr>
          <w:rFonts w:cs="Segoe UI"/>
          <w:b/>
          <w:bCs/>
          <w:szCs w:val="22"/>
          <w:lang w:val="sl-SI"/>
        </w:rPr>
        <w:t xml:space="preserve">Consumer Brands (Potrošniške </w:t>
      </w:r>
      <w:r w:rsidR="00315DD9">
        <w:rPr>
          <w:rFonts w:cs="Segoe UI"/>
          <w:b/>
          <w:bCs/>
          <w:szCs w:val="22"/>
          <w:lang w:val="sl-SI"/>
        </w:rPr>
        <w:t>tržne</w:t>
      </w:r>
      <w:r w:rsidRPr="00315DD9">
        <w:rPr>
          <w:rFonts w:cs="Segoe UI"/>
          <w:b/>
          <w:bCs/>
          <w:szCs w:val="22"/>
          <w:lang w:val="sl-SI"/>
        </w:rPr>
        <w:t xml:space="preserve"> znamke)</w:t>
      </w:r>
      <w:r w:rsidRPr="004569F7">
        <w:rPr>
          <w:rFonts w:cs="Segoe UI"/>
          <w:szCs w:val="22"/>
          <w:lang w:val="sl-SI"/>
        </w:rPr>
        <w:t xml:space="preserve"> trajnostno izboljšati profil rasti in marže ter doseči 3- do 4-odstotno organsko rast prodaje ter prilagojeno maržo iz poslovanja (EBIT) s srednjo enomestno odstotno vrednostjo. Za poslovno enoto </w:t>
      </w:r>
      <w:r w:rsidRPr="00315DD9">
        <w:rPr>
          <w:rFonts w:cs="Segoe UI"/>
          <w:b/>
          <w:bCs/>
          <w:szCs w:val="22"/>
          <w:lang w:val="sl-SI"/>
        </w:rPr>
        <w:t xml:space="preserve">Adhesive Technologies (Lepila in tehnologije) </w:t>
      </w:r>
      <w:r w:rsidRPr="004569F7">
        <w:rPr>
          <w:rFonts w:cs="Segoe UI"/>
          <w:szCs w:val="22"/>
          <w:lang w:val="sl-SI"/>
        </w:rPr>
        <w:t xml:space="preserve">namerava Henkel doseči organsko rast prodaje v višini 3 do 5 odstotkov in prilagojeno maržo iz poslovanja (EBIT) z visoko enomestno odstotno vrednostjo. </w:t>
      </w:r>
    </w:p>
    <w:p w14:paraId="78E394A9" w14:textId="77777777" w:rsidR="004569F7" w:rsidRPr="004569F7" w:rsidRDefault="004569F7" w:rsidP="004569F7">
      <w:pPr>
        <w:rPr>
          <w:rFonts w:cs="Segoe UI"/>
          <w:szCs w:val="22"/>
          <w:lang w:val="sl-SI"/>
        </w:rPr>
      </w:pPr>
    </w:p>
    <w:p w14:paraId="4DCB17BF" w14:textId="77777777" w:rsidR="004569F7" w:rsidRPr="004569F7" w:rsidRDefault="004569F7" w:rsidP="004569F7">
      <w:pPr>
        <w:rPr>
          <w:rFonts w:cs="Segoe UI"/>
          <w:szCs w:val="22"/>
          <w:lang w:val="sl-SI"/>
        </w:rPr>
      </w:pPr>
      <w:r w:rsidRPr="004569F7">
        <w:rPr>
          <w:rFonts w:cs="Segoe UI"/>
          <w:szCs w:val="22"/>
          <w:lang w:val="sl-SI"/>
        </w:rPr>
        <w:t xml:space="preserve">Na podlagi tega Henkel sledi srednje- do dolgoročnim ciljem na ravni </w:t>
      </w:r>
      <w:r w:rsidRPr="00315DD9">
        <w:rPr>
          <w:rFonts w:cs="Segoe UI"/>
          <w:b/>
          <w:bCs/>
          <w:szCs w:val="22"/>
          <w:lang w:val="sl-SI"/>
        </w:rPr>
        <w:t>celotne družbe</w:t>
      </w:r>
      <w:r w:rsidRPr="004569F7">
        <w:rPr>
          <w:rFonts w:cs="Segoe UI"/>
          <w:szCs w:val="22"/>
          <w:lang w:val="sl-SI"/>
        </w:rPr>
        <w:t xml:space="preserve"> s 3- do 4-odstotno organsko rastjo prodaje, prilagojeno maržo iz poslovanja (EBIT) v višini približno 16 odstotkov in rastjo prilagojenega dobička na prednostno delnico (EPS) s srednjo do visoko enomestno odstotno vrednostjo (pri stalnih menjalnih tečajih vključno s prevzemi). Poleg tega se bo Henkel še naprej osredotočal na razširitev prostega denarnega toka. </w:t>
      </w:r>
    </w:p>
    <w:p w14:paraId="035ADA13" w14:textId="77777777" w:rsidR="004569F7" w:rsidRPr="004569F7" w:rsidRDefault="004569F7" w:rsidP="004569F7">
      <w:pPr>
        <w:rPr>
          <w:rFonts w:cs="Segoe UI"/>
          <w:szCs w:val="22"/>
          <w:lang w:val="sl-SI"/>
        </w:rPr>
      </w:pPr>
    </w:p>
    <w:p w14:paraId="0EE5D066" w14:textId="77777777" w:rsidR="00315DD9" w:rsidRDefault="00315DD9" w:rsidP="004569F7">
      <w:pPr>
        <w:rPr>
          <w:rFonts w:cs="Segoe UI"/>
          <w:b/>
          <w:bCs/>
          <w:szCs w:val="22"/>
          <w:lang w:val="sl-SI"/>
        </w:rPr>
      </w:pPr>
    </w:p>
    <w:p w14:paraId="29664710" w14:textId="77777777" w:rsidR="00315DD9" w:rsidRDefault="00315DD9" w:rsidP="004569F7">
      <w:pPr>
        <w:rPr>
          <w:rFonts w:cs="Segoe UI"/>
          <w:b/>
          <w:bCs/>
          <w:szCs w:val="22"/>
          <w:lang w:val="sl-SI"/>
        </w:rPr>
      </w:pPr>
    </w:p>
    <w:p w14:paraId="4F6CBCA7" w14:textId="2178912E" w:rsidR="004569F7" w:rsidRPr="00315DD9" w:rsidRDefault="004569F7" w:rsidP="004569F7">
      <w:pPr>
        <w:rPr>
          <w:rFonts w:cs="Segoe UI"/>
          <w:b/>
          <w:bCs/>
          <w:szCs w:val="22"/>
          <w:lang w:val="sl-SI"/>
        </w:rPr>
      </w:pPr>
      <w:r w:rsidRPr="00315DD9">
        <w:rPr>
          <w:rFonts w:cs="Segoe UI"/>
          <w:b/>
          <w:bCs/>
          <w:szCs w:val="22"/>
          <w:lang w:val="sl-SI"/>
        </w:rPr>
        <w:lastRenderedPageBreak/>
        <w:t xml:space="preserve">Nadaljnji koraki </w:t>
      </w:r>
    </w:p>
    <w:p w14:paraId="198E43E3" w14:textId="77777777" w:rsidR="004569F7" w:rsidRPr="004569F7" w:rsidRDefault="004569F7" w:rsidP="004569F7">
      <w:pPr>
        <w:rPr>
          <w:rFonts w:cs="Segoe UI"/>
          <w:szCs w:val="22"/>
          <w:lang w:val="sl-SI"/>
        </w:rPr>
      </w:pPr>
    </w:p>
    <w:p w14:paraId="01CF208E" w14:textId="77777777" w:rsidR="004569F7" w:rsidRPr="004569F7" w:rsidRDefault="004569F7" w:rsidP="004569F7">
      <w:pPr>
        <w:rPr>
          <w:rFonts w:cs="Segoe UI"/>
          <w:szCs w:val="22"/>
          <w:lang w:val="sl-SI"/>
        </w:rPr>
      </w:pPr>
      <w:r w:rsidRPr="004569F7">
        <w:rPr>
          <w:rFonts w:cs="Segoe UI"/>
          <w:szCs w:val="22"/>
          <w:lang w:val="sl-SI"/>
        </w:rPr>
        <w:t xml:space="preserve">Henkel bo v najkrajšem možnem času začel s postopkom obveščanja in posvetovanja z zadevnimi predstavniki zaposlenih, saj bo združitev vplivala na zaposlene v obeh poslovnih enotah po vsem svetu.  </w:t>
      </w:r>
    </w:p>
    <w:p w14:paraId="022086D6" w14:textId="77777777" w:rsidR="004569F7" w:rsidRPr="004569F7" w:rsidRDefault="004569F7" w:rsidP="004569F7">
      <w:pPr>
        <w:rPr>
          <w:rFonts w:cs="Segoe UI"/>
          <w:szCs w:val="22"/>
          <w:lang w:val="sl-SI"/>
        </w:rPr>
      </w:pPr>
    </w:p>
    <w:p w14:paraId="34E16968" w14:textId="77777777" w:rsidR="004569F7" w:rsidRPr="004569F7" w:rsidRDefault="004569F7" w:rsidP="004569F7">
      <w:pPr>
        <w:rPr>
          <w:rFonts w:cs="Segoe UI"/>
          <w:szCs w:val="22"/>
          <w:lang w:val="sl-SI"/>
        </w:rPr>
      </w:pPr>
      <w:r w:rsidRPr="004569F7">
        <w:rPr>
          <w:rFonts w:cs="Segoe UI"/>
          <w:szCs w:val="22"/>
          <w:lang w:val="sl-SI"/>
        </w:rPr>
        <w:t xml:space="preserve">Nadaljnje podrobne informacije o poslovnem razvoju v poslovnem letu 2021 in napovedi za poslovno leto 2022 kot tudi informacije o napredku in nadaljnjih korakih strateškega načrta podjetja za celostno rast bodo predstavljene na tiskovni konferenci dne 23. februarja 2022. </w:t>
      </w:r>
    </w:p>
    <w:p w14:paraId="469584F5" w14:textId="77777777" w:rsidR="004569F7" w:rsidRPr="004569F7" w:rsidRDefault="004569F7" w:rsidP="004569F7">
      <w:pPr>
        <w:rPr>
          <w:rFonts w:cs="Segoe UI"/>
          <w:szCs w:val="22"/>
          <w:lang w:val="sl-SI"/>
        </w:rPr>
      </w:pPr>
      <w:r w:rsidRPr="004569F7">
        <w:rPr>
          <w:rFonts w:cs="Segoe UI"/>
          <w:szCs w:val="22"/>
          <w:lang w:val="sl-SI"/>
        </w:rPr>
        <w:t xml:space="preserve"> </w:t>
      </w:r>
    </w:p>
    <w:p w14:paraId="711A7674" w14:textId="77777777" w:rsidR="004569F7" w:rsidRPr="004569F7" w:rsidRDefault="004569F7" w:rsidP="004569F7">
      <w:pPr>
        <w:rPr>
          <w:rFonts w:cs="Segoe UI"/>
          <w:szCs w:val="22"/>
          <w:lang w:val="sl-SI"/>
        </w:rPr>
      </w:pPr>
      <w:r w:rsidRPr="004569F7">
        <w:rPr>
          <w:rFonts w:cs="Segoe UI"/>
          <w:szCs w:val="22"/>
          <w:lang w:val="sl-SI"/>
        </w:rPr>
        <w:t xml:space="preserve">Nadaljnje informacije o postopku združitve dveh poslovnih enot in načrtovani ukrepi v zvezi s portfoliom, vključno s pričakovanimi stroški za sinergije in prestrukturiranje, bodo objavljeni v poročilu za prvo četrtletje dne 5. maja 2022. </w:t>
      </w:r>
    </w:p>
    <w:p w14:paraId="1F3F3CF9" w14:textId="77777777" w:rsidR="004569F7" w:rsidRPr="004569F7" w:rsidRDefault="004569F7" w:rsidP="004569F7">
      <w:pPr>
        <w:rPr>
          <w:rFonts w:cs="Segoe UI"/>
          <w:szCs w:val="22"/>
          <w:lang w:val="sl-SI"/>
        </w:rPr>
      </w:pPr>
    </w:p>
    <w:p w14:paraId="11B55725" w14:textId="5812E79C" w:rsidR="0055571E" w:rsidRPr="0060222C" w:rsidRDefault="004569F7" w:rsidP="004569F7">
      <w:pPr>
        <w:rPr>
          <w:rFonts w:cs="Segoe UI"/>
          <w:szCs w:val="22"/>
          <w:lang w:val="sl-SI"/>
        </w:rPr>
      </w:pPr>
      <w:r w:rsidRPr="004569F7">
        <w:rPr>
          <w:rFonts w:cs="Segoe UI"/>
          <w:szCs w:val="22"/>
          <w:lang w:val="sl-SI"/>
        </w:rPr>
        <w:t>Podrobne informacije o obeh poslovnih enotah – Consumer Brands (Potrošniške blagovne znamke) in Adhesive Technologies (Lepila in tehnologije) – bodo predstavljene na dnevu vlagateljev v letu 2022.</w:t>
      </w:r>
    </w:p>
    <w:p w14:paraId="74DCD38C" w14:textId="77777777" w:rsidR="007F0F63" w:rsidRPr="0060222C" w:rsidRDefault="007F0F63" w:rsidP="00643D8A">
      <w:pPr>
        <w:rPr>
          <w:rFonts w:cs="Segoe UI"/>
          <w:szCs w:val="22"/>
          <w:lang w:val="sl-SI"/>
        </w:rPr>
      </w:pPr>
    </w:p>
    <w:p w14:paraId="56AC8909" w14:textId="77777777" w:rsidR="002A2975" w:rsidRPr="0060222C" w:rsidRDefault="002A2975" w:rsidP="00643D8A">
      <w:pPr>
        <w:rPr>
          <w:rFonts w:cs="Segoe UI"/>
          <w:szCs w:val="22"/>
          <w:lang w:val="sl-SI"/>
        </w:rPr>
      </w:pPr>
    </w:p>
    <w:p w14:paraId="3411FCC1" w14:textId="6B1C235D" w:rsidR="00D06825" w:rsidRPr="005A3C56" w:rsidRDefault="00A82309" w:rsidP="00D06825">
      <w:pPr>
        <w:rPr>
          <w:rStyle w:val="AboutandContactHeadline"/>
          <w:sz w:val="20"/>
          <w:szCs w:val="20"/>
          <w:lang w:val="sl-SI"/>
        </w:rPr>
      </w:pPr>
      <w:r w:rsidRPr="005A3C56">
        <w:rPr>
          <w:rStyle w:val="AboutandContactHeadline"/>
          <w:sz w:val="20"/>
          <w:szCs w:val="20"/>
          <w:lang w:val="sl-SI"/>
        </w:rPr>
        <w:t>O Henklu</w:t>
      </w:r>
    </w:p>
    <w:p w14:paraId="1C3AF308" w14:textId="1C8A33C1" w:rsidR="00A82309" w:rsidRPr="005A3C56" w:rsidRDefault="00A82309" w:rsidP="00504452">
      <w:pPr>
        <w:rPr>
          <w:rStyle w:val="AboutandContactBody"/>
          <w:sz w:val="20"/>
          <w:szCs w:val="20"/>
          <w:lang w:val="sl-SI"/>
        </w:rPr>
      </w:pPr>
    </w:p>
    <w:p w14:paraId="2552B187" w14:textId="4F0255F8" w:rsidR="00A82309" w:rsidRPr="005A3C56" w:rsidRDefault="00A82309" w:rsidP="00A82309">
      <w:pPr>
        <w:pStyle w:val="He01Flietext"/>
        <w:jc w:val="both"/>
        <w:rPr>
          <w:rFonts w:asciiTheme="minorHAnsi" w:hAnsiTheme="minorHAnsi" w:cstheme="minorHAnsi"/>
          <w:sz w:val="20"/>
          <w:szCs w:val="20"/>
          <w:lang w:val="sl-SI"/>
        </w:rPr>
      </w:pPr>
      <w:r w:rsidRPr="005A3C56">
        <w:rPr>
          <w:rFonts w:asciiTheme="minorHAnsi" w:hAnsiTheme="minorHAnsi" w:cstheme="minorHAnsi"/>
          <w:sz w:val="20"/>
          <w:szCs w:val="20"/>
          <w:lang w:val="sl-SI"/>
        </w:rPr>
        <w:t xml:space="preserve">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2020 je Henkel dosegel vrednost prodaje v višini več kot 19 milijard evrov in prilagojeni dobiček iz poslovanja v višini 2,6 milijarde evrov. Podjetje zaposluje približno 53.000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5A3C56">
          <w:rPr>
            <w:rStyle w:val="Hyperlink"/>
            <w:rFonts w:asciiTheme="minorHAnsi" w:hAnsiTheme="minorHAnsi" w:cstheme="minorHAnsi"/>
            <w:sz w:val="20"/>
            <w:szCs w:val="20"/>
            <w:lang w:val="sl-SI"/>
          </w:rPr>
          <w:t>www.henkel.si</w:t>
        </w:r>
      </w:hyperlink>
      <w:r w:rsidRPr="005A3C56">
        <w:rPr>
          <w:rFonts w:asciiTheme="minorHAnsi" w:hAnsiTheme="minorHAnsi" w:cstheme="minorHAnsi"/>
          <w:sz w:val="20"/>
          <w:szCs w:val="20"/>
          <w:lang w:val="sl-SI"/>
        </w:rPr>
        <w:t xml:space="preserve">. </w:t>
      </w:r>
    </w:p>
    <w:p w14:paraId="5C90DF70" w14:textId="77777777" w:rsidR="005A3C56" w:rsidRDefault="005A3C56" w:rsidP="005A3C56">
      <w:pPr>
        <w:rPr>
          <w:rStyle w:val="AboutandContactBody"/>
          <w:sz w:val="16"/>
          <w:szCs w:val="16"/>
          <w:lang w:val="sl-SI"/>
        </w:rPr>
      </w:pPr>
    </w:p>
    <w:p w14:paraId="4CD35BC4" w14:textId="396E6E79" w:rsidR="005A3C56" w:rsidRPr="005A3C56" w:rsidRDefault="005A3C56" w:rsidP="005A3C56">
      <w:pPr>
        <w:rPr>
          <w:rStyle w:val="AboutandContactBody"/>
          <w:sz w:val="16"/>
          <w:szCs w:val="16"/>
          <w:lang w:val="sl-SI"/>
        </w:rPr>
      </w:pPr>
      <w:r w:rsidRPr="005A3C56">
        <w:rPr>
          <w:rStyle w:val="AboutandContactBody"/>
          <w:sz w:val="16"/>
          <w:szCs w:val="16"/>
          <w:lang w:val="sl-SI"/>
        </w:rPr>
        <w:t xml:space="preserve">Ta dokument vsebuje napovedi, ki se nanašajo na prihodnji potek našega poslovanja in bodočo finančno uspešnost kot tudi prihodnje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w:t>
      </w:r>
      <w:r w:rsidRPr="005A3C56">
        <w:rPr>
          <w:rStyle w:val="AboutandContactBody"/>
          <w:sz w:val="16"/>
          <w:szCs w:val="16"/>
          <w:lang w:val="sl-SI"/>
        </w:rPr>
        <w:lastRenderedPageBreak/>
        <w:t>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24A9F33C" w14:textId="77777777" w:rsidR="005A3C56" w:rsidRPr="005A3C56" w:rsidRDefault="005A3C56" w:rsidP="005A3C56">
      <w:pPr>
        <w:rPr>
          <w:rStyle w:val="AboutandContactBody"/>
          <w:sz w:val="16"/>
          <w:szCs w:val="16"/>
          <w:lang w:val="sl-SI"/>
        </w:rPr>
      </w:pPr>
    </w:p>
    <w:p w14:paraId="63745B72" w14:textId="77777777" w:rsidR="005A3C56" w:rsidRPr="005A3C56" w:rsidRDefault="005A3C56" w:rsidP="005A3C56">
      <w:pPr>
        <w:rPr>
          <w:rStyle w:val="AboutandContactBody"/>
          <w:sz w:val="16"/>
          <w:szCs w:val="16"/>
          <w:lang w:val="sl-SI"/>
        </w:rPr>
      </w:pPr>
      <w:r w:rsidRPr="005A3C56">
        <w:rPr>
          <w:rStyle w:val="AboutandContactBody"/>
          <w:sz w:val="16"/>
          <w:szCs w:val="16"/>
          <w:lang w:val="sl-SI"/>
        </w:rPr>
        <w:t>Ta dokument vsebuje dodatne materialne finančne kazalnike, ki so ali bi lahko bili alternativni kazalniki uspešnosti (ne 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392C6611" w14:textId="77777777" w:rsidR="005A3C56" w:rsidRPr="005A3C56" w:rsidRDefault="005A3C56" w:rsidP="005A3C56">
      <w:pPr>
        <w:rPr>
          <w:rStyle w:val="AboutandContactBody"/>
          <w:sz w:val="16"/>
          <w:szCs w:val="16"/>
          <w:lang w:val="sl-SI"/>
        </w:rPr>
      </w:pPr>
    </w:p>
    <w:p w14:paraId="7CF02F47" w14:textId="26E4F8E0" w:rsidR="00A82309" w:rsidRPr="005A3C56" w:rsidRDefault="005A3C56" w:rsidP="005A3C56">
      <w:pPr>
        <w:rPr>
          <w:rStyle w:val="AboutandContactBody"/>
          <w:sz w:val="16"/>
          <w:szCs w:val="16"/>
          <w:lang w:val="sl-SI"/>
        </w:rPr>
      </w:pPr>
      <w:r w:rsidRPr="005A3C56">
        <w:rPr>
          <w:rStyle w:val="AboutandContactBody"/>
          <w:sz w:val="16"/>
          <w:szCs w:val="16"/>
          <w:lang w:val="sl-SI"/>
        </w:rPr>
        <w:t>Ta dokument je bil pripravljen za namen obveščanja in zato ni namenjen investicijskemu svetovanju ali kot ponudba za prodajo ali za nakup kakršnihkoli vrednostnih papirjev.</w:t>
      </w:r>
    </w:p>
    <w:p w14:paraId="2B18F67D" w14:textId="77777777" w:rsidR="00A82309" w:rsidRPr="0060222C" w:rsidRDefault="00A82309" w:rsidP="00A82309">
      <w:pPr>
        <w:tabs>
          <w:tab w:val="left" w:pos="709"/>
          <w:tab w:val="left" w:pos="4500"/>
          <w:tab w:val="left" w:pos="5245"/>
        </w:tabs>
        <w:spacing w:line="264" w:lineRule="auto"/>
        <w:rPr>
          <w:rStyle w:val="AboutandContactBody"/>
          <w:rFonts w:asciiTheme="majorHAnsi" w:hAnsiTheme="majorHAnsi"/>
          <w:lang w:val="sl-SI"/>
        </w:rPr>
      </w:pPr>
    </w:p>
    <w:p w14:paraId="77B4D427" w14:textId="77777777" w:rsidR="00A82309" w:rsidRPr="0060222C" w:rsidRDefault="00A82309" w:rsidP="00A82309">
      <w:pPr>
        <w:tabs>
          <w:tab w:val="left" w:pos="709"/>
          <w:tab w:val="left" w:pos="4500"/>
          <w:tab w:val="left" w:pos="5245"/>
        </w:tabs>
        <w:spacing w:line="264" w:lineRule="auto"/>
        <w:rPr>
          <w:rStyle w:val="AboutandContactBody"/>
          <w:rFonts w:asciiTheme="majorHAnsi" w:hAnsiTheme="majorHAnsi"/>
          <w:lang w:val="sl-SI"/>
        </w:rPr>
      </w:pPr>
    </w:p>
    <w:p w14:paraId="6F3BC597" w14:textId="720E4514" w:rsidR="00A82309" w:rsidRPr="0060222C" w:rsidRDefault="00A82309" w:rsidP="00A82309">
      <w:pPr>
        <w:tabs>
          <w:tab w:val="left" w:pos="709"/>
          <w:tab w:val="left" w:pos="4500"/>
          <w:tab w:val="left" w:pos="5245"/>
        </w:tabs>
        <w:spacing w:line="264" w:lineRule="auto"/>
        <w:rPr>
          <w:rStyle w:val="Hyperlink"/>
          <w:rFonts w:ascii="Arial" w:hAnsi="Arial" w:cs="Arial"/>
          <w:lang w:val="sl-SI"/>
        </w:rPr>
      </w:pPr>
      <w:r w:rsidRPr="0060222C">
        <w:rPr>
          <w:rStyle w:val="AboutandContactBody"/>
          <w:rFonts w:asciiTheme="majorHAnsi" w:hAnsiTheme="majorHAnsi"/>
          <w:lang w:val="sl-SI"/>
        </w:rPr>
        <w:t xml:space="preserve"> </w:t>
      </w:r>
    </w:p>
    <w:p w14:paraId="1FEEC7B3" w14:textId="77777777" w:rsidR="00BB5D0B" w:rsidRPr="0060222C" w:rsidRDefault="00BB5D0B" w:rsidP="00BF6E82">
      <w:pPr>
        <w:rPr>
          <w:rStyle w:val="AboutandContactHeadline"/>
          <w:lang w:val="sl-SI"/>
        </w:rPr>
      </w:pPr>
    </w:p>
    <w:p w14:paraId="0BFF6B34" w14:textId="77777777" w:rsidR="00BF6E82" w:rsidRPr="0060222C" w:rsidRDefault="00BF6E82" w:rsidP="00BF6E82">
      <w:pPr>
        <w:rPr>
          <w:rStyle w:val="AboutandContactBody"/>
          <w:lang w:val="sl-SI"/>
        </w:rPr>
      </w:pPr>
    </w:p>
    <w:p w14:paraId="5FC95061"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0C4CFB7D"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64B90799"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319BBC53"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6425D022"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5C34A4E1"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02F6B0B3"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1B2AF717"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2E036181"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3B8EC2F3"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32D53145"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3EEB1A5F"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56A00625"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4E60FC9F"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105F65BE"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3A61BA2C"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1457E6A0"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60DF55A6"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725D33FC"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28BD2366"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7464579C" w14:textId="77777777" w:rsidR="005A3C56" w:rsidRDefault="005A3C56" w:rsidP="00A82309">
      <w:pPr>
        <w:tabs>
          <w:tab w:val="left" w:pos="1080"/>
          <w:tab w:val="left" w:pos="4500"/>
        </w:tabs>
        <w:spacing w:line="264" w:lineRule="auto"/>
        <w:rPr>
          <w:rStyle w:val="AboutandContactBody"/>
          <w:rFonts w:asciiTheme="majorHAnsi" w:hAnsiTheme="majorHAnsi" w:cstheme="majorHAnsi"/>
          <w:bCs/>
          <w:szCs w:val="18"/>
          <w:lang w:val="sl-SI"/>
        </w:rPr>
      </w:pPr>
    </w:p>
    <w:p w14:paraId="50E66956" w14:textId="77777777" w:rsidR="005A3C56" w:rsidRPr="005A3C56" w:rsidRDefault="00A82309" w:rsidP="00A82309">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b/>
          <w:sz w:val="22"/>
          <w:szCs w:val="22"/>
          <w:lang w:val="sl-SI"/>
        </w:rPr>
        <w:t>Kontakt</w:t>
      </w:r>
    </w:p>
    <w:p w14:paraId="604A95A7" w14:textId="77777777" w:rsidR="005A3C56" w:rsidRPr="005A3C56" w:rsidRDefault="005A3C56" w:rsidP="00A82309">
      <w:pPr>
        <w:tabs>
          <w:tab w:val="left" w:pos="1080"/>
          <w:tab w:val="left" w:pos="4500"/>
        </w:tabs>
        <w:spacing w:line="264" w:lineRule="auto"/>
        <w:rPr>
          <w:rStyle w:val="AboutandContactBody"/>
          <w:rFonts w:asciiTheme="majorHAnsi" w:hAnsiTheme="majorHAnsi" w:cstheme="majorHAnsi"/>
          <w:sz w:val="22"/>
          <w:szCs w:val="22"/>
          <w:lang w:val="sl-SI"/>
        </w:rPr>
      </w:pPr>
    </w:p>
    <w:p w14:paraId="648474A1" w14:textId="028FC378" w:rsidR="00A82309" w:rsidRPr="005A3C56" w:rsidRDefault="005A3C56" w:rsidP="00A82309">
      <w:pPr>
        <w:tabs>
          <w:tab w:val="left" w:pos="1080"/>
          <w:tab w:val="left" w:pos="4500"/>
        </w:tabs>
        <w:spacing w:line="264" w:lineRule="auto"/>
        <w:rPr>
          <w:rStyle w:val="AboutandContactBody"/>
          <w:rFonts w:asciiTheme="majorHAnsi" w:hAnsiTheme="majorHAnsi" w:cstheme="majorHAnsi"/>
          <w:b/>
          <w:bCs/>
          <w:sz w:val="22"/>
          <w:szCs w:val="22"/>
          <w:lang w:val="sl-SI"/>
        </w:rPr>
      </w:pPr>
      <w:r w:rsidRPr="005A3C56">
        <w:rPr>
          <w:rStyle w:val="AboutandContactBody"/>
          <w:rFonts w:asciiTheme="majorHAnsi" w:hAnsiTheme="majorHAnsi" w:cstheme="majorHAnsi"/>
          <w:b/>
          <w:bCs/>
          <w:sz w:val="22"/>
          <w:szCs w:val="22"/>
          <w:lang w:val="sl-SI"/>
        </w:rPr>
        <w:t>J</w:t>
      </w:r>
      <w:r w:rsidR="00A82309" w:rsidRPr="005A3C56">
        <w:rPr>
          <w:rStyle w:val="AboutandContactBody"/>
          <w:rFonts w:asciiTheme="majorHAnsi" w:hAnsiTheme="majorHAnsi" w:cstheme="majorHAnsi"/>
          <w:b/>
          <w:bCs/>
          <w:sz w:val="22"/>
          <w:szCs w:val="22"/>
          <w:lang w:val="sl-SI"/>
        </w:rPr>
        <w:t>ulija Lojen Baltić</w:t>
      </w:r>
    </w:p>
    <w:p w14:paraId="456C04BE" w14:textId="77777777" w:rsidR="00A82309" w:rsidRPr="005A3C56" w:rsidRDefault="00A82309" w:rsidP="005A3C56">
      <w:pPr>
        <w:tabs>
          <w:tab w:val="left" w:pos="1080"/>
          <w:tab w:val="left" w:pos="4500"/>
        </w:tabs>
        <w:spacing w:line="264" w:lineRule="auto"/>
        <w:rPr>
          <w:rStyle w:val="AboutandContactBody"/>
          <w:rFonts w:asciiTheme="majorHAnsi" w:hAnsiTheme="majorHAnsi" w:cstheme="majorHAnsi"/>
          <w:b/>
          <w:sz w:val="22"/>
          <w:szCs w:val="22"/>
          <w:lang w:val="sl-SI"/>
        </w:rPr>
      </w:pPr>
      <w:r w:rsidRPr="005A3C56">
        <w:rPr>
          <w:rStyle w:val="AboutandContactBody"/>
          <w:rFonts w:asciiTheme="majorHAnsi" w:hAnsiTheme="majorHAnsi" w:cstheme="majorHAnsi"/>
          <w:sz w:val="22"/>
          <w:szCs w:val="22"/>
          <w:lang w:val="sl-SI"/>
        </w:rPr>
        <w:t>Specialistka za komuniciranje</w:t>
      </w:r>
    </w:p>
    <w:p w14:paraId="60C06C6D" w14:textId="70B31B02" w:rsidR="00BF6E82" w:rsidRPr="005A3C56" w:rsidRDefault="00BF6E82" w:rsidP="00A82309">
      <w:pPr>
        <w:tabs>
          <w:tab w:val="left" w:pos="1080"/>
          <w:tab w:val="left" w:pos="4500"/>
        </w:tabs>
        <w:spacing w:line="264" w:lineRule="auto"/>
        <w:rPr>
          <w:rStyle w:val="AboutandContactBody"/>
          <w:rFonts w:asciiTheme="majorHAnsi" w:hAnsiTheme="majorHAnsi" w:cstheme="majorHAnsi"/>
          <w:sz w:val="22"/>
          <w:szCs w:val="22"/>
        </w:rPr>
      </w:pPr>
    </w:p>
    <w:p w14:paraId="510C76D3" w14:textId="60A00F59" w:rsidR="00BF6E82" w:rsidRPr="005A3C56" w:rsidRDefault="00A82309" w:rsidP="00BF6E82">
      <w:pPr>
        <w:tabs>
          <w:tab w:val="left" w:pos="1080"/>
          <w:tab w:val="left" w:pos="4500"/>
        </w:tabs>
        <w:rPr>
          <w:rStyle w:val="AboutandContactBody"/>
          <w:sz w:val="22"/>
          <w:szCs w:val="22"/>
        </w:rPr>
      </w:pPr>
      <w:r w:rsidRPr="005A3C56">
        <w:rPr>
          <w:rStyle w:val="AboutandContactBody"/>
          <w:rFonts w:asciiTheme="majorHAnsi" w:hAnsiTheme="majorHAnsi"/>
          <w:sz w:val="22"/>
          <w:szCs w:val="22"/>
        </w:rPr>
        <w:t>Tel:</w:t>
      </w:r>
      <w:r w:rsidR="00BF6E82" w:rsidRPr="005A3C56">
        <w:rPr>
          <w:rStyle w:val="AboutandContactBody"/>
          <w:sz w:val="22"/>
          <w:szCs w:val="22"/>
        </w:rPr>
        <w:tab/>
      </w:r>
      <w:r w:rsidRPr="005A3C56">
        <w:rPr>
          <w:rStyle w:val="AboutandContactBody"/>
          <w:rFonts w:asciiTheme="majorHAnsi" w:hAnsiTheme="majorHAnsi"/>
          <w:sz w:val="22"/>
          <w:szCs w:val="22"/>
        </w:rPr>
        <w:t>+386 41 479 – 464</w:t>
      </w:r>
    </w:p>
    <w:p w14:paraId="663765B3" w14:textId="6924F021" w:rsidR="00BF6E82" w:rsidRPr="005A3C56" w:rsidRDefault="00BF6E82" w:rsidP="00BF6E82">
      <w:pPr>
        <w:tabs>
          <w:tab w:val="left" w:pos="1080"/>
          <w:tab w:val="left" w:pos="4500"/>
        </w:tabs>
        <w:rPr>
          <w:rStyle w:val="AboutandContactBody"/>
          <w:sz w:val="22"/>
          <w:szCs w:val="22"/>
        </w:rPr>
      </w:pPr>
      <w:r w:rsidRPr="005A3C56">
        <w:rPr>
          <w:rStyle w:val="AboutandContactBody"/>
          <w:sz w:val="22"/>
          <w:szCs w:val="22"/>
        </w:rPr>
        <w:t>Email</w:t>
      </w:r>
      <w:r w:rsidRPr="005A3C56">
        <w:rPr>
          <w:rStyle w:val="AboutandContactBody"/>
          <w:sz w:val="22"/>
          <w:szCs w:val="22"/>
        </w:rPr>
        <w:tab/>
      </w:r>
      <w:hyperlink r:id="rId13" w:history="1">
        <w:r w:rsidR="004569F7" w:rsidRPr="005A3C56">
          <w:rPr>
            <w:rStyle w:val="Hyperlink"/>
            <w:rFonts w:asciiTheme="majorHAnsi" w:hAnsiTheme="majorHAnsi"/>
            <w:sz w:val="22"/>
            <w:szCs w:val="22"/>
          </w:rPr>
          <w:t>julija.lojen-baltic@henkel.com</w:t>
        </w:r>
      </w:hyperlink>
    </w:p>
    <w:p w14:paraId="76457730" w14:textId="77777777" w:rsidR="00BF6E82" w:rsidRPr="005A3C56" w:rsidRDefault="00BF6E82" w:rsidP="00BF6E82">
      <w:pPr>
        <w:rPr>
          <w:rStyle w:val="AboutandContactBody"/>
          <w:sz w:val="22"/>
          <w:szCs w:val="22"/>
        </w:rPr>
      </w:pPr>
    </w:p>
    <w:p w14:paraId="1CAE75D3" w14:textId="287D12DE" w:rsidR="00112A28" w:rsidRPr="005A3C56" w:rsidRDefault="00C40844" w:rsidP="001577E9">
      <w:pPr>
        <w:rPr>
          <w:rStyle w:val="AboutandContactBody"/>
          <w:sz w:val="22"/>
          <w:szCs w:val="22"/>
        </w:rPr>
      </w:pPr>
      <w:hyperlink r:id="rId14" w:history="1">
        <w:r w:rsidR="00A82309" w:rsidRPr="005A3C56">
          <w:rPr>
            <w:rStyle w:val="Hyperlink"/>
            <w:rFonts w:asciiTheme="majorHAnsi" w:hAnsiTheme="majorHAnsi"/>
            <w:sz w:val="22"/>
            <w:szCs w:val="22"/>
          </w:rPr>
          <w:t>www.henkel.si/novinarsko-sredisce</w:t>
        </w:r>
      </w:hyperlink>
    </w:p>
    <w:sectPr w:rsidR="00112A28" w:rsidRPr="005A3C56"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8B68" w14:textId="77777777" w:rsidR="002C1344" w:rsidRDefault="002C1344">
      <w:r>
        <w:separator/>
      </w:r>
    </w:p>
  </w:endnote>
  <w:endnote w:type="continuationSeparator" w:id="0">
    <w:p w14:paraId="3ED2E8CF" w14:textId="77777777" w:rsidR="002C1344" w:rsidRDefault="002C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p w14:paraId="02C9C71B" w14:textId="77777777" w:rsidR="00000000" w:rsidRDefault="00C408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B50B68C" w:rsidR="00CF6F33" w:rsidRPr="00992A11" w:rsidRDefault="004569F7" w:rsidP="004569F7">
    <w:pPr>
      <w:pStyle w:val="Footer"/>
      <w:jc w:val="both"/>
    </w:pPr>
    <w:bookmarkStart w:id="0" w:name="_Hlk505758583"/>
    <w:r w:rsidRPr="00657070">
      <w:rPr>
        <w:rFonts w:cs="Segoe UI"/>
        <w:lang w:val="sl-SI"/>
      </w:rPr>
      <w:drawing>
        <wp:anchor distT="0" distB="0" distL="0" distR="0" simplePos="0" relativeHeight="251661824" behindDoc="0" locked="0" layoutInCell="1" allowOverlap="1" wp14:anchorId="56E86084" wp14:editId="1091EFF2">
          <wp:simplePos x="0" y="0"/>
          <wp:positionH relativeFrom="page">
            <wp:posOffset>895985</wp:posOffset>
          </wp:positionH>
          <wp:positionV relativeFrom="paragraph">
            <wp:posOffset>-538351</wp:posOffset>
          </wp:positionV>
          <wp:extent cx="5655310" cy="371475"/>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55310" cy="371475"/>
                  </a:xfrm>
                  <a:prstGeom prst="rect">
                    <a:avLst/>
                  </a:prstGeom>
                </pic:spPr>
              </pic:pic>
            </a:graphicData>
          </a:graphic>
        </wp:anchor>
      </w:drawing>
    </w:r>
    <w:r w:rsidRPr="00992A11">
      <w:drawing>
        <wp:anchor distT="0" distB="0" distL="114300" distR="114300" simplePos="0" relativeHeight="251659776" behindDoc="0" locked="0" layoutInCell="1" allowOverlap="1" wp14:anchorId="5BBC2405" wp14:editId="6862F189">
          <wp:simplePos x="0" y="0"/>
          <wp:positionH relativeFrom="column">
            <wp:posOffset>1270</wp:posOffset>
          </wp:positionH>
          <wp:positionV relativeFrom="paragraph">
            <wp:posOffset>7129812</wp:posOffset>
          </wp:positionV>
          <wp:extent cx="5756910" cy="384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r>
      <w:rPr>
        <w:rFonts w:ascii="Arial" w:hAnsi="Arial" w:cs="Arial"/>
        <w:sz w:val="16"/>
        <w:szCs w:val="16"/>
      </w:rPr>
      <w:t>*</w:t>
    </w:r>
    <w:r>
      <w:rPr>
        <w:rFonts w:ascii="Arial" w:hAnsi="Arial" w:cs="Arial"/>
        <w:sz w:val="16"/>
        <w:szCs w:val="16"/>
      </w:rPr>
      <w:t>p</w:t>
    </w:r>
    <w:r w:rsidRPr="003E0DC5">
      <w:rPr>
        <w:rFonts w:ascii="Arial" w:hAnsi="Arial" w:cs="Arial"/>
        <w:sz w:val="16"/>
        <w:szCs w:val="16"/>
      </w:rPr>
      <w:t>rilagojeno za enkratne stroške in prihodke ter za prestrukturiranje</w:t>
    </w:r>
    <w:r w:rsidRPr="00992A11">
      <w:t xml:space="preserve"> </w:t>
    </w:r>
    <w:bookmarkEnd w:id="0"/>
    <w:r>
      <w:t xml:space="preserve">                                                                                                                     </w:t>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001F7A54" w14:textId="77777777" w:rsidR="00000000" w:rsidRDefault="00C40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F78C" w14:textId="77777777" w:rsidR="002C1344" w:rsidRDefault="002C1344">
      <w:r>
        <w:separator/>
      </w:r>
    </w:p>
  </w:footnote>
  <w:footnote w:type="continuationSeparator" w:id="0">
    <w:p w14:paraId="19F5BBF8" w14:textId="77777777" w:rsidR="002C1344" w:rsidRDefault="002C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p w14:paraId="30CB91D9" w14:textId="77777777" w:rsidR="00000000" w:rsidRDefault="00C408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268700F" w:rsidR="00CF6F33" w:rsidRPr="0060222C" w:rsidRDefault="0059722C" w:rsidP="00EB46D9">
    <w:pPr>
      <w:pStyle w:val="Header"/>
      <w:rPr>
        <w:lang w:val="sl-SI"/>
      </w:rPr>
    </w:pPr>
    <w:r w:rsidRPr="0060222C">
      <w:rPr>
        <w:noProof/>
        <w:lang w:val="sl-SI"/>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60222C">
      <w:rPr>
        <w:noProof/>
        <w:lang w:val="sl-SI"/>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60222C" w:rsidRPr="0060222C">
      <w:rPr>
        <w:lang w:val="sl-SI"/>
      </w:rPr>
      <w:t>Sporočilo za javnost</w:t>
    </w:r>
  </w:p>
  <w:p w14:paraId="2331F862" w14:textId="77777777" w:rsidR="00000000" w:rsidRDefault="00C40844"/>
  <w:p w14:paraId="0DC8E0B7" w14:textId="4F128E55" w:rsidR="00000000" w:rsidRDefault="0059722C">
    <w:r w:rsidRPr="00992A11">
      <w:drawing>
        <wp:anchor distT="0" distB="0" distL="114300" distR="114300" simplePos="0" relativeHeight="251659776" behindDoc="0" locked="0" layoutInCell="1" allowOverlap="1" wp14:anchorId="5BBC2405" wp14:editId="6862F189">
          <wp:simplePos x="0" y="0"/>
          <wp:positionH relativeFrom="column">
            <wp:posOffset>1270</wp:posOffset>
          </wp:positionH>
          <wp:positionV relativeFrom="paragraph">
            <wp:posOffset>7129812</wp:posOffset>
          </wp:positionV>
          <wp:extent cx="5756910" cy="384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F769C1"/>
    <w:multiLevelType w:val="hybridMultilevel"/>
    <w:tmpl w:val="E1B2F8F8"/>
    <w:lvl w:ilvl="0" w:tplc="3D2AF0CE">
      <w:start w:val="1"/>
      <w:numFmt w:val="bullet"/>
      <w:lvlText w:val=""/>
      <w:lvlJc w:val="left"/>
      <w:pPr>
        <w:ind w:left="360" w:hanging="360"/>
      </w:pPr>
      <w:rPr>
        <w:rFonts w:ascii="Wingdings" w:hAnsi="Wingdings" w:hint="default"/>
        <w:color w:val="E1000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15DD9"/>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535A5"/>
    <w:rsid w:val="004569F7"/>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A3C56"/>
    <w:rsid w:val="005B6A58"/>
    <w:rsid w:val="005C7112"/>
    <w:rsid w:val="005D0561"/>
    <w:rsid w:val="005D0AD9"/>
    <w:rsid w:val="005D22F6"/>
    <w:rsid w:val="005E0C30"/>
    <w:rsid w:val="005E69D9"/>
    <w:rsid w:val="005F27F4"/>
    <w:rsid w:val="005F3239"/>
    <w:rsid w:val="005F6567"/>
    <w:rsid w:val="0060222C"/>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43"/>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2309"/>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A82309"/>
    <w:pPr>
      <w:spacing w:after="160" w:line="276" w:lineRule="auto"/>
    </w:pPr>
    <w:rPr>
      <w:rFonts w:ascii="Arial" w:eastAsiaTheme="minorHAnsi" w:hAnsi="Arial" w:cstheme="minorBidi"/>
      <w:sz w:val="24"/>
      <w:szCs w:val="22"/>
      <w:lang w:val="de-DE"/>
    </w:rPr>
  </w:style>
  <w:style w:type="paragraph" w:styleId="ListParagraph">
    <w:name w:val="List Paragraph"/>
    <w:basedOn w:val="Normal"/>
    <w:uiPriority w:val="63"/>
    <w:qFormat/>
    <w:rsid w:val="0045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2711</Words>
  <Characters>16449</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19122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18</cp:revision>
  <cp:lastPrinted>2022-02-01T09:57:00Z</cp:lastPrinted>
  <dcterms:created xsi:type="dcterms:W3CDTF">2020-07-16T10:22:00Z</dcterms:created>
  <dcterms:modified xsi:type="dcterms:W3CDTF">2022-02-01T09:58:00Z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