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87D" w14:textId="50A3D405" w:rsidR="00B422EC" w:rsidRPr="00773F91" w:rsidRDefault="00530799" w:rsidP="00643D8A">
      <w:pPr>
        <w:pStyle w:val="MonthDayYear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28</w:t>
      </w:r>
      <w:r w:rsidR="00591B38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B86F4F" w:rsidRPr="00773F91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január </w:t>
      </w:r>
      <w:r w:rsidR="00BF6E82" w:rsidRPr="00773F91">
        <w:rPr>
          <w:rFonts w:asciiTheme="minorHAnsi" w:hAnsiTheme="minorHAnsi" w:cstheme="minorHAnsi"/>
          <w:sz w:val="24"/>
          <w:szCs w:val="24"/>
          <w:lang w:val="sk-SK"/>
        </w:rPr>
        <w:t>20</w:t>
      </w:r>
      <w:r w:rsidR="00F635FC" w:rsidRPr="00773F91">
        <w:rPr>
          <w:rFonts w:asciiTheme="minorHAnsi" w:hAnsiTheme="minorHAnsi" w:cstheme="minorHAnsi"/>
          <w:sz w:val="24"/>
          <w:szCs w:val="24"/>
          <w:lang w:val="sk-SK"/>
        </w:rPr>
        <w:t>2</w:t>
      </w:r>
      <w:r>
        <w:rPr>
          <w:rFonts w:asciiTheme="minorHAnsi" w:hAnsiTheme="minorHAnsi" w:cstheme="minorHAnsi"/>
          <w:sz w:val="24"/>
          <w:szCs w:val="24"/>
          <w:lang w:val="sk-SK"/>
        </w:rPr>
        <w:t>2</w:t>
      </w:r>
    </w:p>
    <w:p w14:paraId="64CDC9B2" w14:textId="77777777" w:rsidR="00773F91" w:rsidRPr="00773F91" w:rsidRDefault="00773F91" w:rsidP="0084769D">
      <w:pPr>
        <w:rPr>
          <w:rFonts w:asciiTheme="minorHAnsi" w:hAnsiTheme="minorHAnsi" w:cstheme="minorHAnsi"/>
          <w:sz w:val="32"/>
          <w:szCs w:val="32"/>
          <w:lang w:val="sk-SK"/>
        </w:rPr>
      </w:pPr>
    </w:p>
    <w:p w14:paraId="440022F9" w14:textId="77777777" w:rsidR="00D776A4" w:rsidRPr="006B2361" w:rsidRDefault="00D776A4" w:rsidP="00D776A4">
      <w:pPr>
        <w:pStyle w:val="Topline"/>
        <w:spacing w:after="360"/>
        <w:rPr>
          <w:rFonts w:asciiTheme="majorHAnsi" w:hAnsiTheme="majorHAnsi" w:cs="Calibri Light"/>
          <w:lang w:val="sk-SK"/>
        </w:rPr>
      </w:pPr>
      <w:bookmarkStart w:id="1" w:name="_Hlk94539103"/>
      <w:bookmarkStart w:id="2" w:name="_Hlk94539190"/>
      <w:r w:rsidRPr="006B2361">
        <w:rPr>
          <w:rFonts w:asciiTheme="majorHAnsi" w:hAnsiTheme="majorHAnsi" w:cs="Calibri Light"/>
          <w:lang w:val="sk-SK" w:bidi="bo-CN"/>
        </w:rPr>
        <w:t>Komplexné opatrenia posúvajú agendu pre zmysluplný rast na novú úroveň</w:t>
      </w:r>
    </w:p>
    <w:p w14:paraId="544A77B5" w14:textId="77777777" w:rsidR="00D776A4" w:rsidRPr="006B2361" w:rsidRDefault="00D776A4" w:rsidP="00D776A4">
      <w:pPr>
        <w:jc w:val="left"/>
        <w:rPr>
          <w:rStyle w:val="Headline"/>
          <w:rFonts w:asciiTheme="majorHAnsi" w:hAnsiTheme="majorHAnsi" w:cs="Calibri Light"/>
          <w:lang w:val="sk-SK"/>
        </w:rPr>
      </w:pPr>
      <w:bookmarkStart w:id="3" w:name="_Hlk94539111"/>
      <w:bookmarkEnd w:id="1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Spoločnosť Henkel plánuje zlúčiť svoje divízie 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Laundry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 &amp; Home 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Care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 a 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Beauty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 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Care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 do novej divízie „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Consumer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 xml:space="preserve"> </w:t>
      </w:r>
      <w:proofErr w:type="spellStart"/>
      <w:r w:rsidRPr="006B2361">
        <w:rPr>
          <w:rStyle w:val="Headline"/>
          <w:rFonts w:asciiTheme="majorHAnsi" w:hAnsiTheme="majorHAnsi" w:cs="Calibri Light"/>
          <w:lang w:val="sk-SK" w:bidi="bo-CN"/>
        </w:rPr>
        <w:t>Brands</w:t>
      </w:r>
      <w:proofErr w:type="spellEnd"/>
      <w:r w:rsidRPr="006B2361">
        <w:rPr>
          <w:rStyle w:val="Headline"/>
          <w:rFonts w:asciiTheme="majorHAnsi" w:hAnsiTheme="majorHAnsi" w:cs="Calibri Light"/>
          <w:lang w:val="sk-SK" w:bidi="bo-CN"/>
        </w:rPr>
        <w:t>“</w:t>
      </w:r>
      <w:r w:rsidRPr="006B2361">
        <w:rPr>
          <w:rStyle w:val="Headline"/>
          <w:rFonts w:asciiTheme="majorHAnsi" w:hAnsiTheme="majorHAnsi" w:cs="Calibri Light"/>
          <w:lang w:val="sk-SK"/>
        </w:rPr>
        <w:t xml:space="preserve"> </w:t>
      </w:r>
    </w:p>
    <w:bookmarkEnd w:id="3"/>
    <w:p w14:paraId="47DF3F02" w14:textId="77777777" w:rsidR="00D776A4" w:rsidRPr="006B2361" w:rsidRDefault="00D776A4" w:rsidP="00D776A4">
      <w:pPr>
        <w:rPr>
          <w:lang w:val="sk-SK"/>
        </w:rPr>
      </w:pPr>
    </w:p>
    <w:p w14:paraId="5A810AEA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bookmarkStart w:id="4" w:name="_Hlk43712519"/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Vytvorenie jednotnej </w:t>
      </w:r>
      <w:proofErr w:type="spellStart"/>
      <w:r w:rsidRPr="006B2361">
        <w:rPr>
          <w:rFonts w:asciiTheme="majorHAnsi" w:hAnsiTheme="majorHAnsi" w:cs="Calibri Light"/>
          <w:b/>
          <w:szCs w:val="22"/>
          <w:lang w:val="sk-SK" w:bidi="bo-CN"/>
        </w:rPr>
        <w:t>multiproduktovej</w:t>
      </w:r>
      <w:proofErr w:type="spellEnd"/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platformy na podporu rastu s obratom okolo 10 ml</w:t>
      </w:r>
      <w:r>
        <w:rPr>
          <w:rFonts w:asciiTheme="majorHAnsi" w:hAnsiTheme="majorHAnsi" w:cs="Calibri Light"/>
          <w:b/>
          <w:szCs w:val="22"/>
          <w:lang w:val="sk-SK" w:bidi="bo-CN"/>
        </w:rPr>
        <w:t>d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. eur</w:t>
      </w:r>
      <w:r w:rsidRPr="006B2361">
        <w:rPr>
          <w:rFonts w:asciiTheme="majorHAnsi" w:hAnsiTheme="majorHAnsi" w:cs="Calibri Light"/>
          <w:b/>
          <w:szCs w:val="22"/>
          <w:lang w:val="sk-SK"/>
        </w:rPr>
        <w:t xml:space="preserve"> </w:t>
      </w:r>
    </w:p>
    <w:p w14:paraId="238C8F06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bookmarkStart w:id="5" w:name="_Hlk93758451"/>
      <w:r w:rsidRPr="006B2361">
        <w:rPr>
          <w:rFonts w:asciiTheme="majorHAnsi" w:hAnsiTheme="majorHAnsi" w:cs="Calibri Light"/>
          <w:b/>
          <w:szCs w:val="22"/>
          <w:lang w:val="sk-SK" w:bidi="bo-CN"/>
        </w:rPr>
        <w:t>Pokračujúca optimalizácia spotrebiteľského portfólia: jasné zameranie na kľúčové značky a obchodné aktivity s atraktívnym rastovým a </w:t>
      </w:r>
      <w:proofErr w:type="spellStart"/>
      <w:r w:rsidRPr="006B2361">
        <w:rPr>
          <w:rFonts w:asciiTheme="majorHAnsi" w:hAnsiTheme="majorHAnsi" w:cs="Calibri Light"/>
          <w:b/>
          <w:szCs w:val="22"/>
          <w:lang w:val="sk-SK" w:bidi="bo-CN"/>
        </w:rPr>
        <w:t>maržovým</w:t>
      </w:r>
      <w:proofErr w:type="spellEnd"/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potenciálom a pevnejší základ pre zlúčenia a akvizície v rámci spotrebiteľských segmentov</w:t>
      </w:r>
    </w:p>
    <w:bookmarkEnd w:id="5"/>
    <w:p w14:paraId="62578EC0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Zlúčenie by malo priniesť výrazné synergické úspory a zvýšenie efektivity</w:t>
      </w:r>
    </w:p>
    <w:p w14:paraId="540C5715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Spustenie programu odkupu akcií v objeme až do 1 miliardy eur:</w:t>
      </w:r>
      <w:r w:rsidRPr="006B2361">
        <w:rPr>
          <w:rFonts w:asciiTheme="majorHAnsi" w:hAnsiTheme="majorHAnsi" w:cs="Calibri Light"/>
          <w:b/>
          <w:szCs w:val="22"/>
          <w:lang w:val="sk-SK"/>
        </w:rPr>
        <w:t xml:space="preserve"> </w:t>
      </w:r>
      <w:r w:rsidRPr="006B2361">
        <w:rPr>
          <w:rFonts w:cs="Segoe UI"/>
          <w:b/>
          <w:bCs/>
          <w:szCs w:val="22"/>
          <w:lang w:val="sk-SK" w:bidi="bo-CN"/>
        </w:rPr>
        <w:t xml:space="preserve">využitie silnej súvahovej pozície a cash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, optimalizovanie kapitálovej štruktúry a signál silnej dôvery k budúcemu potenciálu </w:t>
      </w:r>
      <w:r>
        <w:rPr>
          <w:rFonts w:cs="Segoe UI"/>
          <w:b/>
          <w:bCs/>
          <w:szCs w:val="22"/>
          <w:lang w:val="sk-SK" w:bidi="bo-CN"/>
        </w:rPr>
        <w:t>na</w:t>
      </w:r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profitabilný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rast</w:t>
      </w:r>
    </w:p>
    <w:p w14:paraId="787599B7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Predbežné výsledky za rok 2021:</w:t>
      </w:r>
      <w:r w:rsidRPr="006B2361">
        <w:rPr>
          <w:rFonts w:asciiTheme="majorHAnsi" w:hAnsiTheme="majorHAnsi" w:cs="Calibri Light"/>
          <w:b/>
          <w:szCs w:val="22"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Organický rast obratu + 7,</w:t>
      </w:r>
      <w:r>
        <w:rPr>
          <w:rFonts w:asciiTheme="majorHAnsi" w:hAnsiTheme="majorHAnsi" w:cs="Calibri Light"/>
          <w:b/>
          <w:szCs w:val="22"/>
          <w:lang w:val="sk-SK" w:bidi="bo-CN"/>
        </w:rPr>
        <w:t>8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 %, marža EBIT</w:t>
      </w:r>
      <w:r w:rsidRPr="006B2361">
        <w:rPr>
          <w:rStyle w:val="Odkaznapoznmkupodiarou"/>
          <w:rFonts w:ascii="Calibri Light" w:hAnsi="Calibri Light"/>
          <w:b/>
          <w:sz w:val="24"/>
          <w:lang w:val="sk-SK"/>
        </w:rPr>
        <w:footnoteReference w:customMarkFollows="1" w:id="2"/>
        <w:sym w:font="Symbol" w:char="F02A"/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na úrovni 13,4 % a zvýšenie výnosu na prioritnú akciu* (EPS) o +9,2 % (pri konštantných kurzových sadzbách)</w:t>
      </w:r>
    </w:p>
    <w:p w14:paraId="5297008F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Výhľad na rok 2022:</w:t>
      </w:r>
      <w:r w:rsidRPr="006B2361">
        <w:rPr>
          <w:rFonts w:asciiTheme="majorHAnsi" w:hAnsiTheme="majorHAnsi" w:cs="Calibri Light"/>
          <w:b/>
          <w:szCs w:val="22"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organický rast obratu: 2 až 4 %; marža EBIT</w:t>
      </w:r>
      <w:r w:rsidRPr="006B2361">
        <w:rPr>
          <w:rFonts w:asciiTheme="majorHAnsi" w:hAnsiTheme="majorHAnsi" w:cs="Calibri Light"/>
          <w:b/>
          <w:szCs w:val="22"/>
          <w:vertAlign w:val="superscript"/>
          <w:lang w:val="sk-SK" w:bidi="bo-CN"/>
        </w:rPr>
        <w:t>*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: 11,5 až 13,5 %, výnos na prioritnú akciu (EPS)</w:t>
      </w:r>
      <w:r w:rsidRPr="006B2361">
        <w:rPr>
          <w:rFonts w:asciiTheme="majorHAnsi" w:hAnsiTheme="majorHAnsi" w:cs="Calibri Light"/>
          <w:b/>
          <w:szCs w:val="22"/>
          <w:vertAlign w:val="superscript"/>
          <w:lang w:val="sk-SK" w:bidi="bo-CN"/>
        </w:rPr>
        <w:t>*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>: -15 až +5 % (pri konštantných kurzových sadzbách), zohľadňujúci trhovú neistotu a volatilitu</w:t>
      </w:r>
    </w:p>
    <w:p w14:paraId="05FD4A31" w14:textId="77777777" w:rsidR="00D776A4" w:rsidRPr="006B2361" w:rsidRDefault="00D776A4" w:rsidP="00D776A4">
      <w:pPr>
        <w:pStyle w:val="Odsekzoznamu"/>
        <w:numPr>
          <w:ilvl w:val="0"/>
          <w:numId w:val="9"/>
        </w:numPr>
        <w:spacing w:after="80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Nové stredno</w:t>
      </w:r>
      <w:r>
        <w:rPr>
          <w:rFonts w:asciiTheme="majorHAnsi" w:hAnsiTheme="majorHAnsi" w:cs="Calibri Light"/>
          <w:b/>
          <w:szCs w:val="22"/>
          <w:lang w:val="sk-SK" w:bidi="bo-CN"/>
        </w:rPr>
        <w:t>-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až dlhodobé finančné ambície:</w:t>
      </w:r>
      <w:r w:rsidRPr="006B2361">
        <w:rPr>
          <w:rFonts w:asciiTheme="majorHAnsi" w:hAnsiTheme="majorHAnsi" w:cs="Calibri Light"/>
          <w:b/>
          <w:szCs w:val="22"/>
          <w:lang w:val="sk-SK"/>
        </w:rPr>
        <w:t xml:space="preserve"> </w:t>
      </w:r>
      <w:bookmarkEnd w:id="4"/>
      <w:r w:rsidRPr="006B2361">
        <w:rPr>
          <w:rFonts w:asciiTheme="majorHAnsi" w:hAnsiTheme="majorHAnsi" w:cs="Calibri Light"/>
          <w:b/>
          <w:szCs w:val="22"/>
          <w:lang w:val="sk-SK" w:bidi="bo-CN"/>
        </w:rPr>
        <w:t>organický rast obratu o 3 až 4 %, marža EBIT* okolo 16 % a stredné až vysoké jednociferné percentuálne zvýšenie výnosu na prioritnú akciu (EPS)</w:t>
      </w:r>
      <w:r w:rsidRPr="006B2361">
        <w:rPr>
          <w:rFonts w:asciiTheme="majorHAnsi" w:hAnsiTheme="majorHAnsi" w:cs="Calibri Light"/>
          <w:b/>
          <w:szCs w:val="22"/>
          <w:vertAlign w:val="superscript"/>
          <w:lang w:val="sk-SK" w:bidi="bo-CN"/>
        </w:rPr>
        <w:t>*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(pri konštantných kurzových sadzbách, vrátane zlúčení a akvizícií)</w:t>
      </w:r>
    </w:p>
    <w:p w14:paraId="6113DDEA" w14:textId="77777777" w:rsidR="00D776A4" w:rsidRPr="006B2361" w:rsidRDefault="00D776A4" w:rsidP="00D776A4">
      <w:pPr>
        <w:spacing w:after="80"/>
        <w:rPr>
          <w:rFonts w:asciiTheme="majorHAnsi" w:hAnsiTheme="majorHAnsi" w:cs="Calibri Light"/>
          <w:b/>
          <w:bCs/>
          <w:lang w:val="sk-SK"/>
        </w:rPr>
      </w:pPr>
      <w:proofErr w:type="spellStart"/>
      <w:r w:rsidRPr="006B2361">
        <w:rPr>
          <w:rFonts w:asciiTheme="majorHAnsi" w:hAnsiTheme="majorHAnsi" w:cs="Calibri Light"/>
          <w:b/>
          <w:bCs/>
          <w:lang w:val="sk-SK"/>
        </w:rPr>
        <w:lastRenderedPageBreak/>
        <w:t>Düsseldorf</w:t>
      </w:r>
      <w:proofErr w:type="spellEnd"/>
      <w:r w:rsidRPr="006B2361">
        <w:rPr>
          <w:rFonts w:asciiTheme="majorHAnsi" w:hAnsiTheme="majorHAnsi" w:cs="Calibri Light"/>
          <w:b/>
          <w:bCs/>
          <w:lang w:val="sk-SK"/>
        </w:rPr>
        <w:t xml:space="preserve"> –</w:t>
      </w:r>
      <w:r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Spoločnosť Henkel dnes oznámila plány na zlúčenie svojich obchodných divízií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Laundry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&amp; Home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Care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a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Beauty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Care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do spoločnej divízie pod názvom Henkel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Consumer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Brands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>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>Spoločnosť začne s prípravami ich zlúčenia okamžite a očakáva, že celý proces integrácie bude dokončený najneskôr začiatkom roka 2023.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Cieľom vytvorenia novej obchodnej divízie je vybudovať spoločnú platformu na posilnenie rastu naprieč produktovým kategóriám, v rámci ktorej spojí svoje spotrebiteľské značky a divízie, vrátane takých ikonických značiek ako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Persil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či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Schwarzkopf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>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</w:p>
    <w:p w14:paraId="523548FA" w14:textId="77777777" w:rsidR="00D776A4" w:rsidRPr="006B2361" w:rsidRDefault="00D776A4" w:rsidP="00D776A4">
      <w:pPr>
        <w:spacing w:after="80"/>
        <w:rPr>
          <w:rFonts w:asciiTheme="majorHAnsi" w:hAnsiTheme="majorHAnsi" w:cs="Calibri Light"/>
          <w:b/>
          <w:bCs/>
          <w:lang w:val="sk-SK"/>
        </w:rPr>
      </w:pP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„Spojíme svoje sily v sektoroch spotrebného tovaru, aby sme vytvorili jedinú silnú integrovanú obchodnú divíziu, ktorá bude základom nášho budúceho ziskového rastu.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Integrovaná divízia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Consumer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Brands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bude výrazným prínosom pre celú spoločnosť Henkel, pre našich akcionárov, zákazníkov a naše tímy a bude vo veľmi dobrej pozícii, aby aktívne formovala svoju budúcnosť v tomto vysoko dynamickom priemyselnom odvetví,“ povedal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Carsten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</w:t>
      </w:r>
      <w:proofErr w:type="spellStart"/>
      <w:r w:rsidRPr="006B2361">
        <w:rPr>
          <w:rFonts w:asciiTheme="majorHAnsi" w:hAnsiTheme="majorHAnsi" w:cs="Calibri Light"/>
          <w:b/>
          <w:bCs/>
          <w:lang w:val="sk-SK" w:bidi="bo-CN"/>
        </w:rPr>
        <w:t>Knobel</w:t>
      </w:r>
      <w:proofErr w:type="spellEnd"/>
      <w:r w:rsidRPr="006B2361">
        <w:rPr>
          <w:rFonts w:asciiTheme="majorHAnsi" w:hAnsiTheme="majorHAnsi" w:cs="Calibri Light"/>
          <w:b/>
          <w:bCs/>
          <w:lang w:val="sk-SK" w:bidi="bo-CN"/>
        </w:rPr>
        <w:t>, predseda predstavenstva spoločnosti Henkel.</w:t>
      </w:r>
    </w:p>
    <w:p w14:paraId="613D7908" w14:textId="77777777" w:rsidR="00D776A4" w:rsidRPr="006B2361" w:rsidRDefault="00D776A4" w:rsidP="00D776A4">
      <w:pPr>
        <w:spacing w:after="80"/>
        <w:rPr>
          <w:rFonts w:asciiTheme="majorHAnsi" w:hAnsiTheme="majorHAnsi" w:cs="Calibri Light"/>
          <w:b/>
          <w:bCs/>
          <w:lang w:val="sk-SK"/>
        </w:rPr>
      </w:pP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„</w:t>
      </w:r>
      <w:r w:rsidRPr="00181EC3">
        <w:rPr>
          <w:rFonts w:asciiTheme="majorHAnsi" w:hAnsiTheme="majorHAnsi" w:cs="Calibri Light"/>
          <w:b/>
          <w:bCs/>
          <w:lang w:val="sk-SK" w:bidi="bo-CN"/>
        </w:rPr>
        <w:t xml:space="preserve">Budujeme </w:t>
      </w:r>
      <w:proofErr w:type="spellStart"/>
      <w:r w:rsidRPr="00181EC3">
        <w:rPr>
          <w:rFonts w:asciiTheme="majorHAnsi" w:hAnsiTheme="majorHAnsi" w:cs="Calibri Light"/>
          <w:b/>
          <w:bCs/>
          <w:lang w:val="sk-SK" w:bidi="bo-CN"/>
        </w:rPr>
        <w:t>multiproduktovú</w:t>
      </w:r>
      <w:proofErr w:type="spellEnd"/>
      <w:r w:rsidRPr="00181EC3">
        <w:rPr>
          <w:rFonts w:asciiTheme="majorHAnsi" w:hAnsiTheme="majorHAnsi" w:cs="Calibri Light"/>
          <w:b/>
          <w:bCs/>
          <w:lang w:val="sk-SK" w:bidi="bo-CN"/>
        </w:rPr>
        <w:t xml:space="preserve"> platformu s obratom okolo 10 miliárd eur.</w:t>
      </w:r>
      <w:r w:rsidRPr="00181EC3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181EC3">
        <w:rPr>
          <w:rFonts w:asciiTheme="majorHAnsi" w:hAnsiTheme="majorHAnsi" w:cs="Calibri Light"/>
          <w:b/>
          <w:bCs/>
          <w:lang w:val="sk-SK" w:bidi="bo-CN"/>
        </w:rPr>
        <w:t>Poskytne nám širší základ pre ďalšiu optimalizáciu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a formovanie nášho portfólia smerom k vyššiemu rastu a maržiam.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>Zároveň výrazne posilní synergické efekty a zvýši našu efektívnosť, čo nám umožní uvoľniť zdroje, ktoré čiastočne použijeme na cielené investície do našich strategických prioritných oblastí, ako sú inovácie, udržateľnosť a digitalizácia.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>Staneme sa ešte atraktívnejším zamestnávateľom, ktorý ponúka pracovné miesta s väčšou zodpovednosťou a príležitosti ďalšieho kariérneho rastu vo vzrušujúcom odvetví.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>V skratke: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Som presvedčený, že toto zlúčenie posunie našu agendu zmysluplného rastu na vyššiu úroveň.“ </w:t>
      </w:r>
    </w:p>
    <w:p w14:paraId="0E591C6C" w14:textId="77777777" w:rsidR="00D776A4" w:rsidRPr="006B2361" w:rsidRDefault="00D776A4" w:rsidP="00D776A4">
      <w:pPr>
        <w:spacing w:after="80"/>
        <w:rPr>
          <w:rFonts w:asciiTheme="majorHAnsi" w:hAnsiTheme="majorHAnsi" w:cs="Calibri Light"/>
          <w:b/>
          <w:bCs/>
          <w:lang w:val="sk-SK"/>
        </w:rPr>
      </w:pPr>
      <w:r w:rsidRPr="006B2361">
        <w:rPr>
          <w:rFonts w:asciiTheme="majorHAnsi" w:hAnsiTheme="majorHAnsi" w:cs="Calibri Light"/>
          <w:b/>
          <w:bCs/>
          <w:lang w:val="sk-SK" w:bidi="bo-CN"/>
        </w:rPr>
        <w:t>Zlúčenie by malo priniesť rast a vyššiu ziskovosť divízie spotrebného tovaru a celej spoločnosti.</w:t>
      </w:r>
      <w:r w:rsidRPr="006B2361">
        <w:rPr>
          <w:rFonts w:asciiTheme="majorHAnsi" w:hAnsiTheme="majorHAnsi" w:cs="Calibri Light"/>
          <w:b/>
          <w:bCs/>
          <w:lang w:val="sk-SK"/>
        </w:rPr>
        <w:t xml:space="preserve"> </w:t>
      </w:r>
      <w:r w:rsidRPr="006B2361">
        <w:rPr>
          <w:rFonts w:asciiTheme="majorHAnsi" w:hAnsiTheme="majorHAnsi" w:cs="Calibri Light"/>
          <w:b/>
          <w:bCs/>
          <w:lang w:val="sk-SK" w:bidi="bo-CN"/>
        </w:rPr>
        <w:t>To sa odráža aj v nových stredno</w:t>
      </w:r>
      <w:r>
        <w:rPr>
          <w:rFonts w:asciiTheme="majorHAnsi" w:hAnsiTheme="majorHAnsi" w:cs="Calibri Light"/>
          <w:b/>
          <w:bCs/>
          <w:lang w:val="sk-SK" w:bidi="bo-CN"/>
        </w:rPr>
        <w:t>-</w:t>
      </w:r>
      <w:r w:rsidRPr="006B2361">
        <w:rPr>
          <w:rFonts w:asciiTheme="majorHAnsi" w:hAnsiTheme="majorHAnsi" w:cs="Calibri Light"/>
          <w:b/>
          <w:bCs/>
          <w:lang w:val="sk-SK" w:bidi="bo-CN"/>
        </w:rPr>
        <w:t xml:space="preserve"> až dlhodobých finančných ambíciách spoločnosti Henkel: spoločnosť má teraz za cieľ dosahovať 3 až 4 percentný organický rast obratu, upravenú výnosnosť predaja (marža EBIT) okolo 16 percent a stredný až vysoký jednociferný percentuálny rast upravených výnosov na prioritnú akciu (pri konštantných kurzových sadzbách vrátane zlúčení a akvizícií).</w:t>
      </w:r>
    </w:p>
    <w:p w14:paraId="0BA42006" w14:textId="77777777" w:rsidR="00D776A4" w:rsidRPr="006B2361" w:rsidRDefault="00D776A4" w:rsidP="00D776A4">
      <w:pPr>
        <w:spacing w:after="80"/>
        <w:rPr>
          <w:rFonts w:asciiTheme="majorHAnsi" w:hAnsiTheme="majorHAnsi" w:cs="Calibri Light"/>
          <w:b/>
          <w:bCs/>
          <w:lang w:val="sk-SK"/>
        </w:rPr>
      </w:pPr>
    </w:p>
    <w:p w14:paraId="326D2FEA" w14:textId="77777777" w:rsidR="00D776A4" w:rsidRPr="006B2361" w:rsidRDefault="00D776A4" w:rsidP="00D776A4">
      <w:pPr>
        <w:spacing w:after="120"/>
        <w:rPr>
          <w:rFonts w:cs="Segoe UI"/>
          <w:b/>
          <w:bCs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Silná platforma: portfólio s dôrazom na atraktívny rastový a </w:t>
      </w:r>
      <w:proofErr w:type="spellStart"/>
      <w:r w:rsidRPr="006B2361">
        <w:rPr>
          <w:rFonts w:asciiTheme="majorHAnsi" w:hAnsiTheme="majorHAnsi" w:cs="Calibri Light"/>
          <w:b/>
          <w:szCs w:val="22"/>
          <w:lang w:val="sk-SK" w:bidi="bo-CN"/>
        </w:rPr>
        <w:t>maržový</w:t>
      </w:r>
      <w:proofErr w:type="spellEnd"/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potenciál</w:t>
      </w:r>
    </w:p>
    <w:p w14:paraId="21D40485" w14:textId="77777777" w:rsidR="00D776A4" w:rsidRPr="006B2361" w:rsidRDefault="00D776A4" w:rsidP="00D776A4">
      <w:pPr>
        <w:spacing w:after="80"/>
        <w:ind w:right="-108"/>
        <w:jc w:val="left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Nová divízia Henkel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umožní lepšie využiť celý potenciál pre organický a anorganický rast a zamerať sa na produkty s atraktívnym rastovým a </w:t>
      </w:r>
      <w:proofErr w:type="spellStart"/>
      <w:r w:rsidRPr="006B2361">
        <w:rPr>
          <w:rFonts w:cs="Segoe UI"/>
          <w:szCs w:val="22"/>
          <w:lang w:val="sk-SK" w:bidi="bo-CN"/>
        </w:rPr>
        <w:t>maržovým</w:t>
      </w:r>
      <w:proofErr w:type="spellEnd"/>
      <w:r w:rsidRPr="006B2361">
        <w:rPr>
          <w:rFonts w:cs="Segoe UI"/>
          <w:szCs w:val="22"/>
          <w:lang w:val="sk-SK" w:bidi="bo-CN"/>
        </w:rPr>
        <w:t xml:space="preserve"> potenciálom – nad rámec opatrení aktívneho riadenia portfólia, ktoré boli implementované do konca roku 2021.</w:t>
      </w:r>
      <w:r w:rsidRPr="006B2361">
        <w:rPr>
          <w:rFonts w:cs="Segoe UI"/>
          <w:szCs w:val="22"/>
          <w:lang w:val="sk-SK"/>
        </w:rPr>
        <w:t xml:space="preserve"> </w:t>
      </w:r>
    </w:p>
    <w:p w14:paraId="5DBE13FE" w14:textId="77777777" w:rsidR="00D776A4" w:rsidRPr="006B2361" w:rsidRDefault="00D776A4" w:rsidP="00D776A4">
      <w:pPr>
        <w:spacing w:after="80"/>
        <w:ind w:right="-108"/>
        <w:jc w:val="left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Ďalšie opatrenia zamerané na posilnenie portfólia budú zahŕňať odpredaj alebo zrušenie značiek a podnikania v oblastiach, ktoré nie sú pre spoločnosť kľúčové, ako aj akvizície </w:t>
      </w:r>
      <w:r w:rsidRPr="006B2361">
        <w:rPr>
          <w:rFonts w:cs="Segoe UI"/>
          <w:szCs w:val="22"/>
          <w:lang w:val="sk-SK" w:bidi="bo-CN"/>
        </w:rPr>
        <w:lastRenderedPageBreak/>
        <w:t>v atraktívnych spotrebiteľských kategóriách.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Prvé opatrenia týkajúce sa portfólia divízie </w:t>
      </w:r>
      <w:proofErr w:type="spellStart"/>
      <w:r w:rsidRPr="006B2361">
        <w:rPr>
          <w:rFonts w:cs="Segoe UI"/>
          <w:szCs w:val="22"/>
          <w:lang w:val="sk-SK" w:bidi="bo-CN"/>
        </w:rPr>
        <w:t>Beauty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sa budú implementovať už v priebehu roka 2022.</w:t>
      </w:r>
    </w:p>
    <w:p w14:paraId="6011E185" w14:textId="77777777" w:rsidR="00D776A4" w:rsidRDefault="00D776A4" w:rsidP="00D776A4">
      <w:pPr>
        <w:spacing w:after="80"/>
        <w:rPr>
          <w:rFonts w:cs="Segoe UI"/>
          <w:b/>
          <w:bCs/>
          <w:szCs w:val="22"/>
          <w:lang w:val="sk-SK" w:bidi="bo-CN"/>
        </w:rPr>
      </w:pPr>
    </w:p>
    <w:p w14:paraId="29059AE3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181EC3">
        <w:rPr>
          <w:rFonts w:cs="Segoe UI"/>
          <w:b/>
          <w:bCs/>
          <w:szCs w:val="22"/>
          <w:lang w:val="sk-SK" w:bidi="bo-CN"/>
        </w:rPr>
        <w:t>Simulujeme veľkosť: významné synergie a zlepšenie efektivity</w:t>
      </w:r>
      <w:r w:rsidRPr="006B2361">
        <w:rPr>
          <w:rFonts w:cs="Segoe UI"/>
          <w:b/>
          <w:bCs/>
          <w:szCs w:val="22"/>
          <w:lang w:val="sk-SK"/>
        </w:rPr>
        <w:t xml:space="preserve"> </w:t>
      </w:r>
    </w:p>
    <w:p w14:paraId="5713BBB3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Zlúčením dvoch obchodných divízií dosiahne spoločnosť Henkel významné synergické úspory a zvýši svoju efektivitu a agilitu, čo jej zároveň umožní rýchlejšie a flexibilnejšie reagovať na zmeny vo vysoko nestabilnom podnikateľskom prostredí.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Synergické úspory sa očakávajú v takých oblastiach ako administratíva, distribúcia, marketing a dodávateľský reťazec.</w:t>
      </w:r>
    </w:p>
    <w:p w14:paraId="2B149593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Tým sa novej divízií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uvoľnia zdroje na zvýšenie a lepšie zacielenie investícií do strategických oblastí, akými sú, napríklad, digitalizácia výskumu a vývoja, elektronický obchod či udržateľnosť recyklovateľných obalových materiálov.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Tieto synergie budú využité aj na </w:t>
      </w:r>
      <w:r w:rsidRPr="00181EC3">
        <w:rPr>
          <w:rFonts w:cs="Segoe UI"/>
          <w:szCs w:val="22"/>
          <w:lang w:val="sk-SK" w:bidi="bo-CN"/>
        </w:rPr>
        <w:t xml:space="preserve">posilnenie </w:t>
      </w:r>
      <w:proofErr w:type="spellStart"/>
      <w:r w:rsidRPr="00181EC3">
        <w:rPr>
          <w:rFonts w:cs="Segoe UI"/>
          <w:szCs w:val="22"/>
          <w:lang w:val="sk-SK" w:bidi="bo-CN"/>
        </w:rPr>
        <w:t>maržového</w:t>
      </w:r>
      <w:proofErr w:type="spellEnd"/>
      <w:r w:rsidRPr="00181EC3">
        <w:rPr>
          <w:rFonts w:cs="Segoe UI"/>
          <w:szCs w:val="22"/>
          <w:lang w:val="sk-SK" w:bidi="bo-CN"/>
        </w:rPr>
        <w:t xml:space="preserve"> profilu divízie</w:t>
      </w:r>
      <w:r w:rsidRPr="006B2361">
        <w:rPr>
          <w:rFonts w:cs="Segoe UI"/>
          <w:szCs w:val="22"/>
          <w:lang w:val="sk-SK" w:bidi="bo-CN"/>
        </w:rPr>
        <w:t>.</w:t>
      </w:r>
      <w:r w:rsidRPr="006B2361">
        <w:rPr>
          <w:rFonts w:cs="Segoe UI"/>
          <w:szCs w:val="22"/>
          <w:lang w:val="sk-SK"/>
        </w:rPr>
        <w:t xml:space="preserve"> </w:t>
      </w:r>
    </w:p>
    <w:p w14:paraId="4FBAF02F" w14:textId="77777777" w:rsidR="00D776A4" w:rsidRDefault="00D776A4" w:rsidP="00D776A4">
      <w:pPr>
        <w:spacing w:after="80"/>
        <w:rPr>
          <w:rFonts w:cs="Segoe UI"/>
          <w:b/>
          <w:bCs/>
          <w:szCs w:val="22"/>
          <w:lang w:val="sk-SK" w:bidi="bo-CN"/>
        </w:rPr>
      </w:pPr>
    </w:p>
    <w:p w14:paraId="519D155D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t>Zjednotené tímy: štíhlejšie štruktúry, rýchlejšie rozhodovanie a atraktívne príležitosti</w:t>
      </w:r>
    </w:p>
    <w:p w14:paraId="124965E8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Nová obchodná divízia bude zameraná na zákazníkov a predajné kanály – s jednotným prístupom k maloobchodníkom, obchodným a distribučným partnerom v rámci všetkých spotrebiteľských kategórií.</w:t>
      </w:r>
    </w:p>
    <w:p w14:paraId="24D735F2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Spoločný tím pod jednotným vedením sa zameria na ďalší rozvoj celej spotrebiteľskej divízie so štíhlejšími štruktúrami a rýchlejšími rozhodovacími procesmi.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Nová divízia ponúkne pracovné miesta s väčšou zodpovednosťou a lepšími kariérnymi možnosťami, aby sa stala ešte atraktívnejším zamestnávateľom pre celé tímy, lídrov, talenty i nových zamestnancov.</w:t>
      </w:r>
      <w:r w:rsidRPr="006B2361">
        <w:rPr>
          <w:rFonts w:cs="Segoe UI"/>
          <w:szCs w:val="22"/>
          <w:lang w:val="sk-SK"/>
        </w:rPr>
        <w:t xml:space="preserve"> </w:t>
      </w:r>
    </w:p>
    <w:p w14:paraId="6F3D5562" w14:textId="77777777" w:rsidR="00D776A4" w:rsidRDefault="00D776A4" w:rsidP="00D776A4">
      <w:pPr>
        <w:spacing w:after="80"/>
        <w:rPr>
          <w:rFonts w:cs="Segoe UI"/>
          <w:b/>
          <w:bCs/>
          <w:szCs w:val="22"/>
          <w:lang w:val="sk-SK" w:bidi="bo-CN"/>
        </w:rPr>
      </w:pPr>
    </w:p>
    <w:p w14:paraId="1F0193F4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t xml:space="preserve">Jasné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líderské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štruktúry pre novú obchodnú divíziu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Brands</w:t>
      </w:r>
      <w:proofErr w:type="spellEnd"/>
    </w:p>
    <w:p w14:paraId="1A95BB27" w14:textId="77777777" w:rsidR="00D776A4" w:rsidRPr="006B2361" w:rsidRDefault="00D776A4" w:rsidP="00D776A4">
      <w:pPr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Na čele integračného procesu a novej zlúčenej divízi</w:t>
      </w:r>
      <w:r>
        <w:rPr>
          <w:rFonts w:cs="Segoe UI"/>
          <w:szCs w:val="22"/>
          <w:lang w:val="sk-SK" w:bidi="bo-CN"/>
        </w:rPr>
        <w:t>e</w:t>
      </w:r>
      <w:r w:rsidRPr="006B2361">
        <w:rPr>
          <w:rFonts w:cs="Segoe UI"/>
          <w:szCs w:val="22"/>
          <w:lang w:val="sk-SK" w:bidi="bo-CN"/>
        </w:rPr>
        <w:t xml:space="preserve"> bude stáť Wolfgang </w:t>
      </w:r>
      <w:proofErr w:type="spellStart"/>
      <w:r w:rsidRPr="006B2361">
        <w:rPr>
          <w:rFonts w:cs="Segoe UI"/>
          <w:szCs w:val="22"/>
          <w:lang w:val="sk-SK" w:bidi="bo-CN"/>
        </w:rPr>
        <w:t>König</w:t>
      </w:r>
      <w:proofErr w:type="spellEnd"/>
      <w:r w:rsidRPr="006B2361">
        <w:rPr>
          <w:rFonts w:cs="Segoe UI"/>
          <w:szCs w:val="22"/>
          <w:lang w:val="sk-SK" w:bidi="bo-CN"/>
        </w:rPr>
        <w:t xml:space="preserve"> (49), ktorý je v súčasnosti výkonnými viceprezidentom pre divíziu </w:t>
      </w:r>
      <w:proofErr w:type="spellStart"/>
      <w:r w:rsidRPr="006B2361">
        <w:rPr>
          <w:rFonts w:cs="Segoe UI"/>
          <w:szCs w:val="22"/>
          <w:lang w:val="sk-SK" w:bidi="bo-CN"/>
        </w:rPr>
        <w:t>Beauty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>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Bruno </w:t>
      </w:r>
      <w:proofErr w:type="spellStart"/>
      <w:r w:rsidRPr="006B2361">
        <w:rPr>
          <w:rFonts w:cs="Segoe UI"/>
          <w:szCs w:val="22"/>
          <w:lang w:val="sk-SK" w:bidi="bo-CN"/>
        </w:rPr>
        <w:t>Piacenza</w:t>
      </w:r>
      <w:proofErr w:type="spellEnd"/>
      <w:r w:rsidRPr="006B2361">
        <w:rPr>
          <w:rFonts w:cs="Segoe UI"/>
          <w:szCs w:val="22"/>
          <w:lang w:val="sk-SK" w:bidi="bo-CN"/>
        </w:rPr>
        <w:t xml:space="preserve"> (56), výkonný viceprezident divízie </w:t>
      </w:r>
      <w:proofErr w:type="spellStart"/>
      <w:r w:rsidRPr="006B2361">
        <w:rPr>
          <w:rFonts w:cs="Segoe UI"/>
          <w:szCs w:val="22"/>
          <w:lang w:val="sk-SK" w:bidi="bo-CN"/>
        </w:rPr>
        <w:t>Laundry</w:t>
      </w:r>
      <w:proofErr w:type="spellEnd"/>
      <w:r w:rsidRPr="006B2361">
        <w:rPr>
          <w:rFonts w:cs="Segoe UI"/>
          <w:szCs w:val="22"/>
          <w:lang w:val="sk-SK" w:bidi="bo-CN"/>
        </w:rPr>
        <w:t xml:space="preserve"> &amp; Home </w:t>
      </w:r>
      <w:proofErr w:type="spellStart"/>
      <w:r w:rsidRPr="006B2361">
        <w:rPr>
          <w:rFonts w:cs="Segoe UI"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od roku 2011, zostáva aj naďalej na jej čele, bude úzko spolupracovať s Wolfgangom </w:t>
      </w:r>
      <w:proofErr w:type="spellStart"/>
      <w:r w:rsidRPr="006B2361">
        <w:rPr>
          <w:rFonts w:cs="Segoe UI"/>
          <w:szCs w:val="22"/>
          <w:lang w:val="sk-SK" w:bidi="bo-CN"/>
        </w:rPr>
        <w:t>Königom</w:t>
      </w:r>
      <w:proofErr w:type="spellEnd"/>
      <w:r w:rsidRPr="006B2361">
        <w:rPr>
          <w:rFonts w:cs="Segoe UI"/>
          <w:szCs w:val="22"/>
          <w:lang w:val="sk-SK" w:bidi="bo-CN"/>
        </w:rPr>
        <w:t xml:space="preserve"> na transformácii a v spoločnosti Henkel ostane </w:t>
      </w:r>
      <w:r>
        <w:rPr>
          <w:rFonts w:cs="Segoe UI"/>
          <w:szCs w:val="22"/>
          <w:lang w:val="sk-SK" w:bidi="bo-CN"/>
        </w:rPr>
        <w:t>najneskôr</w:t>
      </w:r>
      <w:r w:rsidRPr="006C711D">
        <w:rPr>
          <w:rFonts w:cs="Segoe UI"/>
          <w:szCs w:val="22"/>
          <w:lang w:val="sk-SK" w:bidi="bo-CN"/>
        </w:rPr>
        <w:t xml:space="preserve"> do konca</w:t>
      </w:r>
      <w:r w:rsidRPr="006B2361">
        <w:rPr>
          <w:rFonts w:cs="Segoe UI"/>
          <w:szCs w:val="22"/>
          <w:lang w:val="sk-SK" w:bidi="bo-CN"/>
        </w:rPr>
        <w:t xml:space="preserve"> roku 2022.</w:t>
      </w:r>
    </w:p>
    <w:p w14:paraId="7D3993E4" w14:textId="77777777" w:rsidR="00D776A4" w:rsidRPr="006B2361" w:rsidRDefault="00D776A4" w:rsidP="00D776A4">
      <w:pPr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 „V mene výboru akcionárov a dozornej rady spoločnosti Henkel by som chcela Wolfgangovi </w:t>
      </w:r>
      <w:proofErr w:type="spellStart"/>
      <w:r w:rsidRPr="006B2361">
        <w:rPr>
          <w:rFonts w:cs="Segoe UI"/>
          <w:szCs w:val="22"/>
          <w:lang w:val="sk-SK" w:bidi="bo-CN"/>
        </w:rPr>
        <w:t>Königovi</w:t>
      </w:r>
      <w:proofErr w:type="spellEnd"/>
      <w:r w:rsidRPr="006B2361">
        <w:rPr>
          <w:rFonts w:cs="Segoe UI"/>
          <w:szCs w:val="22"/>
          <w:lang w:val="sk-SK" w:bidi="bo-CN"/>
        </w:rPr>
        <w:t xml:space="preserve"> zaželať veľa šťastia na jeho novej pozícii.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Jeho skúsenosti z medzinárodného manažmentu v odvetví spotrebného tovaru, výrobkov pre domácnosť a osobnú hygienu budú neoceniteľné pri budovaní a úspešnom rozvoji našej novej divízie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v spolupráci s novým riadiacim tímom,“ povedala Dr. Simone </w:t>
      </w:r>
      <w:proofErr w:type="spellStart"/>
      <w:r w:rsidRPr="006B2361">
        <w:rPr>
          <w:rFonts w:cs="Segoe UI"/>
          <w:szCs w:val="22"/>
          <w:lang w:val="sk-SK" w:bidi="bo-CN"/>
        </w:rPr>
        <w:t>Bagel-Trah</w:t>
      </w:r>
      <w:proofErr w:type="spellEnd"/>
      <w:r w:rsidRPr="006B2361">
        <w:rPr>
          <w:rFonts w:cs="Segoe UI"/>
          <w:szCs w:val="22"/>
          <w:lang w:val="sk-SK" w:bidi="bo-CN"/>
        </w:rPr>
        <w:t xml:space="preserve">, predsedníčka výboru akcionárov a dozornej rady spoločnosti Henkel. </w:t>
      </w:r>
    </w:p>
    <w:p w14:paraId="24EB9208" w14:textId="77777777" w:rsidR="00D776A4" w:rsidRPr="006B2361" w:rsidRDefault="00D776A4" w:rsidP="00D776A4">
      <w:pPr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lastRenderedPageBreak/>
        <w:t xml:space="preserve"> „Zároveň by som sa chcela úprimne poďakovať Brunovi </w:t>
      </w:r>
      <w:proofErr w:type="spellStart"/>
      <w:r w:rsidRPr="006B2361">
        <w:rPr>
          <w:rFonts w:cs="Segoe UI"/>
          <w:szCs w:val="22"/>
          <w:lang w:val="sk-SK" w:bidi="bo-CN"/>
        </w:rPr>
        <w:t>Piacenzovi</w:t>
      </w:r>
      <w:proofErr w:type="spellEnd"/>
      <w:r w:rsidRPr="006B2361">
        <w:rPr>
          <w:rFonts w:cs="Segoe UI"/>
          <w:szCs w:val="22"/>
          <w:lang w:val="sk-SK" w:bidi="bo-CN"/>
        </w:rPr>
        <w:t>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V spoločnosti Henkel pôsobí už viac než 30 rokov, z toho viac než 11 rokov na čele divízie </w:t>
      </w:r>
      <w:proofErr w:type="spellStart"/>
      <w:r w:rsidRPr="006B2361">
        <w:rPr>
          <w:rFonts w:cs="Segoe UI"/>
          <w:szCs w:val="22"/>
          <w:lang w:val="sk-SK" w:bidi="bo-CN"/>
        </w:rPr>
        <w:t>Laundry</w:t>
      </w:r>
      <w:proofErr w:type="spellEnd"/>
      <w:r w:rsidRPr="006B2361">
        <w:rPr>
          <w:rFonts w:cs="Segoe UI"/>
          <w:szCs w:val="22"/>
          <w:lang w:val="sk-SK" w:bidi="bo-CN"/>
        </w:rPr>
        <w:t xml:space="preserve"> &amp; Home </w:t>
      </w:r>
      <w:proofErr w:type="spellStart"/>
      <w:r w:rsidRPr="006B2361">
        <w:rPr>
          <w:rFonts w:cs="Segoe UI"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ako je</w:t>
      </w:r>
      <w:r>
        <w:rPr>
          <w:rFonts w:cs="Segoe UI"/>
          <w:szCs w:val="22"/>
          <w:lang w:val="sk-SK" w:bidi="bo-CN"/>
        </w:rPr>
        <w:t>j</w:t>
      </w:r>
      <w:r w:rsidRPr="006B2361">
        <w:rPr>
          <w:rFonts w:cs="Segoe UI"/>
          <w:szCs w:val="22"/>
          <w:lang w:val="sk-SK" w:bidi="bo-CN"/>
        </w:rPr>
        <w:t xml:space="preserve"> výkonný viceprezident.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Vďaka svojmu nadšeniu a odbornosti pomohol k úspešnému rozvoju našich špičkových značiek a celého nášho podnikania.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Sme mu veľmi vďační za jeho oddanosť a prínos pre našu spoločnosť a sme radi, že bude spolupracovať s Wolfgangom </w:t>
      </w:r>
      <w:proofErr w:type="spellStart"/>
      <w:r w:rsidRPr="006B2361">
        <w:rPr>
          <w:rFonts w:cs="Segoe UI"/>
          <w:szCs w:val="22"/>
          <w:lang w:val="sk-SK" w:bidi="bo-CN"/>
        </w:rPr>
        <w:t>Königom</w:t>
      </w:r>
      <w:proofErr w:type="spellEnd"/>
      <w:r w:rsidRPr="006B2361">
        <w:rPr>
          <w:rFonts w:cs="Segoe UI"/>
          <w:szCs w:val="22"/>
          <w:lang w:val="sk-SK" w:bidi="bo-CN"/>
        </w:rPr>
        <w:t xml:space="preserve"> na zabezpečení efektívneho transformačného procesu.“</w:t>
      </w:r>
    </w:p>
    <w:p w14:paraId="7C4E0EA6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 „Spoločný tím pod vedením Wolfganga </w:t>
      </w:r>
      <w:proofErr w:type="spellStart"/>
      <w:r w:rsidRPr="006B2361">
        <w:rPr>
          <w:rFonts w:cs="Segoe UI"/>
          <w:szCs w:val="22"/>
          <w:lang w:val="sk-SK" w:bidi="bo-CN"/>
        </w:rPr>
        <w:t>Königa</w:t>
      </w:r>
      <w:proofErr w:type="spellEnd"/>
      <w:r w:rsidRPr="006B2361">
        <w:rPr>
          <w:rFonts w:cs="Segoe UI"/>
          <w:szCs w:val="22"/>
          <w:lang w:val="sk-SK" w:bidi="bo-CN"/>
        </w:rPr>
        <w:t xml:space="preserve"> sa zameria na ďalší rozvoj celej divízie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so štíhlejšími štruktúrami a rýchlejšími rozhodovacími procesmi.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Zároveň by som chcel osobne oceniť Bruna </w:t>
      </w:r>
      <w:proofErr w:type="spellStart"/>
      <w:r w:rsidRPr="006B2361">
        <w:rPr>
          <w:rFonts w:cs="Segoe UI"/>
          <w:szCs w:val="22"/>
          <w:lang w:val="sk-SK" w:bidi="bo-CN"/>
        </w:rPr>
        <w:t>Piacenzu</w:t>
      </w:r>
      <w:proofErr w:type="spellEnd"/>
      <w:r w:rsidRPr="006B2361">
        <w:rPr>
          <w:rFonts w:cs="Segoe UI"/>
          <w:szCs w:val="22"/>
          <w:lang w:val="sk-SK" w:bidi="bo-CN"/>
        </w:rPr>
        <w:t xml:space="preserve"> za množstvo úspechov, ktoré počas viac než troch desaťročí v spoločnosti Henkel dosiahol,“ dodal predseda predstavenstva spoločnosti Henkel </w:t>
      </w:r>
      <w:proofErr w:type="spellStart"/>
      <w:r w:rsidRPr="006B2361">
        <w:rPr>
          <w:rFonts w:cs="Segoe UI"/>
          <w:szCs w:val="22"/>
          <w:lang w:val="sk-SK" w:bidi="bo-CN"/>
        </w:rPr>
        <w:t>Carsten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Knobel</w:t>
      </w:r>
      <w:proofErr w:type="spellEnd"/>
      <w:r w:rsidRPr="006B2361">
        <w:rPr>
          <w:rFonts w:cs="Segoe UI"/>
          <w:szCs w:val="22"/>
          <w:lang w:val="sk-SK" w:bidi="bo-CN"/>
        </w:rPr>
        <w:t>.</w:t>
      </w:r>
    </w:p>
    <w:p w14:paraId="5994FD06" w14:textId="77777777" w:rsidR="00D776A4" w:rsidRDefault="00D776A4" w:rsidP="00D776A4">
      <w:pPr>
        <w:spacing w:after="80"/>
        <w:rPr>
          <w:b/>
          <w:bCs/>
          <w:lang w:val="sk-SK" w:bidi="bo-CN"/>
        </w:rPr>
      </w:pPr>
    </w:p>
    <w:p w14:paraId="43BBBFCC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6B2361">
        <w:rPr>
          <w:b/>
          <w:bCs/>
          <w:lang w:val="sk-SK" w:bidi="bo-CN"/>
        </w:rPr>
        <w:t>Program odkupu akcií v objeme až do 1 miliardy eur</w:t>
      </w:r>
    </w:p>
    <w:p w14:paraId="14B9CF2D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Spoločnosť Henkel tiež spúšťa program odkupu akcií v celkovom objeme až do výšky 1</w:t>
      </w:r>
      <w:r>
        <w:rPr>
          <w:rFonts w:cs="Segoe UI"/>
          <w:szCs w:val="22"/>
          <w:lang w:val="sk-SK" w:bidi="bo-CN"/>
        </w:rPr>
        <w:t> </w:t>
      </w:r>
      <w:r w:rsidRPr="006B2361">
        <w:rPr>
          <w:rFonts w:cs="Segoe UI"/>
          <w:szCs w:val="22"/>
          <w:lang w:val="sk-SK" w:bidi="bo-CN"/>
        </w:rPr>
        <w:t>miliardy eur, v rámci ktorého odkúpi prioritné akcie v celkovej výške až 800 miliónov eur a kmeňové akcie v celkovej hodnote až 200 miliónov eur.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Táto suma na základe aktuálnych cien na akciových trhoch zodpovedá približne 3 percentám základného kapitálu spoločnosti. </w:t>
      </w:r>
      <w:r w:rsidRPr="006B2361">
        <w:rPr>
          <w:lang w:val="sk-SK" w:bidi="bo-CN"/>
        </w:rPr>
        <w:t>Program by mal začať v priebehu februára 2022 a pokračovať najneskôr do 31. marca 2023 so zapojením banky prostredníctvom akciového trhu.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V apríli 2019 výročné valné zhromaždenie spoločnosti Henkel poverilo jej predstavenstvo, aby získalo vlastné akcie spoločnosti do výšky 10 percent jej základného kapitálu.</w:t>
      </w:r>
      <w:r w:rsidRPr="006B2361" w:rsidDel="005B4F69">
        <w:rPr>
          <w:rFonts w:cs="Segoe UI"/>
          <w:szCs w:val="22"/>
          <w:lang w:val="sk-SK"/>
        </w:rPr>
        <w:t xml:space="preserve"> </w:t>
      </w:r>
      <w:r w:rsidRPr="006B2361">
        <w:rPr>
          <w:lang w:val="sk-SK" w:bidi="bo-CN"/>
        </w:rPr>
        <w:t>Spoločnosť Henkel plánuje držať odkúpené akcie najprv ako vlastné akcie, pričom si vyhradzuje právo zrušiť ich a primerane znížiť výšku základného kapitálu.</w:t>
      </w:r>
    </w:p>
    <w:p w14:paraId="374DB190" w14:textId="3D55FE81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 „Týmto programom chceme odmeniť našich akcionárov a zároveň zdôrazniť našu dôveru k našej finančnej sile a budúcemu potenciálu našich podnikateľských aktivít.  Vzhľadom na našu silnú súvahovú pozíciu a nízku </w:t>
      </w:r>
      <w:r w:rsidR="00AF3869" w:rsidRPr="006B2361">
        <w:rPr>
          <w:rFonts w:cs="Segoe UI"/>
          <w:szCs w:val="22"/>
          <w:lang w:val="sk-SK" w:bidi="bo-CN"/>
        </w:rPr>
        <w:t>zad</w:t>
      </w:r>
      <w:r w:rsidR="00AF3869">
        <w:rPr>
          <w:rFonts w:cs="Segoe UI"/>
          <w:szCs w:val="22"/>
          <w:lang w:val="sk-SK" w:bidi="bo-CN"/>
        </w:rPr>
        <w:t>l</w:t>
      </w:r>
      <w:r w:rsidR="00AF3869" w:rsidRPr="006B2361">
        <w:rPr>
          <w:rFonts w:cs="Segoe UI"/>
          <w:szCs w:val="22"/>
          <w:lang w:val="sk-SK" w:bidi="bo-CN"/>
        </w:rPr>
        <w:t>ženosť</w:t>
      </w:r>
      <w:r w:rsidRPr="006B2361">
        <w:rPr>
          <w:rFonts w:cs="Segoe UI"/>
          <w:szCs w:val="22"/>
          <w:lang w:val="sk-SK" w:bidi="bo-CN"/>
        </w:rPr>
        <w:t xml:space="preserve">, ako aj silnú tvorbu cash </w:t>
      </w:r>
      <w:proofErr w:type="spellStart"/>
      <w:r w:rsidRPr="006B2361">
        <w:rPr>
          <w:rFonts w:cs="Segoe UI"/>
          <w:szCs w:val="22"/>
          <w:lang w:val="sk-SK" w:bidi="bo-CN"/>
        </w:rPr>
        <w:t>flow</w:t>
      </w:r>
      <w:proofErr w:type="spellEnd"/>
      <w:r w:rsidRPr="006B2361">
        <w:rPr>
          <w:rFonts w:cs="Segoe UI"/>
          <w:szCs w:val="22"/>
          <w:lang w:val="sk-SK" w:bidi="bo-CN"/>
        </w:rPr>
        <w:t xml:space="preserve">, nebude mať tento program vplyv na našu schopnosť realizovať strategické akvizície tak v rámci divízie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, ako aj divízie </w:t>
      </w:r>
      <w:proofErr w:type="spellStart"/>
      <w:r w:rsidRPr="006B2361">
        <w:rPr>
          <w:rFonts w:cs="Segoe UI"/>
          <w:szCs w:val="22"/>
          <w:lang w:val="sk-SK" w:bidi="bo-CN"/>
        </w:rPr>
        <w:t>Adhesive</w:t>
      </w:r>
      <w:proofErr w:type="spellEnd"/>
      <w:r w:rsidRPr="006B2361">
        <w:rPr>
          <w:rFonts w:cs="Segoe UI"/>
          <w:szCs w:val="22"/>
          <w:lang w:val="sk-SK" w:bidi="bo-CN"/>
        </w:rPr>
        <w:t xml:space="preserve"> Technologies,“ povedal predseda predstavenstva </w:t>
      </w:r>
      <w:proofErr w:type="spellStart"/>
      <w:r w:rsidRPr="006B2361">
        <w:rPr>
          <w:rFonts w:cs="Segoe UI"/>
          <w:szCs w:val="22"/>
          <w:lang w:val="sk-SK" w:bidi="bo-CN"/>
        </w:rPr>
        <w:t>Carsten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Knobel</w:t>
      </w:r>
      <w:proofErr w:type="spellEnd"/>
      <w:r w:rsidRPr="006B2361">
        <w:rPr>
          <w:rFonts w:cs="Segoe UI"/>
          <w:szCs w:val="22"/>
          <w:lang w:val="sk-SK" w:bidi="bo-CN"/>
        </w:rPr>
        <w:t>.</w:t>
      </w:r>
    </w:p>
    <w:p w14:paraId="3AA1AE57" w14:textId="77777777" w:rsidR="00D776A4" w:rsidRDefault="00D776A4" w:rsidP="00D776A4">
      <w:pPr>
        <w:spacing w:after="80"/>
        <w:rPr>
          <w:rFonts w:cs="Segoe UI"/>
          <w:b/>
          <w:bCs/>
          <w:szCs w:val="22"/>
          <w:lang w:val="sk-SK" w:bidi="bo-CN"/>
        </w:rPr>
      </w:pPr>
    </w:p>
    <w:p w14:paraId="67AA0EF4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t>Spoločnosť Henkel zverejňuje predbežné výsledky za rok 2021</w:t>
      </w:r>
    </w:p>
    <w:p w14:paraId="020C8E32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Na základe predbežných údajov sa spoločnosti Henkel podarilo vo finančnom roku 2021 dosiahnuť celkovo dobré hospodárske výsledky.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Za dobrými výsledkami stojí predovšetkým dvojciferný rast divízie </w:t>
      </w:r>
      <w:proofErr w:type="spellStart"/>
      <w:r w:rsidRPr="006B2361">
        <w:rPr>
          <w:rFonts w:cs="Segoe UI"/>
          <w:szCs w:val="22"/>
          <w:lang w:val="sk-SK" w:bidi="bo-CN"/>
        </w:rPr>
        <w:t>Adhesive</w:t>
      </w:r>
      <w:proofErr w:type="spellEnd"/>
      <w:r w:rsidRPr="006B2361">
        <w:rPr>
          <w:rFonts w:cs="Segoe UI"/>
          <w:szCs w:val="22"/>
          <w:lang w:val="sk-SK" w:bidi="bo-CN"/>
        </w:rPr>
        <w:t xml:space="preserve"> Technologies, a to aj napriek pokračujúcemu negatívnemu vplyvu pandémie ochorenia COVID-19 na tvorbu zisku najmä z dôvodu prudkého nárastu cien vstupných surovín a preťažených dodávateľských reťazcov.</w:t>
      </w:r>
      <w:r w:rsidRPr="006B2361">
        <w:rPr>
          <w:rFonts w:cs="Segoe UI"/>
          <w:szCs w:val="22"/>
          <w:lang w:val="sk-SK"/>
        </w:rPr>
        <w:t xml:space="preserve"> </w:t>
      </w:r>
    </w:p>
    <w:p w14:paraId="36B7C8B1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lastRenderedPageBreak/>
        <w:t>Obrat skupiny Henkel</w:t>
      </w:r>
      <w:r w:rsidRPr="006B2361">
        <w:rPr>
          <w:rFonts w:cs="Segoe UI"/>
          <w:szCs w:val="22"/>
          <w:lang w:val="sk-SK" w:bidi="bo-CN"/>
        </w:rPr>
        <w:t xml:space="preserve"> sa podľa predbežných údajov za finančný rok 2021 zvýšil na 20 066 mil. eur.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Organický rast obratu dosiahol úroveň 7,8 %.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Divízia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6B2361">
        <w:rPr>
          <w:rFonts w:cs="Segoe UI"/>
          <w:szCs w:val="22"/>
          <w:lang w:val="sk-SK" w:bidi="bo-CN"/>
        </w:rPr>
        <w:t xml:space="preserve"> dosiahla obrat vo výške 9 641 mil. eur,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čo predstavuje dvojciferný organický rast na úrovni 13,4 %.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Divízia</w:t>
      </w:r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zaznamenala obrat vo výške 3 678 mil. eur a organický rast na úrovni 1,4 %.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Obrat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sa zvýšil na 6 605 mil. eur, čo predstavuje organický nárast o 3,9 %.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b/>
          <w:bCs/>
          <w:szCs w:val="22"/>
          <w:lang w:val="sk-SK" w:bidi="bo-CN"/>
        </w:rPr>
        <w:t>Upravená výnosnosť predaja (marža EBIT)</w:t>
      </w:r>
      <w:r w:rsidRPr="006B2361">
        <w:rPr>
          <w:rFonts w:cs="Segoe UI"/>
          <w:szCs w:val="22"/>
          <w:lang w:val="sk-SK" w:bidi="bo-CN"/>
        </w:rPr>
        <w:t xml:space="preserve"> spoločnosti Henkel predstavovala 13,4 %</w:t>
      </w:r>
      <w:r>
        <w:rPr>
          <w:rFonts w:cs="Segoe UI"/>
          <w:szCs w:val="22"/>
          <w:lang w:val="sk-SK" w:bidi="bo-CN"/>
        </w:rPr>
        <w:t>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lang w:val="sk-SK" w:bidi="bo-CN"/>
        </w:rPr>
        <w:t xml:space="preserve">Upravená výnosnosť predaja divízie </w:t>
      </w:r>
      <w:proofErr w:type="spellStart"/>
      <w:r w:rsidRPr="006B2361">
        <w:rPr>
          <w:lang w:val="sk-SK" w:bidi="bo-CN"/>
        </w:rPr>
        <w:t>Adhesive</w:t>
      </w:r>
      <w:proofErr w:type="spellEnd"/>
      <w:r w:rsidRPr="006B2361">
        <w:rPr>
          <w:lang w:val="sk-SK" w:bidi="bo-CN"/>
        </w:rPr>
        <w:t xml:space="preserve"> Technologies dosiahla 16,2  %, divízie </w:t>
      </w:r>
      <w:proofErr w:type="spellStart"/>
      <w:r w:rsidRPr="006B2361">
        <w:rPr>
          <w:lang w:val="sk-SK" w:bidi="bo-CN"/>
        </w:rPr>
        <w:t>Beauty</w:t>
      </w:r>
      <w:proofErr w:type="spellEnd"/>
      <w:r w:rsidRPr="006B2361">
        <w:rPr>
          <w:lang w:val="sk-SK" w:bidi="bo-CN"/>
        </w:rPr>
        <w:t xml:space="preserve"> </w:t>
      </w:r>
      <w:proofErr w:type="spellStart"/>
      <w:r w:rsidRPr="006B2361">
        <w:rPr>
          <w:lang w:val="sk-SK" w:bidi="bo-CN"/>
        </w:rPr>
        <w:t>Care</w:t>
      </w:r>
      <w:proofErr w:type="spellEnd"/>
      <w:r w:rsidRPr="006B2361">
        <w:rPr>
          <w:lang w:val="sk-SK" w:bidi="bo-CN"/>
        </w:rPr>
        <w:t xml:space="preserve"> 9,5 % a divízie </w:t>
      </w:r>
      <w:proofErr w:type="spellStart"/>
      <w:r w:rsidRPr="006B2361">
        <w:rPr>
          <w:lang w:val="sk-SK" w:bidi="bo-CN"/>
        </w:rPr>
        <w:t>Laundry</w:t>
      </w:r>
      <w:proofErr w:type="spellEnd"/>
      <w:r w:rsidRPr="006B2361">
        <w:rPr>
          <w:lang w:val="sk-SK" w:bidi="bo-CN"/>
        </w:rPr>
        <w:t xml:space="preserve"> &amp; Home </w:t>
      </w:r>
      <w:proofErr w:type="spellStart"/>
      <w:r w:rsidRPr="006B2361">
        <w:rPr>
          <w:lang w:val="sk-SK" w:bidi="bo-CN"/>
        </w:rPr>
        <w:t>Care</w:t>
      </w:r>
      <w:proofErr w:type="spellEnd"/>
      <w:r w:rsidRPr="006B2361">
        <w:rPr>
          <w:lang w:val="sk-SK" w:bidi="bo-CN"/>
        </w:rPr>
        <w:t xml:space="preserve"> 13,7 %.</w:t>
      </w:r>
      <w:r w:rsidRPr="006B2361">
        <w:rPr>
          <w:lang w:val="sk-SK"/>
        </w:rPr>
        <w:t xml:space="preserve"> </w:t>
      </w:r>
      <w:r w:rsidRPr="006B2361">
        <w:rPr>
          <w:rFonts w:cs="Segoe UI"/>
          <w:b/>
          <w:bCs/>
          <w:szCs w:val="22"/>
          <w:lang w:val="sk-SK" w:bidi="bo-CN"/>
        </w:rPr>
        <w:t xml:space="preserve">Upravený výnos na prioritnú akciu (ESP) na úrovni skupiny </w:t>
      </w:r>
      <w:r w:rsidRPr="006B2361">
        <w:rPr>
          <w:rFonts w:cs="Segoe UI"/>
          <w:szCs w:val="22"/>
          <w:lang w:val="sk-SK" w:bidi="bo-CN"/>
        </w:rPr>
        <w:t>sa zvýšil na 4,56 eur, teda o 9,2 % (pri konštantných kurzových sadzbách).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lang w:val="sk-SK" w:bidi="bo-CN"/>
        </w:rPr>
        <w:t>Všetky údaje sú len predbežné.</w:t>
      </w:r>
    </w:p>
    <w:p w14:paraId="439AEE71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lang w:val="sk-SK" w:bidi="bo-CN"/>
        </w:rPr>
        <w:t xml:space="preserve">„Napriek veľmi náročnému podnikateľskému prostrediu s bezprecedentnými narušeniami globálnych dodávateľských reťazcov, nedostatku surovín a výrazne rastúcim cenám sme dosiahli celkovo dobrý hospodársky výsledok s výrazným organickým rastom, ku ktorému prispeli všetky obchodné divízie, </w:t>
      </w:r>
      <w:r>
        <w:rPr>
          <w:rFonts w:cs="Segoe UI"/>
          <w:lang w:val="sk-SK" w:bidi="bo-CN"/>
        </w:rPr>
        <w:t xml:space="preserve">so </w:t>
      </w:r>
      <w:r w:rsidRPr="006B2361">
        <w:rPr>
          <w:rFonts w:cs="Segoe UI"/>
          <w:lang w:val="sk-SK" w:bidi="bo-CN"/>
        </w:rPr>
        <w:t>stabilnou maržou a veľmi výrazným zvýšením výnosu na akciu.</w:t>
      </w:r>
      <w:r w:rsidRPr="006B2361">
        <w:rPr>
          <w:rFonts w:cs="Segoe UI"/>
          <w:lang w:val="sk-SK"/>
        </w:rPr>
        <w:t xml:space="preserve"> </w:t>
      </w:r>
      <w:r w:rsidRPr="006B2361">
        <w:rPr>
          <w:rFonts w:cs="Segoe UI"/>
          <w:lang w:val="sk-SK" w:bidi="bo-CN"/>
        </w:rPr>
        <w:t xml:space="preserve">Je to výsledok práce globálneho tímu spoločnosti Henkel, ktorý opäť prekonal všetky očakávania, aby sme aj naďalej mohli poskytovať naše produkty a služby zákazníkom a spotrebiteľom na celom svete,“ konštatoval </w:t>
      </w:r>
      <w:proofErr w:type="spellStart"/>
      <w:r w:rsidRPr="006B2361">
        <w:rPr>
          <w:rFonts w:cs="Segoe UI"/>
          <w:szCs w:val="22"/>
          <w:lang w:val="sk-SK" w:bidi="bo-CN"/>
        </w:rPr>
        <w:t>Carsten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Knobel</w:t>
      </w:r>
      <w:proofErr w:type="spellEnd"/>
      <w:r w:rsidRPr="006B2361">
        <w:rPr>
          <w:rFonts w:cs="Segoe UI"/>
          <w:lang w:val="sk-SK" w:bidi="bo-CN"/>
        </w:rPr>
        <w:t xml:space="preserve"> </w:t>
      </w:r>
    </w:p>
    <w:p w14:paraId="29BA421D" w14:textId="77777777" w:rsidR="00D776A4" w:rsidRDefault="00D776A4" w:rsidP="00D776A4">
      <w:pPr>
        <w:spacing w:after="120"/>
        <w:rPr>
          <w:rFonts w:cs="Segoe UI"/>
          <w:b/>
          <w:bCs/>
          <w:szCs w:val="22"/>
          <w:lang w:val="sk-SK" w:bidi="bo-CN"/>
        </w:rPr>
      </w:pPr>
    </w:p>
    <w:p w14:paraId="69871CF0" w14:textId="77777777" w:rsidR="00D776A4" w:rsidRPr="006B2361" w:rsidRDefault="00D776A4" w:rsidP="00D776A4">
      <w:pPr>
        <w:spacing w:after="120"/>
        <w:rPr>
          <w:rFonts w:cs="Segoe UI"/>
          <w:b/>
          <w:bCs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t>Výhľad na rok 2022</w:t>
      </w:r>
    </w:p>
    <w:p w14:paraId="7F6E0B2F" w14:textId="77777777" w:rsidR="00D776A4" w:rsidRPr="006B2361" w:rsidRDefault="00D776A4" w:rsidP="00D776A4">
      <w:pPr>
        <w:spacing w:after="80"/>
        <w:rPr>
          <w:lang w:val="sk-SK"/>
        </w:rPr>
      </w:pPr>
      <w:r w:rsidRPr="006B2361">
        <w:rPr>
          <w:lang w:val="sk-SK" w:bidi="bo-CN"/>
        </w:rPr>
        <w:t xml:space="preserve">Po zohľadnení aktuálneho vývoja trhového prostredia, najmä pretrvávajúceho napätia na trhoch so surovinami aj v dodávateľských reťazcoch a neustále sa zvyšujúcich priamych materiálových nákladov, spoločnosť Henkel predstavila svoj </w:t>
      </w:r>
      <w:r w:rsidRPr="006B2361">
        <w:rPr>
          <w:b/>
          <w:bCs/>
          <w:lang w:val="sk-SK" w:bidi="bo-CN"/>
        </w:rPr>
        <w:t>výhľad na finančný rok 2022</w:t>
      </w:r>
      <w:r w:rsidRPr="006B2361">
        <w:rPr>
          <w:lang w:val="sk-SK" w:bidi="bo-CN"/>
        </w:rPr>
        <w:t xml:space="preserve"> (na základe súčasnej štruktúry s tromi obchodnými divíziami).</w:t>
      </w:r>
    </w:p>
    <w:p w14:paraId="3BB00EC6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Na úrovni skupiny spoločnosť </w:t>
      </w:r>
      <w:r w:rsidRPr="006B2361">
        <w:rPr>
          <w:rFonts w:cs="Segoe UI"/>
          <w:b/>
          <w:bCs/>
          <w:szCs w:val="22"/>
          <w:lang w:val="sk-SK" w:bidi="bo-CN"/>
        </w:rPr>
        <w:t>Henkel</w:t>
      </w:r>
      <w:r w:rsidRPr="006B2361">
        <w:rPr>
          <w:rFonts w:cs="Segoe UI"/>
          <w:szCs w:val="22"/>
          <w:lang w:val="sk-SK" w:bidi="bo-CN"/>
        </w:rPr>
        <w:t xml:space="preserve"> očakáva v roku 2022 organický rast obratu v rozpätí 2 až 4 %.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6B2361">
        <w:rPr>
          <w:rFonts w:cs="Segoe UI"/>
          <w:szCs w:val="22"/>
          <w:lang w:val="sk-SK" w:bidi="bo-CN"/>
        </w:rPr>
        <w:t xml:space="preserve"> sa očakáva organický rast obratu od 5 do 7</w:t>
      </w:r>
      <w:r>
        <w:rPr>
          <w:rFonts w:cs="Segoe UI"/>
          <w:szCs w:val="22"/>
          <w:lang w:val="sk-SK" w:bidi="bo-CN"/>
        </w:rPr>
        <w:t> </w:t>
      </w:r>
      <w:r w:rsidRPr="006B2361">
        <w:rPr>
          <w:rFonts w:cs="Segoe UI"/>
          <w:szCs w:val="22"/>
          <w:lang w:val="sk-SK" w:bidi="bo-CN"/>
        </w:rPr>
        <w:t>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U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sa predpokladá záporný vývoj organického obratu v pásme od -5 do -3 %.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lang w:val="sk-SK" w:bidi="bo-CN"/>
        </w:rPr>
        <w:t>Hlavnou príčinou tohto poklesu sú opatrenia, o ktorých už bolo rozhodnuté</w:t>
      </w:r>
      <w:r>
        <w:rPr>
          <w:lang w:val="sk-SK" w:bidi="bo-CN"/>
        </w:rPr>
        <w:t xml:space="preserve">, a majú za cieľ </w:t>
      </w:r>
      <w:r w:rsidRPr="006B2361">
        <w:rPr>
          <w:lang w:val="sk-SK" w:bidi="bo-CN"/>
        </w:rPr>
        <w:t>zlepšiť jej portfólio</w:t>
      </w:r>
      <w:r>
        <w:rPr>
          <w:lang w:val="sk-SK" w:bidi="bo-CN"/>
        </w:rPr>
        <w:t xml:space="preserve">. Tieto zahŕňajú aj </w:t>
      </w:r>
      <w:r w:rsidRPr="009B0341">
        <w:rPr>
          <w:lang w:val="sk-SK" w:bidi="bo-CN"/>
        </w:rPr>
        <w:t>ukončeni</w:t>
      </w:r>
      <w:r>
        <w:rPr>
          <w:lang w:val="sk-SK" w:bidi="bo-CN"/>
        </w:rPr>
        <w:t>e</w:t>
      </w:r>
      <w:r w:rsidRPr="009B0341">
        <w:rPr>
          <w:lang w:val="sk-SK" w:bidi="bo-CN"/>
        </w:rPr>
        <w:t xml:space="preserve"> aktivít, ktoré nebudú súčasťou budúcich kľúčových podnikateľských činností</w:t>
      </w:r>
      <w:r>
        <w:rPr>
          <w:lang w:val="sk-SK" w:bidi="bo-CN"/>
        </w:rPr>
        <w:t xml:space="preserve">, a za rok 2021 </w:t>
      </w:r>
      <w:r w:rsidRPr="009B0341">
        <w:rPr>
          <w:lang w:val="sk-SK" w:bidi="bo-CN"/>
        </w:rPr>
        <w:t>tvoria približne 5 % obratu divízie</w:t>
      </w:r>
      <w:r w:rsidRPr="006B2361">
        <w:rPr>
          <w:lang w:val="sk-SK" w:bidi="bo-CN"/>
        </w:rPr>
        <w:t xml:space="preserve">. </w:t>
      </w:r>
      <w:r w:rsidRPr="006B2361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r w:rsidRPr="006B2361">
        <w:rPr>
          <w:rFonts w:cs="Segoe UI"/>
          <w:szCs w:val="22"/>
          <w:lang w:val="sk-SK" w:bidi="bo-CN"/>
        </w:rPr>
        <w:t>sa očakáva organický rast o 2 až 4 %.</w:t>
      </w:r>
    </w:p>
    <w:p w14:paraId="6C338FC7" w14:textId="77777777" w:rsidR="00D776A4" w:rsidRPr="006B2361" w:rsidRDefault="00D776A4" w:rsidP="00D776A4">
      <w:pPr>
        <w:spacing w:after="80"/>
        <w:rPr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Očakávaná </w:t>
      </w:r>
      <w:r w:rsidRPr="006B2361">
        <w:rPr>
          <w:rFonts w:cs="Segoe UI"/>
          <w:b/>
          <w:bCs/>
          <w:szCs w:val="22"/>
          <w:lang w:val="sk-SK" w:bidi="bo-CN"/>
        </w:rPr>
        <w:t>upravená výnosnosť predaja (marža EBIT)</w:t>
      </w:r>
      <w:r w:rsidRPr="006B2361">
        <w:rPr>
          <w:rFonts w:cs="Segoe UI"/>
          <w:szCs w:val="22"/>
          <w:lang w:val="sk-SK" w:bidi="bo-CN"/>
        </w:rPr>
        <w:t xml:space="preserve"> na úrovni skupiny sa pohybuje v rozsahu 11,5 až 13,5 %.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6B2361">
        <w:rPr>
          <w:b/>
          <w:bCs/>
          <w:lang w:val="sk-SK" w:bidi="bo-CN"/>
        </w:rPr>
        <w:t>Adhesive</w:t>
      </w:r>
      <w:proofErr w:type="spellEnd"/>
      <w:r w:rsidRPr="006B2361">
        <w:rPr>
          <w:b/>
          <w:bCs/>
          <w:lang w:val="sk-SK" w:bidi="bo-CN"/>
        </w:rPr>
        <w:t xml:space="preserve"> Technologies</w:t>
      </w:r>
      <w:r w:rsidRPr="006B2361">
        <w:rPr>
          <w:rFonts w:cs="Segoe UI"/>
          <w:szCs w:val="22"/>
          <w:lang w:val="sk-SK" w:bidi="bo-CN"/>
        </w:rPr>
        <w:t xml:space="preserve"> sa očakáva upravená výnosnosť predaja na úrovni 15 až 17 %, v prípade divízie </w:t>
      </w:r>
      <w:proofErr w:type="spellStart"/>
      <w:r w:rsidRPr="006B2361">
        <w:rPr>
          <w:b/>
          <w:bCs/>
          <w:lang w:val="sk-SK" w:bidi="bo-CN"/>
        </w:rPr>
        <w:t>Beauty</w:t>
      </w:r>
      <w:proofErr w:type="spellEnd"/>
      <w:r w:rsidRPr="006B2361">
        <w:rPr>
          <w:b/>
          <w:bCs/>
          <w:lang w:val="sk-SK" w:bidi="bo-CN"/>
        </w:rPr>
        <w:t xml:space="preserve"> </w:t>
      </w:r>
      <w:proofErr w:type="spellStart"/>
      <w:r w:rsidRPr="006B2361">
        <w:rPr>
          <w:b/>
          <w:bCs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7,2 až 10 % a v prípade divízie </w:t>
      </w:r>
      <w:proofErr w:type="spellStart"/>
      <w:r w:rsidRPr="006B2361">
        <w:rPr>
          <w:b/>
          <w:bCs/>
          <w:lang w:val="sk-SK" w:bidi="bo-CN"/>
        </w:rPr>
        <w:t>Laundry</w:t>
      </w:r>
      <w:proofErr w:type="spellEnd"/>
      <w:r w:rsidRPr="006B2361">
        <w:rPr>
          <w:b/>
          <w:bCs/>
          <w:lang w:val="sk-SK" w:bidi="bo-CN"/>
        </w:rPr>
        <w:t xml:space="preserve"> &amp; Home </w:t>
      </w:r>
      <w:proofErr w:type="spellStart"/>
      <w:r w:rsidRPr="006B2361">
        <w:rPr>
          <w:b/>
          <w:bCs/>
          <w:lang w:val="sk-SK" w:bidi="bo-CN"/>
        </w:rPr>
        <w:t>Care</w:t>
      </w:r>
      <w:proofErr w:type="spellEnd"/>
      <w:r w:rsidRPr="006B2361">
        <w:rPr>
          <w:rFonts w:cs="Segoe UI"/>
          <w:szCs w:val="22"/>
          <w:lang w:val="sk-SK" w:bidi="bo-CN"/>
        </w:rPr>
        <w:t xml:space="preserve"> v rozpätí od 10,5 do 13 %.</w:t>
      </w:r>
      <w:r w:rsidRPr="006B2361">
        <w:rPr>
          <w:lang w:val="sk-SK"/>
        </w:rPr>
        <w:t xml:space="preserve"> </w:t>
      </w:r>
    </w:p>
    <w:p w14:paraId="111FBAEF" w14:textId="77777777" w:rsidR="00D776A4" w:rsidRPr="006B2361" w:rsidRDefault="00D776A4" w:rsidP="00D776A4">
      <w:pPr>
        <w:spacing w:after="80"/>
        <w:rPr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lastRenderedPageBreak/>
        <w:t xml:space="preserve">Upravený výnos na prioritnú akciu (EPS) </w:t>
      </w:r>
      <w:r w:rsidRPr="006B2361">
        <w:rPr>
          <w:rFonts w:cs="Segoe UI"/>
          <w:szCs w:val="22"/>
          <w:lang w:val="sk-SK" w:bidi="bo-CN"/>
        </w:rPr>
        <w:t xml:space="preserve">by sa mal na úrovni skupiny pohybovať v rozpätí od -15 do +5 % (pri konštantných kurzových sadzbách), v čom je zohľadnená vysoká miera trhovej neistoty a volatility. </w:t>
      </w:r>
    </w:p>
    <w:p w14:paraId="09531D32" w14:textId="77777777" w:rsidR="00D776A4" w:rsidRDefault="00D776A4" w:rsidP="00D776A4">
      <w:pPr>
        <w:spacing w:after="80"/>
        <w:ind w:right="-108"/>
        <w:jc w:val="left"/>
        <w:rPr>
          <w:rFonts w:asciiTheme="majorHAnsi" w:hAnsiTheme="majorHAnsi" w:cs="Calibri Light"/>
          <w:b/>
          <w:szCs w:val="22"/>
          <w:lang w:val="sk-SK" w:bidi="bo-CN"/>
        </w:rPr>
      </w:pPr>
    </w:p>
    <w:p w14:paraId="5493CDBF" w14:textId="77777777" w:rsidR="00D776A4" w:rsidRDefault="00D776A4" w:rsidP="00D776A4">
      <w:pPr>
        <w:spacing w:after="80"/>
        <w:ind w:right="-108"/>
        <w:jc w:val="left"/>
        <w:rPr>
          <w:rFonts w:asciiTheme="majorHAnsi" w:hAnsiTheme="majorHAnsi" w:cs="Calibri Light"/>
          <w:b/>
          <w:szCs w:val="22"/>
          <w:lang w:val="sk-SK" w:bidi="bo-CN"/>
        </w:rPr>
      </w:pPr>
    </w:p>
    <w:p w14:paraId="4548F646" w14:textId="77777777" w:rsidR="00D776A4" w:rsidRDefault="00D776A4" w:rsidP="00D776A4">
      <w:pPr>
        <w:spacing w:after="80"/>
        <w:ind w:right="-108"/>
        <w:jc w:val="left"/>
        <w:rPr>
          <w:rFonts w:asciiTheme="majorHAnsi" w:hAnsiTheme="majorHAnsi" w:cs="Calibri Light"/>
          <w:b/>
          <w:szCs w:val="22"/>
          <w:lang w:val="sk-SK" w:bidi="bo-CN"/>
        </w:rPr>
      </w:pPr>
    </w:p>
    <w:p w14:paraId="1B1CA5C3" w14:textId="77777777" w:rsidR="00D776A4" w:rsidRPr="006B2361" w:rsidRDefault="00D776A4" w:rsidP="00D776A4">
      <w:pPr>
        <w:spacing w:after="80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6B2361">
        <w:rPr>
          <w:rFonts w:asciiTheme="majorHAnsi" w:hAnsiTheme="majorHAnsi" w:cs="Calibri Light"/>
          <w:b/>
          <w:szCs w:val="22"/>
          <w:lang w:val="sk-SK" w:bidi="bo-CN"/>
        </w:rPr>
        <w:t>Nové stredno</w:t>
      </w:r>
      <w:r>
        <w:rPr>
          <w:rFonts w:asciiTheme="majorHAnsi" w:hAnsiTheme="majorHAnsi" w:cs="Calibri Light"/>
          <w:b/>
          <w:szCs w:val="22"/>
          <w:lang w:val="sk-SK" w:bidi="bo-CN"/>
        </w:rPr>
        <w:t>-</w:t>
      </w:r>
      <w:r w:rsidRPr="006B2361">
        <w:rPr>
          <w:rFonts w:asciiTheme="majorHAnsi" w:hAnsiTheme="majorHAnsi" w:cs="Calibri Light"/>
          <w:b/>
          <w:szCs w:val="22"/>
          <w:lang w:val="sk-SK" w:bidi="bo-CN"/>
        </w:rPr>
        <w:t xml:space="preserve"> až dlhodobé finančné ambície</w:t>
      </w:r>
    </w:p>
    <w:p w14:paraId="350FE482" w14:textId="692B5715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 xml:space="preserve">Nová </w:t>
      </w:r>
      <w:proofErr w:type="spellStart"/>
      <w:r w:rsidRPr="006B2361">
        <w:rPr>
          <w:rFonts w:cs="Segoe UI"/>
          <w:szCs w:val="22"/>
          <w:lang w:val="sk-SK" w:bidi="bo-CN"/>
        </w:rPr>
        <w:t>multiproduktová</w:t>
      </w:r>
      <w:proofErr w:type="spellEnd"/>
      <w:r w:rsidRPr="006B2361">
        <w:rPr>
          <w:rFonts w:cs="Segoe UI"/>
          <w:szCs w:val="22"/>
          <w:lang w:val="sk-SK" w:bidi="bo-CN"/>
        </w:rPr>
        <w:t xml:space="preserve"> platforma a spoločný manažérsky tím pre spotrebný tovar by mali byť zdrojom rastu a ziskovosti tak spotrebiteľskej divízie, ako aj celej skupiny.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>V rámci svojho stredno</w:t>
      </w:r>
      <w:r w:rsidR="00EB440D">
        <w:rPr>
          <w:rFonts w:cs="Segoe UI"/>
          <w:szCs w:val="22"/>
          <w:lang w:val="sk-SK" w:bidi="bo-CN"/>
        </w:rPr>
        <w:t>-</w:t>
      </w:r>
      <w:r w:rsidRPr="006B2361">
        <w:rPr>
          <w:rFonts w:cs="Segoe UI"/>
          <w:szCs w:val="22"/>
          <w:lang w:val="sk-SK" w:bidi="bo-CN"/>
        </w:rPr>
        <w:t xml:space="preserve"> až dlhodobého finančného výhľadu má spoločnosť Henkel za cieľ udržateľným spôsobom zvýšiť rast a maržu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a dosiahnuť organický rast obratu na úrovni 3 až 4 % a upravenú maržu EBIT v hornej polovici druhej desiatky percentuálneho pásma.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6B2361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6B2361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6B2361">
        <w:rPr>
          <w:rFonts w:cs="Segoe UI"/>
          <w:szCs w:val="22"/>
          <w:lang w:val="sk-SK" w:bidi="bo-CN"/>
        </w:rPr>
        <w:t xml:space="preserve"> má spoločnosť Henkel ambíciu dosiahnuť 3 až 5 % organický rast obratu a upravenú maržu EBIT na hornej hranici druhej desiatky percentuálneho pásma.</w:t>
      </w:r>
      <w:r w:rsidRPr="006B2361">
        <w:rPr>
          <w:rFonts w:cs="Segoe UI"/>
          <w:szCs w:val="22"/>
          <w:lang w:val="sk-SK"/>
        </w:rPr>
        <w:t xml:space="preserve"> </w:t>
      </w:r>
    </w:p>
    <w:p w14:paraId="3DBE31AF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Na základe týchto predpokladov by sa mal stredno</w:t>
      </w:r>
      <w:r>
        <w:rPr>
          <w:rFonts w:cs="Segoe UI"/>
          <w:szCs w:val="22"/>
          <w:lang w:val="sk-SK" w:bidi="bo-CN"/>
        </w:rPr>
        <w:t>-</w:t>
      </w:r>
      <w:r w:rsidRPr="006B2361">
        <w:rPr>
          <w:rFonts w:cs="Segoe UI"/>
          <w:szCs w:val="22"/>
          <w:lang w:val="sk-SK" w:bidi="bo-CN"/>
        </w:rPr>
        <w:t xml:space="preserve"> až dlhodobý organický rast obratu na úrovni </w:t>
      </w:r>
      <w:r w:rsidRPr="006B2361">
        <w:rPr>
          <w:rFonts w:cs="Segoe UI"/>
          <w:b/>
          <w:bCs/>
          <w:szCs w:val="22"/>
          <w:lang w:val="sk-SK" w:bidi="bo-CN"/>
        </w:rPr>
        <w:t>skupiny</w:t>
      </w:r>
      <w:r w:rsidRPr="006B2361">
        <w:rPr>
          <w:rFonts w:cs="Segoe UI"/>
          <w:szCs w:val="22"/>
          <w:lang w:val="sk-SK" w:bidi="bo-CN"/>
        </w:rPr>
        <w:t xml:space="preserve"> pohybovať od 3 do 4 %, upravená marža EBIT okolo úrovne 16 % a upravený výnos na prioritnú akciu by mal dosiahnuť stredný až vysoký jednociferný percentuálny nárast (pri konštantných kurzových sadzbách a vrátane akvizícií).</w:t>
      </w:r>
      <w:r w:rsidRPr="006B2361">
        <w:rPr>
          <w:rFonts w:cs="Segoe UI"/>
          <w:szCs w:val="22"/>
          <w:lang w:val="sk-SK"/>
        </w:rPr>
        <w:t xml:space="preserve"> </w:t>
      </w:r>
      <w:r w:rsidRPr="006B2361">
        <w:rPr>
          <w:rFonts w:cs="Segoe UI"/>
          <w:szCs w:val="22"/>
          <w:lang w:val="sk-SK" w:bidi="bo-CN"/>
        </w:rPr>
        <w:t xml:space="preserve">Spoločnosť Henkel sa zároveň bude aj naďalej zameriavať na rozširovanie svojho voľného cash </w:t>
      </w:r>
      <w:proofErr w:type="spellStart"/>
      <w:r w:rsidRPr="006B2361">
        <w:rPr>
          <w:rFonts w:cs="Segoe UI"/>
          <w:szCs w:val="22"/>
          <w:lang w:val="sk-SK" w:bidi="bo-CN"/>
        </w:rPr>
        <w:t>flow</w:t>
      </w:r>
      <w:proofErr w:type="spellEnd"/>
      <w:r w:rsidRPr="006B2361">
        <w:rPr>
          <w:rFonts w:cs="Segoe UI"/>
          <w:szCs w:val="22"/>
          <w:lang w:val="sk-SK" w:bidi="bo-CN"/>
        </w:rPr>
        <w:t>.</w:t>
      </w:r>
      <w:r w:rsidRPr="006B2361">
        <w:rPr>
          <w:rFonts w:cs="Segoe UI"/>
          <w:szCs w:val="22"/>
          <w:lang w:val="sk-SK"/>
        </w:rPr>
        <w:t xml:space="preserve"> </w:t>
      </w:r>
    </w:p>
    <w:p w14:paraId="4484D3FA" w14:textId="77777777" w:rsidR="00D776A4" w:rsidRDefault="00D776A4" w:rsidP="00D776A4">
      <w:pPr>
        <w:spacing w:after="80"/>
        <w:rPr>
          <w:rFonts w:cs="Segoe UI"/>
          <w:b/>
          <w:bCs/>
          <w:szCs w:val="22"/>
          <w:lang w:val="sk-SK" w:bidi="bo-CN"/>
        </w:rPr>
      </w:pPr>
    </w:p>
    <w:p w14:paraId="36C4E9A6" w14:textId="77777777" w:rsidR="00D776A4" w:rsidRPr="006B2361" w:rsidRDefault="00D776A4" w:rsidP="00D776A4">
      <w:pPr>
        <w:spacing w:after="80"/>
        <w:rPr>
          <w:rFonts w:cs="Segoe UI"/>
          <w:b/>
          <w:bCs/>
          <w:szCs w:val="22"/>
          <w:lang w:val="sk-SK"/>
        </w:rPr>
      </w:pPr>
      <w:r w:rsidRPr="006B2361">
        <w:rPr>
          <w:rFonts w:cs="Segoe UI"/>
          <w:b/>
          <w:bCs/>
          <w:szCs w:val="22"/>
          <w:lang w:val="sk-SK" w:bidi="bo-CN"/>
        </w:rPr>
        <w:t>Ďalšie kroky</w:t>
      </w:r>
    </w:p>
    <w:p w14:paraId="3B445840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Henkel čo najskôr začne informačný a konzultačný proces s príslušnými zástupcami zamestnancov, keďže pripravované zlúčenie bude mať vplyv aj na zamestnancov oboch obchodných divízií na celom svete.</w:t>
      </w:r>
    </w:p>
    <w:p w14:paraId="47FA6C03" w14:textId="77777777" w:rsidR="00D776A4" w:rsidRPr="006B2361" w:rsidRDefault="00D776A4" w:rsidP="00D776A4">
      <w:pPr>
        <w:spacing w:after="8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Ďalšie podrobnosti týkajúce sa obchodných výsledkov za finančný rok 2021 a výhľadu na rok 2022, ako aj aktuálne informácie o postupe a ďalších krokoch realizovaných v rámci strategickej firemnej agendy pre zmysluplný rast budú prezentované na analytickej a tlačovej konferencii 23. februára 2022.</w:t>
      </w:r>
    </w:p>
    <w:p w14:paraId="6D0E83FB" w14:textId="77777777" w:rsidR="00D776A4" w:rsidRPr="006B2361" w:rsidRDefault="00D776A4" w:rsidP="00D776A4">
      <w:pPr>
        <w:spacing w:after="120"/>
        <w:rPr>
          <w:rFonts w:cs="Segoe UI"/>
          <w:szCs w:val="22"/>
          <w:lang w:val="sk-SK"/>
        </w:rPr>
      </w:pPr>
      <w:r w:rsidRPr="006B2361">
        <w:rPr>
          <w:rFonts w:cs="Segoe UI"/>
          <w:szCs w:val="22"/>
          <w:lang w:val="sk-SK" w:bidi="bo-CN"/>
        </w:rPr>
        <w:t>Podrobnejšie informácie o priebehu integrácie dvoch spotrebiteľských obchodných divízií a plánované opatrenia týkajúce sa ich portfólia vrátane očakávaných synergií a nákladov na reštrukturalizáciu budú zverejnené spolu so správou za prvý štvrťrok 5. mája 2022.</w:t>
      </w:r>
      <w:r w:rsidRPr="006B2361">
        <w:rPr>
          <w:rFonts w:cs="Segoe UI"/>
          <w:szCs w:val="22"/>
          <w:lang w:val="sk-SK"/>
        </w:rPr>
        <w:t xml:space="preserve"> </w:t>
      </w:r>
    </w:p>
    <w:p w14:paraId="7841F39D" w14:textId="63C46D10" w:rsidR="0028371F" w:rsidRDefault="00D776A4" w:rsidP="00D776A4">
      <w:pPr>
        <w:spacing w:after="120"/>
        <w:rPr>
          <w:rFonts w:cs="Segoe UI"/>
          <w:szCs w:val="22"/>
          <w:lang w:val="sk-SK" w:bidi="bo-CN"/>
        </w:rPr>
      </w:pPr>
      <w:r w:rsidRPr="006B2361">
        <w:rPr>
          <w:rFonts w:cs="Segoe UI"/>
          <w:szCs w:val="22"/>
          <w:lang w:val="sk-SK" w:bidi="bo-CN"/>
        </w:rPr>
        <w:t xml:space="preserve">Podrobné aktualizované informácie za obidve obchodné divízie – </w:t>
      </w:r>
      <w:proofErr w:type="spellStart"/>
      <w:r w:rsidRPr="006B2361">
        <w:rPr>
          <w:rFonts w:cs="Segoe UI"/>
          <w:szCs w:val="22"/>
          <w:lang w:val="sk-SK" w:bidi="bo-CN"/>
        </w:rPr>
        <w:t>Consumer</w:t>
      </w:r>
      <w:proofErr w:type="spellEnd"/>
      <w:r w:rsidRPr="006B2361">
        <w:rPr>
          <w:rFonts w:cs="Segoe UI"/>
          <w:szCs w:val="22"/>
          <w:lang w:val="sk-SK" w:bidi="bo-CN"/>
        </w:rPr>
        <w:t xml:space="preserve"> </w:t>
      </w:r>
      <w:proofErr w:type="spellStart"/>
      <w:r w:rsidRPr="006B2361">
        <w:rPr>
          <w:rFonts w:cs="Segoe UI"/>
          <w:szCs w:val="22"/>
          <w:lang w:val="sk-SK" w:bidi="bo-CN"/>
        </w:rPr>
        <w:t>Brands</w:t>
      </w:r>
      <w:proofErr w:type="spellEnd"/>
      <w:r w:rsidRPr="006B2361">
        <w:rPr>
          <w:rFonts w:cs="Segoe UI"/>
          <w:szCs w:val="22"/>
          <w:lang w:val="sk-SK" w:bidi="bo-CN"/>
        </w:rPr>
        <w:t xml:space="preserve"> a </w:t>
      </w:r>
      <w:proofErr w:type="spellStart"/>
      <w:r w:rsidRPr="006B2361">
        <w:rPr>
          <w:rFonts w:cs="Segoe UI"/>
          <w:szCs w:val="22"/>
          <w:lang w:val="sk-SK" w:bidi="bo-CN"/>
        </w:rPr>
        <w:t>Adhesive</w:t>
      </w:r>
      <w:proofErr w:type="spellEnd"/>
      <w:r w:rsidRPr="006B2361">
        <w:rPr>
          <w:rFonts w:cs="Segoe UI"/>
          <w:szCs w:val="22"/>
          <w:lang w:val="sk-SK" w:bidi="bo-CN"/>
        </w:rPr>
        <w:t xml:space="preserve"> Technologies – budú zverejnené počas dňa pre investorov v priebehu roka 2022.</w:t>
      </w:r>
      <w:bookmarkEnd w:id="2"/>
    </w:p>
    <w:p w14:paraId="6103C614" w14:textId="77777777" w:rsidR="00D776A4" w:rsidRPr="00D776A4" w:rsidRDefault="00D776A4" w:rsidP="00D776A4">
      <w:pPr>
        <w:spacing w:after="120"/>
        <w:rPr>
          <w:rStyle w:val="AboutandContactHeadline"/>
          <w:rFonts w:cs="Segoe UI"/>
          <w:b w:val="0"/>
          <w:bCs w:val="0"/>
          <w:sz w:val="22"/>
          <w:szCs w:val="22"/>
          <w:lang w:val="sk-SK"/>
        </w:rPr>
      </w:pPr>
    </w:p>
    <w:p w14:paraId="160E7297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 w:eastAsia="zh-CN"/>
        </w:rPr>
      </w:pPr>
      <w:r w:rsidRPr="00773F91">
        <w:rPr>
          <w:rFonts w:asciiTheme="minorHAnsi" w:hAnsiTheme="minorHAnsi" w:cstheme="minorHAnsi"/>
          <w:b/>
          <w:bCs/>
          <w:sz w:val="24"/>
          <w:lang w:val="sk-SK"/>
        </w:rPr>
        <w:lastRenderedPageBreak/>
        <w:t>O spoločnosti Henkel</w:t>
      </w:r>
    </w:p>
    <w:p w14:paraId="63DC4FEB" w14:textId="77777777" w:rsidR="00AF7ECE" w:rsidRPr="00AF7ECE" w:rsidRDefault="00AF7ECE" w:rsidP="00AF7ECE">
      <w:pPr>
        <w:spacing w:line="240" w:lineRule="auto"/>
        <w:rPr>
          <w:rFonts w:cstheme="minorHAnsi"/>
          <w:color w:val="000000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</w:t>
      </w:r>
      <w:proofErr w:type="spellStart"/>
      <w:r w:rsidRPr="00AF7ECE">
        <w:rPr>
          <w:rFonts w:cstheme="minorHAnsi"/>
          <w:sz w:val="18"/>
          <w:szCs w:val="16"/>
          <w:lang w:val="sk-SK"/>
        </w:rPr>
        <w:t>Laundry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&amp; Home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a </w:t>
      </w:r>
      <w:proofErr w:type="spellStart"/>
      <w:r w:rsidRPr="00AF7ECE">
        <w:rPr>
          <w:rFonts w:cstheme="minorHAnsi"/>
          <w:sz w:val="18"/>
          <w:szCs w:val="16"/>
          <w:lang w:val="sk-SK"/>
        </w:rPr>
        <w:t>Beauty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</w:t>
      </w:r>
      <w:proofErr w:type="spellStart"/>
      <w:r w:rsidRPr="00AF7ECE">
        <w:rPr>
          <w:rFonts w:cstheme="minorHAnsi"/>
          <w:sz w:val="18"/>
          <w:szCs w:val="16"/>
          <w:lang w:val="sk-SK"/>
        </w:rPr>
        <w:t>Care</w:t>
      </w:r>
      <w:proofErr w:type="spellEnd"/>
      <w:r w:rsidRPr="00AF7ECE">
        <w:rPr>
          <w:rFonts w:cstheme="minorHAnsi"/>
          <w:sz w:val="18"/>
          <w:szCs w:val="16"/>
          <w:lang w:val="sk-SK"/>
        </w:rPr>
        <w:t xml:space="preserve"> je Henkel na vedúcich pozíciách na viacerých trhoch a v kategóriách vo svete. Spoločnosť bola založená v roku 1876 a má za sebou viac než 140 úspešných rokov. V roku 2020 dosiahla obrat vo výške 19 mld. eur a upravený prevádzkový zisk približne vo výške 2,6 mld. eur. Henkel zamestnáva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AF7ECE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www.henkel.com</w:t>
        </w:r>
      </w:hyperlink>
      <w:r w:rsidRPr="00AF7ECE">
        <w:rPr>
          <w:rFonts w:cstheme="minorHAnsi"/>
          <w:color w:val="000000"/>
          <w:sz w:val="18"/>
          <w:szCs w:val="16"/>
          <w:lang w:val="sk-SK"/>
        </w:rPr>
        <w:t>.</w:t>
      </w:r>
    </w:p>
    <w:p w14:paraId="3EF9D3C6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color w:val="000000"/>
          <w:sz w:val="24"/>
          <w:lang w:val="sk-SK"/>
        </w:rPr>
      </w:pPr>
    </w:p>
    <w:p w14:paraId="6D97C47E" w14:textId="77777777" w:rsidR="00AF7ECE" w:rsidRPr="00AF7ECE" w:rsidRDefault="00AF7ECE" w:rsidP="00AF7ECE">
      <w:pPr>
        <w:spacing w:line="278" w:lineRule="auto"/>
        <w:rPr>
          <w:rFonts w:cstheme="minorHAnsi"/>
          <w:b/>
          <w:bCs/>
          <w:sz w:val="18"/>
          <w:szCs w:val="16"/>
          <w:lang w:val="sk-SK"/>
        </w:rPr>
      </w:pPr>
      <w:r w:rsidRPr="00AF7ECE">
        <w:rPr>
          <w:rFonts w:cstheme="minorHAnsi"/>
          <w:b/>
          <w:bCs/>
          <w:sz w:val="18"/>
          <w:szCs w:val="16"/>
          <w:lang w:val="sk-SK"/>
        </w:rPr>
        <w:t>O spoločnosti Henkel Slovensko</w:t>
      </w:r>
    </w:p>
    <w:p w14:paraId="725A050A" w14:textId="6A24D3AC" w:rsidR="00AF7ECE" w:rsidRPr="002A4EF2" w:rsidRDefault="00AF7ECE" w:rsidP="00AF7ECE">
      <w:pPr>
        <w:spacing w:line="240" w:lineRule="auto"/>
        <w:rPr>
          <w:rFonts w:cs="Arial"/>
          <w:sz w:val="18"/>
          <w:szCs w:val="16"/>
          <w:lang w:val="sk-SK"/>
        </w:rPr>
      </w:pPr>
      <w:r w:rsidRPr="00AF7ECE">
        <w:rPr>
          <w:rFonts w:cstheme="minorHAnsi"/>
          <w:sz w:val="18"/>
          <w:szCs w:val="16"/>
          <w:lang w:val="sk-SK" w:bidi="sk-SK"/>
        </w:rPr>
        <w:t>Na Slovensku pôsobí Henkel vo všetkých troch strategických oblastiach už od roku 1991 a zároveň je HENKEL SLOVENSKO spol. s r. o. pôsobiskom najväčšej expertnej pobočky Global Business Solutions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spoločnosti Henkel</w:t>
      </w:r>
      <w:r w:rsidRPr="00AF7ECE">
        <w:rPr>
          <w:rFonts w:cstheme="minorHAnsi"/>
          <w:sz w:val="18"/>
          <w:szCs w:val="16"/>
          <w:lang w:val="sk-SK" w:bidi="sk-SK"/>
        </w:rPr>
        <w:t xml:space="preserve"> celosvetovo. 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Global Business Solutions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> Bratislava ‏(GBS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vertAlign w:val="superscript"/>
          <w:lang w:val="sk-SK"/>
        </w:rPr>
        <w:t>+</w:t>
      </w:r>
      <w:r w:rsidRPr="00AF7ECE">
        <w:rPr>
          <w:rFonts w:cstheme="minorHAnsi"/>
          <w:color w:val="000000"/>
          <w:sz w:val="18"/>
          <w:szCs w:val="16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</w:t>
      </w:r>
      <w:r w:rsidRPr="00AF7ECE">
        <w:rPr>
          <w:rFonts w:cstheme="minorHAnsi"/>
          <w:sz w:val="18"/>
          <w:szCs w:val="16"/>
          <w:lang w:val="sk-SK" w:bidi="sk-SK"/>
        </w:rPr>
        <w:t>HENKEL SLOVENSKO spol. s r. o.  predáva viac ako 50 značiek a dnes zamestnáva, spolu s GBS</w:t>
      </w:r>
      <w:r w:rsidRPr="00AF7ECE">
        <w:rPr>
          <w:rFonts w:cstheme="minorHAnsi"/>
          <w:sz w:val="18"/>
          <w:szCs w:val="16"/>
          <w:vertAlign w:val="superscript"/>
          <w:lang w:val="sk-SK" w:bidi="sk-SK"/>
        </w:rPr>
        <w:t>+</w:t>
      </w:r>
      <w:r w:rsidRPr="00AF7ECE">
        <w:rPr>
          <w:rFonts w:cstheme="minorHAnsi"/>
          <w:sz w:val="18"/>
          <w:szCs w:val="16"/>
          <w:lang w:val="sk-SK" w:bidi="sk-SK"/>
        </w:rPr>
        <w:t xml:space="preserve"> Bratislava, viac ako 1 800 pracovníkov. </w:t>
      </w:r>
      <w:r w:rsidRPr="002A4EF2">
        <w:rPr>
          <w:rFonts w:cstheme="minorHAnsi"/>
          <w:sz w:val="18"/>
          <w:szCs w:val="16"/>
          <w:lang w:val="sk-SK"/>
        </w:rPr>
        <w:t xml:space="preserve">Viac informácií nájdete na stránke </w:t>
      </w:r>
      <w:hyperlink r:id="rId12" w:history="1">
        <w:r w:rsidRPr="002A4EF2">
          <w:rPr>
            <w:rStyle w:val="Hypertextovprepojenie"/>
            <w:rFonts w:eastAsiaTheme="majorEastAsia" w:cstheme="minorHAnsi"/>
            <w:sz w:val="14"/>
            <w:szCs w:val="16"/>
            <w:lang w:val="sk-SK"/>
          </w:rPr>
          <w:t>www.henkel.sk</w:t>
        </w:r>
      </w:hyperlink>
      <w:r w:rsidRPr="002A4EF2">
        <w:rPr>
          <w:rFonts w:cs="Arial"/>
          <w:sz w:val="18"/>
          <w:szCs w:val="16"/>
          <w:lang w:val="sk-SK" w:bidi="sk-SK"/>
        </w:rPr>
        <w:t>.</w:t>
      </w:r>
    </w:p>
    <w:p w14:paraId="028046CC" w14:textId="77777777" w:rsidR="00AF7ECE" w:rsidRPr="002A4EF2" w:rsidRDefault="00AF7ECE" w:rsidP="00AF7ECE">
      <w:pPr>
        <w:spacing w:line="278" w:lineRule="auto"/>
        <w:rPr>
          <w:sz w:val="18"/>
          <w:lang w:val="sk-SK"/>
        </w:rPr>
      </w:pPr>
    </w:p>
    <w:p w14:paraId="1B423C7B" w14:textId="77777777" w:rsidR="00C50C62" w:rsidRPr="00773F91" w:rsidRDefault="00C50C62" w:rsidP="00C50C62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</w:p>
    <w:p w14:paraId="5716F14E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Cs/>
          <w:sz w:val="24"/>
          <w:lang w:val="sk-SK" w:eastAsia="de-DE"/>
        </w:rPr>
      </w:pPr>
    </w:p>
    <w:p w14:paraId="26342723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9CE2F79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</w:p>
    <w:p w14:paraId="360012E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b/>
          <w:sz w:val="24"/>
          <w:lang w:val="sk-SK" w:eastAsia="de-DE"/>
        </w:rPr>
      </w:pPr>
      <w:r w:rsidRPr="00773F91">
        <w:rPr>
          <w:rFonts w:asciiTheme="minorHAnsi" w:hAnsiTheme="minorHAnsi" w:cstheme="minorHAnsi"/>
          <w:b/>
          <w:sz w:val="24"/>
          <w:lang w:val="sk-SK" w:eastAsia="de-DE"/>
        </w:rPr>
        <w:t xml:space="preserve">Kontakt  </w:t>
      </w:r>
    </w:p>
    <w:p w14:paraId="3BE292AB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Zuzana Kaňuchová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7E21870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Riaditeľka korporátnej komunikácie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674620BC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</w:p>
    <w:p w14:paraId="0862BC9E" w14:textId="77777777" w:rsidR="00C50C62" w:rsidRPr="00773F91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Telefón: +421 917 160 597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4EEAB797" w14:textId="77777777" w:rsidR="00C50C62" w:rsidRPr="00773F91" w:rsidRDefault="00C50C62" w:rsidP="00C50C62">
      <w:pPr>
        <w:spacing w:line="240" w:lineRule="auto"/>
        <w:rPr>
          <w:rFonts w:asciiTheme="minorHAnsi" w:hAnsiTheme="minorHAnsi" w:cstheme="minorHAnsi"/>
          <w:sz w:val="24"/>
          <w:lang w:val="sk-SK" w:bidi="sk-SK"/>
        </w:rPr>
      </w:pPr>
      <w:r w:rsidRPr="00773F91">
        <w:rPr>
          <w:rFonts w:asciiTheme="minorHAnsi" w:hAnsiTheme="minorHAnsi" w:cstheme="minorHAnsi"/>
          <w:sz w:val="24"/>
          <w:lang w:val="sk-SK" w:bidi="sk-SK"/>
        </w:rPr>
        <w:t>E-mail:</w:t>
      </w:r>
      <w:r w:rsidRPr="00773F91">
        <w:rPr>
          <w:rFonts w:asciiTheme="minorHAnsi" w:hAnsiTheme="minorHAnsi" w:cstheme="minorHAnsi"/>
          <w:sz w:val="24"/>
          <w:lang w:val="sk-SK" w:bidi="sk-SK"/>
        </w:rPr>
        <w:tab/>
        <w:t xml:space="preserve">  </w:t>
      </w:r>
      <w:hyperlink r:id="rId13" w:history="1">
        <w:r w:rsidRPr="00773F91">
          <w:rPr>
            <w:rStyle w:val="Hypertextovprepojenie"/>
            <w:rFonts w:asciiTheme="minorHAnsi" w:hAnsiTheme="minorHAnsi" w:cstheme="minorHAnsi"/>
            <w:sz w:val="24"/>
            <w:lang w:bidi="sk-SK"/>
          </w:rPr>
          <w:t>zuzana.kanuchova@henkel.com</w:t>
        </w:r>
      </w:hyperlink>
      <w:r w:rsidRPr="00773F91">
        <w:rPr>
          <w:rFonts w:asciiTheme="minorHAnsi" w:hAnsiTheme="minorHAnsi" w:cstheme="minorHAnsi"/>
          <w:sz w:val="24"/>
          <w:lang w:val="sk-SK" w:bidi="sk-SK"/>
        </w:rPr>
        <w:tab/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190" w14:textId="77777777" w:rsidR="00EB4A71" w:rsidRDefault="00EB4A71">
      <w:r>
        <w:separator/>
      </w:r>
    </w:p>
  </w:endnote>
  <w:endnote w:type="continuationSeparator" w:id="0">
    <w:p w14:paraId="610EC1BB" w14:textId="77777777" w:rsidR="00EB4A71" w:rsidRDefault="00EB4A71">
      <w:r>
        <w:continuationSeparator/>
      </w:r>
    </w:p>
  </w:endnote>
  <w:endnote w:type="continuationNotice" w:id="1">
    <w:p w14:paraId="231E9EDF" w14:textId="77777777" w:rsidR="00EB4A71" w:rsidRDefault="00EB4A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6311" w14:textId="77777777" w:rsidR="00EB4A71" w:rsidRDefault="00EB4A71">
      <w:bookmarkStart w:id="0" w:name="_Hlk47541104"/>
      <w:bookmarkEnd w:id="0"/>
      <w:r>
        <w:separator/>
      </w:r>
    </w:p>
  </w:footnote>
  <w:footnote w:type="continuationSeparator" w:id="0">
    <w:p w14:paraId="022AC93A" w14:textId="77777777" w:rsidR="00EB4A71" w:rsidRDefault="00EB4A71">
      <w:r>
        <w:continuationSeparator/>
      </w:r>
    </w:p>
  </w:footnote>
  <w:footnote w:type="continuationNotice" w:id="1">
    <w:p w14:paraId="5DD90742" w14:textId="77777777" w:rsidR="00EB4A71" w:rsidRDefault="00EB4A71">
      <w:pPr>
        <w:spacing w:line="240" w:lineRule="auto"/>
      </w:pPr>
    </w:p>
  </w:footnote>
  <w:footnote w:id="2">
    <w:p w14:paraId="12C078F6" w14:textId="77777777" w:rsidR="00D776A4" w:rsidRDefault="00D776A4" w:rsidP="00D776A4">
      <w:pPr>
        <w:pStyle w:val="Textpoznmkypodiarou"/>
      </w:pPr>
      <w:r w:rsidRPr="00947FEC">
        <w:rPr>
          <w:rStyle w:val="Odkaznapoznmkupodiarou"/>
        </w:rPr>
        <w:sym w:font="Symbol" w:char="F02A"/>
      </w:r>
      <w:r>
        <w:t xml:space="preserve"> </w:t>
      </w:r>
      <w:r w:rsidRPr="00362092">
        <w:rPr>
          <w:lang w:val="sk-SK" w:bidi="bo-CN"/>
        </w:rPr>
        <w:t>Upravené o jednorazové výdavky a príjmy a náklady na reštrukturalizáciu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618FC"/>
    <w:rsid w:val="00063D2E"/>
    <w:rsid w:val="00067071"/>
    <w:rsid w:val="00080D10"/>
    <w:rsid w:val="0008357F"/>
    <w:rsid w:val="0009087E"/>
    <w:rsid w:val="00097CF3"/>
    <w:rsid w:val="000B695A"/>
    <w:rsid w:val="000C1075"/>
    <w:rsid w:val="000C210A"/>
    <w:rsid w:val="000C56DD"/>
    <w:rsid w:val="000D1672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731CE"/>
    <w:rsid w:val="001813F3"/>
    <w:rsid w:val="00183245"/>
    <w:rsid w:val="001A59E3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AAD"/>
    <w:rsid w:val="007A4432"/>
    <w:rsid w:val="007A784E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E83"/>
    <w:rsid w:val="00A044D6"/>
    <w:rsid w:val="00A04ADB"/>
    <w:rsid w:val="00A0542F"/>
    <w:rsid w:val="00A05CDF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4639"/>
    <w:rsid w:val="00B958E8"/>
    <w:rsid w:val="00B97E4A"/>
    <w:rsid w:val="00BA09B2"/>
    <w:rsid w:val="00BA2B7F"/>
    <w:rsid w:val="00BA5B46"/>
    <w:rsid w:val="00BA6EA6"/>
    <w:rsid w:val="00BC0995"/>
    <w:rsid w:val="00BE5D38"/>
    <w:rsid w:val="00BE793A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uiPriority w:val="34"/>
    <w:qFormat/>
    <w:rsid w:val="00D7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7</Pages>
  <Words>2450</Words>
  <Characters>13966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16384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Martina Poliačková (seesame.com)</cp:lastModifiedBy>
  <cp:revision>10</cp:revision>
  <cp:lastPrinted>2021-11-09T19:20:00Z</cp:lastPrinted>
  <dcterms:created xsi:type="dcterms:W3CDTF">2022-01-28T10:13:00Z</dcterms:created>
  <dcterms:modified xsi:type="dcterms:W3CDTF">2022-01-31T15:38:00Z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