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EA3F" w14:textId="4C222E0F" w:rsidR="002D6820" w:rsidRPr="00E808F8" w:rsidRDefault="00BB023C">
      <w:pPr>
        <w:pStyle w:val="MonthDayYear"/>
        <w:rPr>
          <w:sz w:val="24"/>
          <w:szCs w:val="24"/>
          <w:lang w:val="cs-CZ"/>
        </w:rPr>
      </w:pPr>
      <w:r w:rsidRPr="00E808F8">
        <w:rPr>
          <w:sz w:val="24"/>
          <w:szCs w:val="24"/>
          <w:lang w:val="cs-CZ"/>
        </w:rPr>
        <w:t>28</w:t>
      </w:r>
      <w:r w:rsidR="001750D2" w:rsidRPr="00E808F8">
        <w:rPr>
          <w:sz w:val="24"/>
          <w:szCs w:val="24"/>
          <w:lang w:val="cs-CZ"/>
        </w:rPr>
        <w:t>. leden 2022</w:t>
      </w:r>
    </w:p>
    <w:p w14:paraId="499F3EB7" w14:textId="77777777" w:rsidR="002D6820" w:rsidRPr="00E808F8" w:rsidRDefault="002D6820">
      <w:pPr>
        <w:rPr>
          <w:sz w:val="32"/>
          <w:szCs w:val="32"/>
          <w:lang w:val="cs-CZ"/>
        </w:rPr>
      </w:pPr>
    </w:p>
    <w:p w14:paraId="4559BE5B" w14:textId="77777777" w:rsidR="005076EB" w:rsidRPr="00E808F8" w:rsidRDefault="001750D2" w:rsidP="005076EB">
      <w:pPr>
        <w:pStyle w:val="Predvolen"/>
        <w:spacing w:before="560" w:after="36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b/>
          <w:bCs/>
          <w:lang w:val="cs-CZ"/>
        </w:rPr>
        <w:t xml:space="preserve">Nařízení Komise (EU) 2021/1902 ze dne 29. října 2021, kterým se mění přílohy II, III </w:t>
      </w:r>
      <w:r w:rsidR="005076EB" w:rsidRPr="00E808F8">
        <w:rPr>
          <w:rFonts w:ascii="Helvetica" w:hAnsi="Helvetica"/>
          <w:sz w:val="22"/>
          <w:szCs w:val="22"/>
          <w:lang w:val="cs-CZ"/>
        </w:rPr>
        <w:t>Komplexní opatření posouvají agendu pro smysluplný růst na novou úroveň</w:t>
      </w:r>
    </w:p>
    <w:p w14:paraId="1EE86FB8" w14:textId="77777777" w:rsidR="005076EB" w:rsidRPr="00E808F8" w:rsidRDefault="005076EB" w:rsidP="005076EB">
      <w:pPr>
        <w:pStyle w:val="Predvolen"/>
        <w:spacing w:before="0" w:line="276" w:lineRule="auto"/>
        <w:ind w:right="553"/>
        <w:rPr>
          <w:rFonts w:ascii="Helvetica" w:eastAsia="Helvetica" w:hAnsi="Helvetica" w:cs="Helvetica"/>
          <w:b/>
          <w:bCs/>
          <w:sz w:val="32"/>
          <w:szCs w:val="32"/>
          <w:lang w:val="cs-CZ"/>
        </w:rPr>
      </w:pPr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Společnost 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 plánuje sloučit své divize 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Laundry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Home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 Care a 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Beauty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 Care do nové divize „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Consumer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32"/>
          <w:szCs w:val="32"/>
          <w:lang w:val="cs-CZ"/>
        </w:rPr>
        <w:t>Brands</w:t>
      </w:r>
      <w:proofErr w:type="spellEnd"/>
      <w:r w:rsidRPr="00E808F8">
        <w:rPr>
          <w:rFonts w:ascii="Helvetica" w:hAnsi="Helvetica"/>
          <w:b/>
          <w:bCs/>
          <w:sz w:val="32"/>
          <w:szCs w:val="32"/>
          <w:lang w:val="cs-CZ"/>
        </w:rPr>
        <w:t xml:space="preserve">“ </w:t>
      </w:r>
    </w:p>
    <w:p w14:paraId="5612A455" w14:textId="77777777" w:rsidR="005076EB" w:rsidRPr="00E808F8" w:rsidRDefault="005076EB" w:rsidP="005076EB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4373D74" w14:textId="4574CA30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Vytvoření jednotné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multiproduktové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platformy na podporu růstu s obratem kolem 10 m</w:t>
      </w:r>
      <w:r w:rsidR="00186308">
        <w:rPr>
          <w:rFonts w:ascii="Helvetica" w:hAnsi="Helvetica"/>
          <w:b/>
          <w:bCs/>
          <w:sz w:val="22"/>
          <w:szCs w:val="22"/>
          <w:lang w:val="cs-CZ"/>
        </w:rPr>
        <w:t>ld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. eur</w:t>
      </w:r>
    </w:p>
    <w:p w14:paraId="763D462E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Pokračující optimalizace spotřebitelského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>: jasné zaměření na klíčové značky a obchodní aktivity s atraktivním růstovým a maržovým potenciálem a pevnější základ pro sloučení a akvizice v rámci spotřebitelských segmentů</w:t>
      </w:r>
    </w:p>
    <w:p w14:paraId="27BA5803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Sloučení by mělo přinést výrazné synergické úspory a zvýšení efektivity</w:t>
      </w:r>
    </w:p>
    <w:p w14:paraId="32CF23F6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Spuštění programu odkupu akcií v objemu až do 1 miliardy eur: využití silné rozvahové pozice a cash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flow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>, optimalizování kapitálové struktury a signál silné důvěry v budoucí potenciál k profitabilnímu růstu</w:t>
      </w:r>
    </w:p>
    <w:p w14:paraId="4FA36909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Předběžné výsledky za rok 2021: Organický růst obratu +7,8 %, marže EBIT na úrovni 13,4 % a zvýšení výnosu na prioritní akcii* (EPS) o +9,2 % (při konstantních kurzových sazbách)</w:t>
      </w:r>
    </w:p>
    <w:p w14:paraId="4B0161D9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Výhled na rok 2022: organický růst obratu: 2 až 4 %; marže EBIT</w:t>
      </w:r>
      <w:r w:rsidRPr="00E808F8">
        <w:rPr>
          <w:rFonts w:ascii="Helvetica" w:hAnsi="Helvetica"/>
          <w:b/>
          <w:bCs/>
          <w:sz w:val="22"/>
          <w:szCs w:val="22"/>
          <w:vertAlign w:val="superscript"/>
          <w:lang w:val="cs-CZ"/>
        </w:rPr>
        <w:t>*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: 11,5 až 13,5 %, výnos na prioritní akcii (EPS)</w:t>
      </w:r>
      <w:r w:rsidRPr="00E808F8">
        <w:rPr>
          <w:rFonts w:ascii="Helvetica" w:hAnsi="Helvetica"/>
          <w:b/>
          <w:bCs/>
          <w:sz w:val="22"/>
          <w:szCs w:val="22"/>
          <w:vertAlign w:val="superscript"/>
          <w:lang w:val="cs-CZ"/>
        </w:rPr>
        <w:t>*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: -15 až +5 % (při konstantních kurzových sazbách), zohledňující trhovou nejistotu a volatilitu</w:t>
      </w:r>
    </w:p>
    <w:p w14:paraId="0F13AB09" w14:textId="77777777" w:rsidR="005076EB" w:rsidRPr="00E808F8" w:rsidRDefault="005076EB" w:rsidP="005076EB">
      <w:pPr>
        <w:pStyle w:val="Predvolen"/>
        <w:numPr>
          <w:ilvl w:val="1"/>
          <w:numId w:val="2"/>
        </w:numPr>
        <w:spacing w:before="0" w:after="80" w:line="276" w:lineRule="auto"/>
        <w:ind w:right="445"/>
        <w:jc w:val="both"/>
        <w:rPr>
          <w:rFonts w:ascii="Helvetica" w:hAnsi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Nové středně až dlouhodobé finanční ambice: organický růst obratu o 3 až 4 %, marže EBIT* kolem 16 % a středně vysoké až vysoké jednociferné procentuální zvýšení výnosu na prioritní akcii (EPS)</w:t>
      </w:r>
      <w:r w:rsidRPr="00E808F8">
        <w:rPr>
          <w:rFonts w:ascii="Helvetica" w:hAnsi="Helvetica"/>
          <w:b/>
          <w:bCs/>
          <w:sz w:val="22"/>
          <w:szCs w:val="22"/>
          <w:vertAlign w:val="superscript"/>
          <w:lang w:val="cs-CZ"/>
        </w:rPr>
        <w:t>*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(při konstantních kurzových sazbách, včetně sloučení a akvizic)</w:t>
      </w:r>
    </w:p>
    <w:p w14:paraId="00952CA6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Düsseldorf – Společnost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dnes oznámila plány na sloučení svých obchodních divizí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 a 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 do společné divize pod názvem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>. Společnost začne s přípravami jejich sloučení okamžitě a očekává, že celý proces integrace bude dokončen nejpozději začátkem roku 2023. Cílem vytvoření nové obchodní divize je vybudovat společnou platformu k posilnění růstu napříč produktovými kategoriemi, v </w:t>
      </w:r>
      <w:proofErr w:type="gram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rámci</w:t>
      </w:r>
      <w:proofErr w:type="gram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 níž spojí své spotřebitelské značky a divize, včetně takových ikonických značek jako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Persil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nebo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Schwarzkopf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>.</w:t>
      </w:r>
    </w:p>
    <w:p w14:paraId="75DE8E8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„Spojíme své síly v sektorech spotřebního zboží, abychom vytvořili jedinou silnou integrovanou obchodní divizi, která bude základem našeho budoucího ziskového růstu. Integrovaná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bude výrazným přínosem pro celou společnost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, pro naše akcionáře, zákazníky a naše týmy a bude ve velmi dobré pozici, aby aktivně formovala svou budoucnost v tomto vysoce dynamickém průmyslovém odvětví,“ řekl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Carsten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Knobel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, předseda představenstva společnosti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>.</w:t>
      </w:r>
    </w:p>
    <w:p w14:paraId="760DDF86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„Budujeme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multiproduktovou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platformu s obratem kolem 10 miliard eur. Poskytne nám širší základ pro další optimalizaci a formování našeho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směrem k vyššímu růstu a maržím. Zároveň výrazně posilní synergické efekty a </w:t>
      </w:r>
      <w:proofErr w:type="gram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zvýší</w:t>
      </w:r>
      <w:proofErr w:type="gram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naši efektivnost, což nám umožní uvolnit zdroje, které zčásti použijeme na cílené investice do našich strategických prioritních oblastí, jako inovace, udržitelnost a digitalizace. Staneme se ještě atraktivnějším zaměstnavatelem, který nabízí pracovní místa s větší odpovědností a příležitostí dalšího kariérního růstu ve vzrušujícím odvětví. Zkrátka: jsem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presvědčen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, že toto sloučení posune naši agendu smysluplného růstu na vyšší úroveň.“ </w:t>
      </w:r>
    </w:p>
    <w:p w14:paraId="0D451C62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Sloučení by mělo přinést růst a vyšší ziskovost divize spotřebního zboží a celé společnosti. To se odráží také v nových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stredně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až dlouhodobých finančních ambicích společnosti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: nyní je cílem společnosti dosahovat 3 až </w:t>
      </w:r>
      <w:proofErr w:type="gram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4-procentní</w:t>
      </w:r>
      <w:proofErr w:type="gram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organický růst obratu, upravenou výnosnost prodeje (marže EBIT) kolem 16 procent a středně vysoký až vysoký jednociferný procentuální růst upravených výnosů na prioritní akcii (při konstantních kurzových sazbách, včetně sloučení a akvizic).</w:t>
      </w:r>
    </w:p>
    <w:p w14:paraId="2F5E8317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57D7D8A1" w14:textId="77777777" w:rsidR="005076EB" w:rsidRPr="00E808F8" w:rsidRDefault="005076EB" w:rsidP="005076EB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Silná platforma: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portfólio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s důrazem na atraktivní růstový a maržový potenciál</w:t>
      </w:r>
    </w:p>
    <w:p w14:paraId="0E9E7913" w14:textId="77777777" w:rsidR="005076EB" w:rsidRPr="00E808F8" w:rsidRDefault="005076EB" w:rsidP="005076EB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Nová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umožní lepší využití celého potenciálu pro organický a anorganický růst a zaměření na produkty s atraktivním růstovým a maržovým potenciálem – nad rámec opatření aktivního řízení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, jež byla implementována do konce roku 2021.</w:t>
      </w:r>
    </w:p>
    <w:p w14:paraId="7097868C" w14:textId="77777777" w:rsidR="005076EB" w:rsidRPr="00E808F8" w:rsidRDefault="005076EB" w:rsidP="005076EB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Další opatření zaměřena na posilnění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budou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zahrnovať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odprodej nebo zrušení značek a podnikání v oblastech, které nejsou pro společnost klíčové a také akvizice v atraktivních spotřebitelských kategoriích. První opatření týkající se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 se budou implementovat již během roku 2022.</w:t>
      </w:r>
    </w:p>
    <w:p w14:paraId="00118EFE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3CA7499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Simulujeme velikost: významné synergie a zlepšení efektivity</w:t>
      </w:r>
    </w:p>
    <w:p w14:paraId="78BE085B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Sloučením dvou obchodních divizí dosáhne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významných synergických úspor a 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zvýší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svoji efektivitu a agilitu, což jí zároveň umožní rychleji a flexibilněji reagovat na změny ve vysoce nestabilním podnikatelském prostředí. Synergické úspory se očekávají v oblastech jako administrativa, distribuce, marketing a dodavatelský řetězec.</w:t>
      </w:r>
    </w:p>
    <w:p w14:paraId="2D5379E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Tím se nové divizi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uvolní zdroje ke zvýšení a lepšímu zacílení investic do strategických oblastí, jakými jsou, například, digitalizace výzkumu a vývoje, elektronický obchod nebo udržitelnost recyklovatelných obalových materiálů. Tyto synergie budou využity také k posilnění maržového profilu divize.</w:t>
      </w:r>
    </w:p>
    <w:p w14:paraId="76777916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606D44B7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Zjednocené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týmy: štíhlejší struktury, rychlejší rozhodování a atraktivní příležitosti</w:t>
      </w:r>
    </w:p>
    <w:p w14:paraId="5AF206E8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>Nová obchodní divize bude zaměřena na zákazníky a prodejní kanály – s jednotným přístupem k maloobchodníkům, obchodním a distribučním partnerům v rámci všech spotřebitelských kategorií.</w:t>
      </w:r>
    </w:p>
    <w:p w14:paraId="11FFD7BD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Společný tým pod jednotným vedením se 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zaměří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na další rozvoj celé spotřebitelské divize se štíhlejšími strukturami a rychlejšími rozhodovacími procesy. Nová divize nabídne pracovní místa s větší odpovědností a lepšími kariérními možnostmi, aby se stala ještě atraktivnějším zaměstnavatelem pro celé týmy, lídry, talenty i nové zaměstnance.</w:t>
      </w:r>
    </w:p>
    <w:p w14:paraId="1F041EE4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7C21D143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Jasné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líderské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struktury pro novou obchodní divizi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</w:p>
    <w:p w14:paraId="3865FFA3" w14:textId="77777777" w:rsidR="005076EB" w:rsidRPr="00E808F8" w:rsidRDefault="005076EB" w:rsidP="005076EB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V čele integračního procesu a nové sloučené divize bude stát Wolfgang König (49), stávající výkonný viceprezident pro divizi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Care. Bruno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Piacenza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(56), výkonný viceprezident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 od roku 2011, zůstává nadále v její čele, bude úzce spolupracovat s Wolfgangem Königem na transformaci a ve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zůstane nejpozději do konce roku 2022.</w:t>
      </w:r>
    </w:p>
    <w:p w14:paraId="3C0CD347" w14:textId="77777777" w:rsidR="005076EB" w:rsidRPr="00E808F8" w:rsidRDefault="005076EB" w:rsidP="005076EB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 „Ve jménu výboru akcionářů a dozorní rady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bych chtěla Wolfgangu Königovi popřát hodně štěstí na jeho nové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pozci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 Jeho zkušenosti z 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medzinárodního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managementu v odvětví spotřebního zboží, výrobků pro domácnost a osobní hygienu budou neocenitelné při budování a úspěšném rozvoji naší nové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ve spolupráci s novým řídícím týmem,“ řekla Dr. Simone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Bagel-Trah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, předsedkyně výboru akcionářů a dozorní rady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</w:t>
      </w:r>
    </w:p>
    <w:p w14:paraId="53121412" w14:textId="77777777" w:rsidR="005076EB" w:rsidRPr="00E808F8" w:rsidRDefault="005076EB" w:rsidP="005076EB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 „Zároveň bych chtěla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úpřimně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poděkovat Brunovi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Piacenzovi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. Ve 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působí už přes 30 let, z toho přes 11 let v čele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 jako její výkonný viceprezident. Díky svému nadšení a odbornosti pomohl úspěšnému rozvoji našich špičkových značek a celého našeho podnikání. Jsme mu velmi vděčni za jeho oddanost a přínos pro naši společnost a jsme rádi, že bude spolupracovat s Wolfgangem Königem na zabezpečení efektivního transformačního procesu.“</w:t>
      </w:r>
    </w:p>
    <w:p w14:paraId="7798E91A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 „Společný tým pod vedením Wolfganga Königa se 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zaměří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na další rozvoj celé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se štíhlejšími strukturami a rychlejšími rozhodovacími procesy. Zároveň bych rád osobně ocenil Bruna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Piacenzu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za množství úspěchů, které během více než třech desetiletí ve 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dosáhl,“ dodal předseda představenstva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Carsten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Knobel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</w:t>
      </w:r>
    </w:p>
    <w:p w14:paraId="4033803C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12CB45F5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Program odkupu akcií v objemu až do 1 miliardy eur</w:t>
      </w:r>
    </w:p>
    <w:p w14:paraId="1B477869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také spouští program odkupu akcií v celkovém objemu až do výše 1 miliardy eur, v 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rámci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něhož odkoupí prioritní akcie v celkové výši až 800 milionů eur a kmenové akcie v celkové hodnotě až 200 milionů eur. Tato suma na základě aktuálních cen na akciových trzích odpovídá přibližně 3 procentům základního kapitálu společnosti. Program by měl začít v únoru 2022 a pokračovat nejpozději do 31. března 2023 se zapojením banky prostřednictvím akciového trhu. V dubnu 2019 výroční valné shromáždění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pověřilo její představenstvo, aby získalo vlastní akcie společnosti do výšky 10 procent jejího základního kapitálu.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plánuje držet odkoupené akcie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najprve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jako vlastní akcie,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pričemž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si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vyhradzuje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právo zrušit je a přiměřeně snížit výšku základního kapitálu.</w:t>
      </w:r>
    </w:p>
    <w:p w14:paraId="1FE314A9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 „Tímto programem chceme odměnit naše akcionáře a zároveň zdůraznit naši důvěru v naši finanční sílu a budoucí potenciál našich podnikatelských aktivit. Vzhledem k naší silné rozvahové pozici a nízké zadluženosti, jakož i k silné tvorbě cash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flow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, nebude mít tento program vliv na naši schopnost realizovat strategické akvizice jak v divizi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, tak v divizi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Technologies,“ řekl předseda představenstva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Carsten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Knobel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</w:t>
      </w:r>
    </w:p>
    <w:p w14:paraId="659C59EE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3A32E4B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Společnost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zveřejňuje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předbežné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výsledky za rok 2021</w:t>
      </w:r>
    </w:p>
    <w:p w14:paraId="4D7C1CFD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Na základě předběžných údajů 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se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podařilo ve finančním roce 2021 dosáhnout celkově dobrých hospodářských výsledků. Za dobrými výsledky stojí především dvouciferný růst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Technologies, a to i navzdory pokračujícímu negativnímu vlivu pandemie onemocnění COVID-19 na tvorbu zisku zejména z důvodu prudkého nárůstu cen vstupních surovin a přetížených dodavatelských řetězců.</w:t>
      </w:r>
    </w:p>
    <w:p w14:paraId="2D70E2B7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Obrat skupiny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se podle předběžných údajů za finanční rok 2021 zvýšil na 20 066 mil. eur. Organický růst obratu dosáhl úrovně 7,8 %.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E808F8">
        <w:rPr>
          <w:rFonts w:ascii="Helvetica" w:hAnsi="Helvetica"/>
          <w:sz w:val="22"/>
          <w:szCs w:val="22"/>
          <w:lang w:val="cs-CZ"/>
        </w:rPr>
        <w:t xml:space="preserve"> dosáhla obratu ve výši 9 641 mil. eur, což představuje dvouciferný organický růst na úrovni 13,4 %. Divize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E808F8">
        <w:rPr>
          <w:rFonts w:ascii="Helvetica" w:hAnsi="Helvetica"/>
          <w:sz w:val="22"/>
          <w:szCs w:val="22"/>
          <w:lang w:val="cs-CZ"/>
        </w:rPr>
        <w:t xml:space="preserve"> zaznamenala obrat ve výši 3 678 mil. eur a organický růst na úrovni 1,4 %. Obrat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E808F8">
        <w:rPr>
          <w:rFonts w:ascii="Helvetica" w:hAnsi="Helvetica"/>
          <w:sz w:val="22"/>
          <w:szCs w:val="22"/>
          <w:lang w:val="cs-CZ"/>
        </w:rPr>
        <w:t xml:space="preserve"> se zvýšil na 6 605 mil. eur, což představuje organický nárůst o 3,9 %. 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Upravená výnosnost prodeje (marže EBIT)</w:t>
      </w:r>
      <w:r w:rsidRPr="00E808F8">
        <w:rPr>
          <w:rFonts w:ascii="Helvetica" w:hAnsi="Helvetica"/>
          <w:sz w:val="22"/>
          <w:szCs w:val="22"/>
          <w:lang w:val="cs-CZ"/>
        </w:rPr>
        <w:t xml:space="preserve">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představovala 13,4 %. Upravená výnosnost prodeje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Technologies dosáhla 16,2 %, 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 9,5 % a divize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Care 13,7 %. 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Upravený výnos na prioritní akcii (ESP) na úrovni skupiny </w:t>
      </w:r>
      <w:r w:rsidRPr="00E808F8">
        <w:rPr>
          <w:rFonts w:ascii="Helvetica" w:hAnsi="Helvetica"/>
          <w:sz w:val="22"/>
          <w:szCs w:val="22"/>
          <w:lang w:val="cs-CZ"/>
        </w:rPr>
        <w:t>se zvýšil na 4,56 eur, teda o 9,2 % (při konstantních kurzových sazbách). Veškeré údaje jsou pouze předběžné.</w:t>
      </w:r>
    </w:p>
    <w:p w14:paraId="5EB640EC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„Navzdory velmi náročnému podnikatelskému prostředí s bezprecedentními narušeními globálních dodavatelských řetězců, nedostatku surovin a výrazně rostoucím cenám jsme dosáhli celkově dobrého hospodářského výsledku s výrazným organickým růstem, ke kterému přispěli všechny obchodní divize, se stabilní marží a velmi výrazným zvýšením výnosu na akcii. Je to výsledek práce globálního týmu společnosti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, jež opět překonal všechna očekávání, abychom i nadále mohli poskytovat naše produkty a služby zákazníkům a spotřebitelům na celém světě,“ konstatoval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Carsten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Knobel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</w:t>
      </w:r>
    </w:p>
    <w:p w14:paraId="10E591A7" w14:textId="77777777" w:rsidR="005076EB" w:rsidRPr="00E808F8" w:rsidRDefault="005076EB" w:rsidP="005076EB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52116711" w14:textId="77777777" w:rsidR="005076EB" w:rsidRPr="00E808F8" w:rsidRDefault="005076EB" w:rsidP="005076EB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Výhled na rok 2022</w:t>
      </w:r>
    </w:p>
    <w:p w14:paraId="00ABE83F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Po zohlednění aktuálního vývoje trhového prostředí, zejména přetrvávajícího napětí na trzích se surovinami i v dodavatelských řetězcích a neustále se zvyšujících přímých materiálových nákladů,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představila svůj 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výhled na finanční rok 2022</w:t>
      </w:r>
      <w:r w:rsidRPr="00E808F8">
        <w:rPr>
          <w:rFonts w:ascii="Helvetica" w:hAnsi="Helvetica"/>
          <w:sz w:val="22"/>
          <w:szCs w:val="22"/>
          <w:lang w:val="cs-CZ"/>
        </w:rPr>
        <w:t xml:space="preserve"> (na základě současné struktury se třemi obchodními divizemi).</w:t>
      </w:r>
    </w:p>
    <w:p w14:paraId="5DF97008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Na úrovni skupiny společnost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očekává v roce 2022 organický růst obratu v rozpětí 2 až 4 %. 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E808F8">
        <w:rPr>
          <w:rFonts w:ascii="Helvetica" w:hAnsi="Helvetica"/>
          <w:sz w:val="22"/>
          <w:szCs w:val="22"/>
          <w:lang w:val="cs-CZ"/>
        </w:rPr>
        <w:t xml:space="preserve"> se očekává organický růst obratu od 5 do 7 %. U 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E808F8">
        <w:rPr>
          <w:rFonts w:ascii="Helvetica" w:hAnsi="Helvetica"/>
          <w:sz w:val="22"/>
          <w:szCs w:val="22"/>
          <w:lang w:val="cs-CZ"/>
        </w:rPr>
        <w:t xml:space="preserve"> se předpokládá záporný vývoj organického obratu v pásmu od -5 do -3 %. Hlavní příčinou tohoto poklesu jsou opatření, o nichž již bylo rozhodnuto a která se realizují s cílem zlepšit její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portfólio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, a to včetně ukončení aktivit, jež nebudou součástí budoucích klíčových podnikatelských činností, které </w:t>
      </w:r>
      <w:proofErr w:type="gramStart"/>
      <w:r w:rsidRPr="00E808F8">
        <w:rPr>
          <w:rFonts w:ascii="Helvetica" w:hAnsi="Helvetica"/>
          <w:sz w:val="22"/>
          <w:szCs w:val="22"/>
          <w:lang w:val="cs-CZ"/>
        </w:rPr>
        <w:t>tvoří</w:t>
      </w:r>
      <w:proofErr w:type="gramEnd"/>
      <w:r w:rsidRPr="00E808F8">
        <w:rPr>
          <w:rFonts w:ascii="Helvetica" w:hAnsi="Helvetica"/>
          <w:sz w:val="22"/>
          <w:szCs w:val="22"/>
          <w:lang w:val="cs-CZ"/>
        </w:rPr>
        <w:t xml:space="preserve"> přibližně 5 % obratu divize za rok 2021. 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 </w:t>
      </w:r>
      <w:r w:rsidRPr="00E808F8">
        <w:rPr>
          <w:rFonts w:ascii="Helvetica" w:hAnsi="Helvetica"/>
          <w:sz w:val="22"/>
          <w:szCs w:val="22"/>
          <w:lang w:val="cs-CZ"/>
        </w:rPr>
        <w:t>se očekává organický růst o 2 až 4 %.</w:t>
      </w:r>
    </w:p>
    <w:p w14:paraId="454BD71F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Očekávaná 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upravená výnosnost prodeje (marže EBIT)</w:t>
      </w:r>
      <w:r w:rsidRPr="00E808F8">
        <w:rPr>
          <w:rFonts w:ascii="Helvetica" w:hAnsi="Helvetica"/>
          <w:sz w:val="22"/>
          <w:szCs w:val="22"/>
          <w:lang w:val="cs-CZ"/>
        </w:rPr>
        <w:t xml:space="preserve"> na úrovni skupiny se pohybuje v rozsahu 11,5 až 13,5 %. 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E808F8">
        <w:rPr>
          <w:rFonts w:ascii="Helvetica" w:hAnsi="Helvetica"/>
          <w:sz w:val="22"/>
          <w:szCs w:val="22"/>
          <w:lang w:val="cs-CZ"/>
        </w:rPr>
        <w:t xml:space="preserve"> se očekává upravená výnosnost prodeje na úrovni 15 až 17 %, 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E808F8">
        <w:rPr>
          <w:rFonts w:ascii="Helvetica" w:hAnsi="Helvetica"/>
          <w:sz w:val="22"/>
          <w:szCs w:val="22"/>
          <w:lang w:val="cs-CZ"/>
        </w:rPr>
        <w:t xml:space="preserve"> 7,2 až 10 % a 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E808F8">
        <w:rPr>
          <w:rFonts w:ascii="Helvetica" w:hAnsi="Helvetica"/>
          <w:sz w:val="22"/>
          <w:szCs w:val="22"/>
          <w:lang w:val="cs-CZ"/>
        </w:rPr>
        <w:t xml:space="preserve"> v rozpětí od 10,5 do 13 %. </w:t>
      </w:r>
    </w:p>
    <w:p w14:paraId="09889B0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Upravený výnos na prioritní akcii (EPS) </w:t>
      </w:r>
      <w:r w:rsidRPr="00E808F8">
        <w:rPr>
          <w:rFonts w:ascii="Helvetica" w:hAnsi="Helvetica"/>
          <w:sz w:val="22"/>
          <w:szCs w:val="22"/>
          <w:lang w:val="cs-CZ"/>
        </w:rPr>
        <w:t>by se měl na úrovni skupiny pohybovat v rozpětí od -15 do +5 % (při konstantních kurzových sazbách), v čemž je zohledněna vysoká míra trhové nejistoty a volatility.</w:t>
      </w:r>
    </w:p>
    <w:p w14:paraId="58AF2790" w14:textId="77777777" w:rsidR="005076EB" w:rsidRPr="00E808F8" w:rsidRDefault="005076EB" w:rsidP="005076EB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528DB3FA" w14:textId="77777777" w:rsidR="005076EB" w:rsidRPr="00E808F8" w:rsidRDefault="005076EB" w:rsidP="005076EB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Nové středně až dlouhodobé finanční ambice</w:t>
      </w:r>
    </w:p>
    <w:p w14:paraId="213E508B" w14:textId="19849F76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Nová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multiproduktová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platforma a společný manažerský tým pro spotřební zboží by měli být zdrojem růstu a ziskovosti jak spotřebitelské divize, tak celé skupiny. V rámci svého středně až dlouhodobého finančního výhledu má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za cíl udržitelným způsobem zvýšit růst a marži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a dosáhnout organického růstu obratu na úrovni 3 až 4 % a upravené marže EBIT v horní polovině druhé desítky procentuálního pásma. V případě divize </w:t>
      </w:r>
      <w:proofErr w:type="spellStart"/>
      <w:r w:rsidRPr="00E808F8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E808F8">
        <w:rPr>
          <w:rFonts w:ascii="Helvetica" w:hAnsi="Helvetica"/>
          <w:sz w:val="22"/>
          <w:szCs w:val="22"/>
          <w:lang w:val="cs-CZ"/>
        </w:rPr>
        <w:t xml:space="preserve"> má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ambici dosáhnout 3 až 5</w:t>
      </w:r>
      <w:r w:rsidR="006D6FDC">
        <w:rPr>
          <w:rFonts w:ascii="Helvetica" w:hAnsi="Helvetica"/>
          <w:sz w:val="22"/>
          <w:szCs w:val="22"/>
          <w:lang w:val="cs-CZ"/>
        </w:rPr>
        <w:t xml:space="preserve"> </w:t>
      </w:r>
      <w:r w:rsidRPr="00E808F8">
        <w:rPr>
          <w:rFonts w:ascii="Helvetica" w:hAnsi="Helvetica"/>
          <w:sz w:val="22"/>
          <w:szCs w:val="22"/>
          <w:lang w:val="cs-CZ"/>
        </w:rPr>
        <w:t>% organického růstu obratu a upravené marže EBIT na horní hranici druhé desítky procentuálního pásma.</w:t>
      </w:r>
    </w:p>
    <w:p w14:paraId="6EA4AC5A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Na základě těchto předpokladů by se měl středně až dlouhodobý organický růst obratu na úrovni </w:t>
      </w:r>
      <w:r w:rsidRPr="00E808F8">
        <w:rPr>
          <w:rFonts w:ascii="Helvetica" w:hAnsi="Helvetica"/>
          <w:b/>
          <w:bCs/>
          <w:sz w:val="22"/>
          <w:szCs w:val="22"/>
          <w:lang w:val="cs-CZ"/>
        </w:rPr>
        <w:t>skupiny</w:t>
      </w:r>
      <w:r w:rsidRPr="00E808F8">
        <w:rPr>
          <w:rFonts w:ascii="Helvetica" w:hAnsi="Helvetica"/>
          <w:sz w:val="22"/>
          <w:szCs w:val="22"/>
          <w:lang w:val="cs-CZ"/>
        </w:rPr>
        <w:t xml:space="preserve"> pohybovat od 3 do 4 %, upravená marže EBIT kolem úrovně 16 % a upravený výnos na prioritní akcii by měl dosáhnout středně vysoký až vysoký jednociferný procentuální nárůst (při konstantních kurzových sazbách a včetně akvizic). Společnost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se bude zároveň i nadále zaměřovat na rozšiřování svého volného cash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flow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>.</w:t>
      </w:r>
    </w:p>
    <w:p w14:paraId="3E74D9F4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23DA36CA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E808F8">
        <w:rPr>
          <w:rFonts w:ascii="Helvetica" w:hAnsi="Helvetica"/>
          <w:b/>
          <w:bCs/>
          <w:sz w:val="22"/>
          <w:szCs w:val="22"/>
          <w:lang w:val="cs-CZ"/>
        </w:rPr>
        <w:t>Další kroky</w:t>
      </w:r>
    </w:p>
    <w:p w14:paraId="0574B25C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proofErr w:type="spellStart"/>
      <w:r w:rsidRPr="00E808F8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začne co nejdříve informační a konzultační proces s příslušnými zástupci zaměstnanců, jelikož připravované sloučení bude mít vliv také na zaměstnance obou obchodních divizí na celém světě.</w:t>
      </w:r>
    </w:p>
    <w:p w14:paraId="68EB3821" w14:textId="77777777" w:rsidR="005076EB" w:rsidRPr="00E808F8" w:rsidRDefault="005076EB" w:rsidP="005076EB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>Další podrobnosti týkající se obchodních výsledků za finanční rok 2021 a výhledu na rok 2022, jakož i aktuální informace o postupu a dalších krocích realizovaných v rámci strategické firemní agendy pro smysluplný růst budou prezentovány na analytické a tiskové konferenci dne 23. února 2022.</w:t>
      </w:r>
    </w:p>
    <w:p w14:paraId="22D5397C" w14:textId="77777777" w:rsidR="005076EB" w:rsidRPr="00E808F8" w:rsidRDefault="005076EB" w:rsidP="005076EB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Podrobnější informace o průběhu integrace dvou spotřebitelských obchodních divizí a plánovaná opatření týkající se jejich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portfólia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včetně očekávaných synergií a nákladů na restrukturalizaci budou zveřejněny spolu se zprávou za první čtvrtletí 5. května 2022.</w:t>
      </w:r>
    </w:p>
    <w:p w14:paraId="690B084F" w14:textId="77777777" w:rsidR="005076EB" w:rsidRPr="00E808F8" w:rsidRDefault="005076EB" w:rsidP="005076EB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E808F8">
        <w:rPr>
          <w:rFonts w:ascii="Helvetica" w:hAnsi="Helvetica"/>
          <w:sz w:val="22"/>
          <w:szCs w:val="22"/>
          <w:lang w:val="cs-CZ"/>
        </w:rPr>
        <w:t xml:space="preserve">Podrobné aktualizované informace za obě obchodní divize –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a </w:t>
      </w:r>
      <w:proofErr w:type="spellStart"/>
      <w:r w:rsidRPr="00E808F8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E808F8">
        <w:rPr>
          <w:rFonts w:ascii="Helvetica" w:hAnsi="Helvetica"/>
          <w:sz w:val="22"/>
          <w:szCs w:val="22"/>
          <w:lang w:val="cs-CZ"/>
        </w:rPr>
        <w:t xml:space="preserve"> Technologies – budou zveřejněny během dne pro investory v průběhu roku 2022.</w:t>
      </w:r>
    </w:p>
    <w:p w14:paraId="47446A4A" w14:textId="674ABCBA" w:rsidR="002D6820" w:rsidRPr="00E808F8" w:rsidRDefault="002D6820" w:rsidP="005076EB">
      <w:pPr>
        <w:pStyle w:val="Zkladntext"/>
        <w:ind w:left="197" w:right="281"/>
        <w:rPr>
          <w:lang w:val="cs-CZ"/>
        </w:rPr>
      </w:pPr>
    </w:p>
    <w:p w14:paraId="26AE6E74" w14:textId="77777777" w:rsidR="002D6820" w:rsidRPr="00E808F8" w:rsidRDefault="001750D2">
      <w:pPr>
        <w:spacing w:line="280" w:lineRule="auto"/>
        <w:rPr>
          <w:sz w:val="24"/>
          <w:szCs w:val="24"/>
          <w:lang w:val="cs-CZ"/>
        </w:rPr>
      </w:pPr>
      <w:r w:rsidRPr="00E808F8">
        <w:rPr>
          <w:b/>
          <w:bCs/>
          <w:sz w:val="24"/>
          <w:szCs w:val="24"/>
          <w:lang w:val="cs-CZ"/>
        </w:rPr>
        <w:lastRenderedPageBreak/>
        <w:t xml:space="preserve">O společnosti </w:t>
      </w:r>
      <w:proofErr w:type="spellStart"/>
      <w:r w:rsidRPr="00E808F8">
        <w:rPr>
          <w:b/>
          <w:bCs/>
          <w:sz w:val="24"/>
          <w:szCs w:val="24"/>
          <w:lang w:val="cs-CZ"/>
        </w:rPr>
        <w:t>Henkel</w:t>
      </w:r>
      <w:proofErr w:type="spellEnd"/>
    </w:p>
    <w:p w14:paraId="0CD01C41" w14:textId="77777777" w:rsidR="002D6820" w:rsidRPr="00E808F8" w:rsidRDefault="001750D2">
      <w:pPr>
        <w:spacing w:line="240" w:lineRule="auto"/>
        <w:rPr>
          <w:sz w:val="18"/>
          <w:szCs w:val="18"/>
          <w:lang w:val="cs-CZ"/>
        </w:rPr>
      </w:pPr>
      <w:r w:rsidRPr="00E808F8">
        <w:rPr>
          <w:sz w:val="18"/>
          <w:szCs w:val="18"/>
          <w:lang w:val="cs-CZ"/>
        </w:rPr>
        <w:t xml:space="preserve">Společnost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působí celosvětově s vyrovnaným a diverzifikovaným </w:t>
      </w:r>
      <w:proofErr w:type="spellStart"/>
      <w:r w:rsidRPr="00E808F8">
        <w:rPr>
          <w:sz w:val="18"/>
          <w:szCs w:val="18"/>
          <w:lang w:val="cs-CZ"/>
        </w:rPr>
        <w:t>portfóliem</w:t>
      </w:r>
      <w:proofErr w:type="spellEnd"/>
      <w:r w:rsidRPr="00E808F8">
        <w:rPr>
          <w:sz w:val="18"/>
          <w:szCs w:val="18"/>
          <w:lang w:val="cs-CZ"/>
        </w:rPr>
        <w:t xml:space="preserve"> produktů. Díky silným značkám, inovacím a technologiím má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vedoucí postavení na trhu jak ve spotřebitelských, tak v průmyslových odvětvích. V oblasti lepidel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divize </w:t>
      </w:r>
      <w:proofErr w:type="spellStart"/>
      <w:r w:rsidRPr="00E808F8">
        <w:rPr>
          <w:sz w:val="18"/>
          <w:szCs w:val="18"/>
          <w:lang w:val="cs-CZ"/>
        </w:rPr>
        <w:t>Adhesive</w:t>
      </w:r>
      <w:proofErr w:type="spellEnd"/>
      <w:r w:rsidRPr="00E808F8">
        <w:rPr>
          <w:sz w:val="18"/>
          <w:szCs w:val="18"/>
          <w:lang w:val="cs-CZ"/>
        </w:rPr>
        <w:t xml:space="preserve"> Technologies celosvětovým lídrem na trhu v rámci všech průmyslových segmentů. V oblastech </w:t>
      </w:r>
      <w:proofErr w:type="spellStart"/>
      <w:r w:rsidRPr="00E808F8">
        <w:rPr>
          <w:sz w:val="18"/>
          <w:szCs w:val="18"/>
          <w:lang w:val="cs-CZ"/>
        </w:rPr>
        <w:t>Laundry</w:t>
      </w:r>
      <w:proofErr w:type="spellEnd"/>
      <w:r w:rsidRPr="00E808F8">
        <w:rPr>
          <w:sz w:val="18"/>
          <w:szCs w:val="18"/>
          <w:lang w:val="cs-CZ"/>
        </w:rPr>
        <w:t xml:space="preserve"> &amp; </w:t>
      </w:r>
      <w:proofErr w:type="spellStart"/>
      <w:r w:rsidRPr="00E808F8">
        <w:rPr>
          <w:sz w:val="18"/>
          <w:szCs w:val="18"/>
          <w:lang w:val="cs-CZ"/>
        </w:rPr>
        <w:t>Home</w:t>
      </w:r>
      <w:proofErr w:type="spellEnd"/>
      <w:r w:rsidRPr="00E808F8">
        <w:rPr>
          <w:sz w:val="18"/>
          <w:szCs w:val="18"/>
          <w:lang w:val="cs-CZ"/>
        </w:rPr>
        <w:t xml:space="preserve"> Care a </w:t>
      </w:r>
      <w:proofErr w:type="spellStart"/>
      <w:r w:rsidRPr="00E808F8">
        <w:rPr>
          <w:sz w:val="18"/>
          <w:szCs w:val="18"/>
          <w:lang w:val="cs-CZ"/>
        </w:rPr>
        <w:t>Beauty</w:t>
      </w:r>
      <w:proofErr w:type="spellEnd"/>
      <w:r w:rsidRPr="00E808F8">
        <w:rPr>
          <w:sz w:val="18"/>
          <w:szCs w:val="18"/>
          <w:lang w:val="cs-CZ"/>
        </w:rPr>
        <w:t xml:space="preserve"> Care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na vedoucích pozicích na více trzích a v kategoriích ve světě. Společnost byla založena v roce 1876 a má za sebou více než 140 úspěšných let. V roce 2020 dosáhla obratu ve výši 19 mld. eur a upraveného provozního zisku přibližně ve výši 2,6 mld. eur.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zaměstnává 53 000 lidí po celém světě, kteří spolu </w:t>
      </w:r>
      <w:proofErr w:type="gramStart"/>
      <w:r w:rsidRPr="00E808F8">
        <w:rPr>
          <w:sz w:val="18"/>
          <w:szCs w:val="18"/>
          <w:lang w:val="cs-CZ"/>
        </w:rPr>
        <w:t>tvoří</w:t>
      </w:r>
      <w:proofErr w:type="gramEnd"/>
      <w:r w:rsidRPr="00E808F8">
        <w:rPr>
          <w:sz w:val="18"/>
          <w:szCs w:val="18"/>
          <w:lang w:val="cs-CZ"/>
        </w:rPr>
        <w:t xml:space="preserve"> zanícený a velmi různorodý tým, který spojuje silná firemní kultura a společný zájem tvořit trvale udržitelné hodnoty a který sdílí společné hodnoty. Jako uznávaný lídr v oblasti udržitelnosti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na předních příčkách mnoha mezinárodních indexů a hodnocení. Prioritní akcie společnosti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jsou kótovány na německém akciovém indexu DAX. Více informací naleznete na stránce </w:t>
      </w:r>
      <w:hyperlink r:id="rId7" w:history="1">
        <w:r w:rsidRPr="00E808F8">
          <w:rPr>
            <w:rStyle w:val="Hyperlink0"/>
            <w:lang w:val="cs-CZ"/>
          </w:rPr>
          <w:t>www.henkel.com</w:t>
        </w:r>
      </w:hyperlink>
      <w:r w:rsidRPr="00E808F8">
        <w:rPr>
          <w:sz w:val="18"/>
          <w:szCs w:val="18"/>
          <w:lang w:val="cs-CZ"/>
        </w:rPr>
        <w:t>.</w:t>
      </w:r>
    </w:p>
    <w:p w14:paraId="26D8A15D" w14:textId="77777777" w:rsidR="002D6820" w:rsidRPr="00E808F8" w:rsidRDefault="002D6820">
      <w:pPr>
        <w:spacing w:line="280" w:lineRule="auto"/>
        <w:rPr>
          <w:sz w:val="24"/>
          <w:szCs w:val="24"/>
          <w:lang w:val="cs-CZ"/>
        </w:rPr>
      </w:pPr>
    </w:p>
    <w:p w14:paraId="5FB325A7" w14:textId="77777777" w:rsidR="002D6820" w:rsidRPr="00E808F8" w:rsidRDefault="001750D2">
      <w:pPr>
        <w:spacing w:line="278" w:lineRule="auto"/>
        <w:rPr>
          <w:rStyle w:val="AboutandContactHeadline"/>
          <w:lang w:val="cs-CZ"/>
        </w:rPr>
      </w:pPr>
      <w:r w:rsidRPr="00E808F8">
        <w:rPr>
          <w:rStyle w:val="AboutandContactHeadline"/>
          <w:lang w:val="cs-CZ"/>
        </w:rPr>
        <w:t xml:space="preserve">O společnosti </w:t>
      </w:r>
      <w:proofErr w:type="spellStart"/>
      <w:r w:rsidRPr="00E808F8">
        <w:rPr>
          <w:rStyle w:val="AboutandContactHeadline"/>
          <w:lang w:val="cs-CZ"/>
        </w:rPr>
        <w:t>Henkel</w:t>
      </w:r>
      <w:proofErr w:type="spellEnd"/>
      <w:r w:rsidRPr="00E808F8">
        <w:rPr>
          <w:rStyle w:val="AboutandContactHeadline"/>
          <w:lang w:val="cs-CZ"/>
        </w:rPr>
        <w:t xml:space="preserve"> Slovensko</w:t>
      </w:r>
    </w:p>
    <w:p w14:paraId="76B872B2" w14:textId="77777777" w:rsidR="002D6820" w:rsidRPr="00E808F8" w:rsidRDefault="001750D2">
      <w:pPr>
        <w:spacing w:line="240" w:lineRule="auto"/>
        <w:rPr>
          <w:sz w:val="18"/>
          <w:szCs w:val="18"/>
          <w:lang w:val="cs-CZ"/>
        </w:rPr>
      </w:pPr>
      <w:r w:rsidRPr="00E808F8">
        <w:rPr>
          <w:sz w:val="18"/>
          <w:szCs w:val="18"/>
          <w:lang w:val="cs-CZ"/>
        </w:rPr>
        <w:t xml:space="preserve">Na Slovensku působí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ve všech třech strategických oblastech již od roku 1991 a zároveň je HENKEL SLOVENSKO spol. s r. o. působištěm největší expertní pobočky </w:t>
      </w:r>
      <w:proofErr w:type="spellStart"/>
      <w:r w:rsidRPr="00E808F8">
        <w:rPr>
          <w:sz w:val="18"/>
          <w:szCs w:val="18"/>
          <w:lang w:val="cs-CZ"/>
        </w:rPr>
        <w:t>Global</w:t>
      </w:r>
      <w:proofErr w:type="spellEnd"/>
      <w:r w:rsidRPr="00E808F8">
        <w:rPr>
          <w:sz w:val="18"/>
          <w:szCs w:val="18"/>
          <w:lang w:val="cs-CZ"/>
        </w:rPr>
        <w:t xml:space="preserve"> Business </w:t>
      </w:r>
      <w:proofErr w:type="spellStart"/>
      <w:r w:rsidRPr="00E808F8">
        <w:rPr>
          <w:sz w:val="18"/>
          <w:szCs w:val="18"/>
          <w:lang w:val="cs-CZ"/>
        </w:rPr>
        <w:t>Solutions</w:t>
      </w:r>
      <w:proofErr w:type="spellEnd"/>
      <w:r w:rsidRPr="00E808F8">
        <w:rPr>
          <w:sz w:val="18"/>
          <w:szCs w:val="18"/>
          <w:vertAlign w:val="superscript"/>
          <w:lang w:val="cs-CZ"/>
        </w:rPr>
        <w:t>+</w:t>
      </w:r>
      <w:r w:rsidRPr="00E808F8">
        <w:rPr>
          <w:sz w:val="18"/>
          <w:szCs w:val="18"/>
          <w:lang w:val="cs-CZ"/>
        </w:rPr>
        <w:t xml:space="preserve"> </w:t>
      </w:r>
      <w:r w:rsidRPr="00E808F8">
        <w:rPr>
          <w:sz w:val="18"/>
          <w:szCs w:val="18"/>
          <w:shd w:val="clear" w:color="auto" w:fill="FFFFFF"/>
          <w:lang w:val="cs-CZ"/>
        </w:rPr>
        <w:t xml:space="preserve">společnosti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celosvětově.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Global</w:t>
      </w:r>
      <w:proofErr w:type="spellEnd"/>
      <w:r w:rsidRPr="00E808F8">
        <w:rPr>
          <w:sz w:val="18"/>
          <w:szCs w:val="18"/>
          <w:shd w:val="clear" w:color="auto" w:fill="FFFFFF"/>
          <w:lang w:val="cs-CZ"/>
        </w:rPr>
        <w:t xml:space="preserve"> Business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Solutions</w:t>
      </w:r>
      <w:proofErr w:type="spellEnd"/>
      <w:r w:rsidRPr="00E808F8">
        <w:rPr>
          <w:sz w:val="18"/>
          <w:szCs w:val="18"/>
          <w:shd w:val="clear" w:color="auto" w:fill="FFFFFF"/>
          <w:vertAlign w:val="superscript"/>
          <w:lang w:val="cs-CZ"/>
        </w:rPr>
        <w:t>+</w:t>
      </w:r>
      <w:r w:rsidRPr="00E808F8">
        <w:rPr>
          <w:sz w:val="18"/>
          <w:szCs w:val="18"/>
          <w:shd w:val="clear" w:color="auto" w:fill="FFFFFF"/>
          <w:lang w:val="cs-CZ"/>
        </w:rPr>
        <w:t> Bratislava ‏(GBS</w:t>
      </w:r>
      <w:r w:rsidRPr="00E808F8">
        <w:rPr>
          <w:sz w:val="18"/>
          <w:szCs w:val="18"/>
          <w:shd w:val="clear" w:color="auto" w:fill="FFFFFF"/>
          <w:vertAlign w:val="superscript"/>
          <w:lang w:val="cs-CZ"/>
        </w:rPr>
        <w:t>+</w:t>
      </w:r>
      <w:r w:rsidRPr="00E808F8">
        <w:rPr>
          <w:sz w:val="18"/>
          <w:szCs w:val="18"/>
          <w:shd w:val="clear" w:color="auto" w:fill="FFFFFF"/>
          <w:lang w:val="cs-CZ"/>
        </w:rPr>
        <w:t xml:space="preserve"> Bratislava) </w:t>
      </w:r>
      <w:proofErr w:type="gramStart"/>
      <w:r w:rsidRPr="00E808F8">
        <w:rPr>
          <w:sz w:val="18"/>
          <w:szCs w:val="18"/>
          <w:shd w:val="clear" w:color="auto" w:fill="FFFFFF"/>
          <w:lang w:val="cs-CZ"/>
        </w:rPr>
        <w:t>patří</w:t>
      </w:r>
      <w:proofErr w:type="gramEnd"/>
      <w:r w:rsidRPr="00E808F8">
        <w:rPr>
          <w:sz w:val="18"/>
          <w:szCs w:val="18"/>
          <w:shd w:val="clear" w:color="auto" w:fill="FFFFFF"/>
          <w:lang w:val="cs-CZ"/>
        </w:rPr>
        <w:t xml:space="preserve"> od svého založení v roce 2006 k důležité součásti společnosti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Henkel</w:t>
      </w:r>
      <w:proofErr w:type="spellEnd"/>
      <w:r w:rsidRPr="00E808F8">
        <w:rPr>
          <w:sz w:val="18"/>
          <w:szCs w:val="18"/>
          <w:shd w:val="clear" w:color="auto" w:fill="FFFFFF"/>
          <w:lang w:val="cs-CZ"/>
        </w:rPr>
        <w:t xml:space="preserve"> zabezpečující služby v Evropě a globálně ve více než 30 jazycích. </w:t>
      </w:r>
      <w:r w:rsidRPr="00E808F8">
        <w:rPr>
          <w:sz w:val="18"/>
          <w:szCs w:val="18"/>
          <w:lang w:val="cs-CZ"/>
        </w:rPr>
        <w:t>HENKEL SLOVENSKO spol. s r. o. prodává přes 50 značek a dnes zaměstnává, spolu s GBS</w:t>
      </w:r>
      <w:r w:rsidRPr="00E808F8">
        <w:rPr>
          <w:sz w:val="18"/>
          <w:szCs w:val="18"/>
          <w:vertAlign w:val="superscript"/>
          <w:lang w:val="cs-CZ"/>
        </w:rPr>
        <w:t>+</w:t>
      </w:r>
      <w:r w:rsidRPr="00E808F8">
        <w:rPr>
          <w:sz w:val="18"/>
          <w:szCs w:val="18"/>
          <w:lang w:val="cs-CZ"/>
        </w:rPr>
        <w:t xml:space="preserve"> Bratislava, přes 1 800 pracovníků. Více informací naleznete na stránce </w:t>
      </w:r>
      <w:hyperlink r:id="rId8" w:history="1">
        <w:r w:rsidRPr="00E808F8">
          <w:rPr>
            <w:rStyle w:val="Hyperlink0"/>
            <w:lang w:val="cs-CZ"/>
          </w:rPr>
          <w:t>www.henkel.sk</w:t>
        </w:r>
      </w:hyperlink>
      <w:r w:rsidRPr="00E808F8">
        <w:rPr>
          <w:sz w:val="18"/>
          <w:szCs w:val="18"/>
          <w:lang w:val="cs-CZ"/>
        </w:rPr>
        <w:t>.</w:t>
      </w:r>
    </w:p>
    <w:p w14:paraId="1D15209C" w14:textId="77777777" w:rsidR="002D6820" w:rsidRPr="00E808F8" w:rsidRDefault="002D6820">
      <w:pPr>
        <w:spacing w:line="278" w:lineRule="auto"/>
        <w:rPr>
          <w:sz w:val="18"/>
          <w:szCs w:val="18"/>
          <w:lang w:val="cs-CZ"/>
        </w:rPr>
      </w:pPr>
    </w:p>
    <w:p w14:paraId="4E90C395" w14:textId="77777777" w:rsidR="002D6820" w:rsidRPr="00E808F8" w:rsidRDefault="002D6820">
      <w:pPr>
        <w:spacing w:line="280" w:lineRule="auto"/>
        <w:rPr>
          <w:sz w:val="24"/>
          <w:szCs w:val="24"/>
          <w:lang w:val="cs-CZ"/>
        </w:rPr>
      </w:pPr>
    </w:p>
    <w:p w14:paraId="22AC0CD6" w14:textId="77777777" w:rsidR="002D6820" w:rsidRPr="00E808F8" w:rsidRDefault="002D6820">
      <w:pPr>
        <w:spacing w:line="240" w:lineRule="auto"/>
        <w:rPr>
          <w:sz w:val="24"/>
          <w:szCs w:val="24"/>
          <w:lang w:val="cs-CZ"/>
        </w:rPr>
      </w:pPr>
    </w:p>
    <w:p w14:paraId="3D754230" w14:textId="77777777" w:rsidR="002D6820" w:rsidRPr="00E808F8" w:rsidRDefault="002D6820">
      <w:pPr>
        <w:spacing w:line="240" w:lineRule="auto"/>
        <w:rPr>
          <w:b/>
          <w:bCs/>
          <w:sz w:val="24"/>
          <w:szCs w:val="24"/>
          <w:lang w:val="cs-CZ"/>
        </w:rPr>
      </w:pPr>
    </w:p>
    <w:p w14:paraId="5678FA1C" w14:textId="77777777" w:rsidR="002D6820" w:rsidRPr="00E808F8" w:rsidRDefault="002D6820">
      <w:pPr>
        <w:spacing w:line="240" w:lineRule="auto"/>
        <w:rPr>
          <w:b/>
          <w:bCs/>
          <w:sz w:val="24"/>
          <w:szCs w:val="24"/>
          <w:lang w:val="cs-CZ"/>
        </w:rPr>
      </w:pPr>
    </w:p>
    <w:p w14:paraId="7A1FF9BB" w14:textId="77777777" w:rsidR="002D6820" w:rsidRPr="00E808F8" w:rsidRDefault="001750D2">
      <w:pPr>
        <w:spacing w:line="240" w:lineRule="auto"/>
        <w:rPr>
          <w:b/>
          <w:bCs/>
          <w:sz w:val="24"/>
          <w:szCs w:val="24"/>
          <w:lang w:val="cs-CZ"/>
        </w:rPr>
      </w:pPr>
      <w:r w:rsidRPr="00E808F8">
        <w:rPr>
          <w:b/>
          <w:bCs/>
          <w:sz w:val="24"/>
          <w:szCs w:val="24"/>
          <w:lang w:val="cs-CZ"/>
        </w:rPr>
        <w:t>Kontakt</w:t>
      </w:r>
    </w:p>
    <w:p w14:paraId="37BC7AE9" w14:textId="77777777" w:rsidR="002D6820" w:rsidRPr="00E808F8" w:rsidRDefault="001750D2">
      <w:pPr>
        <w:spacing w:line="240" w:lineRule="auto"/>
        <w:rPr>
          <w:sz w:val="24"/>
          <w:szCs w:val="24"/>
          <w:lang w:val="cs-CZ"/>
        </w:rPr>
      </w:pPr>
      <w:r w:rsidRPr="00E808F8">
        <w:rPr>
          <w:sz w:val="24"/>
          <w:szCs w:val="24"/>
          <w:lang w:val="cs-CZ"/>
        </w:rPr>
        <w:t xml:space="preserve">Zuzana </w:t>
      </w:r>
      <w:proofErr w:type="spellStart"/>
      <w:r w:rsidRPr="00E808F8">
        <w:rPr>
          <w:sz w:val="24"/>
          <w:szCs w:val="24"/>
          <w:lang w:val="cs-CZ"/>
        </w:rPr>
        <w:t>Kaňuchová</w:t>
      </w:r>
      <w:proofErr w:type="spellEnd"/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</w:p>
    <w:p w14:paraId="54C41FC6" w14:textId="2B75B0C2" w:rsidR="002D6820" w:rsidRPr="00E808F8" w:rsidRDefault="001750D2">
      <w:pPr>
        <w:spacing w:line="240" w:lineRule="auto"/>
        <w:rPr>
          <w:sz w:val="24"/>
          <w:szCs w:val="24"/>
          <w:lang w:val="cs-CZ"/>
        </w:rPr>
      </w:pPr>
      <w:r w:rsidRPr="00E808F8">
        <w:rPr>
          <w:sz w:val="24"/>
          <w:szCs w:val="24"/>
          <w:lang w:val="cs-CZ"/>
        </w:rPr>
        <w:t>Ř</w:t>
      </w:r>
      <w:r w:rsidR="00195432" w:rsidRPr="00E808F8">
        <w:rPr>
          <w:sz w:val="24"/>
          <w:szCs w:val="24"/>
          <w:lang w:val="cs-CZ"/>
        </w:rPr>
        <w:t>e</w:t>
      </w:r>
      <w:r w:rsidRPr="00E808F8">
        <w:rPr>
          <w:sz w:val="24"/>
          <w:szCs w:val="24"/>
          <w:lang w:val="cs-CZ"/>
        </w:rPr>
        <w:t>ditelka korporátní komunikace</w:t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</w:p>
    <w:p w14:paraId="0303D4B0" w14:textId="77777777" w:rsidR="002D6820" w:rsidRPr="00E808F8" w:rsidRDefault="002D6820">
      <w:pPr>
        <w:tabs>
          <w:tab w:val="left" w:pos="1080"/>
          <w:tab w:val="left" w:pos="4500"/>
        </w:tabs>
        <w:spacing w:line="240" w:lineRule="auto"/>
        <w:rPr>
          <w:sz w:val="24"/>
          <w:szCs w:val="24"/>
          <w:lang w:val="cs-CZ"/>
        </w:rPr>
      </w:pPr>
    </w:p>
    <w:p w14:paraId="45030AAD" w14:textId="77777777" w:rsidR="002D6820" w:rsidRPr="00E808F8" w:rsidRDefault="001750D2">
      <w:pPr>
        <w:tabs>
          <w:tab w:val="left" w:pos="1080"/>
          <w:tab w:val="left" w:pos="4500"/>
        </w:tabs>
        <w:spacing w:line="240" w:lineRule="auto"/>
        <w:rPr>
          <w:sz w:val="24"/>
          <w:szCs w:val="24"/>
          <w:lang w:val="cs-CZ"/>
        </w:rPr>
      </w:pPr>
      <w:r w:rsidRPr="00E808F8">
        <w:rPr>
          <w:sz w:val="24"/>
          <w:szCs w:val="24"/>
          <w:lang w:val="cs-CZ"/>
        </w:rPr>
        <w:t>Telefon: +421 917 160 597</w:t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</w:p>
    <w:p w14:paraId="1CDEF6B1" w14:textId="11C40C54" w:rsidR="002D6820" w:rsidRPr="00E808F8" w:rsidRDefault="001750D2" w:rsidP="009838CE">
      <w:pPr>
        <w:spacing w:line="240" w:lineRule="auto"/>
        <w:rPr>
          <w:lang w:val="cs-CZ"/>
        </w:rPr>
      </w:pPr>
      <w:r w:rsidRPr="00E808F8">
        <w:rPr>
          <w:sz w:val="24"/>
          <w:szCs w:val="24"/>
          <w:lang w:val="cs-CZ"/>
        </w:rPr>
        <w:t>E-mail:</w:t>
      </w:r>
      <w:r w:rsidRPr="00E808F8">
        <w:rPr>
          <w:sz w:val="24"/>
          <w:szCs w:val="24"/>
          <w:lang w:val="cs-CZ"/>
        </w:rPr>
        <w:tab/>
        <w:t xml:space="preserve">  </w:t>
      </w:r>
      <w:hyperlink r:id="rId9" w:history="1">
        <w:r w:rsidRPr="00E808F8">
          <w:rPr>
            <w:rStyle w:val="Hyperlink1"/>
            <w:lang w:val="cs-CZ"/>
          </w:rPr>
          <w:t>zuzana.kanuchova@henkel.com</w:t>
        </w:r>
      </w:hyperlink>
      <w:r w:rsidRPr="00E808F8">
        <w:rPr>
          <w:sz w:val="24"/>
          <w:szCs w:val="24"/>
          <w:lang w:val="cs-CZ"/>
        </w:rPr>
        <w:tab/>
      </w:r>
      <w:r w:rsidRPr="00E808F8">
        <w:rPr>
          <w:sz w:val="24"/>
          <w:szCs w:val="24"/>
          <w:lang w:val="cs-CZ"/>
        </w:rPr>
        <w:tab/>
      </w:r>
    </w:p>
    <w:sectPr w:rsidR="002D6820" w:rsidRPr="00E808F8">
      <w:footerReference w:type="default" r:id="rId10"/>
      <w:headerReference w:type="first" r:id="rId11"/>
      <w:footerReference w:type="first" r:id="rId12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4A02" w14:textId="77777777" w:rsidR="00356C53" w:rsidRDefault="001750D2">
      <w:pPr>
        <w:spacing w:line="240" w:lineRule="auto"/>
      </w:pPr>
      <w:r>
        <w:separator/>
      </w:r>
    </w:p>
  </w:endnote>
  <w:endnote w:type="continuationSeparator" w:id="0">
    <w:p w14:paraId="5B5B29AF" w14:textId="77777777" w:rsidR="00356C53" w:rsidRDefault="00175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シック W3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8FE1" w14:textId="77777777" w:rsidR="002D6820" w:rsidRDefault="001750D2">
    <w:pPr>
      <w:pStyle w:val="Pta"/>
      <w:tabs>
        <w:tab w:val="clear" w:pos="7083"/>
        <w:tab w:val="clear" w:pos="8640"/>
        <w:tab w:val="right" w:pos="9058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95432">
      <w:rPr>
        <w:noProof/>
      </w:rPr>
      <w:t>2</w:t>
    </w:r>
    <w:r>
      <w:fldChar w:fldCharType="end"/>
    </w:r>
    <w:r>
      <w:t>/</w:t>
    </w:r>
    <w:fldSimple w:instr=" NUMPAGES ">
      <w:r w:rsidR="0019543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C7B8" w14:textId="77777777" w:rsidR="002D6820" w:rsidRDefault="001750D2">
    <w:pPr>
      <w:pStyle w:val="Pta"/>
      <w:jc w:val="both"/>
      <w:rPr>
        <w:b/>
        <w:bCs/>
      </w:rPr>
    </w:pPr>
    <w:r>
      <w:rPr>
        <w:noProof/>
      </w:rPr>
      <w:drawing>
        <wp:inline distT="0" distB="0" distL="0" distR="0" wp14:anchorId="1F2FD7A2" wp14:editId="09701F12">
          <wp:extent cx="5768975" cy="36004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 xml:space="preserve">      </w:t>
    </w:r>
  </w:p>
  <w:p w14:paraId="1517B331" w14:textId="77777777" w:rsidR="002D6820" w:rsidRDefault="001750D2">
    <w:pPr>
      <w:pStyle w:val="Pta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95432">
      <w:rPr>
        <w:noProof/>
      </w:rPr>
      <w:t>1</w:t>
    </w:r>
    <w:r>
      <w:fldChar w:fldCharType="end"/>
    </w:r>
    <w:r>
      <w:t>/</w:t>
    </w:r>
    <w:fldSimple w:instr=" NUMPAGES ">
      <w:r w:rsidR="0019543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3A4B" w14:textId="77777777" w:rsidR="00356C53" w:rsidRDefault="001750D2">
      <w:pPr>
        <w:spacing w:line="240" w:lineRule="auto"/>
      </w:pPr>
      <w:r>
        <w:separator/>
      </w:r>
    </w:p>
  </w:footnote>
  <w:footnote w:type="continuationSeparator" w:id="0">
    <w:p w14:paraId="20A43674" w14:textId="77777777" w:rsidR="00356C53" w:rsidRDefault="00175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6EF9" w14:textId="77777777" w:rsidR="002D6820" w:rsidRDefault="001750D2">
    <w:pPr>
      <w:pStyle w:val="Hlavika"/>
      <w:tabs>
        <w:tab w:val="clear" w:pos="9356"/>
        <w:tab w:val="right" w:pos="905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7EBDDB" wp14:editId="7BCED1F3">
          <wp:simplePos x="0" y="0"/>
          <wp:positionH relativeFrom="margin">
            <wp:align>right</wp:align>
          </wp:positionH>
          <wp:positionV relativeFrom="page">
            <wp:posOffset>201295</wp:posOffset>
          </wp:positionV>
          <wp:extent cx="1166495" cy="789306"/>
          <wp:effectExtent l="0" t="0" r="0" b="0"/>
          <wp:wrapNone/>
          <wp:docPr id="1073741825" name="officeArt object" descr="HENKEL_Logo_Red_s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NKEL_Logo_Red_sRGB" descr="HENKEL_Logo_Red_s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495" cy="7893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>
      <w:t>Tisková</w:t>
    </w:r>
    <w:proofErr w:type="spellEnd"/>
    <w:r>
      <w:t xml:space="preserve"> </w:t>
    </w:r>
    <w:proofErr w:type="spellStart"/>
    <w:r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031"/>
    <w:multiLevelType w:val="hybridMultilevel"/>
    <w:tmpl w:val="A4B685CC"/>
    <w:numStyleLink w:val="Odrky"/>
  </w:abstractNum>
  <w:abstractNum w:abstractNumId="1" w15:restartNumberingAfterBreak="0">
    <w:nsid w:val="60630FCD"/>
    <w:multiLevelType w:val="hybridMultilevel"/>
    <w:tmpl w:val="A4B685CC"/>
    <w:styleLink w:val="Odrky"/>
    <w:lvl w:ilvl="0" w:tplc="86C246AA">
      <w:start w:val="1"/>
      <w:numFmt w:val="bullet"/>
      <w:lvlText w:val="•"/>
      <w:lvlJc w:val="left"/>
      <w:pPr>
        <w:tabs>
          <w:tab w:val="left" w:pos="283"/>
        </w:tabs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74DB42">
      <w:start w:val="1"/>
      <w:numFmt w:val="bullet"/>
      <w:lvlText w:val="♣"/>
      <w:lvlJc w:val="left"/>
      <w:pPr>
        <w:ind w:left="283" w:hanging="283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2" w:tplc="2042DBA0">
      <w:start w:val="1"/>
      <w:numFmt w:val="bullet"/>
      <w:suff w:val="nothing"/>
      <w:lvlText w:val="♣"/>
      <w:lvlJc w:val="left"/>
      <w:pPr>
        <w:tabs>
          <w:tab w:val="left" w:pos="283"/>
        </w:tabs>
        <w:ind w:left="36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3" w:tplc="3620DA5A">
      <w:start w:val="1"/>
      <w:numFmt w:val="bullet"/>
      <w:suff w:val="nothing"/>
      <w:lvlText w:val="♣"/>
      <w:lvlJc w:val="left"/>
      <w:pPr>
        <w:tabs>
          <w:tab w:val="left" w:pos="283"/>
        </w:tabs>
        <w:ind w:left="54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4" w:tplc="4468AD62">
      <w:start w:val="1"/>
      <w:numFmt w:val="bullet"/>
      <w:suff w:val="nothing"/>
      <w:lvlText w:val="♣"/>
      <w:lvlJc w:val="left"/>
      <w:pPr>
        <w:tabs>
          <w:tab w:val="left" w:pos="283"/>
        </w:tabs>
        <w:ind w:left="72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5" w:tplc="309055A2">
      <w:start w:val="1"/>
      <w:numFmt w:val="bullet"/>
      <w:suff w:val="nothing"/>
      <w:lvlText w:val="♣"/>
      <w:lvlJc w:val="left"/>
      <w:pPr>
        <w:tabs>
          <w:tab w:val="left" w:pos="283"/>
        </w:tabs>
        <w:ind w:left="90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6" w:tplc="81FE57E0">
      <w:start w:val="1"/>
      <w:numFmt w:val="bullet"/>
      <w:suff w:val="nothing"/>
      <w:lvlText w:val="♣"/>
      <w:lvlJc w:val="left"/>
      <w:pPr>
        <w:tabs>
          <w:tab w:val="left" w:pos="283"/>
        </w:tabs>
        <w:ind w:left="108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7" w:tplc="C576F830">
      <w:start w:val="1"/>
      <w:numFmt w:val="bullet"/>
      <w:suff w:val="nothing"/>
      <w:lvlText w:val="♣"/>
      <w:lvlJc w:val="left"/>
      <w:pPr>
        <w:tabs>
          <w:tab w:val="left" w:pos="283"/>
        </w:tabs>
        <w:ind w:left="126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8" w:tplc="14F8ACBE">
      <w:start w:val="1"/>
      <w:numFmt w:val="bullet"/>
      <w:suff w:val="nothing"/>
      <w:lvlText w:val="♣"/>
      <w:lvlJc w:val="left"/>
      <w:pPr>
        <w:tabs>
          <w:tab w:val="left" w:pos="283"/>
        </w:tabs>
        <w:ind w:left="144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20"/>
    <w:rsid w:val="001750D2"/>
    <w:rsid w:val="00186308"/>
    <w:rsid w:val="00195432"/>
    <w:rsid w:val="002D6820"/>
    <w:rsid w:val="00355E39"/>
    <w:rsid w:val="00356C53"/>
    <w:rsid w:val="005076EB"/>
    <w:rsid w:val="006D6FDC"/>
    <w:rsid w:val="009838CE"/>
    <w:rsid w:val="00BB023C"/>
    <w:rsid w:val="00E808F8"/>
    <w:rsid w:val="00E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159E"/>
  <w15:docId w15:val="{7FBAC609-E95B-4480-976F-A2085233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styleId="Zkladntext">
    <w:name w:val="Body Text"/>
    <w:pPr>
      <w:widowControl w:val="0"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4"/>
      <w:szCs w:val="14"/>
      <w:u w:val="single" w:color="0000FF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  <w:lang w:val="en-US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24"/>
      <w:szCs w:val="24"/>
      <w:u w:val="single" w:color="0000FF"/>
    </w:rPr>
  </w:style>
  <w:style w:type="paragraph" w:customStyle="1" w:styleId="Predvolen">
    <w:name w:val="Predvolené"/>
    <w:rsid w:val="005076EB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rsid w:val="005076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uzana.kanuchova@henke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88766-6878-42DE-B383-91211086C948}"/>
</file>

<file path=customXml/itemProps2.xml><?xml version="1.0" encoding="utf-8"?>
<ds:datastoreItem xmlns:ds="http://schemas.openxmlformats.org/officeDocument/2006/customXml" ds:itemID="{5545669B-86CB-44F5-98B5-2AF935623A72}"/>
</file>

<file path=customXml/itemProps3.xml><?xml version="1.0" encoding="utf-8"?>
<ds:datastoreItem xmlns:ds="http://schemas.openxmlformats.org/officeDocument/2006/customXml" ds:itemID="{126A9678-DCC3-4FC5-9F82-6200DB3BF7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Villemová</dc:creator>
  <cp:lastModifiedBy>Monika Villemová</cp:lastModifiedBy>
  <cp:revision>9</cp:revision>
  <dcterms:created xsi:type="dcterms:W3CDTF">2022-02-02T09:28:00Z</dcterms:created>
  <dcterms:modified xsi:type="dcterms:W3CDTF">2022-02-02T10:03:00Z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