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048D9" w14:textId="3A26699F" w:rsidR="00015909" w:rsidRPr="00821252" w:rsidRDefault="007257CA" w:rsidP="00015909">
      <w:pPr>
        <w:spacing w:before="120"/>
        <w:jc w:val="right"/>
        <w:rPr>
          <w:i/>
          <w:sz w:val="24"/>
        </w:rPr>
      </w:pPr>
      <w:r>
        <w:rPr>
          <w:sz w:val="24"/>
        </w:rPr>
        <w:t>Februar</w:t>
      </w:r>
      <w:r w:rsidR="00872145">
        <w:rPr>
          <w:sz w:val="24"/>
        </w:rPr>
        <w:t xml:space="preserve"> 2022</w:t>
      </w:r>
    </w:p>
    <w:p w14:paraId="6417694C" w14:textId="77777777" w:rsidR="00015909" w:rsidRPr="00821252" w:rsidRDefault="00015909" w:rsidP="00015909">
      <w:pPr>
        <w:pStyle w:val="Standard12pt"/>
      </w:pPr>
    </w:p>
    <w:p w14:paraId="344DA645" w14:textId="7BB64514" w:rsidR="007257CA" w:rsidRPr="007257CA" w:rsidRDefault="00E10787" w:rsidP="00B24048">
      <w:pPr>
        <w:spacing w:line="280" w:lineRule="exact"/>
        <w:jc w:val="both"/>
        <w:outlineLvl w:val="0"/>
        <w:rPr>
          <w:b/>
          <w:bCs/>
          <w:sz w:val="24"/>
        </w:rPr>
      </w:pPr>
      <w:bookmarkStart w:id="0" w:name="_Hlk94880607"/>
      <w:r w:rsidRPr="007257CA">
        <w:rPr>
          <w:b/>
          <w:bCs/>
          <w:sz w:val="24"/>
        </w:rPr>
        <w:t xml:space="preserve">Persil 4in1 </w:t>
      </w:r>
      <w:r w:rsidR="007257CA">
        <w:rPr>
          <w:b/>
          <w:bCs/>
          <w:sz w:val="24"/>
        </w:rPr>
        <w:t>Discs</w:t>
      </w:r>
      <w:r w:rsidRPr="007257CA">
        <w:rPr>
          <w:b/>
          <w:bCs/>
          <w:sz w:val="24"/>
        </w:rPr>
        <w:t xml:space="preserve"> mit verbesserter Formel </w:t>
      </w:r>
    </w:p>
    <w:bookmarkEnd w:id="0"/>
    <w:p w14:paraId="2374EE1E" w14:textId="77777777" w:rsidR="007257CA" w:rsidRDefault="007257CA" w:rsidP="00B24048">
      <w:pPr>
        <w:spacing w:line="280" w:lineRule="exact"/>
        <w:jc w:val="both"/>
        <w:outlineLvl w:val="0"/>
      </w:pPr>
    </w:p>
    <w:p w14:paraId="3D227BD4" w14:textId="6F40B6D2" w:rsidR="007257CA" w:rsidRPr="007257CA" w:rsidRDefault="00E10787" w:rsidP="007257CA">
      <w:pPr>
        <w:spacing w:line="240" w:lineRule="auto"/>
        <w:jc w:val="both"/>
        <w:outlineLvl w:val="0"/>
        <w:rPr>
          <w:b/>
          <w:bCs/>
          <w:sz w:val="36"/>
          <w:szCs w:val="36"/>
        </w:rPr>
      </w:pPr>
      <w:bookmarkStart w:id="1" w:name="_Hlk94880620"/>
      <w:r w:rsidRPr="007257CA">
        <w:rPr>
          <w:b/>
          <w:bCs/>
          <w:sz w:val="36"/>
          <w:szCs w:val="36"/>
        </w:rPr>
        <w:t xml:space="preserve">Die besten Persil </w:t>
      </w:r>
      <w:r w:rsidR="007257CA">
        <w:rPr>
          <w:b/>
          <w:bCs/>
          <w:sz w:val="36"/>
          <w:szCs w:val="36"/>
        </w:rPr>
        <w:t>Discs</w:t>
      </w:r>
      <w:r w:rsidRPr="007257CA">
        <w:rPr>
          <w:b/>
          <w:bCs/>
          <w:sz w:val="36"/>
          <w:szCs w:val="36"/>
        </w:rPr>
        <w:t xml:space="preserve"> aller Zeiten – jetzt auch im recycelbaren Folienbeutel </w:t>
      </w:r>
      <w:bookmarkEnd w:id="1"/>
    </w:p>
    <w:p w14:paraId="52A1C8C6" w14:textId="77777777" w:rsidR="007257CA" w:rsidRDefault="007257CA" w:rsidP="00B24048">
      <w:pPr>
        <w:spacing w:line="280" w:lineRule="exact"/>
        <w:jc w:val="both"/>
        <w:outlineLvl w:val="0"/>
      </w:pPr>
    </w:p>
    <w:p w14:paraId="0520CA98" w14:textId="5562FDD8" w:rsidR="007257CA" w:rsidRPr="007257CA" w:rsidRDefault="00E10787" w:rsidP="00B24048">
      <w:pPr>
        <w:spacing w:line="280" w:lineRule="exact"/>
        <w:jc w:val="both"/>
        <w:outlineLvl w:val="0"/>
        <w:rPr>
          <w:b/>
          <w:bCs/>
          <w:sz w:val="24"/>
        </w:rPr>
      </w:pPr>
      <w:bookmarkStart w:id="2" w:name="_Hlk94880680"/>
      <w:r w:rsidRPr="007257CA">
        <w:rPr>
          <w:b/>
          <w:bCs/>
          <w:sz w:val="24"/>
        </w:rPr>
        <w:t xml:space="preserve">Zu Beginn des Jahres begeistert Persil Verbraucher mit einer verbesserten Formel der beliebten Persil 4in1 </w:t>
      </w:r>
      <w:r w:rsidR="007257CA">
        <w:rPr>
          <w:b/>
          <w:bCs/>
          <w:sz w:val="24"/>
        </w:rPr>
        <w:t>Discs</w:t>
      </w:r>
      <w:r w:rsidRPr="007257CA">
        <w:rPr>
          <w:b/>
          <w:bCs/>
          <w:sz w:val="24"/>
        </w:rPr>
        <w:t xml:space="preserve"> für perfekte Waschergebnisse. Die neuen Produkte gibt es ab sofort zusätzlich auch als Folienbeutel – ideal zum Nachfüllen der bestehenden Box und wie diese zu 100 Prozent recycelbar. Bei der Verwendung des Folienbeutels können Verbraucher </w:t>
      </w:r>
      <w:r w:rsidR="00424990">
        <w:rPr>
          <w:b/>
          <w:bCs/>
          <w:sz w:val="24"/>
        </w:rPr>
        <w:t xml:space="preserve">im Vergleich zur Box </w:t>
      </w:r>
      <w:r w:rsidRPr="007257CA">
        <w:rPr>
          <w:b/>
          <w:bCs/>
          <w:sz w:val="24"/>
        </w:rPr>
        <w:t xml:space="preserve">bis zu 80 Prozent Kunststoff pro Waschgang einsparen. </w:t>
      </w:r>
      <w:bookmarkEnd w:id="2"/>
    </w:p>
    <w:p w14:paraId="2B949B05" w14:textId="77777777" w:rsidR="007257CA" w:rsidRDefault="007257CA" w:rsidP="00B24048">
      <w:pPr>
        <w:spacing w:line="280" w:lineRule="exact"/>
        <w:jc w:val="both"/>
        <w:outlineLvl w:val="0"/>
      </w:pPr>
    </w:p>
    <w:p w14:paraId="060630EC" w14:textId="11D38D92" w:rsidR="007257CA" w:rsidRDefault="00E10787" w:rsidP="00B24048">
      <w:pPr>
        <w:spacing w:line="280" w:lineRule="exact"/>
        <w:jc w:val="both"/>
        <w:outlineLvl w:val="0"/>
        <w:rPr>
          <w:sz w:val="24"/>
        </w:rPr>
      </w:pPr>
      <w:r w:rsidRPr="007257CA">
        <w:rPr>
          <w:sz w:val="24"/>
        </w:rPr>
        <w:t xml:space="preserve">Perfekte Waschergebnisse und umweltschonende Rezepturen sind bei Persil kein Widerspruch. Persil Gel und 4in1 </w:t>
      </w:r>
      <w:r w:rsidR="007257CA">
        <w:rPr>
          <w:sz w:val="24"/>
        </w:rPr>
        <w:t>Discs</w:t>
      </w:r>
      <w:r w:rsidRPr="007257CA">
        <w:rPr>
          <w:sz w:val="24"/>
        </w:rPr>
        <w:t xml:space="preserve"> enthalten </w:t>
      </w:r>
      <w:r w:rsidR="00424990">
        <w:rPr>
          <w:sz w:val="24"/>
        </w:rPr>
        <w:t>organische Inhaltsstoffe, die gemäß OECD-Richtlinie 301/302 zu</w:t>
      </w:r>
      <w:r w:rsidRPr="007257CA">
        <w:rPr>
          <w:sz w:val="24"/>
        </w:rPr>
        <w:t xml:space="preserve"> 92 Prozent biologisch abbaubar</w:t>
      </w:r>
      <w:r w:rsidR="00424990">
        <w:rPr>
          <w:sz w:val="24"/>
        </w:rPr>
        <w:t xml:space="preserve"> sind</w:t>
      </w:r>
      <w:r w:rsidRPr="007257CA">
        <w:rPr>
          <w:sz w:val="24"/>
        </w:rPr>
        <w:t xml:space="preserve">. Die Rezeptur der Persil 4in1 </w:t>
      </w:r>
      <w:r w:rsidR="007257CA">
        <w:rPr>
          <w:sz w:val="24"/>
        </w:rPr>
        <w:t>Discs</w:t>
      </w:r>
      <w:r w:rsidRPr="007257CA">
        <w:rPr>
          <w:sz w:val="24"/>
        </w:rPr>
        <w:t xml:space="preserve"> </w:t>
      </w:r>
      <w:r w:rsidR="00423943">
        <w:rPr>
          <w:sz w:val="24"/>
        </w:rPr>
        <w:t xml:space="preserve">Universal und Color </w:t>
      </w:r>
      <w:r w:rsidRPr="007257CA">
        <w:rPr>
          <w:sz w:val="24"/>
        </w:rPr>
        <w:t xml:space="preserve">wurde sogar noch einmal verbessert. Das innovative 4-Kammern-System bietet die beste Persil </w:t>
      </w:r>
      <w:r w:rsidR="007257CA">
        <w:rPr>
          <w:sz w:val="24"/>
        </w:rPr>
        <w:t>Discs</w:t>
      </w:r>
      <w:r w:rsidRPr="007257CA">
        <w:rPr>
          <w:sz w:val="24"/>
        </w:rPr>
        <w:t xml:space="preserve">-Formel aller Zeiten und ist perfekt </w:t>
      </w:r>
      <w:r w:rsidR="004850CB" w:rsidRPr="007257CA">
        <w:rPr>
          <w:sz w:val="24"/>
        </w:rPr>
        <w:t>für</w:t>
      </w:r>
      <w:r w:rsidRPr="007257CA">
        <w:rPr>
          <w:sz w:val="24"/>
        </w:rPr>
        <w:t xml:space="preserve"> alle </w:t>
      </w:r>
      <w:r w:rsidR="004850CB">
        <w:rPr>
          <w:sz w:val="24"/>
        </w:rPr>
        <w:t xml:space="preserve">Waschgänge </w:t>
      </w:r>
      <w:r w:rsidRPr="007257CA">
        <w:rPr>
          <w:sz w:val="24"/>
        </w:rPr>
        <w:t xml:space="preserve">mit </w:t>
      </w:r>
      <w:r w:rsidR="004850CB" w:rsidRPr="007257CA">
        <w:rPr>
          <w:sz w:val="24"/>
        </w:rPr>
        <w:t>einem vordosierten</w:t>
      </w:r>
      <w:r w:rsidRPr="007257CA">
        <w:rPr>
          <w:sz w:val="24"/>
        </w:rPr>
        <w:t xml:space="preserve"> Produkt. In den für Verbraucher wichtigsten Dimensionen Fleckentfernung, hygienische Reinheit, Farb- und Faserschutz konnten die neuen Persil 4in1 </w:t>
      </w:r>
      <w:r w:rsidR="007257CA">
        <w:rPr>
          <w:sz w:val="24"/>
        </w:rPr>
        <w:t>Discs</w:t>
      </w:r>
      <w:r w:rsidRPr="007257CA">
        <w:rPr>
          <w:sz w:val="24"/>
        </w:rPr>
        <w:t xml:space="preserve"> noch einmal deutlich verbessert werden. </w:t>
      </w:r>
    </w:p>
    <w:p w14:paraId="12C39D73" w14:textId="77777777" w:rsidR="007257CA" w:rsidRPr="007257CA" w:rsidRDefault="007257CA" w:rsidP="00B24048">
      <w:pPr>
        <w:spacing w:line="280" w:lineRule="exact"/>
        <w:jc w:val="both"/>
        <w:outlineLvl w:val="0"/>
        <w:rPr>
          <w:sz w:val="24"/>
        </w:rPr>
      </w:pPr>
    </w:p>
    <w:p w14:paraId="5E190D33" w14:textId="77777777" w:rsidR="007257CA" w:rsidRPr="007257CA" w:rsidRDefault="00E10787" w:rsidP="007257CA">
      <w:pPr>
        <w:spacing w:line="280" w:lineRule="exact"/>
        <w:outlineLvl w:val="0"/>
        <w:rPr>
          <w:b/>
          <w:bCs/>
          <w:sz w:val="24"/>
        </w:rPr>
      </w:pPr>
      <w:r w:rsidRPr="007257CA">
        <w:rPr>
          <w:b/>
          <w:bCs/>
          <w:sz w:val="24"/>
        </w:rPr>
        <w:t>Neue Verpackung: Schritt für Schritt in eine nachhaltigere Zukunft</w:t>
      </w:r>
      <w:r w:rsidR="007257CA" w:rsidRPr="007257CA">
        <w:rPr>
          <w:b/>
          <w:bCs/>
          <w:sz w:val="24"/>
        </w:rPr>
        <w:br/>
      </w:r>
    </w:p>
    <w:p w14:paraId="3039600B" w14:textId="51A45809" w:rsidR="007257CA" w:rsidRPr="007257CA" w:rsidRDefault="00E10787" w:rsidP="00B24048">
      <w:pPr>
        <w:spacing w:line="280" w:lineRule="exact"/>
        <w:jc w:val="both"/>
        <w:outlineLvl w:val="0"/>
        <w:rPr>
          <w:sz w:val="24"/>
        </w:rPr>
      </w:pPr>
      <w:r w:rsidRPr="007257CA">
        <w:rPr>
          <w:sz w:val="24"/>
        </w:rPr>
        <w:t xml:space="preserve">Persil 4in1 </w:t>
      </w:r>
      <w:r w:rsidR="007257CA">
        <w:rPr>
          <w:sz w:val="24"/>
        </w:rPr>
        <w:t>Discs</w:t>
      </w:r>
      <w:r w:rsidRPr="007257CA">
        <w:rPr>
          <w:sz w:val="24"/>
        </w:rPr>
        <w:t xml:space="preserve"> sind jetzt neben der Box auch im Folienbeutel in den Großgrößen zum Beispiel mit </w:t>
      </w:r>
      <w:r w:rsidR="00AE78EC">
        <w:rPr>
          <w:sz w:val="24"/>
        </w:rPr>
        <w:t xml:space="preserve">76 </w:t>
      </w:r>
      <w:r w:rsidR="007257CA">
        <w:rPr>
          <w:sz w:val="24"/>
        </w:rPr>
        <w:t>Discs</w:t>
      </w:r>
      <w:r w:rsidRPr="007257CA">
        <w:rPr>
          <w:sz w:val="24"/>
        </w:rPr>
        <w:t xml:space="preserve"> erhältlich und gehen damit einen weiteren großen Schritt in Richtung nachhaltigere Verpackung. Durch die Verwendung der Folienbeutel sparen Verbraucher bis zu 80 Prozent Plastik pro Waschladung gegenüber der Box ein</w:t>
      </w:r>
      <w:r w:rsidR="007257CA" w:rsidRPr="007257CA">
        <w:rPr>
          <w:sz w:val="24"/>
        </w:rPr>
        <w:t>*</w:t>
      </w:r>
      <w:r w:rsidRPr="007257CA">
        <w:rPr>
          <w:sz w:val="24"/>
        </w:rPr>
        <w:t xml:space="preserve"> und die Beutel sind außerdem zu 100 Prozent recycelbar. Die innovative Persil 4in1 </w:t>
      </w:r>
      <w:r w:rsidR="007257CA">
        <w:rPr>
          <w:sz w:val="24"/>
        </w:rPr>
        <w:t>Discs</w:t>
      </w:r>
      <w:r w:rsidRPr="007257CA">
        <w:rPr>
          <w:sz w:val="24"/>
        </w:rPr>
        <w:t xml:space="preserve"> Box ist ebenfalls zu 100 Prozent recyclingfähig, da sie aus einer Kombination von sortenreinem Kunststoff und stabilisierendem Karton besteht. Sind die Persil </w:t>
      </w:r>
      <w:r w:rsidR="007257CA">
        <w:rPr>
          <w:sz w:val="24"/>
        </w:rPr>
        <w:t>Discs</w:t>
      </w:r>
      <w:r w:rsidRPr="007257CA">
        <w:rPr>
          <w:sz w:val="24"/>
        </w:rPr>
        <w:t xml:space="preserve"> aufgebraucht, können Karton und Kunststoff der Box einfach voneinander getrennt und dem jeweiligen Wertstoffkreislauf zugeführt werden. Die praktischen Folienbeutel eignen sich auch zum Nachfüllen der Boxen. </w:t>
      </w:r>
    </w:p>
    <w:p w14:paraId="6F76AF11" w14:textId="77777777" w:rsidR="007257CA" w:rsidRPr="007257CA" w:rsidRDefault="007257CA" w:rsidP="00B24048">
      <w:pPr>
        <w:spacing w:line="280" w:lineRule="exact"/>
        <w:jc w:val="both"/>
        <w:outlineLvl w:val="0"/>
        <w:rPr>
          <w:sz w:val="24"/>
        </w:rPr>
      </w:pPr>
    </w:p>
    <w:p w14:paraId="72F5AD91" w14:textId="37191FF1" w:rsidR="007257CA" w:rsidRPr="007257CA" w:rsidRDefault="00E10787" w:rsidP="00B24048">
      <w:pPr>
        <w:spacing w:line="280" w:lineRule="exact"/>
        <w:jc w:val="both"/>
        <w:outlineLvl w:val="0"/>
        <w:rPr>
          <w:sz w:val="24"/>
        </w:rPr>
      </w:pPr>
      <w:r w:rsidRPr="007257CA">
        <w:rPr>
          <w:sz w:val="24"/>
        </w:rPr>
        <w:t xml:space="preserve">Die neuen Persil 4in1 </w:t>
      </w:r>
      <w:r w:rsidR="007257CA">
        <w:rPr>
          <w:sz w:val="24"/>
        </w:rPr>
        <w:t>Discs</w:t>
      </w:r>
      <w:r w:rsidRPr="007257CA">
        <w:rPr>
          <w:sz w:val="24"/>
        </w:rPr>
        <w:t xml:space="preserve"> sind </w:t>
      </w:r>
      <w:r w:rsidR="007257CA" w:rsidRPr="007257CA">
        <w:rPr>
          <w:sz w:val="24"/>
        </w:rPr>
        <w:t xml:space="preserve">ab sofort </w:t>
      </w:r>
      <w:r w:rsidRPr="007257CA">
        <w:rPr>
          <w:sz w:val="24"/>
        </w:rPr>
        <w:t xml:space="preserve">im Handel erhältlich. </w:t>
      </w:r>
    </w:p>
    <w:p w14:paraId="4DE557EE" w14:textId="726B27B0" w:rsidR="007257CA" w:rsidRPr="007257CA" w:rsidRDefault="007257CA" w:rsidP="00B24048">
      <w:pPr>
        <w:spacing w:line="280" w:lineRule="exact"/>
        <w:jc w:val="both"/>
        <w:outlineLvl w:val="0"/>
        <w:rPr>
          <w:sz w:val="24"/>
        </w:rPr>
      </w:pPr>
    </w:p>
    <w:p w14:paraId="52A08E41" w14:textId="1F13AE34" w:rsidR="007257CA" w:rsidRPr="007257CA" w:rsidRDefault="007257CA" w:rsidP="007257CA">
      <w:pPr>
        <w:rPr>
          <w:rFonts w:ascii="Calibri" w:hAnsi="Calibri"/>
          <w:sz w:val="16"/>
          <w:szCs w:val="16"/>
          <w:lang w:val="de-AT"/>
        </w:rPr>
      </w:pPr>
      <w:r>
        <w:lastRenderedPageBreak/>
        <w:t>*</w:t>
      </w:r>
      <w:r w:rsidRPr="007257CA">
        <w:rPr>
          <w:sz w:val="16"/>
          <w:szCs w:val="16"/>
        </w:rPr>
        <w:t xml:space="preserve"> Im Vergleich zur vorherigen (66 WG) Verpackung</w:t>
      </w:r>
    </w:p>
    <w:p w14:paraId="13DE902A" w14:textId="747E44E7" w:rsidR="007257CA" w:rsidRPr="007257CA" w:rsidRDefault="007257CA" w:rsidP="00B24048">
      <w:pPr>
        <w:spacing w:line="280" w:lineRule="exact"/>
        <w:jc w:val="both"/>
        <w:outlineLvl w:val="0"/>
        <w:rPr>
          <w:lang w:val="de-AT"/>
        </w:rPr>
      </w:pPr>
    </w:p>
    <w:p w14:paraId="545C580A" w14:textId="77777777" w:rsidR="007257CA" w:rsidRDefault="007257CA" w:rsidP="00B24048">
      <w:pPr>
        <w:spacing w:line="280" w:lineRule="exact"/>
        <w:jc w:val="both"/>
        <w:outlineLvl w:val="0"/>
      </w:pPr>
    </w:p>
    <w:p w14:paraId="4C842D14" w14:textId="56108F75" w:rsidR="00B24048" w:rsidRPr="00872145" w:rsidRDefault="00B24048" w:rsidP="00B24048">
      <w:pPr>
        <w:spacing w:line="280" w:lineRule="exact"/>
        <w:jc w:val="both"/>
        <w:outlineLvl w:val="0"/>
        <w:rPr>
          <w:rFonts w:cs="Arial"/>
          <w:vanish/>
          <w:sz w:val="24"/>
          <w:specVanish/>
        </w:rPr>
      </w:pPr>
      <w:r w:rsidRPr="00872145">
        <w:rPr>
          <w:rFonts w:cs="Arial"/>
          <w:sz w:val="24"/>
          <w:lang w:val="de-AT"/>
        </w:rPr>
        <w:t xml:space="preserve">Fotomaterial finden Sie im Internet unter </w:t>
      </w:r>
      <w:hyperlink r:id="rId7" w:history="1">
        <w:r w:rsidRPr="00872145">
          <w:rPr>
            <w:rStyle w:val="Hyperlink"/>
            <w:rFonts w:cs="Arial"/>
            <w:sz w:val="24"/>
            <w:lang w:val="de-AT"/>
          </w:rPr>
          <w:t>http://news.henkel.at</w:t>
        </w:r>
      </w:hyperlink>
      <w:r w:rsidRPr="00872145">
        <w:rPr>
          <w:rFonts w:cs="Arial"/>
          <w:sz w:val="24"/>
        </w:rPr>
        <w:t>.</w:t>
      </w:r>
    </w:p>
    <w:p w14:paraId="05C237E1" w14:textId="6CEBDEDD" w:rsidR="00B24048" w:rsidRPr="00872145" w:rsidRDefault="00B24048" w:rsidP="00B24048">
      <w:pPr>
        <w:spacing w:line="280" w:lineRule="exact"/>
        <w:jc w:val="both"/>
        <w:outlineLvl w:val="0"/>
        <w:rPr>
          <w:rFonts w:cs="Arial"/>
          <w:sz w:val="24"/>
        </w:rPr>
      </w:pPr>
      <w:r w:rsidRPr="00872145">
        <w:rPr>
          <w:rFonts w:cs="Arial"/>
          <w:sz w:val="24"/>
        </w:rPr>
        <w:t xml:space="preserve"> </w:t>
      </w:r>
    </w:p>
    <w:p w14:paraId="44AC7854" w14:textId="77777777" w:rsidR="00B24048" w:rsidRPr="00B24048" w:rsidRDefault="00B24048" w:rsidP="00B24048">
      <w:pPr>
        <w:jc w:val="both"/>
        <w:rPr>
          <w:rFonts w:cs="Arial"/>
          <w:szCs w:val="20"/>
        </w:rPr>
      </w:pPr>
    </w:p>
    <w:p w14:paraId="06E65D87" w14:textId="31026A15" w:rsidR="00B24048" w:rsidRPr="00B24048" w:rsidRDefault="00B24048" w:rsidP="00B24048">
      <w:pPr>
        <w:jc w:val="both"/>
        <w:rPr>
          <w:rFonts w:cs="Arial"/>
          <w:szCs w:val="20"/>
        </w:rPr>
      </w:pPr>
      <w:r w:rsidRPr="00B24048">
        <w:rPr>
          <w:rFonts w:cs="Arial"/>
          <w:szCs w:val="20"/>
        </w:rPr>
        <w:t xml:space="preserve">Die Osteuropa-Zentrale von Henkel befindet sich in Wien. Das Unternehmen hält in der Region eine führende Marktposition in den Geschäftsbereichen Laundry &amp; Home Care, </w:t>
      </w:r>
      <w:proofErr w:type="spellStart"/>
      <w:r w:rsidRPr="00B24048">
        <w:rPr>
          <w:rFonts w:cs="Arial"/>
          <w:szCs w:val="20"/>
        </w:rPr>
        <w:t>Adhesive</w:t>
      </w:r>
      <w:proofErr w:type="spellEnd"/>
      <w:r w:rsidRPr="00B24048">
        <w:rPr>
          <w:rFonts w:cs="Arial"/>
          <w:szCs w:val="20"/>
        </w:rPr>
        <w:t xml:space="preserve"> Technologies und Beauty Care. In Österreich gibt es Henkel-Produkte seit 131 Jahren. Am Standort Wien wird seit 1927 produziert. Zu den Top-Marken von Henkel in Österreich zählen Blue Star, </w:t>
      </w:r>
      <w:proofErr w:type="spellStart"/>
      <w:r w:rsidRPr="00B24048">
        <w:rPr>
          <w:rFonts w:cs="Arial"/>
          <w:szCs w:val="20"/>
        </w:rPr>
        <w:t>Cimsec</w:t>
      </w:r>
      <w:proofErr w:type="spellEnd"/>
      <w:r w:rsidRPr="00B24048">
        <w:rPr>
          <w:rFonts w:cs="Arial"/>
          <w:szCs w:val="20"/>
        </w:rPr>
        <w:t>, Fa, Loctite, Pattex, Persil, Schwarzkopf, Somat und Syoss.</w:t>
      </w:r>
    </w:p>
    <w:p w14:paraId="4E9EACA7" w14:textId="77777777" w:rsidR="00B24048" w:rsidRPr="00B24048" w:rsidRDefault="00B24048" w:rsidP="00B24048">
      <w:pPr>
        <w:jc w:val="both"/>
        <w:rPr>
          <w:rFonts w:cs="Arial"/>
          <w:szCs w:val="20"/>
        </w:rPr>
      </w:pPr>
    </w:p>
    <w:p w14:paraId="38526DBE" w14:textId="59EB2542" w:rsidR="00B24048" w:rsidRPr="00B24048" w:rsidRDefault="00B24048" w:rsidP="00B24048">
      <w:pPr>
        <w:tabs>
          <w:tab w:val="left" w:pos="1080"/>
          <w:tab w:val="left" w:pos="4500"/>
        </w:tabs>
        <w:spacing w:line="240" w:lineRule="auto"/>
        <w:jc w:val="both"/>
        <w:rPr>
          <w:rFonts w:cs="Arial"/>
        </w:rPr>
      </w:pPr>
      <w:r w:rsidRPr="00B24048">
        <w:rPr>
          <w:rFonts w:cs="Arial"/>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B24048">
        <w:rPr>
          <w:rFonts w:cs="Arial"/>
        </w:rPr>
        <w:t>Adhesive</w:t>
      </w:r>
      <w:proofErr w:type="spellEnd"/>
      <w:r w:rsidRPr="00B24048">
        <w:rPr>
          <w:rFonts w:cs="Arial"/>
        </w:rPr>
        <w:t xml:space="preserve"> Technologies globaler Marktführer im Klebstoffbereich. Auch mit den Unternehmensbereichen Laundry &amp; Home Care und Beauty Care ist das Unternehmen in vielen Märkten und Kategorien führend. Henkel wurde 1876 gegründet und blickt auf eine über 140-jährige Erfolgsgeschichte zurück. Im Geschäftsjahr 2020 erzielte Henkel einen Umsatz von über 19 Mrd. Euro und ein bereinigtes betriebliches Ergebnis von rund 2,6 Mrd. Euro. Henkel beschäftigt weltweit mehr als 53.000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w:t>
      </w:r>
    </w:p>
    <w:p w14:paraId="4D48DB27" w14:textId="77777777" w:rsidR="00B24048" w:rsidRPr="00B24048" w:rsidRDefault="00B24048" w:rsidP="00B24048">
      <w:pPr>
        <w:tabs>
          <w:tab w:val="left" w:pos="1080"/>
          <w:tab w:val="left" w:pos="4500"/>
        </w:tabs>
        <w:spacing w:line="320" w:lineRule="exact"/>
        <w:jc w:val="both"/>
        <w:rPr>
          <w:rFonts w:cs="Arial"/>
          <w:szCs w:val="20"/>
          <w:lang w:eastAsia="de-DE"/>
        </w:rPr>
      </w:pPr>
    </w:p>
    <w:p w14:paraId="7F0C4BCB" w14:textId="77777777" w:rsidR="00B24048" w:rsidRPr="00B24048" w:rsidRDefault="00B24048" w:rsidP="00B24048">
      <w:pPr>
        <w:tabs>
          <w:tab w:val="left" w:pos="1080"/>
          <w:tab w:val="left" w:pos="4500"/>
        </w:tabs>
        <w:spacing w:line="320" w:lineRule="exact"/>
        <w:jc w:val="both"/>
        <w:rPr>
          <w:rFonts w:cs="Arial"/>
          <w:szCs w:val="20"/>
          <w:lang w:val="pt-BR"/>
        </w:rPr>
      </w:pPr>
      <w:r w:rsidRPr="00B24048">
        <w:rPr>
          <w:rFonts w:cs="Arial"/>
          <w:szCs w:val="20"/>
          <w:lang w:val="de-AT"/>
        </w:rPr>
        <w:t>Kontakt</w:t>
      </w:r>
      <w:r w:rsidRPr="00B24048">
        <w:rPr>
          <w:rFonts w:cs="Arial"/>
          <w:szCs w:val="20"/>
          <w:lang w:val="de-AT"/>
        </w:rPr>
        <w:tab/>
        <w:t xml:space="preserve">Mag. </w:t>
      </w:r>
      <w:r w:rsidRPr="00B24048">
        <w:rPr>
          <w:rFonts w:cs="Arial"/>
          <w:szCs w:val="20"/>
          <w:lang w:val="pt-BR"/>
        </w:rPr>
        <w:t>Michael Sgiarovello</w:t>
      </w:r>
      <w:r w:rsidRPr="00B24048">
        <w:rPr>
          <w:rFonts w:cs="Arial"/>
          <w:szCs w:val="20"/>
          <w:lang w:val="pt-BR"/>
        </w:rPr>
        <w:tab/>
        <w:t>Daniela Sykora</w:t>
      </w:r>
    </w:p>
    <w:p w14:paraId="15C4A8C7" w14:textId="77777777" w:rsidR="00B24048" w:rsidRPr="00B24048" w:rsidRDefault="00B24048" w:rsidP="00B24048">
      <w:pPr>
        <w:tabs>
          <w:tab w:val="left" w:pos="1080"/>
          <w:tab w:val="left" w:pos="4500"/>
        </w:tabs>
        <w:spacing w:line="320" w:lineRule="exact"/>
        <w:jc w:val="both"/>
        <w:rPr>
          <w:rFonts w:cs="Arial"/>
          <w:szCs w:val="20"/>
          <w:lang w:val="pt-BR"/>
        </w:rPr>
      </w:pPr>
      <w:r w:rsidRPr="00B24048">
        <w:rPr>
          <w:rFonts w:cs="Arial"/>
          <w:szCs w:val="20"/>
          <w:lang w:val="pt-BR"/>
        </w:rPr>
        <w:t>Telefon</w:t>
      </w:r>
      <w:r w:rsidRPr="00B24048">
        <w:rPr>
          <w:rFonts w:cs="Arial"/>
          <w:szCs w:val="20"/>
          <w:lang w:val="pt-BR"/>
        </w:rPr>
        <w:tab/>
        <w:t>+43 (0)1 711 04-2744</w:t>
      </w:r>
      <w:r w:rsidRPr="00B24048">
        <w:rPr>
          <w:rFonts w:cs="Arial"/>
          <w:szCs w:val="20"/>
          <w:lang w:val="pt-BR"/>
        </w:rPr>
        <w:tab/>
        <w:t>+43 (0)1 711 04-2254</w:t>
      </w:r>
    </w:p>
    <w:p w14:paraId="348BA1DA" w14:textId="77777777" w:rsidR="00B24048" w:rsidRPr="00B24048" w:rsidRDefault="00B24048" w:rsidP="00B24048">
      <w:pPr>
        <w:tabs>
          <w:tab w:val="left" w:pos="1080"/>
          <w:tab w:val="left" w:pos="4500"/>
        </w:tabs>
        <w:spacing w:line="320" w:lineRule="exact"/>
        <w:jc w:val="both"/>
        <w:rPr>
          <w:rFonts w:cs="Arial"/>
          <w:lang w:val="pt-BR"/>
        </w:rPr>
      </w:pPr>
      <w:r w:rsidRPr="00B24048">
        <w:rPr>
          <w:rFonts w:cs="Arial"/>
          <w:szCs w:val="20"/>
          <w:lang w:val="pt-BR"/>
        </w:rPr>
        <w:t>E-Mail</w:t>
      </w:r>
      <w:r w:rsidRPr="00B24048">
        <w:rPr>
          <w:rFonts w:cs="Arial"/>
          <w:szCs w:val="20"/>
          <w:lang w:val="pt-BR"/>
        </w:rPr>
        <w:tab/>
        <w:t>michael.sgiarovello@henkel.com</w:t>
      </w:r>
      <w:r w:rsidRPr="00B24048">
        <w:rPr>
          <w:rFonts w:cs="Arial"/>
          <w:szCs w:val="20"/>
          <w:lang w:val="pt-BR"/>
        </w:rPr>
        <w:tab/>
      </w:r>
      <w:hyperlink r:id="rId8" w:history="1">
        <w:r w:rsidRPr="00B24048">
          <w:rPr>
            <w:rStyle w:val="Hyperlink"/>
            <w:rFonts w:cs="Arial"/>
            <w:szCs w:val="20"/>
            <w:lang w:val="pt-BR"/>
          </w:rPr>
          <w:t>daniela.sykora@henkel.com</w:t>
        </w:r>
      </w:hyperlink>
    </w:p>
    <w:p w14:paraId="650C77EE" w14:textId="77777777" w:rsidR="00205FEF" w:rsidRPr="00B24048" w:rsidRDefault="00205FEF" w:rsidP="00205FEF">
      <w:pPr>
        <w:tabs>
          <w:tab w:val="left" w:pos="1080"/>
          <w:tab w:val="left" w:pos="4500"/>
        </w:tabs>
        <w:rPr>
          <w:rStyle w:val="AboutandContactBody"/>
          <w:rFonts w:ascii="Arial" w:hAnsi="Arial" w:cs="Arial"/>
          <w:lang w:val="pt-BR"/>
        </w:rPr>
      </w:pPr>
    </w:p>
    <w:p w14:paraId="07F6C4F8" w14:textId="77777777" w:rsidR="00205FEF" w:rsidRPr="00B24048" w:rsidRDefault="00205FEF" w:rsidP="00205FEF">
      <w:pPr>
        <w:tabs>
          <w:tab w:val="left" w:pos="1080"/>
          <w:tab w:val="left" w:pos="4500"/>
        </w:tabs>
        <w:rPr>
          <w:rStyle w:val="AboutandContactBody"/>
          <w:lang w:val="pt-BR"/>
        </w:rPr>
      </w:pPr>
    </w:p>
    <w:sectPr w:rsidR="00205FEF" w:rsidRPr="00B24048" w:rsidSect="002A7ACA">
      <w:headerReference w:type="default" r:id="rId9"/>
      <w:footerReference w:type="even" r:id="rId10"/>
      <w:footerReference w:type="default" r:id="rId11"/>
      <w:headerReference w:type="first" r:id="rId12"/>
      <w:footerReference w:type="first" r:id="rId13"/>
      <w:pgSz w:w="11900" w:h="16840"/>
      <w:pgMar w:top="3289" w:right="1418" w:bottom="1985"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3ECD2" w14:textId="77777777" w:rsidR="00D81AF7" w:rsidRDefault="00D81AF7" w:rsidP="004F5786">
      <w:r>
        <w:separator/>
      </w:r>
    </w:p>
  </w:endnote>
  <w:endnote w:type="continuationSeparator" w:id="0">
    <w:p w14:paraId="39F6DCA7" w14:textId="77777777" w:rsidR="00D81AF7" w:rsidRDefault="00D81AF7" w:rsidP="004F5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587E2" w14:textId="77777777" w:rsidR="0062602A" w:rsidRDefault="0062602A" w:rsidP="005F179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31AD1C7" w14:textId="77777777" w:rsidR="0062602A" w:rsidRDefault="0062602A" w:rsidP="005F179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B4F51" w14:textId="29591967" w:rsidR="0062602A" w:rsidRPr="002A7ACA" w:rsidRDefault="0062602A" w:rsidP="00450E68">
    <w:pPr>
      <w:pStyle w:val="Fuzeile"/>
      <w:tabs>
        <w:tab w:val="clear" w:pos="4153"/>
        <w:tab w:val="clear" w:pos="8306"/>
        <w:tab w:val="center" w:pos="4352"/>
      </w:tabs>
      <w:ind w:right="-8"/>
      <w:rPr>
        <w:rFonts w:ascii="Arial" w:hAnsi="Arial" w:cs="Arial"/>
        <w:sz w:val="14"/>
        <w:szCs w:val="14"/>
      </w:rPr>
    </w:pPr>
    <w:r w:rsidRPr="00450E68">
      <w:rPr>
        <w:rFonts w:ascii="Arial" w:hAnsi="Arial" w:cs="Arial"/>
        <w:b/>
        <w:sz w:val="14"/>
        <w:szCs w:val="14"/>
      </w:rPr>
      <w:t xml:space="preserve">Henkel </w:t>
    </w:r>
    <w:r w:rsidR="00B24048">
      <w:rPr>
        <w:rFonts w:ascii="Arial" w:hAnsi="Arial" w:cs="Arial"/>
        <w:b/>
        <w:sz w:val="14"/>
        <w:szCs w:val="14"/>
      </w:rPr>
      <w:t>CEE</w:t>
    </w:r>
    <w:r w:rsidRPr="00450E68">
      <w:rPr>
        <w:rFonts w:ascii="Arial" w:hAnsi="Arial" w:cs="Arial"/>
        <w:b/>
        <w:sz w:val="14"/>
        <w:szCs w:val="14"/>
      </w:rPr>
      <w:t>, Corporate Communications</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proofErr w:type="spellStart"/>
    <w:r w:rsidRPr="00450E68">
      <w:rPr>
        <w:rFonts w:ascii="Arial" w:hAnsi="Arial" w:cs="Arial"/>
        <w:sz w:val="13"/>
        <w:szCs w:val="13"/>
      </w:rPr>
      <w:t>Seite</w:t>
    </w:r>
    <w:proofErr w:type="spellEnd"/>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PAGE </w:instrText>
    </w:r>
    <w:r w:rsidRPr="00450E68">
      <w:rPr>
        <w:rFonts w:ascii="Arial" w:hAnsi="Arial" w:cs="Arial"/>
        <w:sz w:val="13"/>
        <w:szCs w:val="13"/>
      </w:rPr>
      <w:fldChar w:fldCharType="separate"/>
    </w:r>
    <w:r w:rsidR="00CC2C73">
      <w:rPr>
        <w:rFonts w:ascii="Arial" w:hAnsi="Arial" w:cs="Arial"/>
        <w:noProof/>
        <w:sz w:val="13"/>
        <w:szCs w:val="13"/>
      </w:rPr>
      <w:t>2</w:t>
    </w:r>
    <w:r w:rsidRPr="00450E68">
      <w:rPr>
        <w:rFonts w:ascii="Arial" w:hAnsi="Arial" w:cs="Arial"/>
        <w:sz w:val="13"/>
        <w:szCs w:val="13"/>
      </w:rPr>
      <w:fldChar w:fldCharType="end"/>
    </w:r>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NUMPAGES </w:instrText>
    </w:r>
    <w:r w:rsidRPr="00450E68">
      <w:rPr>
        <w:rFonts w:ascii="Arial" w:hAnsi="Arial" w:cs="Arial"/>
        <w:sz w:val="13"/>
        <w:szCs w:val="13"/>
      </w:rPr>
      <w:fldChar w:fldCharType="separate"/>
    </w:r>
    <w:r w:rsidR="00CC2C73">
      <w:rPr>
        <w:rFonts w:ascii="Arial" w:hAnsi="Arial" w:cs="Arial"/>
        <w:noProof/>
        <w:sz w:val="13"/>
        <w:szCs w:val="13"/>
      </w:rPr>
      <w:t>2</w:t>
    </w:r>
    <w:r w:rsidRPr="00450E68">
      <w:rPr>
        <w:rFonts w:ascii="Arial" w:hAnsi="Arial" w:cs="Arial"/>
        <w:sz w:val="13"/>
        <w:szCs w:val="1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A0BD0" w14:textId="3059B6A7" w:rsidR="00B24048" w:rsidRPr="003D2E29" w:rsidRDefault="00B24048" w:rsidP="00B24048">
    <w:pPr>
      <w:pStyle w:val="Fuzeile"/>
      <w:rPr>
        <w:position w:val="9"/>
      </w:rPr>
    </w:pPr>
    <w:r>
      <w:rPr>
        <w:noProof/>
        <w:position w:val="-16"/>
        <w:lang w:eastAsia="de-DE"/>
      </w:rPr>
      <w:drawing>
        <wp:inline distT="0" distB="0" distL="0" distR="0" wp14:anchorId="1FACBC39" wp14:editId="40BD8CE1">
          <wp:extent cx="693420" cy="426720"/>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3420" cy="426720"/>
                  </a:xfrm>
                  <a:prstGeom prst="rect">
                    <a:avLst/>
                  </a:prstGeom>
                  <a:noFill/>
                  <a:ln>
                    <a:noFill/>
                  </a:ln>
                </pic:spPr>
              </pic:pic>
            </a:graphicData>
          </a:graphic>
        </wp:inline>
      </w:drawing>
    </w:r>
    <w:r>
      <w:rPr>
        <w:noProof/>
        <w:position w:val="-2"/>
        <w:lang w:eastAsia="de-DE"/>
      </w:rPr>
      <w:drawing>
        <wp:inline distT="0" distB="0" distL="0" distR="0" wp14:anchorId="42D27A17" wp14:editId="1FA2A2D8">
          <wp:extent cx="495300" cy="274320"/>
          <wp:effectExtent l="0" t="0" r="0" b="0"/>
          <wp:docPr id="2"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4320"/>
                  </a:xfrm>
                  <a:prstGeom prst="rect">
                    <a:avLst/>
                  </a:prstGeom>
                  <a:noFill/>
                  <a:ln>
                    <a:noFill/>
                  </a:ln>
                </pic:spPr>
              </pic:pic>
            </a:graphicData>
          </a:graphic>
        </wp:inline>
      </w:drawing>
    </w:r>
    <w:r>
      <w:rPr>
        <w:noProof/>
        <w:position w:val="-2"/>
        <w:lang w:eastAsia="de-DE"/>
      </w:rPr>
      <w:drawing>
        <wp:inline distT="0" distB="0" distL="0" distR="0" wp14:anchorId="3D4DEDD1" wp14:editId="71A9515A">
          <wp:extent cx="426720" cy="259080"/>
          <wp:effectExtent l="0" t="0" r="0" b="0"/>
          <wp:docPr id="3"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6720" cy="259080"/>
                  </a:xfrm>
                  <a:prstGeom prst="rect">
                    <a:avLst/>
                  </a:prstGeom>
                  <a:noFill/>
                  <a:ln>
                    <a:noFill/>
                  </a:ln>
                </pic:spPr>
              </pic:pic>
            </a:graphicData>
          </a:graphic>
        </wp:inline>
      </w:drawing>
    </w:r>
    <w:r>
      <w:rPr>
        <w:noProof/>
      </w:rPr>
      <w:drawing>
        <wp:inline distT="0" distB="0" distL="0" distR="0" wp14:anchorId="07A2CF27" wp14:editId="0BF1BC8D">
          <wp:extent cx="457200" cy="28956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89560"/>
                  </a:xfrm>
                  <a:prstGeom prst="rect">
                    <a:avLst/>
                  </a:prstGeom>
                  <a:noFill/>
                  <a:ln>
                    <a:noFill/>
                  </a:ln>
                </pic:spPr>
              </pic:pic>
            </a:graphicData>
          </a:graphic>
        </wp:inline>
      </w:drawing>
    </w:r>
    <w:r>
      <w:rPr>
        <w:noProof/>
        <w:position w:val="-2"/>
        <w:lang w:eastAsia="de-DE"/>
      </w:rPr>
      <w:drawing>
        <wp:inline distT="0" distB="0" distL="0" distR="0" wp14:anchorId="53DB153C" wp14:editId="16CA787D">
          <wp:extent cx="373380" cy="213360"/>
          <wp:effectExtent l="0" t="0" r="0" b="0"/>
          <wp:docPr id="5"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73380" cy="213360"/>
                  </a:xfrm>
                  <a:prstGeom prst="rect">
                    <a:avLst/>
                  </a:prstGeom>
                  <a:noFill/>
                  <a:ln>
                    <a:noFill/>
                  </a:ln>
                </pic:spPr>
              </pic:pic>
            </a:graphicData>
          </a:graphic>
        </wp:inline>
      </w:drawing>
    </w:r>
    <w:r>
      <w:rPr>
        <w:noProof/>
        <w:position w:val="-12"/>
        <w:lang w:eastAsia="de-DE"/>
      </w:rPr>
      <w:drawing>
        <wp:inline distT="0" distB="0" distL="0" distR="0" wp14:anchorId="707D1725" wp14:editId="09EDC814">
          <wp:extent cx="381000" cy="350520"/>
          <wp:effectExtent l="0" t="0" r="0" b="0"/>
          <wp:docPr id="6"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50520"/>
                  </a:xfrm>
                  <a:prstGeom prst="rect">
                    <a:avLst/>
                  </a:prstGeom>
                  <a:noFill/>
                  <a:ln>
                    <a:noFill/>
                  </a:ln>
                </pic:spPr>
              </pic:pic>
            </a:graphicData>
          </a:graphic>
        </wp:inline>
      </w:drawing>
    </w:r>
    <w:r>
      <w:t xml:space="preserve">  </w:t>
    </w:r>
    <w:r>
      <w:rPr>
        <w:noProof/>
        <w:lang w:eastAsia="de-DE"/>
      </w:rPr>
      <w:drawing>
        <wp:inline distT="0" distB="0" distL="0" distR="0" wp14:anchorId="02214E75" wp14:editId="52CB91E7">
          <wp:extent cx="251460" cy="266700"/>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inline>
      </w:drawing>
    </w:r>
    <w:r>
      <w:t xml:space="preserve">  </w:t>
    </w:r>
    <w:r>
      <w:rPr>
        <w:noProof/>
        <w:position w:val="6"/>
        <w:lang w:eastAsia="de-DE"/>
      </w:rPr>
      <w:drawing>
        <wp:inline distT="0" distB="0" distL="0" distR="0" wp14:anchorId="66A93BFC" wp14:editId="056F2710">
          <wp:extent cx="457200" cy="160020"/>
          <wp:effectExtent l="0" t="0" r="0" b="0"/>
          <wp:docPr id="8"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160020"/>
                  </a:xfrm>
                  <a:prstGeom prst="rect">
                    <a:avLst/>
                  </a:prstGeom>
                  <a:noFill/>
                  <a:ln>
                    <a:noFill/>
                  </a:ln>
                </pic:spPr>
              </pic:pic>
            </a:graphicData>
          </a:graphic>
        </wp:inline>
      </w:drawing>
    </w:r>
    <w:r>
      <w:t xml:space="preserve">  </w:t>
    </w:r>
    <w:r>
      <w:rPr>
        <w:noProof/>
        <w:lang w:eastAsia="de-DE"/>
      </w:rPr>
      <w:drawing>
        <wp:inline distT="0" distB="0" distL="0" distR="0" wp14:anchorId="143A559A" wp14:editId="1CF29EAF">
          <wp:extent cx="350520" cy="236220"/>
          <wp:effectExtent l="0" t="0" r="0" b="0"/>
          <wp:docPr id="9"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 cy="236220"/>
                  </a:xfrm>
                  <a:prstGeom prst="rect">
                    <a:avLst/>
                  </a:prstGeom>
                  <a:noFill/>
                  <a:ln>
                    <a:noFill/>
                  </a:ln>
                </pic:spPr>
              </pic:pic>
            </a:graphicData>
          </a:graphic>
        </wp:inline>
      </w:drawing>
    </w:r>
    <w:r>
      <w:rPr>
        <w:noProof/>
        <w:position w:val="-6"/>
        <w:lang w:eastAsia="de-DE"/>
      </w:rPr>
      <w:drawing>
        <wp:inline distT="0" distB="0" distL="0" distR="0" wp14:anchorId="22BE59B8" wp14:editId="7B84BFE2">
          <wp:extent cx="426720" cy="335280"/>
          <wp:effectExtent l="0" t="0" r="0" b="0"/>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Pr>
        <w:position w:val="10"/>
      </w:rPr>
      <w:t xml:space="preserve"> </w:t>
    </w:r>
    <w:r>
      <w:rPr>
        <w:noProof/>
        <w:position w:val="6"/>
        <w:lang w:eastAsia="de-DE"/>
      </w:rPr>
      <w:drawing>
        <wp:inline distT="0" distB="0" distL="0" distR="0" wp14:anchorId="2EC22B5A" wp14:editId="6A05E50C">
          <wp:extent cx="304800" cy="182880"/>
          <wp:effectExtent l="0" t="0" r="0" b="0"/>
          <wp:docPr id="11"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r>
      <w:rPr>
        <w:noProof/>
        <w:position w:val="6"/>
      </w:rPr>
      <w:t xml:space="preserve">    </w:t>
    </w:r>
    <w:r>
      <w:rPr>
        <w:position w:val="9"/>
      </w:rPr>
      <w:t xml:space="preserve"> </w:t>
    </w:r>
    <w:r>
      <w:rPr>
        <w:noProof/>
        <w:position w:val="-4"/>
        <w:lang w:eastAsia="de-DE"/>
      </w:rPr>
      <w:drawing>
        <wp:inline distT="0" distB="0" distL="0" distR="0" wp14:anchorId="7F30F6E4" wp14:editId="147C7A7F">
          <wp:extent cx="304800" cy="304800"/>
          <wp:effectExtent l="0" t="0" r="0" b="0"/>
          <wp:docPr id="12"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0BEA459E" w14:textId="37AE2F4F" w:rsidR="00B24048" w:rsidRDefault="00B24048">
    <w:pPr>
      <w:pStyle w:val="Fuzeile"/>
    </w:pPr>
  </w:p>
  <w:p w14:paraId="07FF091C" w14:textId="72FA6B10" w:rsidR="0062602A" w:rsidRPr="00450E68" w:rsidRDefault="0062602A" w:rsidP="005F179A">
    <w:pPr>
      <w:pStyle w:val="Fuzeile"/>
      <w:jc w:val="right"/>
      <w:rPr>
        <w:rFonts w:ascii="Arial" w:hAnsi="Arial" w:cs="Arial"/>
        <w:sz w:val="13"/>
        <w:szCs w:val="13"/>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96AA1" w14:textId="77777777" w:rsidR="00D81AF7" w:rsidRDefault="00D81AF7" w:rsidP="004F5786">
      <w:r>
        <w:separator/>
      </w:r>
    </w:p>
  </w:footnote>
  <w:footnote w:type="continuationSeparator" w:id="0">
    <w:p w14:paraId="2F61DABA" w14:textId="77777777" w:rsidR="00D81AF7" w:rsidRDefault="00D81AF7" w:rsidP="004F5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68BFB" w14:textId="77777777" w:rsidR="0062602A" w:rsidRPr="002A7ACA" w:rsidRDefault="0062602A" w:rsidP="002A7ACA">
    <w:pPr>
      <w:pStyle w:val="Kopfzeile"/>
      <w:jc w:val="right"/>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4FB7" w14:textId="5A172383" w:rsidR="0062602A" w:rsidRPr="002A7ACA" w:rsidRDefault="00B24048" w:rsidP="002A7ACA">
    <w:pPr>
      <w:pStyle w:val="Kopfzeile"/>
      <w:jc w:val="right"/>
      <w:rPr>
        <w:rFonts w:ascii="Arial" w:hAnsi="Arial"/>
        <w:b/>
        <w:sz w:val="36"/>
        <w:szCs w:val="36"/>
      </w:rPr>
    </w:pPr>
    <w:r>
      <w:rPr>
        <w:noProof/>
      </w:rPr>
      <w:drawing>
        <wp:anchor distT="0" distB="0" distL="114300" distR="114300" simplePos="0" relativeHeight="251659264" behindDoc="0" locked="0" layoutInCell="1" allowOverlap="1" wp14:anchorId="44BA2FCE" wp14:editId="550F7F11">
          <wp:simplePos x="0" y="0"/>
          <wp:positionH relativeFrom="column">
            <wp:posOffset>4543064</wp:posOffset>
          </wp:positionH>
          <wp:positionV relativeFrom="paragraph">
            <wp:posOffset>-1482195</wp:posOffset>
          </wp:positionV>
          <wp:extent cx="1430655" cy="1066165"/>
          <wp:effectExtent l="0" t="0" r="0" b="0"/>
          <wp:wrapNone/>
          <wp:docPr id="1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pic:spPr>
              </pic:pic>
            </a:graphicData>
          </a:graphic>
          <wp14:sizeRelH relativeFrom="page">
            <wp14:pctWidth>0</wp14:pctWidth>
          </wp14:sizeRelH>
          <wp14:sizeRelV relativeFrom="page">
            <wp14:pctHeight>0</wp14:pctHeight>
          </wp14:sizeRelV>
        </wp:anchor>
      </w:drawing>
    </w:r>
    <w:r w:rsidR="0062602A" w:rsidRPr="0062602A">
      <w:rPr>
        <w:rFonts w:ascii="Arial" w:hAnsi="Arial" w:cs="Arial"/>
        <w:b/>
        <w:bCs/>
        <w:noProof/>
        <w:color w:val="3E3C3C"/>
        <w:sz w:val="40"/>
        <w:szCs w:val="40"/>
      </w:rPr>
      <w:t>Press</w:t>
    </w:r>
    <w:proofErr w:type="spellStart"/>
    <w:r w:rsidR="0062602A" w:rsidRPr="0062602A">
      <w:rPr>
        <w:rFonts w:ascii="Arial" w:hAnsi="Arial" w:cs="Arial"/>
        <w:b/>
        <w:bCs/>
        <w:color w:val="3E3C3C"/>
        <w:sz w:val="40"/>
        <w:szCs w:val="40"/>
        <w:lang w:val="de-DE"/>
      </w:rPr>
      <w:t>einformatio</w:t>
    </w:r>
    <w:r w:rsidR="0062602A">
      <w:rPr>
        <w:rFonts w:ascii="Arial" w:hAnsi="Arial" w:cs="Arial"/>
        <w:b/>
        <w:bCs/>
        <w:color w:val="3E3C3C"/>
        <w:sz w:val="40"/>
        <w:szCs w:val="40"/>
        <w:lang w:val="de-DE"/>
      </w:rPr>
      <w:t>n</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786"/>
    <w:rsid w:val="00003A08"/>
    <w:rsid w:val="00011CD2"/>
    <w:rsid w:val="00013268"/>
    <w:rsid w:val="000152D7"/>
    <w:rsid w:val="00015909"/>
    <w:rsid w:val="00015A8E"/>
    <w:rsid w:val="00052150"/>
    <w:rsid w:val="000935F2"/>
    <w:rsid w:val="000C61F2"/>
    <w:rsid w:val="000E7E6D"/>
    <w:rsid w:val="000F2A0D"/>
    <w:rsid w:val="000F455E"/>
    <w:rsid w:val="00101F92"/>
    <w:rsid w:val="00111864"/>
    <w:rsid w:val="001156D8"/>
    <w:rsid w:val="00117967"/>
    <w:rsid w:val="00123927"/>
    <w:rsid w:val="001376B0"/>
    <w:rsid w:val="001409A4"/>
    <w:rsid w:val="00146741"/>
    <w:rsid w:val="00153196"/>
    <w:rsid w:val="00162B37"/>
    <w:rsid w:val="0016340B"/>
    <w:rsid w:val="00177288"/>
    <w:rsid w:val="001801CA"/>
    <w:rsid w:val="001823E0"/>
    <w:rsid w:val="001A2A78"/>
    <w:rsid w:val="001A3865"/>
    <w:rsid w:val="001A524B"/>
    <w:rsid w:val="001A73BF"/>
    <w:rsid w:val="001B5174"/>
    <w:rsid w:val="001C2B4A"/>
    <w:rsid w:val="001C4BA4"/>
    <w:rsid w:val="001C59C0"/>
    <w:rsid w:val="001D64D6"/>
    <w:rsid w:val="001E2F14"/>
    <w:rsid w:val="001F1711"/>
    <w:rsid w:val="001F2899"/>
    <w:rsid w:val="001F3C89"/>
    <w:rsid w:val="002043F2"/>
    <w:rsid w:val="00205FEF"/>
    <w:rsid w:val="00223673"/>
    <w:rsid w:val="0024120C"/>
    <w:rsid w:val="00243715"/>
    <w:rsid w:val="002461FF"/>
    <w:rsid w:val="00253DA6"/>
    <w:rsid w:val="00256B17"/>
    <w:rsid w:val="0026143D"/>
    <w:rsid w:val="00264A28"/>
    <w:rsid w:val="00272FCC"/>
    <w:rsid w:val="00283D13"/>
    <w:rsid w:val="00286BF6"/>
    <w:rsid w:val="00290009"/>
    <w:rsid w:val="00296B40"/>
    <w:rsid w:val="00297EBC"/>
    <w:rsid w:val="002A3A81"/>
    <w:rsid w:val="002A7ACA"/>
    <w:rsid w:val="002B6449"/>
    <w:rsid w:val="002B7373"/>
    <w:rsid w:val="002C3D13"/>
    <w:rsid w:val="002D2014"/>
    <w:rsid w:val="002E0675"/>
    <w:rsid w:val="002E0D75"/>
    <w:rsid w:val="002E102A"/>
    <w:rsid w:val="002F2B22"/>
    <w:rsid w:val="00301BF2"/>
    <w:rsid w:val="003065E9"/>
    <w:rsid w:val="00306805"/>
    <w:rsid w:val="003101EA"/>
    <w:rsid w:val="00330DB0"/>
    <w:rsid w:val="003454CC"/>
    <w:rsid w:val="0034655B"/>
    <w:rsid w:val="00364CFD"/>
    <w:rsid w:val="003661B7"/>
    <w:rsid w:val="003822B5"/>
    <w:rsid w:val="00387502"/>
    <w:rsid w:val="00390D60"/>
    <w:rsid w:val="00397592"/>
    <w:rsid w:val="00397D6A"/>
    <w:rsid w:val="003B4D10"/>
    <w:rsid w:val="003B62E5"/>
    <w:rsid w:val="003B7621"/>
    <w:rsid w:val="003C1542"/>
    <w:rsid w:val="003C3963"/>
    <w:rsid w:val="003E0650"/>
    <w:rsid w:val="003E6868"/>
    <w:rsid w:val="003E6DB3"/>
    <w:rsid w:val="003F0D4D"/>
    <w:rsid w:val="003F0D5B"/>
    <w:rsid w:val="003F6076"/>
    <w:rsid w:val="004009C7"/>
    <w:rsid w:val="00423943"/>
    <w:rsid w:val="00424990"/>
    <w:rsid w:val="0043203D"/>
    <w:rsid w:val="004347E6"/>
    <w:rsid w:val="00434817"/>
    <w:rsid w:val="00443115"/>
    <w:rsid w:val="00450E68"/>
    <w:rsid w:val="00464CE2"/>
    <w:rsid w:val="00472640"/>
    <w:rsid w:val="00474C0A"/>
    <w:rsid w:val="004850CB"/>
    <w:rsid w:val="004900FE"/>
    <w:rsid w:val="00491B3E"/>
    <w:rsid w:val="00492718"/>
    <w:rsid w:val="00493327"/>
    <w:rsid w:val="00495FFD"/>
    <w:rsid w:val="004A0959"/>
    <w:rsid w:val="004A7815"/>
    <w:rsid w:val="004A7C83"/>
    <w:rsid w:val="004C6B79"/>
    <w:rsid w:val="004D055D"/>
    <w:rsid w:val="004D33B1"/>
    <w:rsid w:val="004F45C0"/>
    <w:rsid w:val="004F5786"/>
    <w:rsid w:val="00507405"/>
    <w:rsid w:val="00510DD5"/>
    <w:rsid w:val="005124E8"/>
    <w:rsid w:val="00521CC5"/>
    <w:rsid w:val="00531DE2"/>
    <w:rsid w:val="0054341F"/>
    <w:rsid w:val="00551040"/>
    <w:rsid w:val="005526AD"/>
    <w:rsid w:val="00556E9D"/>
    <w:rsid w:val="00575361"/>
    <w:rsid w:val="005A1F71"/>
    <w:rsid w:val="005A5B69"/>
    <w:rsid w:val="005A6D89"/>
    <w:rsid w:val="005B5CFE"/>
    <w:rsid w:val="005C33C8"/>
    <w:rsid w:val="005D4F78"/>
    <w:rsid w:val="005D6429"/>
    <w:rsid w:val="005D7AFD"/>
    <w:rsid w:val="005E3743"/>
    <w:rsid w:val="005F179A"/>
    <w:rsid w:val="005F491B"/>
    <w:rsid w:val="006055A9"/>
    <w:rsid w:val="00611D3B"/>
    <w:rsid w:val="00623223"/>
    <w:rsid w:val="0062602A"/>
    <w:rsid w:val="00634D8E"/>
    <w:rsid w:val="00635335"/>
    <w:rsid w:val="00641C4E"/>
    <w:rsid w:val="00644D32"/>
    <w:rsid w:val="00656492"/>
    <w:rsid w:val="006619EC"/>
    <w:rsid w:val="00661B8C"/>
    <w:rsid w:val="006637B7"/>
    <w:rsid w:val="006832F8"/>
    <w:rsid w:val="0068709E"/>
    <w:rsid w:val="00691ADC"/>
    <w:rsid w:val="006B2762"/>
    <w:rsid w:val="006B29A2"/>
    <w:rsid w:val="006B3868"/>
    <w:rsid w:val="007002FE"/>
    <w:rsid w:val="00704742"/>
    <w:rsid w:val="00711BE6"/>
    <w:rsid w:val="00715F3D"/>
    <w:rsid w:val="00722721"/>
    <w:rsid w:val="007257CA"/>
    <w:rsid w:val="0072748A"/>
    <w:rsid w:val="00734215"/>
    <w:rsid w:val="0074179B"/>
    <w:rsid w:val="007449C3"/>
    <w:rsid w:val="00747610"/>
    <w:rsid w:val="0078375C"/>
    <w:rsid w:val="007844B2"/>
    <w:rsid w:val="00795DB3"/>
    <w:rsid w:val="007A2AF3"/>
    <w:rsid w:val="007A2DB3"/>
    <w:rsid w:val="007A715A"/>
    <w:rsid w:val="007B09B6"/>
    <w:rsid w:val="007B29A5"/>
    <w:rsid w:val="007D5B32"/>
    <w:rsid w:val="007E0745"/>
    <w:rsid w:val="007E4258"/>
    <w:rsid w:val="007F1272"/>
    <w:rsid w:val="008014B8"/>
    <w:rsid w:val="0080340C"/>
    <w:rsid w:val="00804FA9"/>
    <w:rsid w:val="00805919"/>
    <w:rsid w:val="008125EB"/>
    <w:rsid w:val="00820369"/>
    <w:rsid w:val="00821252"/>
    <w:rsid w:val="008212D1"/>
    <w:rsid w:val="00842122"/>
    <w:rsid w:val="00846FEF"/>
    <w:rsid w:val="00854D15"/>
    <w:rsid w:val="00872145"/>
    <w:rsid w:val="00874D93"/>
    <w:rsid w:val="0088713D"/>
    <w:rsid w:val="0089290C"/>
    <w:rsid w:val="008A24FC"/>
    <w:rsid w:val="008A545F"/>
    <w:rsid w:val="008B3C0C"/>
    <w:rsid w:val="008B4E80"/>
    <w:rsid w:val="008C18CE"/>
    <w:rsid w:val="008C66FD"/>
    <w:rsid w:val="008C778B"/>
    <w:rsid w:val="008E4341"/>
    <w:rsid w:val="008E615A"/>
    <w:rsid w:val="009034EE"/>
    <w:rsid w:val="00907E4C"/>
    <w:rsid w:val="009129FA"/>
    <w:rsid w:val="009211CD"/>
    <w:rsid w:val="009370FE"/>
    <w:rsid w:val="00997FF9"/>
    <w:rsid w:val="009B3033"/>
    <w:rsid w:val="009C5576"/>
    <w:rsid w:val="009D4884"/>
    <w:rsid w:val="009D551E"/>
    <w:rsid w:val="009E238F"/>
    <w:rsid w:val="009F066B"/>
    <w:rsid w:val="00A175CE"/>
    <w:rsid w:val="00A207EA"/>
    <w:rsid w:val="00A2545E"/>
    <w:rsid w:val="00A313A1"/>
    <w:rsid w:val="00A43CEF"/>
    <w:rsid w:val="00A50CCC"/>
    <w:rsid w:val="00A55C07"/>
    <w:rsid w:val="00A6424B"/>
    <w:rsid w:val="00A74EFD"/>
    <w:rsid w:val="00A835C4"/>
    <w:rsid w:val="00A91DE4"/>
    <w:rsid w:val="00AA2692"/>
    <w:rsid w:val="00AA2F5B"/>
    <w:rsid w:val="00AB2DA6"/>
    <w:rsid w:val="00AE0143"/>
    <w:rsid w:val="00AE4087"/>
    <w:rsid w:val="00AE78EC"/>
    <w:rsid w:val="00B043BE"/>
    <w:rsid w:val="00B053E3"/>
    <w:rsid w:val="00B13247"/>
    <w:rsid w:val="00B24048"/>
    <w:rsid w:val="00B25214"/>
    <w:rsid w:val="00B31D77"/>
    <w:rsid w:val="00B32923"/>
    <w:rsid w:val="00B77E05"/>
    <w:rsid w:val="00B87743"/>
    <w:rsid w:val="00B94328"/>
    <w:rsid w:val="00BA334A"/>
    <w:rsid w:val="00BA6D74"/>
    <w:rsid w:val="00BB6666"/>
    <w:rsid w:val="00BB7EAE"/>
    <w:rsid w:val="00BD5005"/>
    <w:rsid w:val="00BE24C4"/>
    <w:rsid w:val="00BE7A95"/>
    <w:rsid w:val="00BF73E4"/>
    <w:rsid w:val="00C03FD8"/>
    <w:rsid w:val="00C1374F"/>
    <w:rsid w:val="00C15EEF"/>
    <w:rsid w:val="00C206FB"/>
    <w:rsid w:val="00C24897"/>
    <w:rsid w:val="00C323CA"/>
    <w:rsid w:val="00C40FC4"/>
    <w:rsid w:val="00C45127"/>
    <w:rsid w:val="00C460F7"/>
    <w:rsid w:val="00C50535"/>
    <w:rsid w:val="00C81AE9"/>
    <w:rsid w:val="00C863AC"/>
    <w:rsid w:val="00C90ECB"/>
    <w:rsid w:val="00C91877"/>
    <w:rsid w:val="00C9661B"/>
    <w:rsid w:val="00C9714E"/>
    <w:rsid w:val="00CA29A6"/>
    <w:rsid w:val="00CA685B"/>
    <w:rsid w:val="00CC2C73"/>
    <w:rsid w:val="00CD0A70"/>
    <w:rsid w:val="00CE0918"/>
    <w:rsid w:val="00CE28D4"/>
    <w:rsid w:val="00CE63FC"/>
    <w:rsid w:val="00D01D99"/>
    <w:rsid w:val="00D07B70"/>
    <w:rsid w:val="00D121E6"/>
    <w:rsid w:val="00D32881"/>
    <w:rsid w:val="00D54411"/>
    <w:rsid w:val="00D54FE2"/>
    <w:rsid w:val="00D61634"/>
    <w:rsid w:val="00D677D9"/>
    <w:rsid w:val="00D70171"/>
    <w:rsid w:val="00D761B2"/>
    <w:rsid w:val="00D81AF7"/>
    <w:rsid w:val="00D91D03"/>
    <w:rsid w:val="00D92BD7"/>
    <w:rsid w:val="00DA63C3"/>
    <w:rsid w:val="00DA7A2B"/>
    <w:rsid w:val="00DB1418"/>
    <w:rsid w:val="00DB6A3F"/>
    <w:rsid w:val="00DD3AF3"/>
    <w:rsid w:val="00DF5157"/>
    <w:rsid w:val="00DF6632"/>
    <w:rsid w:val="00E0243D"/>
    <w:rsid w:val="00E06FDC"/>
    <w:rsid w:val="00E07278"/>
    <w:rsid w:val="00E10787"/>
    <w:rsid w:val="00E1187E"/>
    <w:rsid w:val="00E3278C"/>
    <w:rsid w:val="00E3410D"/>
    <w:rsid w:val="00E37957"/>
    <w:rsid w:val="00E70FAC"/>
    <w:rsid w:val="00E7174E"/>
    <w:rsid w:val="00E8527B"/>
    <w:rsid w:val="00EB44F2"/>
    <w:rsid w:val="00EB5D8A"/>
    <w:rsid w:val="00EC4DC0"/>
    <w:rsid w:val="00EE4E63"/>
    <w:rsid w:val="00EF11C8"/>
    <w:rsid w:val="00F03AC9"/>
    <w:rsid w:val="00F0431E"/>
    <w:rsid w:val="00F139F6"/>
    <w:rsid w:val="00F15F32"/>
    <w:rsid w:val="00F239DC"/>
    <w:rsid w:val="00F25C43"/>
    <w:rsid w:val="00F434A0"/>
    <w:rsid w:val="00F53D7A"/>
    <w:rsid w:val="00F74212"/>
    <w:rsid w:val="00F86552"/>
    <w:rsid w:val="00F96612"/>
    <w:rsid w:val="00FA07F4"/>
    <w:rsid w:val="00FB2787"/>
    <w:rsid w:val="00FC0008"/>
    <w:rsid w:val="00FC53B6"/>
    <w:rsid w:val="00FC787F"/>
    <w:rsid w:val="00FE0C21"/>
    <w:rsid w:val="00FE12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C59102"/>
  <w14:defaultImageDpi w14:val="0"/>
  <w15:docId w15:val="{9EDBA5F6-0A8B-4EE4-A0F8-6A05DB6C3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annotation text" w:semiHidden="1" w:uiPriority="0" w:unhideWhenUsed="1"/>
    <w:lsdException w:name="caption" w:semiHidden="1" w:uiPriority="35" w:unhideWhenUsed="1" w:qFormat="1"/>
    <w:lsdException w:name="footnote reference" w:semiHidden="1" w:uiPriority="0" w:unhideWhenUsed="1"/>
    <w:lsdException w:name="annotation reference" w:semiHidden="1" w:uiPriority="0" w:unhideWhenUsed="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Hyperlink" w:semiHidden="1" w:uiPriority="0"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5909"/>
    <w:pPr>
      <w:spacing w:line="260" w:lineRule="atLeast"/>
    </w:pPr>
    <w:rPr>
      <w:rFonts w:ascii="Arial" w:hAnsi="Arial"/>
      <w:sz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KopfzeileZchn">
    <w:name w:val="Kopfzeile Zchn"/>
    <w:basedOn w:val="Absatz-Standardschriftart"/>
    <w:link w:val="Kopfzeile"/>
    <w:uiPriority w:val="99"/>
    <w:locked/>
    <w:rsid w:val="004F5786"/>
    <w:rPr>
      <w:rFonts w:cs="Times New Roman"/>
    </w:rPr>
  </w:style>
  <w:style w:type="paragraph" w:styleId="Fuzeile">
    <w:name w:val="footer"/>
    <w:basedOn w:val="Standard"/>
    <w:link w:val="FuzeileZchn"/>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FuzeileZchn">
    <w:name w:val="Fußzeile Zchn"/>
    <w:basedOn w:val="Absatz-Standardschriftart"/>
    <w:link w:val="Fuzeile"/>
    <w:uiPriority w:val="99"/>
    <w:locked/>
    <w:rsid w:val="004F5786"/>
    <w:rPr>
      <w:rFonts w:cs="Times New Roman"/>
    </w:rPr>
  </w:style>
  <w:style w:type="paragraph" w:customStyle="1" w:styleId="Standard12pt">
    <w:name w:val="Standard_12pt"/>
    <w:basedOn w:val="Standard"/>
    <w:rsid w:val="002A7ACA"/>
    <w:pPr>
      <w:spacing w:line="300" w:lineRule="atLeast"/>
    </w:pPr>
    <w:rPr>
      <w:sz w:val="24"/>
    </w:rPr>
  </w:style>
  <w:style w:type="paragraph" w:customStyle="1" w:styleId="PRHeadline">
    <w:name w:val="_PR_Headline"/>
    <w:basedOn w:val="Standard"/>
    <w:next w:val="Standard"/>
    <w:rsid w:val="002A7ACA"/>
    <w:pPr>
      <w:keepLines/>
      <w:spacing w:after="320" w:line="480" w:lineRule="exact"/>
    </w:pPr>
    <w:rPr>
      <w:rFonts w:cs="Arial"/>
      <w:b/>
      <w:sz w:val="36"/>
      <w:szCs w:val="20"/>
      <w:lang w:eastAsia="de-DE"/>
    </w:rPr>
  </w:style>
  <w:style w:type="paragraph" w:customStyle="1" w:styleId="PRTopline">
    <w:name w:val="_PR_Topline"/>
    <w:basedOn w:val="Standard"/>
    <w:next w:val="PRHeadline"/>
    <w:rsid w:val="002A7ACA"/>
    <w:pPr>
      <w:keepLines/>
      <w:spacing w:after="320" w:line="320" w:lineRule="exact"/>
    </w:pPr>
    <w:rPr>
      <w:rFonts w:cs="Arial"/>
      <w:sz w:val="24"/>
      <w:szCs w:val="20"/>
      <w:lang w:eastAsia="de-DE"/>
    </w:rPr>
  </w:style>
  <w:style w:type="paragraph" w:styleId="Funotentext">
    <w:name w:val="footnote text"/>
    <w:basedOn w:val="Standard"/>
    <w:link w:val="FunotentextZchn"/>
    <w:uiPriority w:val="99"/>
    <w:rsid w:val="002A7ACA"/>
    <w:rPr>
      <w:szCs w:val="20"/>
    </w:rPr>
  </w:style>
  <w:style w:type="character" w:customStyle="1" w:styleId="FunotentextZchn">
    <w:name w:val="Fußnotentext Zchn"/>
    <w:basedOn w:val="Absatz-Standardschriftart"/>
    <w:link w:val="Funotentext"/>
    <w:uiPriority w:val="99"/>
    <w:locked/>
    <w:rsid w:val="002A7ACA"/>
    <w:rPr>
      <w:rFonts w:ascii="Arial" w:hAnsi="Arial" w:cs="Times New Roman"/>
      <w:sz w:val="20"/>
      <w:szCs w:val="20"/>
      <w:lang w:val="de-DE" w:eastAsia="x-none"/>
    </w:rPr>
  </w:style>
  <w:style w:type="character" w:styleId="Funotenzeichen">
    <w:name w:val="footnote reference"/>
    <w:basedOn w:val="Absatz-Standardschriftart"/>
    <w:uiPriority w:val="99"/>
    <w:rsid w:val="002A7ACA"/>
    <w:rPr>
      <w:rFonts w:cs="Times New Roman"/>
      <w:vertAlign w:val="superscript"/>
    </w:rPr>
  </w:style>
  <w:style w:type="paragraph" w:styleId="Sprechblasentext">
    <w:name w:val="Balloon Text"/>
    <w:basedOn w:val="Standard"/>
    <w:link w:val="SprechblasentextZchn"/>
    <w:uiPriority w:val="99"/>
    <w:semiHidden/>
    <w:unhideWhenUsed/>
    <w:rsid w:val="002A7ACA"/>
    <w:pPr>
      <w:spacing w:line="240" w:lineRule="auto"/>
    </w:pPr>
    <w:rPr>
      <w:rFonts w:ascii="Lucida Grande" w:hAnsi="Lucida Grande" w:cs="Lucida Grande"/>
      <w:sz w:val="18"/>
      <w:szCs w:val="18"/>
      <w:lang w:val="en-US"/>
    </w:rPr>
  </w:style>
  <w:style w:type="character" w:customStyle="1" w:styleId="SprechblasentextZchn">
    <w:name w:val="Sprechblasentext Zchn"/>
    <w:basedOn w:val="Absatz-Standardschriftart"/>
    <w:link w:val="Sprechblasentext"/>
    <w:uiPriority w:val="99"/>
    <w:semiHidden/>
    <w:locked/>
    <w:rsid w:val="002A7ACA"/>
    <w:rPr>
      <w:rFonts w:ascii="Lucida Grande" w:hAnsi="Lucida Grande" w:cs="Lucida Grande"/>
      <w:sz w:val="18"/>
      <w:szCs w:val="18"/>
    </w:rPr>
  </w:style>
  <w:style w:type="character" w:styleId="Hyperlink">
    <w:name w:val="Hyperlink"/>
    <w:basedOn w:val="Absatz-Standardschriftart"/>
    <w:uiPriority w:val="99"/>
    <w:rsid w:val="002A7ACA"/>
    <w:rPr>
      <w:rFonts w:cs="Times New Roman"/>
      <w:color w:val="0000FF"/>
      <w:u w:val="single"/>
    </w:rPr>
  </w:style>
  <w:style w:type="character" w:styleId="Seitenzahl">
    <w:name w:val="page number"/>
    <w:basedOn w:val="Absatz-Standardschriftart"/>
    <w:uiPriority w:val="99"/>
    <w:semiHidden/>
    <w:unhideWhenUsed/>
    <w:rsid w:val="002A7ACA"/>
    <w:rPr>
      <w:rFonts w:cs="Times New Roman"/>
    </w:rPr>
  </w:style>
  <w:style w:type="character" w:styleId="Kommentarzeichen">
    <w:name w:val="annotation reference"/>
    <w:basedOn w:val="Absatz-Standardschriftart"/>
    <w:uiPriority w:val="99"/>
    <w:unhideWhenUsed/>
    <w:rsid w:val="00510DD5"/>
    <w:rPr>
      <w:rFonts w:cs="Times New Roman"/>
      <w:sz w:val="16"/>
      <w:szCs w:val="16"/>
    </w:rPr>
  </w:style>
  <w:style w:type="paragraph" w:styleId="Kommentartext">
    <w:name w:val="annotation text"/>
    <w:basedOn w:val="Standard"/>
    <w:link w:val="KommentartextZchn"/>
    <w:uiPriority w:val="99"/>
    <w:unhideWhenUsed/>
    <w:rsid w:val="00510DD5"/>
    <w:rPr>
      <w:szCs w:val="20"/>
    </w:rPr>
  </w:style>
  <w:style w:type="character" w:customStyle="1" w:styleId="KommentartextZchn">
    <w:name w:val="Kommentartext Zchn"/>
    <w:basedOn w:val="Absatz-Standardschriftart"/>
    <w:link w:val="Kommentartext"/>
    <w:uiPriority w:val="99"/>
    <w:locked/>
    <w:rsid w:val="00510DD5"/>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510DD5"/>
    <w:rPr>
      <w:b/>
      <w:bCs/>
    </w:rPr>
  </w:style>
  <w:style w:type="character" w:customStyle="1" w:styleId="KommentarthemaZchn">
    <w:name w:val="Kommentarthema Zchn"/>
    <w:basedOn w:val="KommentartextZchn"/>
    <w:link w:val="Kommentarthema"/>
    <w:uiPriority w:val="99"/>
    <w:semiHidden/>
    <w:locked/>
    <w:rsid w:val="00510DD5"/>
    <w:rPr>
      <w:rFonts w:cs="Times New Roman"/>
      <w:b/>
      <w:bCs/>
      <w:sz w:val="20"/>
      <w:szCs w:val="20"/>
    </w:rPr>
  </w:style>
  <w:style w:type="paragraph" w:styleId="berarbeitung">
    <w:name w:val="Revision"/>
    <w:hidden/>
    <w:uiPriority w:val="99"/>
    <w:semiHidden/>
    <w:rsid w:val="00117967"/>
  </w:style>
  <w:style w:type="character" w:styleId="NichtaufgelsteErwhnung">
    <w:name w:val="Unresolved Mention"/>
    <w:basedOn w:val="Absatz-Standardschriftart"/>
    <w:uiPriority w:val="99"/>
    <w:semiHidden/>
    <w:unhideWhenUsed/>
    <w:rsid w:val="00F0431E"/>
    <w:rPr>
      <w:rFonts w:cs="Times New Roman"/>
      <w:color w:val="605E5C"/>
      <w:shd w:val="clear" w:color="auto" w:fill="E1DFDD"/>
    </w:rPr>
  </w:style>
  <w:style w:type="character" w:customStyle="1" w:styleId="AboutandContactBody">
    <w:name w:val="About and Contact Body"/>
    <w:basedOn w:val="Absatz-Standardschriftart"/>
    <w:rsid w:val="00205FEF"/>
    <w:rPr>
      <w:rFonts w:ascii="Segoe UI" w:hAnsi="Segoe UI" w:cs="Times New Roman"/>
      <w:sz w:val="18"/>
    </w:rPr>
  </w:style>
  <w:style w:type="character" w:customStyle="1" w:styleId="AboutandContactHeadline">
    <w:name w:val="About and Contact Headline"/>
    <w:basedOn w:val="Absatz-Standardschriftart"/>
    <w:rsid w:val="00205FEF"/>
    <w:rPr>
      <w:rFonts w:ascii="Segoe UI" w:hAnsi="Segoe UI" w:cs="Times New Roman"/>
      <w:b/>
      <w:bCs/>
      <w:sz w:val="18"/>
    </w:rPr>
  </w:style>
  <w:style w:type="paragraph" w:styleId="StandardWeb">
    <w:name w:val="Normal (Web)"/>
    <w:basedOn w:val="Standard"/>
    <w:uiPriority w:val="99"/>
    <w:semiHidden/>
    <w:unhideWhenUsed/>
    <w:rsid w:val="00C45127"/>
    <w:pPr>
      <w:spacing w:before="100" w:beforeAutospacing="1" w:after="100" w:afterAutospacing="1" w:line="240" w:lineRule="auto"/>
    </w:pPr>
    <w:rPr>
      <w:rFonts w:ascii="Times New Roman" w:hAnsi="Times New Roman"/>
      <w:sz w:val="24"/>
      <w:lang w:eastAsia="en-GB"/>
    </w:rPr>
  </w:style>
  <w:style w:type="paragraph" w:customStyle="1" w:styleId="Topline">
    <w:name w:val="Topline"/>
    <w:basedOn w:val="Standard"/>
    <w:qFormat/>
    <w:rsid w:val="006B29A2"/>
    <w:pPr>
      <w:spacing w:before="560" w:after="560" w:line="276" w:lineRule="auto"/>
      <w:jc w:val="both"/>
    </w:pPr>
    <w:rPr>
      <w:rFonts w:ascii="Segoe UI" w:hAnsi="Segoe UI" w:cs="Segoe UI"/>
      <w:sz w:val="22"/>
      <w:szCs w:val="22"/>
      <w:lang w:val="en-US"/>
    </w:rPr>
  </w:style>
  <w:style w:type="character" w:customStyle="1" w:styleId="Headline">
    <w:name w:val="Headline"/>
    <w:basedOn w:val="Absatz-Standardschriftart"/>
    <w:rsid w:val="006B29A2"/>
    <w:rPr>
      <w:rFonts w:ascii="Segoe UI" w:hAnsi="Segoe UI" w:cs="Times New Roman"/>
      <w:b/>
      <w:bC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603902">
      <w:marLeft w:val="0"/>
      <w:marRight w:val="0"/>
      <w:marTop w:val="0"/>
      <w:marBottom w:val="0"/>
      <w:divBdr>
        <w:top w:val="none" w:sz="0" w:space="0" w:color="auto"/>
        <w:left w:val="none" w:sz="0" w:space="0" w:color="auto"/>
        <w:bottom w:val="none" w:sz="0" w:space="0" w:color="auto"/>
        <w:right w:val="none" w:sz="0" w:space="0" w:color="auto"/>
      </w:divBdr>
    </w:div>
    <w:div w:id="1062603903">
      <w:marLeft w:val="0"/>
      <w:marRight w:val="0"/>
      <w:marTop w:val="0"/>
      <w:marBottom w:val="0"/>
      <w:divBdr>
        <w:top w:val="none" w:sz="0" w:space="0" w:color="auto"/>
        <w:left w:val="none" w:sz="0" w:space="0" w:color="auto"/>
        <w:bottom w:val="none" w:sz="0" w:space="0" w:color="auto"/>
        <w:right w:val="none" w:sz="0" w:space="0" w:color="auto"/>
      </w:divBdr>
    </w:div>
    <w:div w:id="1062603906">
      <w:marLeft w:val="0"/>
      <w:marRight w:val="0"/>
      <w:marTop w:val="0"/>
      <w:marBottom w:val="0"/>
      <w:divBdr>
        <w:top w:val="none" w:sz="0" w:space="0" w:color="auto"/>
        <w:left w:val="none" w:sz="0" w:space="0" w:color="auto"/>
        <w:bottom w:val="none" w:sz="0" w:space="0" w:color="auto"/>
        <w:right w:val="none" w:sz="0" w:space="0" w:color="auto"/>
      </w:divBdr>
      <w:divsChild>
        <w:div w:id="1062603904">
          <w:marLeft w:val="0"/>
          <w:marRight w:val="0"/>
          <w:marTop w:val="0"/>
          <w:marBottom w:val="0"/>
          <w:divBdr>
            <w:top w:val="none" w:sz="0" w:space="0" w:color="auto"/>
            <w:left w:val="none" w:sz="0" w:space="0" w:color="auto"/>
            <w:bottom w:val="none" w:sz="0" w:space="0" w:color="auto"/>
            <w:right w:val="none" w:sz="0" w:space="0" w:color="auto"/>
          </w:divBdr>
          <w:divsChild>
            <w:div w:id="1062603905">
              <w:marLeft w:val="0"/>
              <w:marRight w:val="0"/>
              <w:marTop w:val="0"/>
              <w:marBottom w:val="0"/>
              <w:divBdr>
                <w:top w:val="none" w:sz="0" w:space="0" w:color="auto"/>
                <w:left w:val="none" w:sz="0" w:space="0" w:color="auto"/>
                <w:bottom w:val="none" w:sz="0" w:space="0" w:color="auto"/>
                <w:right w:val="none" w:sz="0" w:space="0" w:color="auto"/>
              </w:divBdr>
              <w:divsChild>
                <w:div w:id="106260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8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iela.sykora@henkel.com"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news.henkel.at"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F6678-0E29-4D5A-A593-A7FF6AC00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535</Words>
  <Characters>3494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Winterliche Auszeit-Momente mit WC FRISCH</vt:lpstr>
    </vt:vector>
  </TitlesOfParts>
  <Company>Henkel AG &amp; Co. KGaA</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Winterliche Auszeit-Momente mit WC FRISCH</dc:title>
  <dc:subject>Limitierte WC FRISCH Winter-Edition</dc:subject>
  <dc:creator>Henkel AG &amp; Co. KGaA</dc:creator>
  <cp:keywords/>
  <dc:description/>
  <cp:lastModifiedBy>Daniela Sykora (ext)</cp:lastModifiedBy>
  <cp:revision>7</cp:revision>
  <cp:lastPrinted>2022-02-04T14:21:00Z</cp:lastPrinted>
  <dcterms:created xsi:type="dcterms:W3CDTF">2022-02-02T08:03:00Z</dcterms:created>
  <dcterms:modified xsi:type="dcterms:W3CDTF">2022-02-04T14:24:00Z</dcterms:modified>
  <cp:category>presseinformation</cp:category>
</cp:coreProperties>
</file>