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419AE" w14:textId="046659F5" w:rsidR="00B42EB5" w:rsidRDefault="00721A9E" w:rsidP="00612179">
      <w:pPr>
        <w:pStyle w:val="Corpsdetexte"/>
        <w:jc w:val="right"/>
        <w:rPr>
          <w:rFonts w:ascii="Times New Roman"/>
          <w:sz w:val="20"/>
        </w:rPr>
      </w:pPr>
      <w:bookmarkStart w:id="0" w:name="_Hlk96508226"/>
      <w:bookmarkStart w:id="1" w:name="_Hlk96515270"/>
      <w:bookmarkStart w:id="2" w:name="_Hlk96515150"/>
      <w:r>
        <w:rPr>
          <w:rFonts w:ascii="Times New Roman"/>
          <w:noProof/>
          <w:sz w:val="20"/>
        </w:rPr>
        <w:drawing>
          <wp:inline distT="0" distB="0" distL="0" distR="0" wp14:anchorId="5DC58FE6" wp14:editId="7F2E5CAB">
            <wp:extent cx="1062909" cy="5943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62909" cy="594359"/>
                    </a:xfrm>
                    <a:prstGeom prst="rect">
                      <a:avLst/>
                    </a:prstGeom>
                  </pic:spPr>
                </pic:pic>
              </a:graphicData>
            </a:graphic>
          </wp:inline>
        </w:drawing>
      </w:r>
    </w:p>
    <w:p w14:paraId="6595AC4C" w14:textId="77777777" w:rsidR="00612179" w:rsidRPr="00612179" w:rsidRDefault="00612179" w:rsidP="00612179">
      <w:pPr>
        <w:pStyle w:val="Corpsdetexte"/>
        <w:ind w:left="8723"/>
        <w:rPr>
          <w:rFonts w:ascii="Times New Roman"/>
          <w:sz w:val="20"/>
        </w:rPr>
      </w:pPr>
    </w:p>
    <w:p w14:paraId="67BDAC97" w14:textId="77777777" w:rsidR="00612179" w:rsidRPr="00612179" w:rsidRDefault="00612179" w:rsidP="00612179">
      <w:pPr>
        <w:pStyle w:val="Titre"/>
        <w:rPr>
          <w:lang w:val="fr-FR"/>
        </w:rPr>
      </w:pPr>
      <w:r w:rsidRPr="00612179">
        <w:rPr>
          <w:color w:val="3D3B3B"/>
          <w:lang w:val="fr-FR"/>
        </w:rPr>
        <w:t>Communiqué de presse</w:t>
      </w:r>
    </w:p>
    <w:p w14:paraId="729316E9" w14:textId="77777777" w:rsidR="00612179" w:rsidRPr="00612179" w:rsidRDefault="00612179" w:rsidP="00612179">
      <w:pPr>
        <w:pStyle w:val="Corpsdetexte"/>
        <w:spacing w:before="122"/>
        <w:ind w:right="606"/>
        <w:jc w:val="right"/>
        <w:rPr>
          <w:lang w:val="fr-FR"/>
        </w:rPr>
      </w:pPr>
      <w:r w:rsidRPr="00612179">
        <w:rPr>
          <w:lang w:val="fr-FR"/>
        </w:rPr>
        <w:t>23 février 2022</w:t>
      </w:r>
    </w:p>
    <w:p w14:paraId="0FE2E4BB" w14:textId="77777777" w:rsidR="00612179" w:rsidRPr="00612179" w:rsidRDefault="00612179" w:rsidP="00612179">
      <w:pPr>
        <w:pStyle w:val="Corpsdetexte"/>
        <w:rPr>
          <w:sz w:val="28"/>
          <w:lang w:val="fr-FR"/>
        </w:rPr>
      </w:pPr>
    </w:p>
    <w:p w14:paraId="0E6D859F" w14:textId="0F42E482" w:rsidR="00612179" w:rsidRPr="00386828" w:rsidRDefault="00612179" w:rsidP="00612179">
      <w:pPr>
        <w:pStyle w:val="Corpsdetexte"/>
        <w:spacing w:before="231"/>
        <w:ind w:left="791"/>
        <w:jc w:val="both"/>
        <w:rPr>
          <w:lang w:val="fr-FR"/>
        </w:rPr>
      </w:pPr>
      <w:bookmarkStart w:id="3" w:name="_Hlk96515392"/>
      <w:r w:rsidRPr="00612179">
        <w:rPr>
          <w:lang w:val="fr-FR"/>
        </w:rPr>
        <w:t xml:space="preserve">Bonne performance </w:t>
      </w:r>
      <w:r w:rsidRPr="00386828">
        <w:rPr>
          <w:lang w:val="fr-FR"/>
        </w:rPr>
        <w:t>et</w:t>
      </w:r>
      <w:r w:rsidR="00386828" w:rsidRPr="00386828">
        <w:rPr>
          <w:lang w:val="fr-FR"/>
        </w:rPr>
        <w:t xml:space="preserve"> </w:t>
      </w:r>
      <w:r w:rsidR="009C22C0">
        <w:rPr>
          <w:lang w:val="fr-FR"/>
        </w:rPr>
        <w:t xml:space="preserve">progrès de </w:t>
      </w:r>
      <w:r w:rsidRPr="00386828">
        <w:rPr>
          <w:lang w:val="fr-FR"/>
        </w:rPr>
        <w:t>toutes les priorités stratégiques au cours de l'exercice 2021</w:t>
      </w:r>
    </w:p>
    <w:p w14:paraId="1AABD445" w14:textId="77777777" w:rsidR="00612179" w:rsidRPr="00386828" w:rsidRDefault="00612179" w:rsidP="00612179">
      <w:pPr>
        <w:pStyle w:val="Corpsdetexte"/>
        <w:spacing w:before="4"/>
        <w:rPr>
          <w:sz w:val="30"/>
          <w:lang w:val="fr-FR"/>
        </w:rPr>
      </w:pPr>
    </w:p>
    <w:p w14:paraId="4CFB14B0" w14:textId="77777777" w:rsidR="00612179" w:rsidRPr="00386828" w:rsidRDefault="00612179" w:rsidP="00612179">
      <w:pPr>
        <w:ind w:left="791"/>
        <w:jc w:val="both"/>
        <w:rPr>
          <w:b/>
          <w:sz w:val="32"/>
          <w:lang w:val="fr-FR"/>
        </w:rPr>
      </w:pPr>
      <w:r w:rsidRPr="00386828">
        <w:rPr>
          <w:b/>
          <w:sz w:val="32"/>
          <w:lang w:val="fr-FR"/>
        </w:rPr>
        <w:t>Henkel publie ses résultats annuels pour 2021</w:t>
      </w:r>
    </w:p>
    <w:p w14:paraId="57557190" w14:textId="77777777" w:rsidR="00612179" w:rsidRPr="00386828" w:rsidRDefault="00612179" w:rsidP="00612179">
      <w:pPr>
        <w:spacing w:before="64"/>
        <w:ind w:left="791"/>
        <w:jc w:val="both"/>
        <w:rPr>
          <w:b/>
          <w:sz w:val="32"/>
          <w:lang w:val="fr-FR"/>
        </w:rPr>
      </w:pPr>
      <w:proofErr w:type="gramStart"/>
      <w:r w:rsidRPr="00386828">
        <w:rPr>
          <w:b/>
          <w:sz w:val="32"/>
          <w:lang w:val="fr-FR"/>
        </w:rPr>
        <w:t>et</w:t>
      </w:r>
      <w:proofErr w:type="gramEnd"/>
      <w:r w:rsidRPr="00386828">
        <w:rPr>
          <w:b/>
          <w:sz w:val="32"/>
          <w:lang w:val="fr-FR"/>
        </w:rPr>
        <w:t xml:space="preserve"> fait passer son plan de croissance ciblée au niveau supérieur</w:t>
      </w:r>
    </w:p>
    <w:p w14:paraId="03F2820D" w14:textId="77777777" w:rsidR="00612179" w:rsidRPr="00386828" w:rsidRDefault="00612179" w:rsidP="00612179">
      <w:pPr>
        <w:tabs>
          <w:tab w:val="left" w:pos="357"/>
          <w:tab w:val="left" w:pos="358"/>
        </w:tabs>
        <w:ind w:right="1863"/>
        <w:rPr>
          <w:b/>
          <w:lang w:val="fr-FR"/>
        </w:rPr>
      </w:pPr>
    </w:p>
    <w:p w14:paraId="0973CCF2" w14:textId="77777777" w:rsidR="00612179" w:rsidRPr="00386828" w:rsidRDefault="00612179" w:rsidP="00612179">
      <w:pPr>
        <w:pStyle w:val="Paragraphedeliste"/>
        <w:numPr>
          <w:ilvl w:val="0"/>
          <w:numId w:val="3"/>
        </w:numPr>
        <w:tabs>
          <w:tab w:val="left" w:pos="357"/>
          <w:tab w:val="left" w:pos="358"/>
        </w:tabs>
        <w:ind w:right="1863"/>
        <w:rPr>
          <w:b/>
          <w:lang w:val="fr-FR"/>
        </w:rPr>
      </w:pPr>
      <w:r w:rsidRPr="00386828">
        <w:rPr>
          <w:b/>
          <w:lang w:val="fr-FR"/>
        </w:rPr>
        <w:t>Bonne performance commerciale en 2021 dans un environnement de marché difficile :</w:t>
      </w:r>
    </w:p>
    <w:p w14:paraId="3A8A1770" w14:textId="77777777" w:rsidR="00612179" w:rsidRPr="00386828" w:rsidRDefault="00612179" w:rsidP="00612179">
      <w:pPr>
        <w:pStyle w:val="Paragraphedeliste"/>
        <w:numPr>
          <w:ilvl w:val="0"/>
          <w:numId w:val="4"/>
        </w:numPr>
        <w:tabs>
          <w:tab w:val="left" w:pos="359"/>
          <w:tab w:val="left" w:pos="360"/>
        </w:tabs>
        <w:ind w:right="1855"/>
        <w:rPr>
          <w:b/>
          <w:lang w:val="fr-FR"/>
        </w:rPr>
      </w:pPr>
      <w:r w:rsidRPr="00386828">
        <w:rPr>
          <w:b/>
          <w:lang w:val="fr-FR"/>
        </w:rPr>
        <w:t>Le chiffre d’affaires du Groupe atteint 20,1 milliards d’euros, soit une croissance organique de 7,8 %</w:t>
      </w:r>
    </w:p>
    <w:p w14:paraId="5EB1EE04" w14:textId="77777777" w:rsidR="00612179" w:rsidRPr="00386828" w:rsidRDefault="00612179" w:rsidP="00612179">
      <w:pPr>
        <w:pStyle w:val="Paragraphedeliste"/>
        <w:numPr>
          <w:ilvl w:val="0"/>
          <w:numId w:val="5"/>
        </w:numPr>
        <w:tabs>
          <w:tab w:val="left" w:pos="1871"/>
          <w:tab w:val="left" w:pos="1872"/>
        </w:tabs>
        <w:rPr>
          <w:b/>
          <w:lang w:val="fr-FR"/>
        </w:rPr>
      </w:pPr>
      <w:r w:rsidRPr="00386828">
        <w:rPr>
          <w:b/>
          <w:lang w:val="fr-FR"/>
        </w:rPr>
        <w:t>Le résultat d’exploitation* augmente de 4,2 % pour atteindre 2,7 milliards d’euros</w:t>
      </w:r>
    </w:p>
    <w:p w14:paraId="6B04F07C" w14:textId="77777777" w:rsidR="00612179" w:rsidRPr="00386828" w:rsidRDefault="00612179" w:rsidP="00612179">
      <w:pPr>
        <w:pStyle w:val="Paragraphedeliste"/>
        <w:numPr>
          <w:ilvl w:val="0"/>
          <w:numId w:val="5"/>
        </w:numPr>
        <w:tabs>
          <w:tab w:val="left" w:pos="1871"/>
          <w:tab w:val="left" w:pos="1872"/>
        </w:tabs>
        <w:spacing w:before="125"/>
        <w:rPr>
          <w:b/>
          <w:lang w:val="fr-FR"/>
        </w:rPr>
      </w:pPr>
      <w:r w:rsidRPr="00386828">
        <w:rPr>
          <w:b/>
          <w:lang w:val="fr-FR"/>
        </w:rPr>
        <w:t>Marge EBIT* au niveau de l'année précédente : 13,4 %</w:t>
      </w:r>
    </w:p>
    <w:p w14:paraId="378AA781" w14:textId="77777777" w:rsidR="00612179" w:rsidRPr="00386828" w:rsidRDefault="00612179" w:rsidP="00612179">
      <w:pPr>
        <w:pStyle w:val="Paragraphedeliste"/>
        <w:numPr>
          <w:ilvl w:val="0"/>
          <w:numId w:val="5"/>
        </w:numPr>
        <w:tabs>
          <w:tab w:val="left" w:pos="1871"/>
          <w:tab w:val="left" w:pos="1872"/>
        </w:tabs>
        <w:spacing w:line="276" w:lineRule="auto"/>
        <w:ind w:right="1032"/>
        <w:rPr>
          <w:b/>
          <w:lang w:val="fr-FR"/>
        </w:rPr>
      </w:pPr>
      <w:r w:rsidRPr="00386828">
        <w:rPr>
          <w:b/>
          <w:lang w:val="fr-FR"/>
        </w:rPr>
        <w:t>Bénéfice par action privilégiée (BPA)* : 4,56 euros, +9,2 % après ajustement des effets de change</w:t>
      </w:r>
    </w:p>
    <w:p w14:paraId="5D48CD6A" w14:textId="77777777" w:rsidR="00612179" w:rsidRPr="00386828" w:rsidRDefault="00612179" w:rsidP="00612179">
      <w:pPr>
        <w:pStyle w:val="Paragraphedeliste"/>
        <w:numPr>
          <w:ilvl w:val="0"/>
          <w:numId w:val="5"/>
        </w:numPr>
        <w:tabs>
          <w:tab w:val="left" w:pos="1871"/>
          <w:tab w:val="left" w:pos="1872"/>
        </w:tabs>
        <w:spacing w:before="79" w:line="276" w:lineRule="auto"/>
        <w:ind w:right="921"/>
        <w:rPr>
          <w:b/>
          <w:lang w:val="fr-FR"/>
        </w:rPr>
      </w:pPr>
      <w:r w:rsidRPr="00386828">
        <w:rPr>
          <w:b/>
          <w:lang w:val="fr-FR"/>
        </w:rPr>
        <w:t>Bon flux de trésorerie disponible de 1,5 milliard d’euros, amélioration significative de la position financière nette</w:t>
      </w:r>
    </w:p>
    <w:p w14:paraId="4CFD3545" w14:textId="77777777" w:rsidR="00612179" w:rsidRPr="00386828" w:rsidRDefault="00612179" w:rsidP="00612179">
      <w:pPr>
        <w:pStyle w:val="Paragraphedeliste"/>
        <w:numPr>
          <w:ilvl w:val="0"/>
          <w:numId w:val="2"/>
        </w:numPr>
        <w:tabs>
          <w:tab w:val="left" w:pos="1151"/>
          <w:tab w:val="left" w:pos="1152"/>
        </w:tabs>
        <w:spacing w:before="80"/>
        <w:ind w:left="1151" w:hanging="361"/>
        <w:rPr>
          <w:b/>
          <w:lang w:val="fr-FR"/>
        </w:rPr>
      </w:pPr>
      <w:r w:rsidRPr="00386828">
        <w:rPr>
          <w:b/>
          <w:lang w:val="fr-FR"/>
        </w:rPr>
        <w:t>Proposition de dividende au niveau de l'année précédente : 1,85 euros par action privilégiée</w:t>
      </w:r>
    </w:p>
    <w:p w14:paraId="28F18923" w14:textId="77777777" w:rsidR="00612179" w:rsidRPr="00386828" w:rsidRDefault="00612179" w:rsidP="00612179">
      <w:pPr>
        <w:pStyle w:val="Paragraphedeliste"/>
        <w:numPr>
          <w:ilvl w:val="0"/>
          <w:numId w:val="2"/>
        </w:numPr>
        <w:tabs>
          <w:tab w:val="left" w:pos="1151"/>
          <w:tab w:val="left" w:pos="1152"/>
        </w:tabs>
        <w:ind w:left="1151" w:hanging="361"/>
        <w:rPr>
          <w:b/>
          <w:lang w:val="fr-FR"/>
        </w:rPr>
      </w:pPr>
      <w:r w:rsidRPr="00386828">
        <w:rPr>
          <w:b/>
          <w:lang w:val="fr-FR"/>
        </w:rPr>
        <w:t>Perspectives 2022 et ambition financière à moyen et long terme inchangées</w:t>
      </w:r>
    </w:p>
    <w:p w14:paraId="5526BADC" w14:textId="77777777" w:rsidR="00612179" w:rsidRPr="00386828" w:rsidRDefault="00612179" w:rsidP="00612179">
      <w:pPr>
        <w:pStyle w:val="Paragraphedeliste"/>
        <w:numPr>
          <w:ilvl w:val="0"/>
          <w:numId w:val="2"/>
        </w:numPr>
        <w:tabs>
          <w:tab w:val="left" w:pos="1151"/>
          <w:tab w:val="left" w:pos="1152"/>
        </w:tabs>
        <w:ind w:left="1151" w:hanging="361"/>
        <w:rPr>
          <w:b/>
          <w:lang w:val="fr-FR"/>
        </w:rPr>
      </w:pPr>
      <w:r w:rsidRPr="00386828">
        <w:rPr>
          <w:b/>
          <w:lang w:val="fr-FR"/>
        </w:rPr>
        <w:t>Mise en œuvre cohérente du plan de croissance ciblée depuis 2020</w:t>
      </w:r>
    </w:p>
    <w:p w14:paraId="49DB7E23" w14:textId="77777777" w:rsidR="00612179" w:rsidRPr="00386828" w:rsidRDefault="00612179" w:rsidP="00612179">
      <w:pPr>
        <w:pStyle w:val="Paragraphedeliste"/>
        <w:numPr>
          <w:ilvl w:val="0"/>
          <w:numId w:val="2"/>
        </w:numPr>
        <w:tabs>
          <w:tab w:val="left" w:pos="1151"/>
          <w:tab w:val="left" w:pos="1152"/>
        </w:tabs>
        <w:ind w:left="1151" w:hanging="361"/>
        <w:rPr>
          <w:b/>
          <w:lang w:val="fr-FR"/>
        </w:rPr>
      </w:pPr>
      <w:r w:rsidRPr="00386828">
        <w:rPr>
          <w:b/>
          <w:lang w:val="fr-FR"/>
        </w:rPr>
        <w:t>Mesures clés pour faire passer le plan de croissance stratégique au niveau supérieur :</w:t>
      </w:r>
    </w:p>
    <w:p w14:paraId="0482D3FE" w14:textId="50D26DC7" w:rsidR="00612179" w:rsidRPr="00386828" w:rsidRDefault="00612179" w:rsidP="00612179">
      <w:pPr>
        <w:pStyle w:val="Paragraphedeliste"/>
        <w:numPr>
          <w:ilvl w:val="0"/>
          <w:numId w:val="6"/>
        </w:numPr>
        <w:tabs>
          <w:tab w:val="left" w:pos="1871"/>
          <w:tab w:val="left" w:pos="1872"/>
        </w:tabs>
        <w:spacing w:line="276" w:lineRule="auto"/>
        <w:ind w:right="803"/>
        <w:rPr>
          <w:b/>
          <w:lang w:val="fr-FR"/>
        </w:rPr>
      </w:pPr>
      <w:r w:rsidRPr="00386828">
        <w:rPr>
          <w:b/>
          <w:lang w:val="fr-FR"/>
        </w:rPr>
        <w:t>Début du processus d’intégration de</w:t>
      </w:r>
      <w:r w:rsidR="003871D0" w:rsidRPr="00386828">
        <w:rPr>
          <w:b/>
          <w:lang w:val="fr-FR"/>
        </w:rPr>
        <w:t xml:space="preserve"> la branche Laundry &amp; Home Care</w:t>
      </w:r>
      <w:r w:rsidRPr="00386828">
        <w:rPr>
          <w:b/>
          <w:lang w:val="fr-FR"/>
        </w:rPr>
        <w:t xml:space="preserve"> </w:t>
      </w:r>
      <w:r w:rsidR="003871D0" w:rsidRPr="00386828">
        <w:rPr>
          <w:b/>
          <w:lang w:val="fr-FR"/>
        </w:rPr>
        <w:t>et de la branche Beauty Care</w:t>
      </w:r>
      <w:r w:rsidRPr="00386828">
        <w:rPr>
          <w:b/>
          <w:lang w:val="fr-FR"/>
        </w:rPr>
        <w:t xml:space="preserve"> dans une plateforme multi-catégories avec un chiffre d’affaires d’environ 10 milliards d'euros</w:t>
      </w:r>
    </w:p>
    <w:p w14:paraId="2A0B717F" w14:textId="2EECFAD6" w:rsidR="00612179" w:rsidRPr="00386828" w:rsidRDefault="00612179" w:rsidP="00612179">
      <w:pPr>
        <w:pStyle w:val="Paragraphedeliste"/>
        <w:numPr>
          <w:ilvl w:val="0"/>
          <w:numId w:val="6"/>
        </w:numPr>
        <w:tabs>
          <w:tab w:val="left" w:pos="1871"/>
          <w:tab w:val="left" w:pos="1872"/>
        </w:tabs>
        <w:spacing w:before="0"/>
        <w:rPr>
          <w:b/>
          <w:lang w:val="fr-FR"/>
        </w:rPr>
      </w:pPr>
      <w:r w:rsidRPr="00386828">
        <w:rPr>
          <w:b/>
          <w:lang w:val="fr-FR"/>
        </w:rPr>
        <w:t xml:space="preserve">Nouvelle optimisation du portefeuille prévue dans le secteur des </w:t>
      </w:r>
      <w:r w:rsidR="003871D0" w:rsidRPr="00386828">
        <w:rPr>
          <w:b/>
          <w:lang w:val="fr-FR"/>
        </w:rPr>
        <w:t>produits</w:t>
      </w:r>
      <w:r w:rsidRPr="00386828">
        <w:rPr>
          <w:b/>
          <w:lang w:val="fr-FR"/>
        </w:rPr>
        <w:t xml:space="preserve"> de </w:t>
      </w:r>
      <w:r w:rsidR="003871D0" w:rsidRPr="00386828">
        <w:rPr>
          <w:b/>
          <w:lang w:val="fr-FR"/>
        </w:rPr>
        <w:t xml:space="preserve">grande </w:t>
      </w:r>
      <w:r w:rsidRPr="00386828">
        <w:rPr>
          <w:b/>
          <w:lang w:val="fr-FR"/>
        </w:rPr>
        <w:t>consommation</w:t>
      </w:r>
    </w:p>
    <w:p w14:paraId="140DCDC9" w14:textId="4C22F175" w:rsidR="00612179" w:rsidRPr="00386828" w:rsidRDefault="00612179" w:rsidP="00612179">
      <w:pPr>
        <w:pStyle w:val="Paragraphedeliste"/>
        <w:numPr>
          <w:ilvl w:val="0"/>
          <w:numId w:val="6"/>
        </w:numPr>
        <w:tabs>
          <w:tab w:val="left" w:pos="1871"/>
          <w:tab w:val="left" w:pos="1872"/>
        </w:tabs>
        <w:spacing w:before="43"/>
        <w:rPr>
          <w:b/>
          <w:lang w:val="fr-FR"/>
        </w:rPr>
      </w:pPr>
      <w:r w:rsidRPr="00386828">
        <w:rPr>
          <w:b/>
          <w:lang w:val="fr-FR"/>
        </w:rPr>
        <w:t xml:space="preserve">Lancement d’un programme de rachat d’actions </w:t>
      </w:r>
      <w:r w:rsidR="003871D0" w:rsidRPr="00386828">
        <w:rPr>
          <w:b/>
          <w:lang w:val="fr-FR"/>
        </w:rPr>
        <w:t>pouvant atteindre</w:t>
      </w:r>
      <w:r w:rsidRPr="00386828">
        <w:rPr>
          <w:b/>
          <w:lang w:val="fr-FR"/>
        </w:rPr>
        <w:t xml:space="preserve"> 1 milliard d'euros</w:t>
      </w:r>
    </w:p>
    <w:p w14:paraId="45C1DD70" w14:textId="77777777" w:rsidR="00612179" w:rsidRPr="00386828" w:rsidRDefault="00612179" w:rsidP="00612179">
      <w:pPr>
        <w:pStyle w:val="Paragraphedeliste"/>
        <w:numPr>
          <w:ilvl w:val="0"/>
          <w:numId w:val="6"/>
        </w:numPr>
        <w:tabs>
          <w:tab w:val="left" w:pos="1871"/>
          <w:tab w:val="left" w:pos="1872"/>
        </w:tabs>
        <w:rPr>
          <w:b/>
          <w:lang w:val="fr-FR"/>
        </w:rPr>
      </w:pPr>
      <w:r w:rsidRPr="00386828">
        <w:rPr>
          <w:b/>
          <w:lang w:val="fr-FR"/>
        </w:rPr>
        <w:t xml:space="preserve">Venture </w:t>
      </w:r>
      <w:proofErr w:type="spellStart"/>
      <w:r w:rsidRPr="00386828">
        <w:rPr>
          <w:b/>
          <w:lang w:val="fr-FR"/>
        </w:rPr>
        <w:t>Fund</w:t>
      </w:r>
      <w:proofErr w:type="spellEnd"/>
      <w:r w:rsidRPr="00386828">
        <w:rPr>
          <w:b/>
          <w:lang w:val="fr-FR"/>
        </w:rPr>
        <w:t xml:space="preserve"> II avec un volume total de 150 millions d'euros</w:t>
      </w:r>
    </w:p>
    <w:p w14:paraId="3E19D2B2" w14:textId="37C15FE1" w:rsidR="00B42EB5" w:rsidRPr="00386828" w:rsidRDefault="00612179" w:rsidP="00612179">
      <w:pPr>
        <w:pStyle w:val="Paragraphedeliste"/>
        <w:numPr>
          <w:ilvl w:val="0"/>
          <w:numId w:val="6"/>
        </w:numPr>
        <w:tabs>
          <w:tab w:val="left" w:pos="1871"/>
          <w:tab w:val="left" w:pos="1872"/>
        </w:tabs>
        <w:rPr>
          <w:b/>
          <w:lang w:val="fr-FR"/>
        </w:rPr>
      </w:pPr>
      <w:r w:rsidRPr="00386828">
        <w:rPr>
          <w:b/>
          <w:lang w:val="fr-FR"/>
        </w:rPr>
        <w:t xml:space="preserve">Nouvelle stratégie et nouvelles ambitions en matière de </w:t>
      </w:r>
      <w:bookmarkEnd w:id="0"/>
      <w:r w:rsidR="001D2791" w:rsidRPr="00386828">
        <w:rPr>
          <w:b/>
          <w:lang w:val="fr-FR"/>
        </w:rPr>
        <w:t>développement durable</w:t>
      </w:r>
    </w:p>
    <w:p w14:paraId="3F9EC3D4" w14:textId="77777777" w:rsidR="001D2791" w:rsidRPr="00386828" w:rsidRDefault="001D2791" w:rsidP="00386828">
      <w:pPr>
        <w:rPr>
          <w:lang w:val="fr-FR"/>
        </w:rPr>
      </w:pPr>
    </w:p>
    <w:bookmarkEnd w:id="1"/>
    <w:bookmarkEnd w:id="3"/>
    <w:p w14:paraId="25595299" w14:textId="215653CB" w:rsidR="00386828" w:rsidRPr="00386828" w:rsidRDefault="00386828" w:rsidP="00386828">
      <w:pPr>
        <w:pStyle w:val="Corpsdetexte"/>
        <w:spacing w:line="276" w:lineRule="auto"/>
        <w:ind w:left="720" w:right="603"/>
        <w:jc w:val="both"/>
        <w:rPr>
          <w:lang w:val="fr-FR"/>
        </w:rPr>
        <w:sectPr w:rsidR="00386828" w:rsidRPr="00386828">
          <w:pgSz w:w="11910" w:h="16840"/>
          <w:pgMar w:top="1480" w:right="800" w:bottom="1100" w:left="620" w:header="0" w:footer="909" w:gutter="0"/>
          <w:cols w:space="720"/>
        </w:sectPr>
      </w:pPr>
      <w:r w:rsidRPr="00386828">
        <w:rPr>
          <w:noProof/>
        </w:rPr>
        <w:drawing>
          <wp:anchor distT="0" distB="0" distL="0" distR="0" simplePos="0" relativeHeight="251659264" behindDoc="1" locked="0" layoutInCell="1" allowOverlap="1" wp14:anchorId="07D954B0" wp14:editId="76F37031">
            <wp:simplePos x="0" y="0"/>
            <wp:positionH relativeFrom="page">
              <wp:posOffset>911165</wp:posOffset>
            </wp:positionH>
            <wp:positionV relativeFrom="page">
              <wp:posOffset>10090198</wp:posOffset>
            </wp:positionV>
            <wp:extent cx="5552441" cy="295159"/>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552441" cy="295159"/>
                    </a:xfrm>
                    <a:prstGeom prst="rect">
                      <a:avLst/>
                    </a:prstGeom>
                  </pic:spPr>
                </pic:pic>
              </a:graphicData>
            </a:graphic>
          </wp:anchor>
        </w:drawing>
      </w:r>
      <w:r w:rsidRPr="00386828">
        <w:rPr>
          <w:b/>
          <w:sz w:val="16"/>
          <w:szCs w:val="16"/>
          <w:lang w:val="fr-FR"/>
        </w:rPr>
        <w:t>*</w:t>
      </w:r>
      <w:r w:rsidRPr="00386828">
        <w:rPr>
          <w:sz w:val="16"/>
          <w:lang w:val="fr-FR"/>
        </w:rPr>
        <w:t xml:space="preserve"> Ajusté pour tenir compte des dépenses et des revenus non récurrents et de la restructuration</w:t>
      </w:r>
    </w:p>
    <w:p w14:paraId="468AAB56" w14:textId="7395E932" w:rsidR="00612179" w:rsidRPr="00386828" w:rsidRDefault="00612179" w:rsidP="00386828">
      <w:pPr>
        <w:tabs>
          <w:tab w:val="left" w:pos="1871"/>
          <w:tab w:val="left" w:pos="1872"/>
        </w:tabs>
        <w:jc w:val="center"/>
        <w:rPr>
          <w:lang w:val="fr-FR"/>
        </w:rPr>
      </w:pPr>
    </w:p>
    <w:p w14:paraId="55952FF7" w14:textId="403ABF68" w:rsidR="00B42EB5" w:rsidRPr="00386828" w:rsidRDefault="00612179" w:rsidP="003871D0">
      <w:pPr>
        <w:spacing w:before="80" w:line="276" w:lineRule="auto"/>
        <w:ind w:left="720" w:right="605"/>
        <w:jc w:val="both"/>
        <w:rPr>
          <w:b/>
          <w:lang w:val="fr-FR"/>
        </w:rPr>
      </w:pPr>
      <w:bookmarkStart w:id="4" w:name="_Hlk96515565"/>
      <w:r w:rsidRPr="00386828">
        <w:rPr>
          <w:b/>
          <w:lang w:val="fr-FR"/>
        </w:rPr>
        <w:t xml:space="preserve">Düsseldorf - « Dans l’ensemble, nous avons réalisé une bonne performance commerciale en 2021 et avons fait progresser de manière cohérente la mise en œuvre de notre plan stratégique, malgré un environnement de marché très difficile, avec des perturbations sans précédent dans les chaînes d'approvisionnement mondiales, une pénurie de matières premières clés ainsi qu’une augmentation générale significative des prix », a déclaré Carsten </w:t>
      </w:r>
      <w:proofErr w:type="spellStart"/>
      <w:r w:rsidRPr="00386828">
        <w:rPr>
          <w:b/>
          <w:lang w:val="fr-FR"/>
        </w:rPr>
        <w:t>Knobel</w:t>
      </w:r>
      <w:proofErr w:type="spellEnd"/>
      <w:r w:rsidRPr="00386828">
        <w:rPr>
          <w:b/>
          <w:lang w:val="fr-FR"/>
        </w:rPr>
        <w:t xml:space="preserve">, </w:t>
      </w:r>
      <w:r w:rsidR="00D82746" w:rsidRPr="00386828">
        <w:rPr>
          <w:b/>
          <w:lang w:val="fr-FR"/>
        </w:rPr>
        <w:t>Président du Comité de Direction de Henkel</w:t>
      </w:r>
      <w:r w:rsidRPr="00386828">
        <w:rPr>
          <w:b/>
          <w:lang w:val="fr-FR"/>
        </w:rPr>
        <w:t>.</w:t>
      </w:r>
    </w:p>
    <w:p w14:paraId="5B33BDAE" w14:textId="5D6923BC" w:rsidR="00431B12" w:rsidRPr="00386828" w:rsidRDefault="003871D0" w:rsidP="00103238">
      <w:pPr>
        <w:spacing w:before="80" w:line="276" w:lineRule="auto"/>
        <w:ind w:left="720" w:right="605"/>
        <w:jc w:val="both"/>
        <w:rPr>
          <w:b/>
          <w:lang w:val="fr-FR"/>
        </w:rPr>
      </w:pPr>
      <w:r w:rsidRPr="00386828">
        <w:rPr>
          <w:b/>
          <w:lang w:val="fr-FR"/>
        </w:rPr>
        <w:t xml:space="preserve">« Nous avons enregistré une croissance organique dans toutes nos branches, maintenu notre marge et réalisé une très forte augmentation du bénéfice par action privilégiée. C’est la </w:t>
      </w:r>
      <w:r w:rsidR="00D82746" w:rsidRPr="00386828">
        <w:rPr>
          <w:b/>
          <w:lang w:val="fr-FR"/>
        </w:rPr>
        <w:t xml:space="preserve">réalisation </w:t>
      </w:r>
      <w:r w:rsidRPr="00386828">
        <w:rPr>
          <w:b/>
          <w:lang w:val="fr-FR"/>
        </w:rPr>
        <w:t>de no</w:t>
      </w:r>
      <w:r w:rsidR="00103238" w:rsidRPr="00386828">
        <w:rPr>
          <w:b/>
          <w:lang w:val="fr-FR"/>
        </w:rPr>
        <w:t>s équipes</w:t>
      </w:r>
      <w:r w:rsidRPr="00386828">
        <w:rPr>
          <w:b/>
          <w:lang w:val="fr-FR"/>
        </w:rPr>
        <w:t xml:space="preserve"> Henkel</w:t>
      </w:r>
      <w:r w:rsidR="00103238" w:rsidRPr="00386828">
        <w:rPr>
          <w:b/>
          <w:lang w:val="fr-FR"/>
        </w:rPr>
        <w:t xml:space="preserve"> à l’international</w:t>
      </w:r>
      <w:r w:rsidRPr="00386828">
        <w:rPr>
          <w:b/>
          <w:lang w:val="fr-FR"/>
        </w:rPr>
        <w:t xml:space="preserve">. Ensemble, nous avons réussi à faire avancer notre plan de croissance ciblée, même en ces temps difficiles. Je tiens à remercier tous les collaborateurs pour leur extraordinaire engagement. En particulier ceux qui ont permis </w:t>
      </w:r>
      <w:r w:rsidR="00103238" w:rsidRPr="00386828">
        <w:rPr>
          <w:b/>
          <w:lang w:val="fr-FR"/>
        </w:rPr>
        <w:t xml:space="preserve">à </w:t>
      </w:r>
      <w:r w:rsidRPr="00386828">
        <w:rPr>
          <w:b/>
          <w:lang w:val="fr-FR"/>
        </w:rPr>
        <w:t xml:space="preserve">nos processus de production </w:t>
      </w:r>
      <w:r w:rsidR="00431B12" w:rsidRPr="00386828">
        <w:rPr>
          <w:b/>
          <w:lang w:val="fr-FR"/>
        </w:rPr>
        <w:t>et à nos activités critiques de</w:t>
      </w:r>
      <w:r w:rsidR="00103238" w:rsidRPr="00386828">
        <w:rPr>
          <w:b/>
          <w:lang w:val="fr-FR"/>
        </w:rPr>
        <w:t xml:space="preserve"> continuer à</w:t>
      </w:r>
      <w:r w:rsidR="00431B12" w:rsidRPr="00386828">
        <w:rPr>
          <w:b/>
          <w:lang w:val="fr-FR"/>
        </w:rPr>
        <w:t xml:space="preserve"> fonctionner</w:t>
      </w:r>
      <w:r w:rsidR="00103238" w:rsidRPr="00386828">
        <w:rPr>
          <w:b/>
          <w:lang w:val="fr-FR"/>
        </w:rPr>
        <w:t>.</w:t>
      </w:r>
      <w:r w:rsidR="00431B12" w:rsidRPr="00386828">
        <w:rPr>
          <w:b/>
          <w:lang w:val="fr-FR"/>
        </w:rPr>
        <w:t xml:space="preserve"> » </w:t>
      </w:r>
    </w:p>
    <w:p w14:paraId="44448786" w14:textId="77777777" w:rsidR="00103238" w:rsidRPr="00386828" w:rsidRDefault="00103238" w:rsidP="00103238">
      <w:pPr>
        <w:spacing w:before="80" w:line="276" w:lineRule="auto"/>
        <w:ind w:left="720" w:right="605"/>
        <w:jc w:val="both"/>
        <w:rPr>
          <w:b/>
          <w:lang w:val="fr-FR"/>
        </w:rPr>
      </w:pPr>
    </w:p>
    <w:p w14:paraId="5292E211" w14:textId="45042A9C" w:rsidR="00B42EB5" w:rsidRPr="00386828" w:rsidRDefault="00C02E9D" w:rsidP="00431B12">
      <w:pPr>
        <w:spacing w:line="276" w:lineRule="auto"/>
        <w:ind w:left="720" w:right="605"/>
        <w:jc w:val="both"/>
        <w:rPr>
          <w:b/>
          <w:lang w:val="fr-FR"/>
        </w:rPr>
      </w:pPr>
      <w:r>
        <w:rPr>
          <w:b/>
          <w:lang w:val="fr-FR"/>
        </w:rPr>
        <w:t>Organiquement, l</w:t>
      </w:r>
      <w:r w:rsidR="00612179" w:rsidRPr="00386828">
        <w:rPr>
          <w:b/>
          <w:lang w:val="fr-FR"/>
        </w:rPr>
        <w:t xml:space="preserve">es ventes ont atteint environ 20,1 milliards d'euros au cours de l'exercice 2021. Cela correspond à une croissance organique des ventes de 7,8 % par rapport à 2020. La reprise significative de la demande dans les secteurs de l'industrie et des salons de coiffure a eu un effet particulièrement positif. Dans le secteur des </w:t>
      </w:r>
      <w:r w:rsidR="00431B12" w:rsidRPr="00386828">
        <w:rPr>
          <w:b/>
          <w:lang w:val="fr-FR"/>
        </w:rPr>
        <w:t>produits de grande</w:t>
      </w:r>
      <w:r w:rsidR="00612179" w:rsidRPr="00386828">
        <w:rPr>
          <w:b/>
          <w:lang w:val="fr-FR"/>
        </w:rPr>
        <w:t xml:space="preserve"> consommation, la demande dans </w:t>
      </w:r>
      <w:r w:rsidR="00C37822" w:rsidRPr="00386828">
        <w:rPr>
          <w:b/>
          <w:lang w:val="fr-FR"/>
        </w:rPr>
        <w:t xml:space="preserve">plusieurs </w:t>
      </w:r>
      <w:r w:rsidR="00612179" w:rsidRPr="00386828">
        <w:rPr>
          <w:b/>
          <w:lang w:val="fr-FR"/>
        </w:rPr>
        <w:t xml:space="preserve">catégories est revenue à des schémas plus normaux par rapport à l'année 2020, où la demande était particulièrement forte pour les produits d'hygiène et de nettoyage ainsi que pour les </w:t>
      </w:r>
      <w:r w:rsidR="00C37822" w:rsidRPr="00386828">
        <w:rPr>
          <w:b/>
          <w:lang w:val="fr-FR"/>
        </w:rPr>
        <w:t>teintures</w:t>
      </w:r>
      <w:r w:rsidR="00612179" w:rsidRPr="00386828">
        <w:rPr>
          <w:b/>
          <w:lang w:val="fr-FR"/>
        </w:rPr>
        <w:t xml:space="preserve"> capillaires, tandis que la demande pour les produits de coiffure était moins forte. Dans le même temps, l'impact de la hausse significative des prix des matières premières et de</w:t>
      </w:r>
      <w:r>
        <w:rPr>
          <w:b/>
          <w:lang w:val="fr-FR"/>
        </w:rPr>
        <w:t>s coûts</w:t>
      </w:r>
      <w:r w:rsidR="00C37822" w:rsidRPr="00386828">
        <w:rPr>
          <w:b/>
          <w:lang w:val="fr-FR"/>
        </w:rPr>
        <w:t xml:space="preserve"> </w:t>
      </w:r>
      <w:r w:rsidR="00612179" w:rsidRPr="00386828">
        <w:rPr>
          <w:b/>
          <w:lang w:val="fr-FR"/>
        </w:rPr>
        <w:t>logistique</w:t>
      </w:r>
      <w:r>
        <w:rPr>
          <w:b/>
          <w:lang w:val="fr-FR"/>
        </w:rPr>
        <w:t>s</w:t>
      </w:r>
      <w:r w:rsidR="00612179" w:rsidRPr="00386828">
        <w:rPr>
          <w:b/>
          <w:lang w:val="fr-FR"/>
        </w:rPr>
        <w:t xml:space="preserve"> ainsi que les effets de change ont pesé sur la rentabilité de l'exercice 2021. Grâce à des volumes de vente nettement plus élevés, à des augmentations de prix réussies, à une gestion active des coûts et à des ajustements structurels continus, Henkel a plus que compensé l'impact sur ses bénéfices. Le résultat d’exploitation ajusté a augmenté de 4,2 % pour atteindre 2,7 milliards d'euros. Le rendement ajusté des ventes s’est élevé à 13,4 % par rapport à l’année précédente et le bénéfice ajusté par action pr</w:t>
      </w:r>
      <w:r>
        <w:rPr>
          <w:b/>
          <w:lang w:val="fr-FR"/>
        </w:rPr>
        <w:t>éférentielle</w:t>
      </w:r>
      <w:r w:rsidR="00612179" w:rsidRPr="00386828">
        <w:rPr>
          <w:b/>
          <w:lang w:val="fr-FR"/>
        </w:rPr>
        <w:t xml:space="preserve"> a atteint 4,56 euros. Cela correspond à une amélioration significative de 9,2 % à taux de change constant.</w:t>
      </w:r>
    </w:p>
    <w:p w14:paraId="094D759E" w14:textId="77777777" w:rsidR="00612179" w:rsidRPr="00386828" w:rsidRDefault="00612179" w:rsidP="00612179">
      <w:pPr>
        <w:spacing w:line="276" w:lineRule="auto"/>
        <w:ind w:left="791" w:right="605"/>
        <w:jc w:val="both"/>
        <w:rPr>
          <w:b/>
          <w:lang w:val="fr-FR"/>
        </w:rPr>
      </w:pPr>
    </w:p>
    <w:p w14:paraId="007B93B7" w14:textId="77777777" w:rsidR="009C22C0" w:rsidRDefault="00612179" w:rsidP="009C22C0">
      <w:pPr>
        <w:spacing w:line="276" w:lineRule="auto"/>
        <w:ind w:left="720" w:right="605"/>
        <w:jc w:val="both"/>
        <w:rPr>
          <w:b/>
          <w:lang w:val="fr-FR"/>
        </w:rPr>
      </w:pPr>
      <w:r w:rsidRPr="00386828">
        <w:rPr>
          <w:b/>
          <w:lang w:val="fr-FR"/>
        </w:rPr>
        <w:t xml:space="preserve">Sur la base de ces résultats, Henkel proposera un dividende stable de 1,85 euros par action privilégiée et de 1,83 euros par action ordinaire à ses actionnaires lors de la prochaine Assemblée générale annuelle. Cela équivaut à un ratio de distribution de 40,5 %, ce qui est légèrement supérieur à la fourchette cible de 30 à 40 % du revenu net ajusté déduction faite de la part des actionnaires sans contrôle. </w:t>
      </w:r>
      <w:r w:rsidR="00C37822" w:rsidRPr="00386828">
        <w:rPr>
          <w:b/>
          <w:lang w:val="fr-FR"/>
        </w:rPr>
        <w:t>L’entreprise</w:t>
      </w:r>
      <w:r w:rsidRPr="00386828">
        <w:rPr>
          <w:b/>
          <w:lang w:val="fr-FR"/>
        </w:rPr>
        <w:t xml:space="preserve"> a versé un dividende stable depuis le début de la pandémie de COVID-19</w:t>
      </w:r>
      <w:bookmarkEnd w:id="4"/>
      <w:r w:rsidRPr="00386828">
        <w:rPr>
          <w:b/>
          <w:lang w:val="fr-FR"/>
        </w:rPr>
        <w:t>.</w:t>
      </w:r>
      <w:bookmarkStart w:id="5" w:name="_Hlk96515587"/>
    </w:p>
    <w:p w14:paraId="34401575" w14:textId="77777777" w:rsidR="009C22C0" w:rsidRDefault="009C22C0" w:rsidP="009C22C0">
      <w:pPr>
        <w:spacing w:line="276" w:lineRule="auto"/>
        <w:ind w:left="720" w:right="605"/>
        <w:jc w:val="both"/>
        <w:rPr>
          <w:b/>
          <w:lang w:val="fr-FR"/>
        </w:rPr>
      </w:pPr>
    </w:p>
    <w:p w14:paraId="77AAF246" w14:textId="77777777" w:rsidR="009C22C0" w:rsidRDefault="009C22C0" w:rsidP="009C22C0">
      <w:pPr>
        <w:spacing w:line="276" w:lineRule="auto"/>
        <w:ind w:left="720" w:right="605"/>
        <w:jc w:val="both"/>
        <w:rPr>
          <w:b/>
          <w:lang w:val="fr-FR"/>
        </w:rPr>
      </w:pPr>
    </w:p>
    <w:p w14:paraId="2430B554" w14:textId="77777777" w:rsidR="009C22C0" w:rsidRDefault="009C22C0" w:rsidP="009C22C0">
      <w:pPr>
        <w:spacing w:line="276" w:lineRule="auto"/>
        <w:ind w:left="720" w:right="605"/>
        <w:jc w:val="both"/>
        <w:rPr>
          <w:b/>
          <w:lang w:val="fr-FR"/>
        </w:rPr>
      </w:pPr>
    </w:p>
    <w:p w14:paraId="234BC756" w14:textId="741D541C" w:rsidR="00612179" w:rsidRPr="00386828" w:rsidRDefault="00612179" w:rsidP="009C22C0">
      <w:pPr>
        <w:spacing w:line="276" w:lineRule="auto"/>
        <w:ind w:left="720" w:right="605"/>
        <w:jc w:val="both"/>
        <w:rPr>
          <w:b/>
          <w:lang w:val="fr-FR"/>
        </w:rPr>
      </w:pPr>
      <w:r w:rsidRPr="00386828">
        <w:rPr>
          <w:b/>
          <w:lang w:val="fr-FR"/>
        </w:rPr>
        <w:lastRenderedPageBreak/>
        <w:t>En outre, Henkel a annoncé un programme de rachat d’actions avec un volume pouvant atteindre 1 milliard d’euros à la fin de janvier 2022 et a déjà commencé la mise en œuvre en février. Henkel prévoit de racheter des actions pr</w:t>
      </w:r>
      <w:r w:rsidR="00C02E9D">
        <w:rPr>
          <w:b/>
          <w:lang w:val="fr-FR"/>
        </w:rPr>
        <w:t>éférentielles</w:t>
      </w:r>
      <w:r w:rsidRPr="00386828">
        <w:rPr>
          <w:b/>
          <w:lang w:val="fr-FR"/>
        </w:rPr>
        <w:t xml:space="preserve"> d’une valeur totale allant jusqu’à 800 millions d’euros et des actions ordinaires d’une valeur totale pouvant atteindre 200 millions d'euros. Le programme devrait être exécuté au plus tard </w:t>
      </w:r>
      <w:r w:rsidR="00C37822" w:rsidRPr="00386828">
        <w:rPr>
          <w:b/>
          <w:lang w:val="fr-FR"/>
        </w:rPr>
        <w:t xml:space="preserve">avant </w:t>
      </w:r>
      <w:r w:rsidR="00245BF1" w:rsidRPr="00386828">
        <w:rPr>
          <w:b/>
          <w:lang w:val="fr-FR"/>
        </w:rPr>
        <w:t>le 31</w:t>
      </w:r>
      <w:r w:rsidRPr="00386828">
        <w:rPr>
          <w:b/>
          <w:lang w:val="fr-FR"/>
        </w:rPr>
        <w:t xml:space="preserve"> mars 2023.</w:t>
      </w:r>
    </w:p>
    <w:p w14:paraId="61AC1B4E" w14:textId="77777777" w:rsidR="00612179" w:rsidRPr="00386828" w:rsidRDefault="00612179" w:rsidP="00612179">
      <w:pPr>
        <w:spacing w:line="276" w:lineRule="auto"/>
        <w:ind w:left="791" w:right="605"/>
        <w:jc w:val="both"/>
        <w:rPr>
          <w:b/>
          <w:lang w:val="fr-FR"/>
        </w:rPr>
      </w:pPr>
    </w:p>
    <w:p w14:paraId="58CE115D" w14:textId="082ECCC6" w:rsidR="00612179" w:rsidRPr="00386828" w:rsidRDefault="00612179" w:rsidP="00612179">
      <w:pPr>
        <w:spacing w:before="80" w:line="276" w:lineRule="auto"/>
        <w:ind w:left="791" w:right="604"/>
        <w:jc w:val="both"/>
        <w:rPr>
          <w:b/>
          <w:lang w:val="fr-FR"/>
        </w:rPr>
      </w:pPr>
      <w:r w:rsidRPr="00386828">
        <w:rPr>
          <w:b/>
          <w:lang w:val="fr-FR"/>
        </w:rPr>
        <w:t xml:space="preserve">« Nous pilotons de manière cohérente la mise en œuvre de notre plan stratégique et avons réalisé de très bons progrès dans de nombreux domaines clés. Dans certains domaines, cependant, nous constatons la nécessité d'une action supplémentaire. Par conséquent, nous passons maintenant à l’étape suivante de notre plan de croissance ciblée : fin janvier, nous avons annoncé la fusion de nos </w:t>
      </w:r>
      <w:r w:rsidR="007132C5" w:rsidRPr="00386828">
        <w:rPr>
          <w:b/>
          <w:lang w:val="fr-FR"/>
        </w:rPr>
        <w:t>activités Laundry &amp; Home Care</w:t>
      </w:r>
      <w:r w:rsidRPr="00386828">
        <w:rPr>
          <w:b/>
          <w:lang w:val="fr-FR"/>
        </w:rPr>
        <w:t xml:space="preserve"> </w:t>
      </w:r>
      <w:r w:rsidR="007132C5" w:rsidRPr="00386828">
        <w:rPr>
          <w:b/>
          <w:lang w:val="fr-FR"/>
        </w:rPr>
        <w:t>et Beauty Care en</w:t>
      </w:r>
      <w:r w:rsidRPr="00386828">
        <w:rPr>
          <w:b/>
          <w:lang w:val="fr-FR"/>
        </w:rPr>
        <w:t xml:space="preserve"> une nouvelle </w:t>
      </w:r>
      <w:r w:rsidR="00A24E39">
        <w:rPr>
          <w:b/>
          <w:lang w:val="fr-FR"/>
        </w:rPr>
        <w:t>branche</w:t>
      </w:r>
      <w:r w:rsidR="00431B12" w:rsidRPr="00386828">
        <w:rPr>
          <w:b/>
          <w:lang w:val="fr-FR"/>
        </w:rPr>
        <w:t xml:space="preserve"> </w:t>
      </w:r>
      <w:r w:rsidRPr="00386828">
        <w:rPr>
          <w:b/>
          <w:lang w:val="fr-FR"/>
        </w:rPr>
        <w:t xml:space="preserve">« Henkel Consumer Brands ». Avec cela, nous créons une plateforme multi-catégories avec un chiffre d’affaires d’environ 10 milliards d'euros. Cela fournit une base plus large pour optimiser notre portefeuille de manière encore plus cohérente et l'amener à un profil de croissance et de marge plus élevé. Cela se reflète également dans notre ambition financière à moyen et long terme », a déclaré Carsten </w:t>
      </w:r>
      <w:proofErr w:type="spellStart"/>
      <w:r w:rsidRPr="00386828">
        <w:rPr>
          <w:b/>
          <w:lang w:val="fr-FR"/>
        </w:rPr>
        <w:t>Knobel</w:t>
      </w:r>
      <w:proofErr w:type="spellEnd"/>
      <w:r w:rsidRPr="00386828">
        <w:rPr>
          <w:b/>
          <w:lang w:val="fr-FR"/>
        </w:rPr>
        <w:t xml:space="preserve">. « En outre, notre nouveau Venture </w:t>
      </w:r>
      <w:proofErr w:type="spellStart"/>
      <w:r w:rsidRPr="00386828">
        <w:rPr>
          <w:b/>
          <w:lang w:val="fr-FR"/>
        </w:rPr>
        <w:t>Fund</w:t>
      </w:r>
      <w:proofErr w:type="spellEnd"/>
      <w:r w:rsidRPr="00386828">
        <w:rPr>
          <w:b/>
          <w:lang w:val="fr-FR"/>
        </w:rPr>
        <w:t xml:space="preserve"> II, doté d’un volume de 150 millions d’euros, et notre nouve</w:t>
      </w:r>
      <w:r w:rsidR="007132C5" w:rsidRPr="00386828">
        <w:rPr>
          <w:b/>
          <w:lang w:val="fr-FR"/>
        </w:rPr>
        <w:t xml:space="preserve">lle stratégie de développement durable à long terme </w:t>
      </w:r>
      <w:r w:rsidR="00103238" w:rsidRPr="00386828">
        <w:rPr>
          <w:b/>
          <w:lang w:val="fr-FR"/>
        </w:rPr>
        <w:t>« </w:t>
      </w:r>
      <w:r w:rsidR="00245BF1" w:rsidRPr="00245BF1">
        <w:rPr>
          <w:b/>
          <w:lang w:val="fr-FR"/>
        </w:rPr>
        <w:t>Ambition Développement Durable 2030</w:t>
      </w:r>
      <w:r w:rsidR="00245BF1">
        <w:rPr>
          <w:b/>
          <w:lang w:val="fr-FR"/>
        </w:rPr>
        <w:t xml:space="preserve"> </w:t>
      </w:r>
      <w:r w:rsidR="00386828" w:rsidRPr="00386828">
        <w:rPr>
          <w:b/>
          <w:lang w:val="fr-FR"/>
        </w:rPr>
        <w:t>»,</w:t>
      </w:r>
      <w:r w:rsidRPr="00386828">
        <w:rPr>
          <w:b/>
          <w:lang w:val="fr-FR"/>
        </w:rPr>
        <w:t xml:space="preserve"> donnent un élan important dans les domaines de l'innovation et du développement durable. Et l</w:t>
      </w:r>
      <w:r w:rsidR="00431B12" w:rsidRPr="00386828">
        <w:rPr>
          <w:b/>
          <w:lang w:val="fr-FR"/>
        </w:rPr>
        <w:t>a nouvelle image</w:t>
      </w:r>
      <w:r w:rsidRPr="00386828">
        <w:rPr>
          <w:b/>
          <w:lang w:val="fr-FR"/>
        </w:rPr>
        <w:t xml:space="preserve"> </w:t>
      </w:r>
      <w:r w:rsidR="00431B12" w:rsidRPr="00386828">
        <w:rPr>
          <w:b/>
          <w:lang w:val="fr-FR"/>
        </w:rPr>
        <w:t>moderne</w:t>
      </w:r>
      <w:r w:rsidRPr="00386828">
        <w:rPr>
          <w:b/>
          <w:lang w:val="fr-FR"/>
        </w:rPr>
        <w:t xml:space="preserve"> et dynamique de notre marque d’entreprise renforce notre objectif ».</w:t>
      </w:r>
    </w:p>
    <w:p w14:paraId="01526DEE" w14:textId="77777777" w:rsidR="00612179" w:rsidRPr="00386828" w:rsidRDefault="00612179" w:rsidP="00612179">
      <w:pPr>
        <w:spacing w:line="276" w:lineRule="auto"/>
        <w:ind w:left="791" w:right="605"/>
        <w:jc w:val="both"/>
        <w:rPr>
          <w:b/>
          <w:lang w:val="fr-FR"/>
        </w:rPr>
      </w:pPr>
    </w:p>
    <w:p w14:paraId="335C44F6" w14:textId="411B9B08" w:rsidR="00612179" w:rsidRPr="00386828" w:rsidRDefault="00D15B3F" w:rsidP="00D15B3F">
      <w:pPr>
        <w:spacing w:line="276" w:lineRule="auto"/>
        <w:ind w:right="605"/>
        <w:jc w:val="both"/>
        <w:rPr>
          <w:b/>
          <w:lang w:val="fr-FR"/>
        </w:rPr>
      </w:pPr>
      <w:r w:rsidRPr="00386828">
        <w:rPr>
          <w:b/>
          <w:lang w:val="fr-FR"/>
        </w:rPr>
        <w:t xml:space="preserve">             </w:t>
      </w:r>
      <w:r w:rsidR="00612179" w:rsidRPr="00386828">
        <w:rPr>
          <w:b/>
          <w:lang w:val="fr-FR"/>
        </w:rPr>
        <w:t>Chiffre d’affaires et bénéfice du Groupe pour l'exercice 2021</w:t>
      </w:r>
    </w:p>
    <w:p w14:paraId="5B174DBB" w14:textId="77777777" w:rsidR="00103238" w:rsidRPr="00386828" w:rsidRDefault="00103238" w:rsidP="00D15B3F">
      <w:pPr>
        <w:spacing w:line="276" w:lineRule="auto"/>
        <w:ind w:right="605"/>
        <w:jc w:val="both"/>
        <w:rPr>
          <w:b/>
          <w:lang w:val="fr-FR"/>
        </w:rPr>
      </w:pPr>
    </w:p>
    <w:p w14:paraId="75CE4D88" w14:textId="3523EF8E" w:rsidR="00612179" w:rsidRPr="00386828" w:rsidRDefault="00612179" w:rsidP="00612179">
      <w:pPr>
        <w:spacing w:line="276" w:lineRule="auto"/>
        <w:ind w:left="791" w:right="605"/>
        <w:jc w:val="both"/>
        <w:rPr>
          <w:bCs/>
          <w:lang w:val="fr-FR"/>
        </w:rPr>
      </w:pPr>
      <w:r w:rsidRPr="00386828">
        <w:rPr>
          <w:bCs/>
          <w:lang w:val="fr-FR"/>
        </w:rPr>
        <w:t xml:space="preserve">Le </w:t>
      </w:r>
      <w:r w:rsidRPr="00386828">
        <w:rPr>
          <w:b/>
          <w:lang w:val="fr-FR"/>
        </w:rPr>
        <w:t>chiffre d’affaires</w:t>
      </w:r>
      <w:r w:rsidRPr="00386828">
        <w:rPr>
          <w:bCs/>
          <w:lang w:val="fr-FR"/>
        </w:rPr>
        <w:t xml:space="preserve"> du Groupe Henkel a atteint 20 066 millions d’euros au cours de l’exercice 2021. Cela correspond à une croissance nominale de 4,2 % et à une </w:t>
      </w:r>
      <w:r w:rsidRPr="00386828">
        <w:rPr>
          <w:b/>
          <w:lang w:val="fr-FR"/>
        </w:rPr>
        <w:t>croissance organique</w:t>
      </w:r>
      <w:r w:rsidRPr="00386828">
        <w:rPr>
          <w:bCs/>
          <w:lang w:val="fr-FR"/>
        </w:rPr>
        <w:t xml:space="preserve"> significative du </w:t>
      </w:r>
      <w:r w:rsidRPr="00386828">
        <w:rPr>
          <w:b/>
          <w:lang w:val="fr-FR"/>
        </w:rPr>
        <w:t>chiffre d’affaires</w:t>
      </w:r>
      <w:r w:rsidRPr="00386828">
        <w:rPr>
          <w:bCs/>
          <w:lang w:val="fr-FR"/>
        </w:rPr>
        <w:t xml:space="preserve"> de 7,8 %. L'impact des acquisitions et des </w:t>
      </w:r>
      <w:r w:rsidR="00C37822" w:rsidRPr="00386828">
        <w:rPr>
          <w:bCs/>
          <w:lang w:val="fr-FR"/>
        </w:rPr>
        <w:t xml:space="preserve">désinvestissements </w:t>
      </w:r>
      <w:r w:rsidRPr="00386828">
        <w:rPr>
          <w:bCs/>
          <w:lang w:val="fr-FR"/>
        </w:rPr>
        <w:t>sur le chiffre d'affaires a été légèrement négatif (-0,1 %). Les effets de change ont eu un impact négatif de -3,5 % sur le chiffre d’affaires.</w:t>
      </w:r>
    </w:p>
    <w:p w14:paraId="06815525" w14:textId="77777777" w:rsidR="00612179" w:rsidRPr="00386828" w:rsidRDefault="00612179" w:rsidP="00612179">
      <w:pPr>
        <w:spacing w:line="276" w:lineRule="auto"/>
        <w:ind w:left="791" w:right="605"/>
        <w:jc w:val="both"/>
        <w:rPr>
          <w:b/>
          <w:lang w:val="fr-FR"/>
        </w:rPr>
      </w:pPr>
    </w:p>
    <w:p w14:paraId="259F6B15" w14:textId="216BE884" w:rsidR="00612179" w:rsidRPr="00386828" w:rsidRDefault="00612179" w:rsidP="00A10C1B">
      <w:pPr>
        <w:spacing w:line="276" w:lineRule="auto"/>
        <w:ind w:left="791" w:right="605"/>
        <w:jc w:val="both"/>
        <w:rPr>
          <w:bCs/>
          <w:lang w:val="fr-FR"/>
        </w:rPr>
      </w:pPr>
      <w:r w:rsidRPr="00386828">
        <w:rPr>
          <w:bCs/>
          <w:lang w:val="fr-FR"/>
        </w:rPr>
        <w:t>L’</w:t>
      </w:r>
      <w:r w:rsidR="007132C5" w:rsidRPr="00386828">
        <w:rPr>
          <w:bCs/>
          <w:lang w:val="fr-FR"/>
        </w:rPr>
        <w:t>activité</w:t>
      </w:r>
      <w:r w:rsidRPr="00386828">
        <w:rPr>
          <w:bCs/>
          <w:lang w:val="fr-FR"/>
        </w:rPr>
        <w:t xml:space="preserve"> </w:t>
      </w:r>
      <w:proofErr w:type="spellStart"/>
      <w:r w:rsidRPr="00386828">
        <w:rPr>
          <w:b/>
          <w:lang w:val="fr-FR"/>
        </w:rPr>
        <w:t>Adhesive</w:t>
      </w:r>
      <w:proofErr w:type="spellEnd"/>
      <w:r w:rsidRPr="00386828">
        <w:rPr>
          <w:b/>
          <w:lang w:val="fr-FR"/>
        </w:rPr>
        <w:t xml:space="preserve"> Technologies</w:t>
      </w:r>
      <w:r w:rsidRPr="00386828">
        <w:rPr>
          <w:bCs/>
          <w:lang w:val="fr-FR"/>
        </w:rPr>
        <w:t xml:space="preserve"> a enregistré une croissance organique à deux chiffres de son chiffre d’affaires de</w:t>
      </w:r>
      <w:r w:rsidR="00A10C1B" w:rsidRPr="00386828">
        <w:rPr>
          <w:bCs/>
          <w:lang w:val="fr-FR"/>
        </w:rPr>
        <w:t xml:space="preserve"> </w:t>
      </w:r>
      <w:r w:rsidRPr="00386828">
        <w:rPr>
          <w:bCs/>
          <w:lang w:val="fr-FR"/>
        </w:rPr>
        <w:t>13,4 %, principalement grâce à une reprise significative de la demande industrielle par rapport à la même période de l'année précédente, qui avait été fortement touchée par la pandémie de COVID-19. Le chiffre d’affaires de l</w:t>
      </w:r>
      <w:r w:rsidR="007132C5" w:rsidRPr="00386828">
        <w:rPr>
          <w:bCs/>
          <w:lang w:val="fr-FR"/>
        </w:rPr>
        <w:t>’activité</w:t>
      </w:r>
      <w:r w:rsidRPr="00386828">
        <w:rPr>
          <w:bCs/>
          <w:lang w:val="fr-FR"/>
        </w:rPr>
        <w:t xml:space="preserve"> </w:t>
      </w:r>
      <w:r w:rsidR="007132C5" w:rsidRPr="00386828">
        <w:rPr>
          <w:b/>
          <w:lang w:val="fr-FR"/>
        </w:rPr>
        <w:t>Beauty Care</w:t>
      </w:r>
      <w:r w:rsidR="007132C5" w:rsidRPr="00386828">
        <w:rPr>
          <w:bCs/>
          <w:lang w:val="fr-FR"/>
        </w:rPr>
        <w:t xml:space="preserve"> </w:t>
      </w:r>
      <w:r w:rsidRPr="00386828">
        <w:rPr>
          <w:bCs/>
          <w:lang w:val="fr-FR"/>
        </w:rPr>
        <w:t>a connu une croissance organique de 1,4 %. Alors que la reprise de l'activité des salons de coiffure a eu un effet positif, les activités grand public de Beauty Care ont été affectées en particulier par une normalisation de la demande dans la catégorie des soins corporels et ont connu une évolution négative. L’</w:t>
      </w:r>
      <w:r w:rsidR="007132C5" w:rsidRPr="00386828">
        <w:rPr>
          <w:bCs/>
          <w:lang w:val="fr-FR"/>
        </w:rPr>
        <w:t>activité</w:t>
      </w:r>
      <w:r w:rsidRPr="00386828">
        <w:rPr>
          <w:bCs/>
          <w:lang w:val="fr-FR"/>
        </w:rPr>
        <w:t xml:space="preserve"> </w:t>
      </w:r>
      <w:r w:rsidR="007132C5" w:rsidRPr="00386828">
        <w:rPr>
          <w:b/>
          <w:lang w:val="fr-FR"/>
        </w:rPr>
        <w:t>Laundry &amp; Home Care</w:t>
      </w:r>
      <w:r w:rsidR="007132C5" w:rsidRPr="00386828">
        <w:rPr>
          <w:bCs/>
          <w:lang w:val="fr-FR"/>
        </w:rPr>
        <w:t xml:space="preserve"> </w:t>
      </w:r>
      <w:r w:rsidRPr="00386828">
        <w:rPr>
          <w:bCs/>
          <w:lang w:val="fr-FR"/>
        </w:rPr>
        <w:t xml:space="preserve">a enregistré une forte croissance organique de son chiffre d’affaires de 3,9 %, les deux secteurs d'activité </w:t>
      </w:r>
      <w:r w:rsidR="00103238" w:rsidRPr="00386828">
        <w:rPr>
          <w:bCs/>
          <w:lang w:val="fr-FR"/>
        </w:rPr>
        <w:t xml:space="preserve">Laundry &amp; Home Care </w:t>
      </w:r>
      <w:r w:rsidRPr="00386828">
        <w:rPr>
          <w:bCs/>
          <w:lang w:val="fr-FR"/>
        </w:rPr>
        <w:t>ayant enregistré de bons résultats</w:t>
      </w:r>
      <w:bookmarkEnd w:id="5"/>
      <w:r w:rsidRPr="00386828">
        <w:rPr>
          <w:bCs/>
          <w:lang w:val="fr-FR"/>
        </w:rPr>
        <w:t>.</w:t>
      </w:r>
    </w:p>
    <w:p w14:paraId="6FDBD5A0" w14:textId="77777777" w:rsidR="00612179" w:rsidRPr="00386828" w:rsidRDefault="00612179" w:rsidP="00612179">
      <w:pPr>
        <w:spacing w:line="276" w:lineRule="auto"/>
        <w:ind w:left="791" w:right="605"/>
        <w:jc w:val="both"/>
        <w:rPr>
          <w:b/>
          <w:lang w:val="fr-FR"/>
        </w:rPr>
      </w:pPr>
    </w:p>
    <w:p w14:paraId="5F9F4286" w14:textId="77777777" w:rsidR="00612179" w:rsidRPr="00386828" w:rsidRDefault="00612179" w:rsidP="00612179">
      <w:pPr>
        <w:spacing w:line="276" w:lineRule="auto"/>
        <w:ind w:left="791" w:right="605"/>
        <w:jc w:val="both"/>
        <w:rPr>
          <w:bCs/>
          <w:lang w:val="fr-FR"/>
        </w:rPr>
      </w:pPr>
      <w:bookmarkStart w:id="6" w:name="_Hlk96515683"/>
      <w:r w:rsidRPr="00386828">
        <w:rPr>
          <w:bCs/>
          <w:lang w:val="fr-FR"/>
        </w:rPr>
        <w:lastRenderedPageBreak/>
        <w:t>Les marchés émergents ont enregistré une croissance organique du chiffre d’affaires à deux chiffres de 15,4 %. Les activités sur les marchés matures ont enregistré une bonne performance du chiffre d’affaires organique de 2,5 %.</w:t>
      </w:r>
    </w:p>
    <w:p w14:paraId="7BC801FE" w14:textId="77777777" w:rsidR="00612179" w:rsidRPr="00386828" w:rsidRDefault="00612179" w:rsidP="00612179">
      <w:pPr>
        <w:spacing w:line="276" w:lineRule="auto"/>
        <w:ind w:left="791" w:right="605"/>
        <w:jc w:val="both"/>
        <w:rPr>
          <w:bCs/>
          <w:lang w:val="fr-FR"/>
        </w:rPr>
      </w:pPr>
    </w:p>
    <w:p w14:paraId="41F765DD" w14:textId="758C1C7B" w:rsidR="00612179" w:rsidRPr="00386828" w:rsidRDefault="00612179" w:rsidP="00612179">
      <w:pPr>
        <w:spacing w:line="276" w:lineRule="auto"/>
        <w:ind w:left="791" w:right="605"/>
        <w:jc w:val="both"/>
        <w:rPr>
          <w:bCs/>
          <w:lang w:val="fr-FR"/>
        </w:rPr>
      </w:pPr>
      <w:r w:rsidRPr="00386828">
        <w:rPr>
          <w:bCs/>
          <w:lang w:val="fr-FR"/>
        </w:rPr>
        <w:t>Le résultat d’exploitation ajusté (EBIT ajusté) a augmenté de 4,2 % pour atteindre 2 686 millions d’euros en 2021, contre 2 579 millions d’euros en 2020.  Le rendement ajusté des ventes (marge EBIT ajustée) a atteint le niveau de l’année précédente, soit 13,4 %.</w:t>
      </w:r>
    </w:p>
    <w:p w14:paraId="4B0BADC5" w14:textId="77777777" w:rsidR="00612179" w:rsidRPr="00386828" w:rsidRDefault="00612179" w:rsidP="00612179">
      <w:pPr>
        <w:spacing w:line="276" w:lineRule="auto"/>
        <w:ind w:left="791" w:right="605"/>
        <w:jc w:val="both"/>
        <w:rPr>
          <w:bCs/>
          <w:lang w:val="fr-FR"/>
        </w:rPr>
      </w:pPr>
    </w:p>
    <w:p w14:paraId="1A163A48" w14:textId="7E1E3856" w:rsidR="00612179" w:rsidRPr="00386828" w:rsidRDefault="00612179" w:rsidP="00612179">
      <w:pPr>
        <w:spacing w:line="276" w:lineRule="auto"/>
        <w:ind w:left="791" w:right="605"/>
        <w:jc w:val="both"/>
        <w:rPr>
          <w:bCs/>
          <w:lang w:val="fr-FR"/>
        </w:rPr>
      </w:pPr>
      <w:r w:rsidRPr="00386828">
        <w:rPr>
          <w:bCs/>
          <w:lang w:val="fr-FR"/>
        </w:rPr>
        <w:t>Le bénéfice ajusté par action pr</w:t>
      </w:r>
      <w:r w:rsidR="00C02E9D">
        <w:rPr>
          <w:bCs/>
          <w:lang w:val="fr-FR"/>
        </w:rPr>
        <w:t>éférentielle</w:t>
      </w:r>
      <w:r w:rsidRPr="00386828">
        <w:rPr>
          <w:bCs/>
          <w:lang w:val="fr-FR"/>
        </w:rPr>
        <w:t xml:space="preserve"> a augmenté de 7,0 % pour atteindre 4,56 euros (année précédente :</w:t>
      </w:r>
    </w:p>
    <w:p w14:paraId="65DA8FF2" w14:textId="6CDE42C4" w:rsidR="00612179" w:rsidRPr="00386828" w:rsidRDefault="00612179" w:rsidP="00A10C1B">
      <w:pPr>
        <w:spacing w:line="276" w:lineRule="auto"/>
        <w:ind w:left="791" w:right="605"/>
        <w:jc w:val="both"/>
        <w:rPr>
          <w:bCs/>
          <w:lang w:val="fr-FR"/>
        </w:rPr>
      </w:pPr>
      <w:r w:rsidRPr="00386828">
        <w:rPr>
          <w:bCs/>
          <w:lang w:val="fr-FR"/>
        </w:rPr>
        <w:t>4,26 euros). À taux de change constants, le bénéfice ajusté par action pr</w:t>
      </w:r>
      <w:r w:rsidR="00C02E9D">
        <w:rPr>
          <w:bCs/>
          <w:lang w:val="fr-FR"/>
        </w:rPr>
        <w:t>éférentielle</w:t>
      </w:r>
      <w:r w:rsidRPr="00386828">
        <w:rPr>
          <w:bCs/>
          <w:lang w:val="fr-FR"/>
        </w:rPr>
        <w:t xml:space="preserve"> a augmenté de 1,5 million d'euros</w:t>
      </w:r>
      <w:r w:rsidR="00A10C1B" w:rsidRPr="00386828">
        <w:rPr>
          <w:bCs/>
          <w:lang w:val="fr-FR"/>
        </w:rPr>
        <w:t xml:space="preserve">, soit </w:t>
      </w:r>
      <w:r w:rsidRPr="00386828">
        <w:rPr>
          <w:bCs/>
          <w:lang w:val="fr-FR"/>
        </w:rPr>
        <w:t>9,2 %.</w:t>
      </w:r>
    </w:p>
    <w:p w14:paraId="3E680E7C" w14:textId="77777777" w:rsidR="00A10C1B" w:rsidRPr="00386828" w:rsidRDefault="00A10C1B" w:rsidP="00A10C1B">
      <w:pPr>
        <w:spacing w:line="276" w:lineRule="auto"/>
        <w:ind w:right="605"/>
        <w:jc w:val="both"/>
        <w:rPr>
          <w:b/>
          <w:lang w:val="fr-FR"/>
        </w:rPr>
      </w:pPr>
    </w:p>
    <w:p w14:paraId="305492EA" w14:textId="77777777" w:rsidR="00A10C1B" w:rsidRPr="00386828" w:rsidRDefault="00A10C1B" w:rsidP="00A10C1B">
      <w:pPr>
        <w:spacing w:line="276" w:lineRule="auto"/>
        <w:ind w:left="791" w:right="605"/>
        <w:jc w:val="both"/>
        <w:rPr>
          <w:bCs/>
          <w:lang w:val="fr-FR"/>
        </w:rPr>
      </w:pPr>
      <w:r w:rsidRPr="00386828">
        <w:rPr>
          <w:bCs/>
          <w:lang w:val="fr-FR"/>
        </w:rPr>
        <w:t xml:space="preserve">Le </w:t>
      </w:r>
      <w:r w:rsidRPr="00386828">
        <w:rPr>
          <w:b/>
          <w:lang w:val="fr-FR"/>
        </w:rPr>
        <w:t>fonds de roulement net</w:t>
      </w:r>
      <w:r w:rsidRPr="00386828">
        <w:rPr>
          <w:bCs/>
          <w:lang w:val="fr-FR"/>
        </w:rPr>
        <w:t xml:space="preserve"> a atteint 2,2 %, soit une augmentation de 1,5 point de pourcentage par rapport au chiffre exceptionnellement bas de 0,7 % enregistré l'année précédente. Ainsi, le fonds de roulement net revient à des niveaux plus normaux. Par rapport au niveau d'avant la crise de 2019, il s'est amélioré de 1,7 %.</w:t>
      </w:r>
    </w:p>
    <w:p w14:paraId="3794D54E" w14:textId="77777777" w:rsidR="00A10C1B" w:rsidRPr="00386828" w:rsidRDefault="00A10C1B" w:rsidP="00A10C1B">
      <w:pPr>
        <w:spacing w:line="276" w:lineRule="auto"/>
        <w:ind w:left="791" w:right="605"/>
        <w:jc w:val="both"/>
        <w:rPr>
          <w:bCs/>
          <w:lang w:val="fr-FR"/>
        </w:rPr>
      </w:pPr>
    </w:p>
    <w:p w14:paraId="63C7D0F3" w14:textId="77777777" w:rsidR="00A10C1B" w:rsidRPr="00386828" w:rsidRDefault="00A10C1B" w:rsidP="00A10C1B">
      <w:pPr>
        <w:spacing w:line="276" w:lineRule="auto"/>
        <w:ind w:left="791" w:right="605"/>
        <w:jc w:val="both"/>
        <w:rPr>
          <w:bCs/>
          <w:lang w:val="fr-FR"/>
        </w:rPr>
      </w:pPr>
      <w:r w:rsidRPr="00386828">
        <w:rPr>
          <w:bCs/>
          <w:lang w:val="fr-FR"/>
        </w:rPr>
        <w:t xml:space="preserve">Le </w:t>
      </w:r>
      <w:r w:rsidRPr="00386828">
        <w:rPr>
          <w:b/>
          <w:lang w:val="fr-FR"/>
        </w:rPr>
        <w:t>flux de trésorerie disponible</w:t>
      </w:r>
      <w:r w:rsidRPr="00386828">
        <w:rPr>
          <w:bCs/>
          <w:lang w:val="fr-FR"/>
        </w:rPr>
        <w:t xml:space="preserve"> s’est élevé à 1 478 millions d'euros, en baisse par rapport au chiffre de l'année précédente (2020 : 2 340 millions d'euros), qui avait bénéficié d'une baisse exceptionnellement forte du fonds de roulement net au sein du flux de trésorerie des activités opérationnelles.</w:t>
      </w:r>
    </w:p>
    <w:p w14:paraId="03A7DC4A" w14:textId="77777777" w:rsidR="00A10C1B" w:rsidRPr="00386828" w:rsidRDefault="00A10C1B" w:rsidP="00A10C1B">
      <w:pPr>
        <w:spacing w:line="276" w:lineRule="auto"/>
        <w:ind w:left="791" w:right="605"/>
        <w:jc w:val="both"/>
        <w:rPr>
          <w:bCs/>
          <w:lang w:val="fr-FR"/>
        </w:rPr>
      </w:pPr>
    </w:p>
    <w:p w14:paraId="59BAA679" w14:textId="77777777" w:rsidR="00A10C1B" w:rsidRPr="00386828" w:rsidRDefault="00A10C1B" w:rsidP="00A10C1B">
      <w:pPr>
        <w:spacing w:line="276" w:lineRule="auto"/>
        <w:ind w:left="791" w:right="605"/>
        <w:jc w:val="both"/>
        <w:rPr>
          <w:bCs/>
          <w:lang w:val="fr-FR"/>
        </w:rPr>
      </w:pPr>
      <w:r w:rsidRPr="00386828">
        <w:rPr>
          <w:bCs/>
          <w:lang w:val="fr-FR"/>
        </w:rPr>
        <w:t xml:space="preserve">La </w:t>
      </w:r>
      <w:r w:rsidRPr="00386828">
        <w:rPr>
          <w:b/>
          <w:lang w:val="fr-FR"/>
        </w:rPr>
        <w:t>position financière nette</w:t>
      </w:r>
      <w:r w:rsidRPr="00386828">
        <w:rPr>
          <w:bCs/>
          <w:lang w:val="fr-FR"/>
        </w:rPr>
        <w:t xml:space="preserve"> s'est considérablement améliorée, principalement en raison du bon flux de trésorerie disponible. Au 31 décembre 2021, la position financière nette s’est élevée à -292 millions d’euros (31 décembre 2020 : -888 millions d'euros).</w:t>
      </w:r>
    </w:p>
    <w:bookmarkEnd w:id="6"/>
    <w:p w14:paraId="68915482" w14:textId="77777777" w:rsidR="00A10C1B" w:rsidRPr="00386828" w:rsidRDefault="00A10C1B" w:rsidP="00A10C1B">
      <w:pPr>
        <w:spacing w:line="276" w:lineRule="auto"/>
        <w:ind w:left="791" w:right="605"/>
        <w:jc w:val="both"/>
        <w:rPr>
          <w:b/>
          <w:lang w:val="fr-FR"/>
        </w:rPr>
      </w:pPr>
    </w:p>
    <w:p w14:paraId="4998857D" w14:textId="0DBB0D9D" w:rsidR="00840489" w:rsidRPr="00386828" w:rsidRDefault="00A10C1B" w:rsidP="00D15B3F">
      <w:pPr>
        <w:spacing w:line="276" w:lineRule="auto"/>
        <w:ind w:left="720" w:right="605"/>
        <w:jc w:val="both"/>
        <w:rPr>
          <w:bCs/>
          <w:i/>
          <w:iCs/>
          <w:lang w:val="fr-FR"/>
        </w:rPr>
      </w:pPr>
      <w:bookmarkStart w:id="7" w:name="_Hlk96515703"/>
      <w:r w:rsidRPr="00386828">
        <w:rPr>
          <w:bCs/>
          <w:i/>
          <w:iCs/>
          <w:lang w:val="fr-FR"/>
        </w:rPr>
        <w:t xml:space="preserve">Performance des </w:t>
      </w:r>
      <w:r w:rsidR="00C02E9D">
        <w:rPr>
          <w:bCs/>
          <w:i/>
          <w:iCs/>
          <w:lang w:val="fr-FR"/>
        </w:rPr>
        <w:t>entité</w:t>
      </w:r>
      <w:r w:rsidRPr="00386828">
        <w:rPr>
          <w:bCs/>
          <w:i/>
          <w:iCs/>
          <w:lang w:val="fr-FR"/>
        </w:rPr>
        <w:t>s commerciales au cours de l'exercice 2021</w:t>
      </w:r>
    </w:p>
    <w:p w14:paraId="7332CB10" w14:textId="77777777" w:rsidR="00D15B3F" w:rsidRPr="00386828" w:rsidRDefault="00D15B3F" w:rsidP="00D15B3F">
      <w:pPr>
        <w:spacing w:line="276" w:lineRule="auto"/>
        <w:ind w:left="720" w:right="605"/>
        <w:jc w:val="both"/>
        <w:rPr>
          <w:bCs/>
          <w:i/>
          <w:iCs/>
          <w:lang w:val="fr-FR"/>
        </w:rPr>
      </w:pPr>
    </w:p>
    <w:p w14:paraId="57EC4069" w14:textId="66056A55" w:rsidR="00A10C1B" w:rsidRPr="00386828" w:rsidRDefault="00A10C1B" w:rsidP="00D15B3F">
      <w:pPr>
        <w:spacing w:line="276" w:lineRule="auto"/>
        <w:ind w:left="720" w:right="605"/>
        <w:jc w:val="both"/>
        <w:rPr>
          <w:bCs/>
          <w:lang w:val="fr-FR"/>
        </w:rPr>
      </w:pPr>
      <w:r w:rsidRPr="00386828">
        <w:rPr>
          <w:bCs/>
          <w:lang w:val="fr-FR"/>
        </w:rPr>
        <w:t>Le chiffre d’affaires d</w:t>
      </w:r>
      <w:r w:rsidR="00431B12" w:rsidRPr="00386828">
        <w:rPr>
          <w:bCs/>
          <w:lang w:val="fr-FR"/>
        </w:rPr>
        <w:t>e l’</w:t>
      </w:r>
      <w:r w:rsidRPr="00386828">
        <w:rPr>
          <w:bCs/>
          <w:lang w:val="fr-FR"/>
        </w:rPr>
        <w:t xml:space="preserve">activité </w:t>
      </w:r>
      <w:proofErr w:type="spellStart"/>
      <w:r w:rsidRPr="00386828">
        <w:rPr>
          <w:b/>
          <w:lang w:val="fr-FR"/>
        </w:rPr>
        <w:t>Adhesive</w:t>
      </w:r>
      <w:proofErr w:type="spellEnd"/>
      <w:r w:rsidRPr="00386828">
        <w:rPr>
          <w:b/>
          <w:lang w:val="fr-FR"/>
        </w:rPr>
        <w:t xml:space="preserve"> Technologies</w:t>
      </w:r>
      <w:r w:rsidRPr="00386828">
        <w:rPr>
          <w:bCs/>
          <w:lang w:val="fr-FR"/>
        </w:rPr>
        <w:t xml:space="preserve"> a augmenté de 11,0 % en termes nominaux au cours de l’exercice 2021, pour atteindre 9 641 millions d'euros. </w:t>
      </w:r>
      <w:r w:rsidRPr="00386828">
        <w:rPr>
          <w:b/>
          <w:lang w:val="fr-FR"/>
        </w:rPr>
        <w:t>Sur le plan organique</w:t>
      </w:r>
      <w:r w:rsidRPr="00386828">
        <w:rPr>
          <w:bCs/>
          <w:lang w:val="fr-FR"/>
        </w:rPr>
        <w:t xml:space="preserve">, le chiffre d’affaires a augmenté de 13,4 %. Cette croissance est due à la fois à des volumes nettement plus élevés et à une augmentation constante des prix au cours de l'année. La croissance au cours des six premiers mois de l’année a été caractérisée par une reprise généralisée de la demande industrielle en volume par rapport à la même période de l'année précédente, qui avait été fortement touchée par la pandémie de COVID-19. La croissance organique du chiffre d’affaires au cours du second semestre a été stimulée à la fois par la poursuite de la forte progression des volumes et, de plus en plus, par des augmentations de prix. À 1 561 millions d’euros, le </w:t>
      </w:r>
      <w:r w:rsidRPr="00386828">
        <w:rPr>
          <w:b/>
          <w:lang w:val="fr-FR"/>
        </w:rPr>
        <w:t>résultat d’exploitation ajusté</w:t>
      </w:r>
      <w:r w:rsidRPr="00386828">
        <w:rPr>
          <w:bCs/>
          <w:lang w:val="fr-FR"/>
        </w:rPr>
        <w:t xml:space="preserve"> est nettement supérieur au niveau enregistré l’année précédente (1 320 millions d'euros). Le </w:t>
      </w:r>
      <w:r w:rsidRPr="00386828">
        <w:rPr>
          <w:b/>
          <w:lang w:val="fr-FR"/>
        </w:rPr>
        <w:t>rendement ajusté des ventes</w:t>
      </w:r>
      <w:r w:rsidRPr="00386828">
        <w:rPr>
          <w:bCs/>
          <w:lang w:val="fr-FR"/>
        </w:rPr>
        <w:t xml:space="preserve"> a augmenté de 100 points de base et a atteint 16,2 %, sous l’effet positif, notamment, de la croissance à deux chiffres du chiffre d’affaires.</w:t>
      </w:r>
    </w:p>
    <w:p w14:paraId="1D6FD995" w14:textId="77777777" w:rsidR="00A10C1B" w:rsidRPr="00386828" w:rsidRDefault="00A10C1B" w:rsidP="00A10C1B">
      <w:pPr>
        <w:spacing w:line="276" w:lineRule="auto"/>
        <w:ind w:left="791" w:right="605"/>
        <w:jc w:val="both"/>
        <w:rPr>
          <w:b/>
          <w:lang w:val="fr-FR"/>
        </w:rPr>
      </w:pPr>
    </w:p>
    <w:p w14:paraId="66FAF002" w14:textId="6E510CB9" w:rsidR="00A10C1B" w:rsidRPr="00386828" w:rsidRDefault="007132C5" w:rsidP="00A10C1B">
      <w:pPr>
        <w:spacing w:line="276" w:lineRule="auto"/>
        <w:ind w:left="791" w:right="605"/>
        <w:jc w:val="both"/>
        <w:rPr>
          <w:bCs/>
          <w:lang w:val="fr-FR"/>
        </w:rPr>
      </w:pPr>
      <w:r w:rsidRPr="00386828">
        <w:rPr>
          <w:bCs/>
          <w:lang w:val="fr-FR"/>
        </w:rPr>
        <w:t xml:space="preserve">Concernant l’activité </w:t>
      </w:r>
      <w:r w:rsidRPr="00386828">
        <w:rPr>
          <w:b/>
          <w:lang w:val="fr-FR"/>
        </w:rPr>
        <w:t>Beauty Care</w:t>
      </w:r>
      <w:r w:rsidR="00A10C1B" w:rsidRPr="00386828">
        <w:rPr>
          <w:bCs/>
          <w:lang w:val="fr-FR"/>
        </w:rPr>
        <w:t xml:space="preserve">, le chiffre d’affaires a connu une baisse nominale de -2,0 % au cours de l’exercice 2021 pour atteindre 3 678 millions d'euros. </w:t>
      </w:r>
      <w:r w:rsidR="00A10C1B" w:rsidRPr="00386828">
        <w:rPr>
          <w:b/>
          <w:lang w:val="fr-FR"/>
        </w:rPr>
        <w:t>Sur le plan organique</w:t>
      </w:r>
      <w:r w:rsidR="00A10C1B" w:rsidRPr="00386828">
        <w:rPr>
          <w:bCs/>
          <w:lang w:val="fr-FR"/>
        </w:rPr>
        <w:t xml:space="preserve">, le chiffre d’affaires a augmenté de 1,4 %. Cela est dû à différents développements. Alors que la reprise significative de l'activité des salons de coiffure a eu un effet positif, l'activité grand public a été affectée par une normalisation de la demande dans la catégorie des soins corporels et a enregistré une évolution négative. Le </w:t>
      </w:r>
      <w:r w:rsidR="00A10C1B" w:rsidRPr="00386828">
        <w:rPr>
          <w:b/>
          <w:lang w:val="fr-FR"/>
        </w:rPr>
        <w:t>résultat d’exploitation</w:t>
      </w:r>
      <w:r w:rsidR="00A10C1B" w:rsidRPr="00386828">
        <w:rPr>
          <w:bCs/>
          <w:lang w:val="fr-FR"/>
        </w:rPr>
        <w:t xml:space="preserve"> ajusté a atteint 351 millions d'euros (année précédente : 377 millions d'euros). Le </w:t>
      </w:r>
      <w:r w:rsidR="00A10C1B" w:rsidRPr="00386828">
        <w:rPr>
          <w:b/>
          <w:lang w:val="fr-FR"/>
        </w:rPr>
        <w:t>rendement ajusté des ventes</w:t>
      </w:r>
      <w:r w:rsidR="00A10C1B" w:rsidRPr="00386828">
        <w:rPr>
          <w:bCs/>
          <w:lang w:val="fr-FR"/>
        </w:rPr>
        <w:t xml:space="preserve"> a baissé à</w:t>
      </w:r>
    </w:p>
    <w:p w14:paraId="43D6767C" w14:textId="77777777" w:rsidR="00A10C1B" w:rsidRPr="00386828" w:rsidRDefault="00A10C1B" w:rsidP="00A10C1B">
      <w:pPr>
        <w:spacing w:line="276" w:lineRule="auto"/>
        <w:ind w:left="791" w:right="605"/>
        <w:jc w:val="both"/>
        <w:rPr>
          <w:bCs/>
          <w:lang w:val="fr-FR"/>
        </w:rPr>
      </w:pPr>
      <w:r w:rsidRPr="00386828">
        <w:rPr>
          <w:bCs/>
          <w:lang w:val="fr-FR"/>
        </w:rPr>
        <w:t>9,5 % (année précédente : 10,0 %). Cela est dû, entre autres, à l'augmentation des investissements en marketing et en publicité, ainsi qu'à la hausse significative des prix des matières premières.</w:t>
      </w:r>
    </w:p>
    <w:bookmarkEnd w:id="7"/>
    <w:p w14:paraId="158C5342" w14:textId="77777777" w:rsidR="00A10C1B" w:rsidRPr="00386828" w:rsidRDefault="00A10C1B" w:rsidP="00A10C1B">
      <w:pPr>
        <w:spacing w:line="276" w:lineRule="auto"/>
        <w:ind w:left="791" w:right="605"/>
        <w:jc w:val="both"/>
        <w:rPr>
          <w:b/>
          <w:lang w:val="fr-FR"/>
        </w:rPr>
      </w:pPr>
    </w:p>
    <w:p w14:paraId="62F66919" w14:textId="77777777" w:rsidR="00B42EB5" w:rsidRPr="00386828" w:rsidRDefault="00A10C1B" w:rsidP="00D15B3F">
      <w:pPr>
        <w:spacing w:line="276" w:lineRule="auto"/>
        <w:ind w:left="791" w:right="605"/>
        <w:jc w:val="both"/>
        <w:rPr>
          <w:bCs/>
          <w:lang w:val="fr-FR"/>
        </w:rPr>
        <w:sectPr w:rsidR="00B42EB5" w:rsidRPr="00386828">
          <w:footerReference w:type="default" r:id="rId9"/>
          <w:pgSz w:w="11910" w:h="16840"/>
          <w:pgMar w:top="1480" w:right="800" w:bottom="1100" w:left="620" w:header="0" w:footer="909" w:gutter="0"/>
          <w:cols w:space="720"/>
        </w:sectPr>
      </w:pPr>
      <w:bookmarkStart w:id="8" w:name="_Hlk96515732"/>
      <w:r w:rsidRPr="00386828">
        <w:rPr>
          <w:bCs/>
          <w:lang w:val="fr-FR"/>
        </w:rPr>
        <w:t>Le chiffre d’affaires de l’</w:t>
      </w:r>
      <w:r w:rsidR="007132C5" w:rsidRPr="00386828">
        <w:rPr>
          <w:bCs/>
          <w:lang w:val="fr-FR"/>
        </w:rPr>
        <w:t xml:space="preserve">activité </w:t>
      </w:r>
      <w:r w:rsidR="007132C5" w:rsidRPr="00386828">
        <w:rPr>
          <w:b/>
          <w:lang w:val="fr-FR"/>
        </w:rPr>
        <w:t>Laundry &amp; Home Care</w:t>
      </w:r>
      <w:r w:rsidR="007132C5" w:rsidRPr="00386828">
        <w:rPr>
          <w:bCs/>
          <w:lang w:val="fr-FR"/>
        </w:rPr>
        <w:t xml:space="preserve"> </w:t>
      </w:r>
      <w:r w:rsidRPr="00386828">
        <w:rPr>
          <w:bCs/>
          <w:lang w:val="fr-FR"/>
        </w:rPr>
        <w:t xml:space="preserve">a diminué de -1,5 % en termes nominaux pour atteindre 6 605 millions d'euros au cours de l'exercice 2021. </w:t>
      </w:r>
      <w:r w:rsidRPr="00386828">
        <w:rPr>
          <w:b/>
          <w:lang w:val="fr-FR"/>
        </w:rPr>
        <w:t>Sur le plan organique</w:t>
      </w:r>
      <w:r w:rsidRPr="00386828">
        <w:rPr>
          <w:bCs/>
          <w:lang w:val="fr-FR"/>
        </w:rPr>
        <w:t xml:space="preserve">, le chiffre d’affaires a augmenté de 3,9 %. À 904 millions d’euros, le </w:t>
      </w:r>
      <w:r w:rsidRPr="00386828">
        <w:rPr>
          <w:b/>
          <w:lang w:val="fr-FR"/>
        </w:rPr>
        <w:t>résultat d’exploitation ajusté des ventes</w:t>
      </w:r>
      <w:r w:rsidRPr="00386828">
        <w:rPr>
          <w:bCs/>
          <w:lang w:val="fr-FR"/>
        </w:rPr>
        <w:t xml:space="preserve"> est inférieur au niveau de l'année précédente (1 004 millions d'euros). Le rendement ajusté des ventes a diminué de 130 points de base pour atteindre 13,7 %, principalement en raison de l'impact de la hausse significative des prix des matières premières et de la logistique</w:t>
      </w:r>
      <w:bookmarkEnd w:id="8"/>
      <w:r w:rsidR="00431B12" w:rsidRPr="00386828">
        <w:rPr>
          <w:bCs/>
          <w:lang w:val="fr-FR"/>
        </w:rPr>
        <w:t>.</w:t>
      </w:r>
      <w:bookmarkEnd w:id="2"/>
    </w:p>
    <w:p w14:paraId="242292DB" w14:textId="376310AB" w:rsidR="007132C5" w:rsidRPr="00386828" w:rsidRDefault="00D15B3F" w:rsidP="00431B12">
      <w:pPr>
        <w:spacing w:before="80"/>
        <w:jc w:val="both"/>
        <w:rPr>
          <w:b/>
          <w:lang w:val="fr-FR"/>
        </w:rPr>
      </w:pPr>
      <w:bookmarkStart w:id="9" w:name="_Hlk96515782"/>
      <w:bookmarkStart w:id="10" w:name="_Hlk96515177"/>
      <w:r w:rsidRPr="00386828">
        <w:rPr>
          <w:b/>
          <w:lang w:val="fr-FR"/>
        </w:rPr>
        <w:lastRenderedPageBreak/>
        <w:t xml:space="preserve">             </w:t>
      </w:r>
      <w:r w:rsidR="007132C5" w:rsidRPr="00386828">
        <w:rPr>
          <w:b/>
          <w:lang w:val="fr-FR"/>
        </w:rPr>
        <w:t>Perspectives 2022</w:t>
      </w:r>
    </w:p>
    <w:p w14:paraId="14C49E93" w14:textId="5BDD2DC7" w:rsidR="007132C5" w:rsidRPr="00386828" w:rsidRDefault="007132C5" w:rsidP="00103238">
      <w:pPr>
        <w:pStyle w:val="Corpsdetexte"/>
        <w:spacing w:before="163" w:line="276" w:lineRule="auto"/>
        <w:ind w:left="791" w:right="601"/>
        <w:jc w:val="both"/>
        <w:rPr>
          <w:lang w:val="fr-FR"/>
        </w:rPr>
      </w:pPr>
      <w:r w:rsidRPr="00386828">
        <w:rPr>
          <w:lang w:val="fr-FR"/>
        </w:rPr>
        <w:t>Les perspectives pour l'exercice 2022, qui ont déjà été publiées fin janvier, restent inchangées. Compte tenu de l’incertitude et de la volatilité élevées du marché et de l’impact de nouvelles augmentations substantielles des coûts des matières premières et de la</w:t>
      </w:r>
      <w:r w:rsidR="00291D64" w:rsidRPr="00386828">
        <w:rPr>
          <w:lang w:val="fr-FR"/>
        </w:rPr>
        <w:t xml:space="preserve"> chaîne</w:t>
      </w:r>
      <w:r w:rsidRPr="00386828">
        <w:rPr>
          <w:lang w:val="fr-FR"/>
        </w:rPr>
        <w:t xml:space="preserve"> logistique </w:t>
      </w:r>
      <w:r w:rsidR="00291D64" w:rsidRPr="00386828">
        <w:rPr>
          <w:lang w:val="fr-FR"/>
        </w:rPr>
        <w:t xml:space="preserve">l’entreprise </w:t>
      </w:r>
      <w:r w:rsidRPr="00386828">
        <w:rPr>
          <w:lang w:val="fr-FR"/>
        </w:rPr>
        <w:t>prévoit une croissance organique du chiffre d’affaires de l’ordre de 2 à 4 %, et un rendement ajusté des ventes (marge EBIT) compris entre</w:t>
      </w:r>
      <w:r w:rsidR="00103238" w:rsidRPr="00386828">
        <w:rPr>
          <w:lang w:val="fr-FR"/>
        </w:rPr>
        <w:t xml:space="preserve"> </w:t>
      </w:r>
      <w:r w:rsidRPr="00386828">
        <w:rPr>
          <w:lang w:val="fr-FR"/>
        </w:rPr>
        <w:t>11,5 et 13,5 %. Au niveau du Groupe, Henkel prévoit pour le bénéfice ajusté par action privilégiée (EPS) une évolution comprise entre -15 et +5 % (à taux de change constant) pour l'exercice 2022.</w:t>
      </w:r>
    </w:p>
    <w:p w14:paraId="68BB1E47" w14:textId="77777777" w:rsidR="00B42EB5" w:rsidRPr="00386828" w:rsidRDefault="00B42EB5">
      <w:pPr>
        <w:pStyle w:val="Corpsdetexte"/>
        <w:spacing w:before="3"/>
        <w:rPr>
          <w:sz w:val="31"/>
          <w:lang w:val="fr-FR"/>
        </w:rPr>
      </w:pPr>
    </w:p>
    <w:p w14:paraId="48E9FC94" w14:textId="6BD586FD" w:rsidR="007132C5" w:rsidRPr="00386828" w:rsidRDefault="00C02E9D" w:rsidP="00C02E9D">
      <w:pPr>
        <w:ind w:left="791"/>
        <w:jc w:val="both"/>
        <w:rPr>
          <w:b/>
          <w:lang w:val="fr-FR"/>
        </w:rPr>
      </w:pPr>
      <w:r>
        <w:rPr>
          <w:b/>
          <w:lang w:val="fr-FR"/>
        </w:rPr>
        <w:t>B</w:t>
      </w:r>
      <w:r w:rsidR="007132C5" w:rsidRPr="00386828">
        <w:rPr>
          <w:b/>
          <w:lang w:val="fr-FR"/>
        </w:rPr>
        <w:t>ons progrès d</w:t>
      </w:r>
      <w:r>
        <w:rPr>
          <w:b/>
          <w:lang w:val="fr-FR"/>
        </w:rPr>
        <w:t>e</w:t>
      </w:r>
      <w:r w:rsidR="007132C5" w:rsidRPr="00386828">
        <w:rPr>
          <w:b/>
          <w:lang w:val="fr-FR"/>
        </w:rPr>
        <w:t xml:space="preserve"> la mise en œuvre de son plan stratégique pour une croissance ciblée</w:t>
      </w:r>
    </w:p>
    <w:p w14:paraId="538B8DAF" w14:textId="4CA57EE7" w:rsidR="007132C5" w:rsidRPr="00386828" w:rsidRDefault="007132C5" w:rsidP="007132C5">
      <w:pPr>
        <w:pStyle w:val="Corpsdetexte"/>
        <w:spacing w:before="125" w:line="276" w:lineRule="auto"/>
        <w:ind w:left="791" w:right="605"/>
        <w:jc w:val="both"/>
        <w:rPr>
          <w:lang w:val="fr-FR"/>
        </w:rPr>
      </w:pPr>
      <w:r w:rsidRPr="00386828">
        <w:rPr>
          <w:lang w:val="fr-FR"/>
        </w:rPr>
        <w:t xml:space="preserve">Il y a deux ans, début mars 2020, Henkel a présenté son plan de croissance pour les années à venir et a développé un cadre stratégique clair pour le réaliser. Les éléments clés du cadre stratégique sont un portefeuille performant, un avantage concurrentiel clair dans les domaines de l'innovation, </w:t>
      </w:r>
      <w:r w:rsidR="00291D64" w:rsidRPr="00386828">
        <w:rPr>
          <w:lang w:val="fr-FR"/>
        </w:rPr>
        <w:t>du développement durable et du digital</w:t>
      </w:r>
      <w:r w:rsidRPr="00386828">
        <w:rPr>
          <w:lang w:val="fr-FR"/>
        </w:rPr>
        <w:t>, ainsi que des modèles opérationnels prêts pour l'avenir - basés sur une culture d'entreprise forte.</w:t>
      </w:r>
    </w:p>
    <w:bookmarkEnd w:id="9"/>
    <w:p w14:paraId="261FDB44" w14:textId="77777777" w:rsidR="00B42EB5" w:rsidRPr="00386828" w:rsidRDefault="00B42EB5">
      <w:pPr>
        <w:pStyle w:val="Corpsdetexte"/>
        <w:spacing w:before="4"/>
        <w:rPr>
          <w:sz w:val="37"/>
          <w:lang w:val="fr-FR"/>
        </w:rPr>
      </w:pPr>
    </w:p>
    <w:p w14:paraId="1723D93E" w14:textId="0458256A" w:rsidR="007132C5" w:rsidRPr="00386828" w:rsidRDefault="007132C5" w:rsidP="007132C5">
      <w:pPr>
        <w:ind w:left="791"/>
        <w:jc w:val="both"/>
        <w:rPr>
          <w:i/>
          <w:lang w:val="fr-FR"/>
        </w:rPr>
      </w:pPr>
      <w:bookmarkStart w:id="11" w:name="_Hlk96515822"/>
      <w:r w:rsidRPr="00386828">
        <w:rPr>
          <w:i/>
          <w:lang w:val="fr-FR"/>
        </w:rPr>
        <w:t xml:space="preserve">Gestion de portefeuille </w:t>
      </w:r>
      <w:r w:rsidR="000C3192">
        <w:rPr>
          <w:i/>
          <w:lang w:val="fr-FR"/>
        </w:rPr>
        <w:t>réalisée</w:t>
      </w:r>
      <w:r w:rsidRPr="00386828">
        <w:rPr>
          <w:i/>
          <w:lang w:val="fr-FR"/>
        </w:rPr>
        <w:t xml:space="preserve"> comme prévu</w:t>
      </w:r>
    </w:p>
    <w:p w14:paraId="57832368" w14:textId="7CCB1016" w:rsidR="007132C5" w:rsidRPr="00386828" w:rsidRDefault="007132C5" w:rsidP="007132C5">
      <w:pPr>
        <w:pStyle w:val="Corpsdetexte"/>
        <w:spacing w:before="164" w:line="276" w:lineRule="auto"/>
        <w:ind w:left="791" w:right="604"/>
        <w:jc w:val="both"/>
        <w:rPr>
          <w:lang w:val="fr-FR"/>
        </w:rPr>
      </w:pPr>
      <w:r w:rsidRPr="00386828">
        <w:rPr>
          <w:lang w:val="fr-FR"/>
        </w:rPr>
        <w:t xml:space="preserve">Dans le cadre de la </w:t>
      </w:r>
      <w:r w:rsidRPr="00386828">
        <w:rPr>
          <w:b/>
          <w:lang w:val="fr-FR"/>
        </w:rPr>
        <w:t>gestion active du portefeuille</w:t>
      </w:r>
      <w:r w:rsidRPr="00386828">
        <w:rPr>
          <w:lang w:val="fr-FR"/>
        </w:rPr>
        <w:t xml:space="preserve">, Henkel s’était fixé comme objectif, début 2020, de céder ou </w:t>
      </w:r>
      <w:r w:rsidR="00B03077" w:rsidRPr="00386828">
        <w:rPr>
          <w:lang w:val="fr-FR"/>
        </w:rPr>
        <w:t xml:space="preserve">de stopper </w:t>
      </w:r>
      <w:r w:rsidRPr="00386828">
        <w:rPr>
          <w:lang w:val="fr-FR"/>
        </w:rPr>
        <w:t xml:space="preserve">des marques et des activités dont le volume de ventes avoisine 0,5 milliard d'euros d'ici fin 2021. Comme prévu, Henkel a signé des accords de cession, réalisé des cessions ou </w:t>
      </w:r>
      <w:r w:rsidR="00386828" w:rsidRPr="00386828">
        <w:rPr>
          <w:lang w:val="fr-FR"/>
        </w:rPr>
        <w:t>a</w:t>
      </w:r>
      <w:r w:rsidR="00B03077" w:rsidRPr="00386828">
        <w:rPr>
          <w:lang w:val="fr-FR"/>
        </w:rPr>
        <w:t>rr</w:t>
      </w:r>
      <w:r w:rsidR="00386828" w:rsidRPr="00386828">
        <w:rPr>
          <w:lang w:val="fr-FR"/>
        </w:rPr>
        <w:t>ê</w:t>
      </w:r>
      <w:r w:rsidR="00B03077" w:rsidRPr="00386828">
        <w:rPr>
          <w:lang w:val="fr-FR"/>
        </w:rPr>
        <w:t xml:space="preserve">té </w:t>
      </w:r>
      <w:r w:rsidRPr="00386828">
        <w:rPr>
          <w:lang w:val="fr-FR"/>
        </w:rPr>
        <w:t xml:space="preserve">des activités </w:t>
      </w:r>
      <w:r w:rsidR="00B03077" w:rsidRPr="00386828">
        <w:rPr>
          <w:lang w:val="fr-FR"/>
        </w:rPr>
        <w:t xml:space="preserve">depuis </w:t>
      </w:r>
      <w:r w:rsidRPr="00386828">
        <w:rPr>
          <w:lang w:val="fr-FR"/>
        </w:rPr>
        <w:t xml:space="preserve">fin 2021, pour un volume de ventes annuel total d'environ 0,5 milliard d'euros. La majorité de ces mesures de portefeuille concernent les branches Beauty Care et Laundry &amp; Home care, comme la cession des marques Right Guard et Dry </w:t>
      </w:r>
      <w:proofErr w:type="spellStart"/>
      <w:r w:rsidRPr="00386828">
        <w:rPr>
          <w:lang w:val="fr-FR"/>
        </w:rPr>
        <w:t>Idea</w:t>
      </w:r>
      <w:proofErr w:type="spellEnd"/>
      <w:r w:rsidRPr="00386828">
        <w:rPr>
          <w:lang w:val="fr-FR"/>
        </w:rPr>
        <w:t>.</w:t>
      </w:r>
    </w:p>
    <w:p w14:paraId="32491F54" w14:textId="77777777" w:rsidR="00B42EB5" w:rsidRPr="00386828" w:rsidRDefault="00B42EB5">
      <w:pPr>
        <w:pStyle w:val="Corpsdetexte"/>
        <w:spacing w:before="5"/>
        <w:rPr>
          <w:sz w:val="37"/>
          <w:lang w:val="fr-FR"/>
        </w:rPr>
      </w:pPr>
    </w:p>
    <w:p w14:paraId="011FDB8E" w14:textId="0E8ED538" w:rsidR="007132C5" w:rsidRPr="00386828" w:rsidRDefault="007132C5" w:rsidP="007132C5">
      <w:pPr>
        <w:pStyle w:val="Corpsdetexte"/>
        <w:spacing w:line="276" w:lineRule="auto"/>
        <w:ind w:left="791" w:right="604"/>
        <w:jc w:val="both"/>
        <w:rPr>
          <w:lang w:val="fr-FR"/>
        </w:rPr>
      </w:pPr>
      <w:r w:rsidRPr="00386828">
        <w:rPr>
          <w:lang w:val="fr-FR"/>
        </w:rPr>
        <w:t xml:space="preserve">En outre, Henkel a également renforcé stratégiquement son portefeuille en 2021 avec une </w:t>
      </w:r>
      <w:r w:rsidRPr="00386828">
        <w:rPr>
          <w:b/>
          <w:lang w:val="fr-FR"/>
        </w:rPr>
        <w:t>acquisition</w:t>
      </w:r>
      <w:r w:rsidRPr="00386828">
        <w:rPr>
          <w:lang w:val="fr-FR"/>
        </w:rPr>
        <w:t xml:space="preserve"> prometteuse et à forte croissance. </w:t>
      </w:r>
      <w:r w:rsidR="000C3192">
        <w:rPr>
          <w:lang w:val="fr-FR"/>
        </w:rPr>
        <w:t xml:space="preserve">Dans la branche </w:t>
      </w:r>
      <w:r w:rsidRPr="00386828">
        <w:rPr>
          <w:lang w:val="fr-FR"/>
        </w:rPr>
        <w:t xml:space="preserve">Laundry &amp; Home Care, Henkel a encore renforcé sa position sur le marché français avec l'acquisition de Swania. Le portefeuille est représenté dans des segments de marché très attractifs et rentables et complète le portefeuille de Henkel avec des marques </w:t>
      </w:r>
      <w:r w:rsidR="000C3192">
        <w:rPr>
          <w:lang w:val="fr-FR"/>
        </w:rPr>
        <w:t xml:space="preserve">établies </w:t>
      </w:r>
      <w:r w:rsidRPr="00386828">
        <w:rPr>
          <w:lang w:val="fr-FR"/>
        </w:rPr>
        <w:t>et innovantes telles que Maison Verte et YOU.</w:t>
      </w:r>
    </w:p>
    <w:bookmarkEnd w:id="11"/>
    <w:p w14:paraId="4FA3D9FE" w14:textId="77777777" w:rsidR="00B42EB5" w:rsidRPr="00386828" w:rsidRDefault="00B42EB5">
      <w:pPr>
        <w:pStyle w:val="Corpsdetexte"/>
        <w:spacing w:before="3"/>
        <w:rPr>
          <w:sz w:val="25"/>
          <w:lang w:val="fr-FR"/>
        </w:rPr>
      </w:pPr>
    </w:p>
    <w:p w14:paraId="71DE84ED" w14:textId="6905F765" w:rsidR="00B42EB5" w:rsidRPr="00386828" w:rsidRDefault="007132C5" w:rsidP="000C3192">
      <w:pPr>
        <w:pStyle w:val="Corpsdetexte"/>
        <w:spacing w:line="276" w:lineRule="auto"/>
        <w:ind w:left="791" w:right="606"/>
        <w:jc w:val="both"/>
        <w:rPr>
          <w:lang w:val="fr-FR"/>
        </w:rPr>
        <w:sectPr w:rsidR="00B42EB5" w:rsidRPr="00386828">
          <w:pgSz w:w="11910" w:h="16840"/>
          <w:pgMar w:top="1480" w:right="800" w:bottom="1100" w:left="620" w:header="0" w:footer="909" w:gutter="0"/>
          <w:cols w:space="720"/>
        </w:sectPr>
      </w:pPr>
      <w:bookmarkStart w:id="12" w:name="_Hlk96515849"/>
      <w:r w:rsidRPr="00386828">
        <w:rPr>
          <w:lang w:val="fr-FR"/>
        </w:rPr>
        <w:t xml:space="preserve">Début février 2022, Henkel a encore renforcé son portefeuille de produits professionnels avec l'acquisition de l'activité </w:t>
      </w:r>
      <w:proofErr w:type="spellStart"/>
      <w:r w:rsidRPr="00386828">
        <w:rPr>
          <w:lang w:val="fr-FR"/>
        </w:rPr>
        <w:t>Hair</w:t>
      </w:r>
      <w:proofErr w:type="spellEnd"/>
      <w:r w:rsidRPr="00386828">
        <w:rPr>
          <w:lang w:val="fr-FR"/>
        </w:rPr>
        <w:t xml:space="preserve"> Professional </w:t>
      </w:r>
      <w:r w:rsidRPr="00386828">
        <w:rPr>
          <w:b/>
          <w:lang w:val="fr-FR"/>
        </w:rPr>
        <w:t xml:space="preserve">de Shiseido </w:t>
      </w:r>
      <w:r w:rsidRPr="00386828">
        <w:rPr>
          <w:lang w:val="fr-FR"/>
        </w:rPr>
        <w:t>en Asie-Pacifique. La transaction porte sur des produits professionnels haut de gamme dont le chiffre d’affaires est supérieur à 100 millions d'euros pour l'exercice 2021. En développant ses activités professionnelles en Asie-Pacifique, Henkel deviendra l'un des principaux acteurs dans cette région très dynamique au potentiel de croissance futur</w:t>
      </w:r>
      <w:r w:rsidR="00386828" w:rsidRPr="00386828">
        <w:rPr>
          <w:lang w:val="fr-FR"/>
        </w:rPr>
        <w:t>e</w:t>
      </w:r>
      <w:r w:rsidR="008F2184" w:rsidRPr="00386828">
        <w:rPr>
          <w:lang w:val="fr-FR"/>
        </w:rPr>
        <w:t xml:space="preserve"> </w:t>
      </w:r>
      <w:r w:rsidR="000C3192">
        <w:rPr>
          <w:lang w:val="fr-FR"/>
        </w:rPr>
        <w:t>attractif.</w:t>
      </w:r>
    </w:p>
    <w:p w14:paraId="5B20AC38" w14:textId="6E80A1A0" w:rsidR="00B42EB5" w:rsidRPr="00386828" w:rsidRDefault="007132C5" w:rsidP="003871D0">
      <w:pPr>
        <w:spacing w:before="80" w:line="276" w:lineRule="auto"/>
        <w:ind w:left="791" w:right="606"/>
        <w:jc w:val="both"/>
        <w:rPr>
          <w:lang w:val="fr-FR"/>
        </w:rPr>
      </w:pPr>
      <w:r w:rsidRPr="00386828">
        <w:rPr>
          <w:lang w:val="fr-FR"/>
        </w:rPr>
        <w:lastRenderedPageBreak/>
        <w:t xml:space="preserve">Pour renforcer son </w:t>
      </w:r>
      <w:r w:rsidRPr="00386828">
        <w:rPr>
          <w:b/>
          <w:lang w:val="fr-FR"/>
        </w:rPr>
        <w:t>avantage concurrentiel</w:t>
      </w:r>
      <w:r w:rsidRPr="00386828">
        <w:rPr>
          <w:lang w:val="fr-FR"/>
        </w:rPr>
        <w:t xml:space="preserve">, Henkel s'est concentré sur </w:t>
      </w:r>
      <w:r w:rsidR="008F2184" w:rsidRPr="00386828">
        <w:rPr>
          <w:lang w:val="fr-FR"/>
        </w:rPr>
        <w:t>l’</w:t>
      </w:r>
      <w:r w:rsidRPr="00386828">
        <w:rPr>
          <w:lang w:val="fr-FR"/>
        </w:rPr>
        <w:t xml:space="preserve">accélération </w:t>
      </w:r>
      <w:r w:rsidR="008F2184" w:rsidRPr="00386828">
        <w:rPr>
          <w:lang w:val="fr-FR"/>
        </w:rPr>
        <w:t>de ses</w:t>
      </w:r>
      <w:r w:rsidRPr="00386828">
        <w:rPr>
          <w:lang w:val="fr-FR"/>
        </w:rPr>
        <w:t xml:space="preserve"> </w:t>
      </w:r>
      <w:r w:rsidRPr="00386828">
        <w:rPr>
          <w:b/>
          <w:lang w:val="fr-FR"/>
        </w:rPr>
        <w:t>innovations</w:t>
      </w:r>
      <w:r w:rsidR="008F2184" w:rsidRPr="00386828">
        <w:rPr>
          <w:b/>
          <w:lang w:val="fr-FR"/>
        </w:rPr>
        <w:t xml:space="preserve"> en accélérant le développement </w:t>
      </w:r>
      <w:r w:rsidR="00245BF1" w:rsidRPr="00386828">
        <w:rPr>
          <w:b/>
          <w:lang w:val="fr-FR"/>
        </w:rPr>
        <w:t>durable en</w:t>
      </w:r>
      <w:r w:rsidRPr="00386828">
        <w:rPr>
          <w:lang w:val="fr-FR"/>
        </w:rPr>
        <w:t xml:space="preserve"> tant que facteur de différenciation et sur l'augmentation de la création de valeur pour le client et les consommateurs grâce à la </w:t>
      </w:r>
      <w:r w:rsidR="009B113A" w:rsidRPr="00386828">
        <w:rPr>
          <w:b/>
          <w:lang w:val="fr-FR"/>
        </w:rPr>
        <w:t>digitalisati</w:t>
      </w:r>
      <w:r w:rsidRPr="00386828">
        <w:rPr>
          <w:b/>
          <w:lang w:val="fr-FR"/>
        </w:rPr>
        <w:t>on</w:t>
      </w:r>
      <w:r w:rsidR="00721A9E" w:rsidRPr="00386828">
        <w:rPr>
          <w:lang w:val="fr-FR"/>
        </w:rPr>
        <w:t>.</w:t>
      </w:r>
    </w:p>
    <w:bookmarkEnd w:id="12"/>
    <w:p w14:paraId="1DFCC752" w14:textId="77777777" w:rsidR="003871D0" w:rsidRPr="00386828" w:rsidRDefault="003871D0" w:rsidP="003871D0">
      <w:pPr>
        <w:spacing w:before="80" w:line="276" w:lineRule="auto"/>
        <w:ind w:left="791" w:right="606"/>
        <w:jc w:val="both"/>
        <w:rPr>
          <w:lang w:val="fr-FR"/>
        </w:rPr>
      </w:pPr>
    </w:p>
    <w:p w14:paraId="19C89414" w14:textId="3EE57000" w:rsidR="00D15B3F" w:rsidRPr="00386828" w:rsidRDefault="007132C5" w:rsidP="00D15B3F">
      <w:pPr>
        <w:spacing w:before="1"/>
        <w:ind w:left="791"/>
        <w:jc w:val="both"/>
        <w:rPr>
          <w:i/>
          <w:lang w:val="fr-FR"/>
        </w:rPr>
      </w:pPr>
      <w:r w:rsidRPr="00386828">
        <w:rPr>
          <w:i/>
          <w:lang w:val="fr-FR"/>
        </w:rPr>
        <w:t>Des innovations lancées avec succès</w:t>
      </w:r>
    </w:p>
    <w:p w14:paraId="546E17EA" w14:textId="718E6242" w:rsidR="007132C5" w:rsidRPr="00386828" w:rsidRDefault="007132C5" w:rsidP="007132C5">
      <w:pPr>
        <w:pStyle w:val="Corpsdetexte"/>
        <w:spacing w:before="123" w:line="276" w:lineRule="auto"/>
        <w:ind w:left="791" w:right="604"/>
        <w:jc w:val="both"/>
        <w:rPr>
          <w:lang w:val="fr-FR"/>
        </w:rPr>
      </w:pPr>
      <w:r w:rsidRPr="00386828">
        <w:rPr>
          <w:lang w:val="fr-FR"/>
        </w:rPr>
        <w:t xml:space="preserve">Dans le domaine des </w:t>
      </w:r>
      <w:r w:rsidRPr="00386828">
        <w:rPr>
          <w:b/>
          <w:lang w:val="fr-FR"/>
        </w:rPr>
        <w:t>innovations réussies</w:t>
      </w:r>
      <w:r w:rsidRPr="00386828">
        <w:rPr>
          <w:lang w:val="fr-FR"/>
        </w:rPr>
        <w:t xml:space="preserve">, Henkel a fait de nouveaux progrès au cours de l'exercice 2021. Les </w:t>
      </w:r>
      <w:r w:rsidR="000C3192">
        <w:rPr>
          <w:lang w:val="fr-FR"/>
        </w:rPr>
        <w:t xml:space="preserve">fabriques à idées </w:t>
      </w:r>
      <w:r w:rsidRPr="00386828">
        <w:rPr>
          <w:lang w:val="fr-FR"/>
        </w:rPr>
        <w:t xml:space="preserve">internes et les équipes d’incubation qui ont été mises en place au cours de l’année écoulée dans les </w:t>
      </w:r>
      <w:r w:rsidR="00641DC3" w:rsidRPr="00386828">
        <w:rPr>
          <w:lang w:val="fr-FR"/>
        </w:rPr>
        <w:t>branches</w:t>
      </w:r>
      <w:r w:rsidRPr="00386828">
        <w:rPr>
          <w:lang w:val="fr-FR"/>
        </w:rPr>
        <w:t xml:space="preserve"> Beauty Care et Landry &amp; Home Care y ont également contribué. Dans la </w:t>
      </w:r>
      <w:r w:rsidR="00641DC3" w:rsidRPr="00386828">
        <w:rPr>
          <w:lang w:val="fr-FR"/>
        </w:rPr>
        <w:t>branche</w:t>
      </w:r>
      <w:r w:rsidRPr="00386828">
        <w:rPr>
          <w:lang w:val="fr-FR"/>
        </w:rPr>
        <w:t xml:space="preserve"> </w:t>
      </w:r>
      <w:proofErr w:type="spellStart"/>
      <w:r w:rsidRPr="00386828">
        <w:rPr>
          <w:lang w:val="fr-FR"/>
        </w:rPr>
        <w:t>Adhesive</w:t>
      </w:r>
      <w:proofErr w:type="spellEnd"/>
      <w:r w:rsidRPr="00386828">
        <w:rPr>
          <w:lang w:val="fr-FR"/>
        </w:rPr>
        <w:t xml:space="preserve"> Technologies, le nouveau centre d’innovation mondial de Düsseldorf a été inauguré avec un investissement total d’environ 130 millions d'euros. Les travaux de construction d’un autre centre d’innovation ultramoderne pour l’activité </w:t>
      </w:r>
      <w:proofErr w:type="spellStart"/>
      <w:r w:rsidRPr="00386828">
        <w:rPr>
          <w:lang w:val="fr-FR"/>
        </w:rPr>
        <w:t>Adhesive</w:t>
      </w:r>
      <w:proofErr w:type="spellEnd"/>
      <w:r w:rsidRPr="00386828">
        <w:rPr>
          <w:lang w:val="fr-FR"/>
        </w:rPr>
        <w:t xml:space="preserve"> Technologies ont déjà commencé à Shanghai.</w:t>
      </w:r>
    </w:p>
    <w:p w14:paraId="51B06861" w14:textId="637D8481" w:rsidR="00B42EB5" w:rsidRPr="00386828" w:rsidRDefault="00B42EB5" w:rsidP="007132C5">
      <w:pPr>
        <w:pStyle w:val="Corpsdetexte"/>
        <w:spacing w:before="123" w:line="276" w:lineRule="auto"/>
        <w:ind w:right="604"/>
        <w:jc w:val="both"/>
        <w:rPr>
          <w:lang w:val="fr-FR"/>
        </w:rPr>
      </w:pPr>
    </w:p>
    <w:p w14:paraId="77A12980" w14:textId="7EEDF802" w:rsidR="00B42EB5" w:rsidRPr="00386828" w:rsidRDefault="007132C5">
      <w:pPr>
        <w:pStyle w:val="Corpsdetexte"/>
        <w:spacing w:before="1" w:line="276" w:lineRule="auto"/>
        <w:ind w:left="791" w:right="606"/>
        <w:jc w:val="both"/>
        <w:rPr>
          <w:lang w:val="fr-FR"/>
        </w:rPr>
      </w:pPr>
      <w:r w:rsidRPr="00386828">
        <w:rPr>
          <w:lang w:val="fr-FR"/>
        </w:rPr>
        <w:t>Au cours de l'exercice 2021, Henkel a de nouveau introduit avec succès de nombreuses innovations sur le marché et les a soutenues de manière adéquate par des investissements. Dans le secteur</w:t>
      </w:r>
      <w:r w:rsidRPr="00386828">
        <w:rPr>
          <w:b/>
          <w:lang w:val="fr-FR"/>
        </w:rPr>
        <w:t xml:space="preserve"> </w:t>
      </w:r>
      <w:proofErr w:type="spellStart"/>
      <w:r w:rsidRPr="00386828">
        <w:rPr>
          <w:b/>
          <w:lang w:val="fr-FR"/>
        </w:rPr>
        <w:t>Adhesive</w:t>
      </w:r>
      <w:proofErr w:type="spellEnd"/>
      <w:r w:rsidRPr="00386828">
        <w:rPr>
          <w:b/>
          <w:lang w:val="fr-FR"/>
        </w:rPr>
        <w:t xml:space="preserve"> Technologies</w:t>
      </w:r>
      <w:r w:rsidRPr="00386828">
        <w:rPr>
          <w:lang w:val="fr-FR"/>
        </w:rPr>
        <w:t>, Henkel a notamment développé et lancé des solutions adhésives durables pour l’industrie automobile qui favorisent la dissipation thermique. En outre, les adhésifs innovants permettent de développer des solutions d'emballage durables</w:t>
      </w:r>
      <w:r w:rsidR="00721A9E" w:rsidRPr="00386828">
        <w:rPr>
          <w:lang w:val="fr-FR"/>
        </w:rPr>
        <w:t>.</w:t>
      </w:r>
    </w:p>
    <w:p w14:paraId="0A50641C" w14:textId="77777777" w:rsidR="00D15B3F" w:rsidRPr="00386828" w:rsidRDefault="00D15B3F">
      <w:pPr>
        <w:pStyle w:val="Corpsdetexte"/>
        <w:spacing w:before="1" w:line="276" w:lineRule="auto"/>
        <w:ind w:left="791" w:right="606"/>
        <w:jc w:val="both"/>
        <w:rPr>
          <w:lang w:val="fr-FR"/>
        </w:rPr>
      </w:pPr>
    </w:p>
    <w:p w14:paraId="3C5273F3" w14:textId="2CDED171" w:rsidR="00B42EB5" w:rsidRPr="00386828" w:rsidRDefault="007132C5" w:rsidP="00D15B3F">
      <w:pPr>
        <w:pStyle w:val="Corpsdetexte"/>
        <w:spacing w:line="276" w:lineRule="auto"/>
        <w:ind w:left="790" w:right="604"/>
        <w:jc w:val="both"/>
        <w:rPr>
          <w:lang w:val="fr-FR"/>
        </w:rPr>
      </w:pPr>
      <w:r w:rsidRPr="00386828">
        <w:rPr>
          <w:lang w:val="fr-FR"/>
        </w:rPr>
        <w:t xml:space="preserve">Dans le secteur </w:t>
      </w:r>
      <w:r w:rsidRPr="00386828">
        <w:rPr>
          <w:b/>
          <w:lang w:val="fr-FR"/>
        </w:rPr>
        <w:t>Beauty Care</w:t>
      </w:r>
      <w:r w:rsidRPr="00386828">
        <w:rPr>
          <w:lang w:val="fr-FR"/>
        </w:rPr>
        <w:t xml:space="preserve">, Henkel a </w:t>
      </w:r>
      <w:proofErr w:type="spellStart"/>
      <w:r w:rsidR="00C551D4" w:rsidRPr="00386828">
        <w:rPr>
          <w:lang w:val="fr-FR"/>
        </w:rPr>
        <w:t>étandu</w:t>
      </w:r>
      <w:proofErr w:type="spellEnd"/>
      <w:r w:rsidR="00C551D4" w:rsidRPr="00386828">
        <w:rPr>
          <w:lang w:val="fr-FR"/>
        </w:rPr>
        <w:t xml:space="preserve"> le relancement de </w:t>
      </w:r>
      <w:r w:rsidRPr="00386828">
        <w:rPr>
          <w:lang w:val="fr-FR"/>
        </w:rPr>
        <w:t xml:space="preserve">la marque de produits coiffants Taft ainsi que la marque de </w:t>
      </w:r>
      <w:r w:rsidR="00C551D4" w:rsidRPr="00386828">
        <w:rPr>
          <w:lang w:val="fr-FR"/>
        </w:rPr>
        <w:t xml:space="preserve">teintures </w:t>
      </w:r>
      <w:r w:rsidRPr="00386828">
        <w:rPr>
          <w:lang w:val="fr-FR"/>
        </w:rPr>
        <w:t xml:space="preserve">capillaires </w:t>
      </w:r>
      <w:proofErr w:type="spellStart"/>
      <w:r w:rsidRPr="00386828">
        <w:rPr>
          <w:lang w:val="fr-FR"/>
        </w:rPr>
        <w:t>Igora</w:t>
      </w:r>
      <w:proofErr w:type="spellEnd"/>
      <w:r w:rsidRPr="00386828">
        <w:rPr>
          <w:lang w:val="fr-FR"/>
        </w:rPr>
        <w:t xml:space="preserve"> Royal et des innovations réussies ont été lancées dans le segment </w:t>
      </w:r>
      <w:proofErr w:type="spellStart"/>
      <w:r w:rsidRPr="00386828">
        <w:rPr>
          <w:lang w:val="fr-FR"/>
        </w:rPr>
        <w:t>Hair</w:t>
      </w:r>
      <w:proofErr w:type="spellEnd"/>
      <w:r w:rsidRPr="00386828">
        <w:rPr>
          <w:lang w:val="fr-FR"/>
        </w:rPr>
        <w:t xml:space="preserve"> Care. En outre, la marque durable Nature Box s'est enrichie de nouveaux produits sous forme solide et de recharges</w:t>
      </w:r>
      <w:r w:rsidR="00721A9E" w:rsidRPr="00386828">
        <w:rPr>
          <w:lang w:val="fr-FR"/>
        </w:rPr>
        <w:t>.</w:t>
      </w:r>
    </w:p>
    <w:p w14:paraId="4236FEAE" w14:textId="77777777" w:rsidR="00B42EB5" w:rsidRPr="00386828" w:rsidRDefault="00B42EB5">
      <w:pPr>
        <w:pStyle w:val="Corpsdetexte"/>
        <w:spacing w:before="4"/>
        <w:rPr>
          <w:sz w:val="37"/>
          <w:lang w:val="fr-FR"/>
        </w:rPr>
      </w:pPr>
    </w:p>
    <w:p w14:paraId="27DB2619" w14:textId="2B86389B" w:rsidR="007132C5" w:rsidRPr="00386828" w:rsidRDefault="007132C5" w:rsidP="007132C5">
      <w:pPr>
        <w:pStyle w:val="Corpsdetexte"/>
        <w:spacing w:line="276" w:lineRule="auto"/>
        <w:ind w:left="791" w:right="602" w:hanging="1"/>
        <w:jc w:val="both"/>
        <w:rPr>
          <w:lang w:val="fr-FR"/>
        </w:rPr>
      </w:pPr>
      <w:r w:rsidRPr="00386828">
        <w:rPr>
          <w:lang w:val="fr-FR"/>
        </w:rPr>
        <w:t xml:space="preserve">Dans le secteur </w:t>
      </w:r>
      <w:r w:rsidRPr="00386828">
        <w:rPr>
          <w:b/>
          <w:lang w:val="fr-FR"/>
        </w:rPr>
        <w:t>Laundry &amp; Home Care</w:t>
      </w:r>
      <w:r w:rsidRPr="00386828">
        <w:rPr>
          <w:lang w:val="fr-FR"/>
        </w:rPr>
        <w:t xml:space="preserve">, les capsules de détergents ont été renforcées par des innovations couvrant tous les segments de prix et sont disponibles sous différentes marques, dont </w:t>
      </w:r>
      <w:proofErr w:type="spellStart"/>
      <w:r w:rsidRPr="00386828">
        <w:rPr>
          <w:lang w:val="fr-FR"/>
        </w:rPr>
        <w:t>Perwoll</w:t>
      </w:r>
      <w:proofErr w:type="spellEnd"/>
      <w:r w:rsidRPr="00386828">
        <w:rPr>
          <w:lang w:val="fr-FR"/>
        </w:rPr>
        <w:t xml:space="preserve">. Henkel a également lancé les barres durables Persil </w:t>
      </w:r>
      <w:r w:rsidR="00103238" w:rsidRPr="00386828">
        <w:rPr>
          <w:lang w:val="fr-FR"/>
        </w:rPr>
        <w:t xml:space="preserve">(Le Chat en France) </w:t>
      </w:r>
      <w:r w:rsidRPr="00386828">
        <w:rPr>
          <w:lang w:val="fr-FR"/>
        </w:rPr>
        <w:t xml:space="preserve">Eco Power Bars </w:t>
      </w:r>
      <w:r w:rsidR="000C3192">
        <w:rPr>
          <w:lang w:val="fr-FR"/>
        </w:rPr>
        <w:t xml:space="preserve">en grande distribution dans </w:t>
      </w:r>
      <w:r w:rsidRPr="00386828">
        <w:rPr>
          <w:lang w:val="fr-FR"/>
        </w:rPr>
        <w:t>certains pays européens. Parmi les innovations réalisées dans le secteur des produits de nettoyage, citons les capsules pour lave-vaisselle « </w:t>
      </w:r>
      <w:proofErr w:type="spellStart"/>
      <w:r w:rsidRPr="00386828">
        <w:rPr>
          <w:lang w:val="fr-FR"/>
        </w:rPr>
        <w:t>Somat</w:t>
      </w:r>
      <w:proofErr w:type="spellEnd"/>
      <w:r w:rsidRPr="00386828">
        <w:rPr>
          <w:lang w:val="fr-FR"/>
        </w:rPr>
        <w:t xml:space="preserve"> Excellence ».</w:t>
      </w:r>
    </w:p>
    <w:p w14:paraId="55FAC394" w14:textId="77777777" w:rsidR="00B42EB5" w:rsidRPr="00386828" w:rsidRDefault="00B42EB5">
      <w:pPr>
        <w:pStyle w:val="Corpsdetexte"/>
        <w:spacing w:before="4"/>
        <w:rPr>
          <w:sz w:val="31"/>
          <w:lang w:val="fr-FR"/>
        </w:rPr>
      </w:pPr>
    </w:p>
    <w:p w14:paraId="4B31CCF0" w14:textId="4AA29C2F" w:rsidR="00B42EB5" w:rsidRPr="00386828" w:rsidRDefault="007132C5" w:rsidP="007132C5">
      <w:pPr>
        <w:pStyle w:val="Corpsdetexte"/>
        <w:spacing w:before="1" w:line="276" w:lineRule="auto"/>
        <w:ind w:left="791" w:right="605" w:hanging="1"/>
        <w:jc w:val="both"/>
        <w:rPr>
          <w:lang w:val="fr-FR"/>
        </w:rPr>
      </w:pPr>
      <w:r w:rsidRPr="00386828">
        <w:rPr>
          <w:lang w:val="fr-FR"/>
        </w:rPr>
        <w:t xml:space="preserve">Henkel a également lancé un nouveau </w:t>
      </w:r>
      <w:r w:rsidRPr="00386828">
        <w:rPr>
          <w:b/>
          <w:lang w:val="fr-FR"/>
        </w:rPr>
        <w:t xml:space="preserve">Venture </w:t>
      </w:r>
      <w:proofErr w:type="spellStart"/>
      <w:r w:rsidRPr="00386828">
        <w:rPr>
          <w:b/>
          <w:lang w:val="fr-FR"/>
        </w:rPr>
        <w:t>Fund</w:t>
      </w:r>
      <w:proofErr w:type="spellEnd"/>
      <w:r w:rsidRPr="00386828">
        <w:rPr>
          <w:b/>
          <w:lang w:val="fr-FR"/>
        </w:rPr>
        <w:t xml:space="preserve"> II </w:t>
      </w:r>
      <w:r w:rsidRPr="00386828">
        <w:rPr>
          <w:lang w:val="fr-FR"/>
        </w:rPr>
        <w:t xml:space="preserve">avec un volume de 150 millions d'euros pour investir dans des modèles commerciaux innovants et nouveaux par le biais d'une participation </w:t>
      </w:r>
      <w:r w:rsidR="000C3192">
        <w:rPr>
          <w:lang w:val="fr-FR"/>
        </w:rPr>
        <w:t>dans des</w:t>
      </w:r>
      <w:r w:rsidRPr="00386828">
        <w:rPr>
          <w:lang w:val="fr-FR"/>
        </w:rPr>
        <w:t xml:space="preserve"> start-ups ou à des fonds de capital-risque</w:t>
      </w:r>
      <w:r w:rsidR="00721A9E" w:rsidRPr="00386828">
        <w:rPr>
          <w:lang w:val="fr-FR"/>
        </w:rPr>
        <w:t>.</w:t>
      </w:r>
    </w:p>
    <w:p w14:paraId="1B94E168" w14:textId="77777777" w:rsidR="007132C5" w:rsidRPr="00386828" w:rsidRDefault="007132C5" w:rsidP="007132C5">
      <w:pPr>
        <w:pStyle w:val="Corpsdetexte"/>
        <w:spacing w:before="1" w:line="276" w:lineRule="auto"/>
        <w:ind w:left="791" w:right="605" w:hanging="1"/>
        <w:jc w:val="both"/>
        <w:rPr>
          <w:lang w:val="fr-FR"/>
        </w:rPr>
      </w:pPr>
    </w:p>
    <w:p w14:paraId="0002F4F3" w14:textId="77777777" w:rsidR="00D15B3F" w:rsidRPr="00386828" w:rsidRDefault="00D15B3F">
      <w:pPr>
        <w:pStyle w:val="Corpsdetexte"/>
        <w:spacing w:before="124" w:line="276" w:lineRule="auto"/>
        <w:ind w:left="791" w:right="605" w:hanging="1"/>
        <w:jc w:val="both"/>
        <w:rPr>
          <w:i/>
          <w:lang w:val="fr-FR"/>
        </w:rPr>
      </w:pPr>
    </w:p>
    <w:p w14:paraId="006935F3" w14:textId="77777777" w:rsidR="00D15B3F" w:rsidRPr="00386828" w:rsidRDefault="00D15B3F">
      <w:pPr>
        <w:pStyle w:val="Corpsdetexte"/>
        <w:spacing w:before="124" w:line="276" w:lineRule="auto"/>
        <w:ind w:left="791" w:right="605" w:hanging="1"/>
        <w:jc w:val="both"/>
        <w:rPr>
          <w:i/>
          <w:lang w:val="fr-FR"/>
        </w:rPr>
      </w:pPr>
    </w:p>
    <w:p w14:paraId="4F82B5EA" w14:textId="77777777" w:rsidR="00D15B3F" w:rsidRPr="00386828" w:rsidRDefault="00D15B3F">
      <w:pPr>
        <w:pStyle w:val="Corpsdetexte"/>
        <w:spacing w:before="124" w:line="276" w:lineRule="auto"/>
        <w:ind w:left="791" w:right="605" w:hanging="1"/>
        <w:jc w:val="both"/>
        <w:rPr>
          <w:i/>
          <w:lang w:val="fr-FR"/>
        </w:rPr>
      </w:pPr>
    </w:p>
    <w:p w14:paraId="25BB857E" w14:textId="45B518B4" w:rsidR="00D15B3F" w:rsidRPr="000C3192" w:rsidRDefault="007132C5" w:rsidP="00D15B3F">
      <w:pPr>
        <w:pStyle w:val="Corpsdetexte"/>
        <w:spacing w:before="124" w:line="276" w:lineRule="auto"/>
        <w:ind w:left="791" w:right="605" w:hanging="1"/>
        <w:jc w:val="both"/>
        <w:rPr>
          <w:i/>
          <w:lang w:val="fr-FR"/>
        </w:rPr>
      </w:pPr>
      <w:r w:rsidRPr="000C3192">
        <w:rPr>
          <w:i/>
          <w:lang w:val="fr-FR"/>
        </w:rPr>
        <w:t xml:space="preserve">Des progrès significatifs dans le domaine </w:t>
      </w:r>
      <w:r w:rsidR="00C551D4" w:rsidRPr="000C3192">
        <w:rPr>
          <w:i/>
          <w:lang w:val="fr-FR"/>
        </w:rPr>
        <w:t>du développement durable</w:t>
      </w:r>
    </w:p>
    <w:p w14:paraId="0AC25143" w14:textId="72E5F27A" w:rsidR="007132C5" w:rsidRPr="00386828" w:rsidRDefault="007132C5" w:rsidP="00D15B3F">
      <w:pPr>
        <w:pStyle w:val="Corpsdetexte"/>
        <w:spacing w:before="124" w:line="276" w:lineRule="auto"/>
        <w:ind w:left="791" w:right="605" w:hanging="1"/>
        <w:jc w:val="both"/>
        <w:rPr>
          <w:lang w:val="fr-FR"/>
        </w:rPr>
      </w:pPr>
      <w:r w:rsidRPr="00386828">
        <w:rPr>
          <w:lang w:val="fr-FR"/>
        </w:rPr>
        <w:t xml:space="preserve">Dans le cadre de son plan stratégique, Henkel se concentre sur le </w:t>
      </w:r>
      <w:r w:rsidRPr="00386828">
        <w:rPr>
          <w:b/>
          <w:lang w:val="fr-FR"/>
        </w:rPr>
        <w:t xml:space="preserve">développement durable </w:t>
      </w:r>
      <w:r w:rsidRPr="00386828">
        <w:rPr>
          <w:lang w:val="fr-FR"/>
        </w:rPr>
        <w:t>afin de se différencier clairement de la concurrence, de générer une croissance ciblée et de créer de la valeur pour ses parties prenantes. Henkel a fait des progrès significatifs dans ce domaine en 202</w:t>
      </w:r>
      <w:r w:rsidR="00386828" w:rsidRPr="00386828">
        <w:rPr>
          <w:lang w:val="fr-FR"/>
        </w:rPr>
        <w:t>1</w:t>
      </w:r>
      <w:r w:rsidR="000C3192">
        <w:rPr>
          <w:lang w:val="fr-FR"/>
        </w:rPr>
        <w:t>.</w:t>
      </w:r>
    </w:p>
    <w:p w14:paraId="5A8E4F31" w14:textId="77777777" w:rsidR="00B42EB5" w:rsidRPr="00386828" w:rsidRDefault="00B42EB5">
      <w:pPr>
        <w:spacing w:line="276" w:lineRule="auto"/>
        <w:jc w:val="both"/>
        <w:rPr>
          <w:lang w:val="fr-FR"/>
        </w:rPr>
      </w:pPr>
    </w:p>
    <w:p w14:paraId="04785A21" w14:textId="5B997A87" w:rsidR="007132C5" w:rsidRPr="00386828" w:rsidRDefault="007132C5" w:rsidP="007132C5">
      <w:pPr>
        <w:pStyle w:val="Paragraphedeliste"/>
        <w:numPr>
          <w:ilvl w:val="0"/>
          <w:numId w:val="1"/>
        </w:numPr>
        <w:tabs>
          <w:tab w:val="left" w:pos="1512"/>
        </w:tabs>
        <w:spacing w:before="80" w:line="276" w:lineRule="auto"/>
        <w:ind w:right="605"/>
        <w:jc w:val="both"/>
        <w:rPr>
          <w:lang w:val="fr-FR"/>
        </w:rPr>
      </w:pPr>
      <w:r w:rsidRPr="00386828">
        <w:rPr>
          <w:lang w:val="fr-FR"/>
        </w:rPr>
        <w:t xml:space="preserve">Par rapport à l’année de référence 2010, Henkel a réduit </w:t>
      </w:r>
      <w:r w:rsidR="000C3192">
        <w:rPr>
          <w:lang w:val="fr-FR"/>
        </w:rPr>
        <w:t xml:space="preserve">de 50% </w:t>
      </w:r>
      <w:r w:rsidRPr="00386828">
        <w:rPr>
          <w:lang w:val="fr-FR"/>
        </w:rPr>
        <w:t>les émissions de CO2 dans s</w:t>
      </w:r>
      <w:r w:rsidR="000C3192">
        <w:rPr>
          <w:lang w:val="fr-FR"/>
        </w:rPr>
        <w:t>es activités de</w:t>
      </w:r>
      <w:r w:rsidRPr="00386828">
        <w:rPr>
          <w:lang w:val="fr-FR"/>
        </w:rPr>
        <w:t xml:space="preserve"> production </w:t>
      </w:r>
      <w:r w:rsidR="000C3192">
        <w:rPr>
          <w:lang w:val="fr-FR"/>
        </w:rPr>
        <w:t>au cours de l’exercice 2021 et a augmenté la part d’électricité verte à plus d’un tiers.</w:t>
      </w:r>
    </w:p>
    <w:p w14:paraId="18264423" w14:textId="3A93570B" w:rsidR="007132C5" w:rsidRPr="00386828" w:rsidRDefault="000C3192" w:rsidP="007132C5">
      <w:pPr>
        <w:pStyle w:val="Paragraphedeliste"/>
        <w:numPr>
          <w:ilvl w:val="0"/>
          <w:numId w:val="1"/>
        </w:numPr>
        <w:tabs>
          <w:tab w:val="left" w:pos="1512"/>
        </w:tabs>
        <w:spacing w:before="0" w:line="276" w:lineRule="auto"/>
        <w:ind w:right="604"/>
        <w:jc w:val="both"/>
        <w:rPr>
          <w:lang w:val="fr-FR"/>
        </w:rPr>
      </w:pPr>
      <w:r>
        <w:rPr>
          <w:lang w:val="fr-FR"/>
        </w:rPr>
        <w:t>A</w:t>
      </w:r>
      <w:r w:rsidR="007132C5" w:rsidRPr="00386828">
        <w:rPr>
          <w:lang w:val="fr-FR"/>
        </w:rPr>
        <w:t xml:space="preserve"> la fin de l’année 2021, Henkel a entièrement converti s</w:t>
      </w:r>
      <w:r>
        <w:rPr>
          <w:lang w:val="fr-FR"/>
        </w:rPr>
        <w:t xml:space="preserve">es activités de production </w:t>
      </w:r>
      <w:r w:rsidR="007132C5" w:rsidRPr="00386828">
        <w:rPr>
          <w:lang w:val="fr-FR"/>
        </w:rPr>
        <w:t xml:space="preserve">dans 21 pays à </w:t>
      </w:r>
      <w:r>
        <w:rPr>
          <w:lang w:val="fr-FR"/>
        </w:rPr>
        <w:t xml:space="preserve">de </w:t>
      </w:r>
      <w:r w:rsidR="007132C5" w:rsidRPr="00386828">
        <w:rPr>
          <w:lang w:val="fr-FR"/>
        </w:rPr>
        <w:t>l’électricité 100 % renouvelable.</w:t>
      </w:r>
    </w:p>
    <w:p w14:paraId="0F10A346" w14:textId="77777777" w:rsidR="007132C5" w:rsidRPr="00386828" w:rsidRDefault="007132C5" w:rsidP="007132C5">
      <w:pPr>
        <w:pStyle w:val="Paragraphedeliste"/>
        <w:numPr>
          <w:ilvl w:val="0"/>
          <w:numId w:val="1"/>
        </w:numPr>
        <w:tabs>
          <w:tab w:val="left" w:pos="1512"/>
        </w:tabs>
        <w:spacing w:before="0" w:line="276" w:lineRule="auto"/>
        <w:ind w:right="606"/>
        <w:jc w:val="both"/>
      </w:pPr>
      <w:r w:rsidRPr="00386828">
        <w:rPr>
          <w:lang w:val="fr-FR"/>
        </w:rPr>
        <w:t xml:space="preserve">La proportion d’emballages recyclables ou réutilisables a été portée à 86 %. </w:t>
      </w:r>
      <w:proofErr w:type="spellStart"/>
      <w:r w:rsidRPr="00386828">
        <w:t>L’objectif</w:t>
      </w:r>
      <w:proofErr w:type="spellEnd"/>
      <w:r w:rsidRPr="00386828">
        <w:t xml:space="preserve"> </w:t>
      </w:r>
      <w:proofErr w:type="spellStart"/>
      <w:r w:rsidRPr="00386828">
        <w:t>est</w:t>
      </w:r>
      <w:proofErr w:type="spellEnd"/>
      <w:r w:rsidRPr="00386828">
        <w:t xml:space="preserve"> </w:t>
      </w:r>
      <w:proofErr w:type="spellStart"/>
      <w:r w:rsidRPr="00386828">
        <w:t>d’atteindre</w:t>
      </w:r>
      <w:proofErr w:type="spellEnd"/>
      <w:r w:rsidRPr="00386828">
        <w:t xml:space="preserve"> 100 % </w:t>
      </w:r>
      <w:proofErr w:type="spellStart"/>
      <w:r w:rsidRPr="00386828">
        <w:t>d'ici</w:t>
      </w:r>
      <w:proofErr w:type="spellEnd"/>
      <w:r w:rsidRPr="00386828">
        <w:t xml:space="preserve"> 2025.</w:t>
      </w:r>
    </w:p>
    <w:p w14:paraId="0C545C85" w14:textId="77777777" w:rsidR="007132C5" w:rsidRPr="00386828" w:rsidRDefault="007132C5" w:rsidP="007132C5">
      <w:pPr>
        <w:pStyle w:val="Corpsdetexte"/>
        <w:spacing w:before="3"/>
        <w:rPr>
          <w:sz w:val="25"/>
        </w:rPr>
      </w:pPr>
    </w:p>
    <w:p w14:paraId="1B6E149D" w14:textId="6417940F" w:rsidR="007132C5" w:rsidRPr="00386828" w:rsidRDefault="007132C5" w:rsidP="007132C5">
      <w:pPr>
        <w:pStyle w:val="Corpsdetexte"/>
        <w:spacing w:line="276" w:lineRule="auto"/>
        <w:ind w:left="791" w:right="605"/>
        <w:jc w:val="both"/>
        <w:rPr>
          <w:lang w:val="fr-FR"/>
        </w:rPr>
      </w:pPr>
      <w:r w:rsidRPr="00386828">
        <w:rPr>
          <w:lang w:val="fr-FR"/>
        </w:rPr>
        <w:t>Dans le domaine d</w:t>
      </w:r>
      <w:r w:rsidR="000C3192">
        <w:rPr>
          <w:lang w:val="fr-FR"/>
        </w:rPr>
        <w:t>e la</w:t>
      </w:r>
      <w:r w:rsidRPr="00386828">
        <w:rPr>
          <w:lang w:val="fr-FR"/>
        </w:rPr>
        <w:t xml:space="preserve"> finance durable, Henkel a pu une fois de plus donner des impulsions importantes, par exemple en présentant un « cadre de financement durable » dans lequel des obligations durables pourront être placées à l'avenir. En 2021, Henkel a été la première entreprise de son secteur à émettre une obligation en euros dont les taux d'intérêt sont liés à la réalisation d'objectifs de</w:t>
      </w:r>
      <w:r w:rsidR="00386828" w:rsidRPr="00386828">
        <w:rPr>
          <w:lang w:val="fr-FR"/>
        </w:rPr>
        <w:t xml:space="preserve"> </w:t>
      </w:r>
      <w:r w:rsidR="00C551D4" w:rsidRPr="00386828">
        <w:rPr>
          <w:lang w:val="fr-FR"/>
        </w:rPr>
        <w:t xml:space="preserve">développement durable </w:t>
      </w:r>
      <w:r w:rsidRPr="00386828">
        <w:rPr>
          <w:lang w:val="fr-FR"/>
        </w:rPr>
        <w:t xml:space="preserve">spécifiques. Au total, Henkel a émis des obligations de </w:t>
      </w:r>
      <w:r w:rsidR="00C551D4" w:rsidRPr="00386828">
        <w:rPr>
          <w:lang w:val="fr-FR"/>
        </w:rPr>
        <w:t xml:space="preserve">développement durable </w:t>
      </w:r>
      <w:r w:rsidRPr="00386828">
        <w:rPr>
          <w:lang w:val="fr-FR"/>
        </w:rPr>
        <w:t>pour un volume de plus de 700 millions d'euros l'année dernière.</w:t>
      </w:r>
    </w:p>
    <w:p w14:paraId="73E02159" w14:textId="77777777" w:rsidR="007132C5" w:rsidRPr="00386828" w:rsidRDefault="007132C5">
      <w:pPr>
        <w:spacing w:line="276" w:lineRule="auto"/>
        <w:jc w:val="both"/>
        <w:rPr>
          <w:lang w:val="fr-FR"/>
        </w:rPr>
      </w:pPr>
    </w:p>
    <w:p w14:paraId="45F4263A" w14:textId="77777777" w:rsidR="00D15B3F" w:rsidRPr="00386828" w:rsidRDefault="007132C5" w:rsidP="009C22C0">
      <w:pPr>
        <w:spacing w:line="276" w:lineRule="auto"/>
        <w:ind w:left="791"/>
        <w:jc w:val="both"/>
        <w:rPr>
          <w:b/>
          <w:lang w:val="fr-FR"/>
        </w:rPr>
      </w:pPr>
      <w:r w:rsidRPr="00386828">
        <w:rPr>
          <w:b/>
          <w:lang w:val="fr-FR"/>
        </w:rPr>
        <w:t xml:space="preserve">Publication de la nouvelle stratégie et des nouvelles ambitions en matière de </w:t>
      </w:r>
      <w:r w:rsidR="00D15B3F" w:rsidRPr="00386828">
        <w:rPr>
          <w:b/>
          <w:lang w:val="fr-FR"/>
        </w:rPr>
        <w:t xml:space="preserve"> </w:t>
      </w:r>
    </w:p>
    <w:p w14:paraId="4FB62627" w14:textId="0A930A05" w:rsidR="007132C5" w:rsidRPr="00386828" w:rsidRDefault="007132C5" w:rsidP="009C22C0">
      <w:pPr>
        <w:spacing w:line="276" w:lineRule="auto"/>
        <w:ind w:left="791"/>
        <w:jc w:val="both"/>
        <w:rPr>
          <w:b/>
          <w:lang w:val="fr-FR"/>
        </w:rPr>
      </w:pPr>
      <w:r w:rsidRPr="00386828">
        <w:rPr>
          <w:b/>
          <w:lang w:val="fr-FR"/>
        </w:rPr>
        <w:t>développement durable</w:t>
      </w:r>
    </w:p>
    <w:p w14:paraId="19E28195" w14:textId="4D22417E" w:rsidR="007132C5" w:rsidRPr="00386828" w:rsidRDefault="007132C5" w:rsidP="007132C5">
      <w:pPr>
        <w:pStyle w:val="Corpsdetexte"/>
        <w:spacing w:before="124" w:line="276" w:lineRule="auto"/>
        <w:ind w:left="791" w:right="604"/>
        <w:jc w:val="both"/>
        <w:rPr>
          <w:lang w:val="fr-FR"/>
        </w:rPr>
      </w:pPr>
      <w:r w:rsidRPr="00386828">
        <w:rPr>
          <w:lang w:val="fr-FR"/>
        </w:rPr>
        <w:t>Pour refléter l’importance croissante de la gestion durable et les attentes grandissantes des clients et de la société, Henkel a</w:t>
      </w:r>
      <w:r w:rsidR="00C551D4" w:rsidRPr="00386828">
        <w:rPr>
          <w:lang w:val="fr-FR"/>
        </w:rPr>
        <w:t xml:space="preserve"> revu </w:t>
      </w:r>
      <w:r w:rsidRPr="00386828">
        <w:rPr>
          <w:lang w:val="fr-FR"/>
        </w:rPr>
        <w:t>sa stratégie de développement durable à long terme en introduisant un nouveau « </w:t>
      </w:r>
      <w:bookmarkStart w:id="13" w:name="_Hlk96517101"/>
      <w:r w:rsidR="00245BF1" w:rsidRPr="00245BF1">
        <w:rPr>
          <w:b/>
          <w:lang w:val="fr-FR"/>
        </w:rPr>
        <w:t>Ambition Développement Durable 2030</w:t>
      </w:r>
      <w:r w:rsidRPr="00386828">
        <w:rPr>
          <w:b/>
          <w:lang w:val="fr-FR"/>
        </w:rPr>
        <w:t> </w:t>
      </w:r>
      <w:bookmarkEnd w:id="13"/>
      <w:r w:rsidRPr="00386828">
        <w:rPr>
          <w:b/>
          <w:lang w:val="fr-FR"/>
        </w:rPr>
        <w:t>»</w:t>
      </w:r>
      <w:r w:rsidRPr="00386828">
        <w:rPr>
          <w:lang w:val="fr-FR"/>
        </w:rPr>
        <w:t>. En plus des objectifs existants, de nouvelles ambitions à long terme ont été fixées dans les trois dimensions « </w:t>
      </w:r>
      <w:proofErr w:type="spellStart"/>
      <w:r w:rsidRPr="00386828">
        <w:rPr>
          <w:lang w:val="fr-FR"/>
        </w:rPr>
        <w:t>Regenerative</w:t>
      </w:r>
      <w:proofErr w:type="spellEnd"/>
      <w:r w:rsidRPr="00386828">
        <w:rPr>
          <w:lang w:val="fr-FR"/>
        </w:rPr>
        <w:t xml:space="preserve"> Planet », « </w:t>
      </w:r>
      <w:proofErr w:type="spellStart"/>
      <w:r w:rsidRPr="00386828">
        <w:rPr>
          <w:lang w:val="fr-FR"/>
        </w:rPr>
        <w:t>Thriving</w:t>
      </w:r>
      <w:proofErr w:type="spellEnd"/>
      <w:r w:rsidRPr="00386828">
        <w:rPr>
          <w:lang w:val="fr-FR"/>
        </w:rPr>
        <w:t xml:space="preserve"> </w:t>
      </w:r>
      <w:proofErr w:type="spellStart"/>
      <w:r w:rsidRPr="00386828">
        <w:rPr>
          <w:lang w:val="fr-FR"/>
        </w:rPr>
        <w:t>Communities</w:t>
      </w:r>
      <w:proofErr w:type="spellEnd"/>
      <w:r w:rsidRPr="00386828">
        <w:rPr>
          <w:lang w:val="fr-FR"/>
        </w:rPr>
        <w:t> » et « </w:t>
      </w:r>
      <w:proofErr w:type="spellStart"/>
      <w:r w:rsidRPr="00386828">
        <w:rPr>
          <w:lang w:val="fr-FR"/>
        </w:rPr>
        <w:t>Trusted</w:t>
      </w:r>
      <w:proofErr w:type="spellEnd"/>
      <w:r w:rsidRPr="00386828">
        <w:rPr>
          <w:lang w:val="fr-FR"/>
        </w:rPr>
        <w:t xml:space="preserve"> Partner » afin de stimuler de nouveaux progrès.</w:t>
      </w:r>
    </w:p>
    <w:p w14:paraId="2191FBAF" w14:textId="77777777" w:rsidR="007132C5" w:rsidRPr="00386828" w:rsidRDefault="007132C5" w:rsidP="007132C5">
      <w:pPr>
        <w:pStyle w:val="Corpsdetexte"/>
        <w:spacing w:before="4"/>
        <w:rPr>
          <w:sz w:val="25"/>
          <w:lang w:val="fr-FR"/>
        </w:rPr>
      </w:pPr>
    </w:p>
    <w:p w14:paraId="2A83DFE6" w14:textId="409EDCC9" w:rsidR="007132C5" w:rsidRDefault="007132C5" w:rsidP="009B113A">
      <w:pPr>
        <w:spacing w:line="276" w:lineRule="auto"/>
        <w:ind w:left="791" w:right="605"/>
        <w:jc w:val="both"/>
        <w:rPr>
          <w:lang w:val="fr-FR"/>
        </w:rPr>
      </w:pPr>
      <w:r w:rsidRPr="00386828">
        <w:rPr>
          <w:lang w:val="fr-FR"/>
        </w:rPr>
        <w:t>La dimension</w:t>
      </w:r>
      <w:r w:rsidRPr="00386828">
        <w:rPr>
          <w:b/>
          <w:lang w:val="fr-FR"/>
        </w:rPr>
        <w:t xml:space="preserve"> « </w:t>
      </w:r>
      <w:proofErr w:type="spellStart"/>
      <w:r w:rsidRPr="00386828">
        <w:rPr>
          <w:b/>
          <w:lang w:val="fr-FR"/>
        </w:rPr>
        <w:t>Regenerative</w:t>
      </w:r>
      <w:proofErr w:type="spellEnd"/>
      <w:r w:rsidRPr="00386828">
        <w:rPr>
          <w:b/>
          <w:lang w:val="fr-FR"/>
        </w:rPr>
        <w:t xml:space="preserve"> Planet » </w:t>
      </w:r>
      <w:r w:rsidRPr="00386828">
        <w:rPr>
          <w:lang w:val="fr-FR"/>
        </w:rPr>
        <w:t xml:space="preserve">traite de sujets importants tels que le climat, l'économie circulaire et les ressources naturelles. </w:t>
      </w:r>
      <w:r w:rsidRPr="00386828">
        <w:rPr>
          <w:b/>
          <w:lang w:val="fr-FR"/>
        </w:rPr>
        <w:t xml:space="preserve">Henkel vise désormais des activités </w:t>
      </w:r>
      <w:r w:rsidR="000C3192">
        <w:rPr>
          <w:b/>
          <w:lang w:val="fr-FR"/>
        </w:rPr>
        <w:t>« </w:t>
      </w:r>
      <w:proofErr w:type="spellStart"/>
      <w:r w:rsidR="000C3192">
        <w:rPr>
          <w:b/>
          <w:lang w:val="fr-FR"/>
        </w:rPr>
        <w:t>climate</w:t>
      </w:r>
      <w:proofErr w:type="spellEnd"/>
      <w:r w:rsidR="000C3192">
        <w:rPr>
          <w:b/>
          <w:lang w:val="fr-FR"/>
        </w:rPr>
        <w:t xml:space="preserve"> positive » </w:t>
      </w:r>
      <w:r w:rsidRPr="00386828">
        <w:rPr>
          <w:b/>
          <w:lang w:val="fr-FR"/>
        </w:rPr>
        <w:t>d'ici 2030</w:t>
      </w:r>
      <w:r w:rsidR="009B113A" w:rsidRPr="00386828">
        <w:rPr>
          <w:b/>
          <w:lang w:val="fr-FR"/>
        </w:rPr>
        <w:t> </w:t>
      </w:r>
      <w:r w:rsidRPr="00386828">
        <w:rPr>
          <w:lang w:val="fr-FR"/>
        </w:rPr>
        <w:t>- dix ans plus tôt que prévu - et vise à établir une trajectoire vers la neutralité carbone</w:t>
      </w:r>
      <w:r w:rsidR="000C3192">
        <w:rPr>
          <w:lang w:val="fr-FR"/>
        </w:rPr>
        <w:t xml:space="preserve"> (« net </w:t>
      </w:r>
      <w:proofErr w:type="spellStart"/>
      <w:r w:rsidR="000C3192">
        <w:rPr>
          <w:lang w:val="fr-FR"/>
        </w:rPr>
        <w:t>zero</w:t>
      </w:r>
      <w:proofErr w:type="spellEnd"/>
      <w:r w:rsidR="000C3192">
        <w:rPr>
          <w:lang w:val="fr-FR"/>
        </w:rPr>
        <w:t> »)</w:t>
      </w:r>
      <w:r w:rsidRPr="00386828">
        <w:rPr>
          <w:lang w:val="fr-FR"/>
        </w:rPr>
        <w:t xml:space="preserve"> pour les émissions du Scope 3 (de la source au rayon), conformément à l'initiative Science </w:t>
      </w:r>
      <w:proofErr w:type="spellStart"/>
      <w:r w:rsidRPr="00386828">
        <w:rPr>
          <w:lang w:val="fr-FR"/>
        </w:rPr>
        <w:t>Based</w:t>
      </w:r>
      <w:proofErr w:type="spellEnd"/>
      <w:r w:rsidRPr="00386828">
        <w:rPr>
          <w:lang w:val="fr-FR"/>
        </w:rPr>
        <w:t xml:space="preserve"> </w:t>
      </w:r>
      <w:proofErr w:type="spellStart"/>
      <w:r w:rsidRPr="00386828">
        <w:rPr>
          <w:lang w:val="fr-FR"/>
        </w:rPr>
        <w:t>Targets</w:t>
      </w:r>
      <w:proofErr w:type="spellEnd"/>
      <w:r w:rsidRPr="00386828">
        <w:rPr>
          <w:lang w:val="fr-FR"/>
        </w:rPr>
        <w:t xml:space="preserve">. Pour y parvenir, </w:t>
      </w:r>
      <w:r w:rsidRPr="00386828">
        <w:rPr>
          <w:b/>
          <w:lang w:val="fr-FR"/>
        </w:rPr>
        <w:t>100 % de l'électricité achetée proviendra de sources d'énergie</w:t>
      </w:r>
      <w:r w:rsidR="004A1F98" w:rsidRPr="00386828">
        <w:rPr>
          <w:b/>
          <w:lang w:val="fr-FR"/>
        </w:rPr>
        <w:t>s</w:t>
      </w:r>
      <w:r w:rsidRPr="00386828">
        <w:rPr>
          <w:b/>
          <w:lang w:val="fr-FR"/>
        </w:rPr>
        <w:t xml:space="preserve"> renouvelables d'ici à 2030</w:t>
      </w:r>
      <w:r w:rsidRPr="00386828">
        <w:rPr>
          <w:lang w:val="fr-FR"/>
        </w:rPr>
        <w:t>.</w:t>
      </w:r>
    </w:p>
    <w:p w14:paraId="614B6404" w14:textId="2448C81E" w:rsidR="000C3192" w:rsidRDefault="000C3192" w:rsidP="009B113A">
      <w:pPr>
        <w:spacing w:line="276" w:lineRule="auto"/>
        <w:ind w:left="791" w:right="605"/>
        <w:jc w:val="both"/>
        <w:rPr>
          <w:lang w:val="fr-FR"/>
        </w:rPr>
      </w:pPr>
    </w:p>
    <w:p w14:paraId="1731F880" w14:textId="77777777" w:rsidR="000C3192" w:rsidRPr="00386828" w:rsidRDefault="000C3192" w:rsidP="009B113A">
      <w:pPr>
        <w:spacing w:line="276" w:lineRule="auto"/>
        <w:ind w:left="791" w:right="605"/>
        <w:jc w:val="both"/>
        <w:rPr>
          <w:b/>
          <w:lang w:val="fr-FR"/>
        </w:rPr>
      </w:pPr>
    </w:p>
    <w:p w14:paraId="20314928" w14:textId="77777777" w:rsidR="007132C5" w:rsidRPr="00386828" w:rsidRDefault="007132C5" w:rsidP="007132C5">
      <w:pPr>
        <w:pStyle w:val="Corpsdetexte"/>
        <w:spacing w:before="3"/>
        <w:rPr>
          <w:sz w:val="25"/>
          <w:lang w:val="fr-FR"/>
        </w:rPr>
      </w:pPr>
    </w:p>
    <w:p w14:paraId="56F1EF21" w14:textId="77777777" w:rsidR="009C22C0" w:rsidRDefault="007132C5" w:rsidP="009C22C0">
      <w:pPr>
        <w:spacing w:line="276" w:lineRule="auto"/>
        <w:ind w:left="791" w:right="603"/>
        <w:jc w:val="both"/>
        <w:rPr>
          <w:lang w:val="fr-FR"/>
        </w:rPr>
      </w:pPr>
      <w:r w:rsidRPr="00386828">
        <w:rPr>
          <w:lang w:val="fr-FR"/>
        </w:rPr>
        <w:lastRenderedPageBreak/>
        <w:t xml:space="preserve">Afin de promouvoir une économie circulaire, Henkel s’est fixé pour objectif que </w:t>
      </w:r>
      <w:r w:rsidRPr="00386828">
        <w:rPr>
          <w:b/>
          <w:lang w:val="fr-FR"/>
        </w:rPr>
        <w:t xml:space="preserve">100 % de ses emballages soient recyclables ou réutilisables d'ici 2025. </w:t>
      </w:r>
      <w:r w:rsidRPr="00386828">
        <w:rPr>
          <w:lang w:val="fr-FR"/>
        </w:rPr>
        <w:t xml:space="preserve">Il s’agit notamment de porter à plus de 30 % la part de plastique recyclé pour tous les emballages des produits de consommation. En outre, Henkel a pour objectif de parvenir à une </w:t>
      </w:r>
      <w:r w:rsidRPr="00386828">
        <w:rPr>
          <w:b/>
          <w:lang w:val="fr-FR"/>
        </w:rPr>
        <w:t xml:space="preserve">utilisation circulaire de l'eau et des déchets de production </w:t>
      </w:r>
      <w:r w:rsidRPr="00386828">
        <w:rPr>
          <w:lang w:val="fr-FR"/>
        </w:rPr>
        <w:t xml:space="preserve">sur ses sites de production </w:t>
      </w:r>
      <w:r w:rsidRPr="00386828">
        <w:rPr>
          <w:b/>
          <w:lang w:val="fr-FR"/>
        </w:rPr>
        <w:t>d'ici 2030</w:t>
      </w:r>
      <w:r w:rsidRPr="00386828">
        <w:rPr>
          <w:lang w:val="fr-FR"/>
        </w:rPr>
        <w:t xml:space="preserve">. L’entreprise est également en bonne voie pour atteindre son objectif de </w:t>
      </w:r>
      <w:r w:rsidRPr="00386828">
        <w:rPr>
          <w:b/>
          <w:lang w:val="fr-FR"/>
        </w:rPr>
        <w:t xml:space="preserve">réduction de 35 % de la consommation d'eau par tonne de produit </w:t>
      </w:r>
      <w:r w:rsidRPr="00386828">
        <w:rPr>
          <w:lang w:val="fr-FR"/>
        </w:rPr>
        <w:t>en 2025 (par rapport à l'année de référence 2010).</w:t>
      </w:r>
    </w:p>
    <w:p w14:paraId="23A04C2A" w14:textId="28EE3EF4" w:rsidR="007132C5" w:rsidRPr="00386828" w:rsidRDefault="007132C5" w:rsidP="009C22C0">
      <w:pPr>
        <w:spacing w:line="276" w:lineRule="auto"/>
        <w:ind w:left="791" w:right="603"/>
        <w:jc w:val="both"/>
        <w:rPr>
          <w:lang w:val="fr-FR"/>
        </w:rPr>
      </w:pPr>
      <w:r w:rsidRPr="00386828">
        <w:rPr>
          <w:lang w:val="fr-FR"/>
        </w:rPr>
        <w:t>À l’avenir, Henkel regroupera des thèmes tels que l’égalité des chances, l’éducation et le bien-être sous la dimension</w:t>
      </w:r>
      <w:r w:rsidRPr="00386828">
        <w:rPr>
          <w:b/>
          <w:lang w:val="fr-FR"/>
        </w:rPr>
        <w:t xml:space="preserve"> « </w:t>
      </w:r>
      <w:proofErr w:type="spellStart"/>
      <w:r w:rsidRPr="00386828">
        <w:rPr>
          <w:b/>
          <w:lang w:val="fr-FR"/>
        </w:rPr>
        <w:t>Thriving</w:t>
      </w:r>
      <w:proofErr w:type="spellEnd"/>
      <w:r w:rsidRPr="00386828">
        <w:rPr>
          <w:b/>
          <w:lang w:val="fr-FR"/>
        </w:rPr>
        <w:t xml:space="preserve"> </w:t>
      </w:r>
      <w:proofErr w:type="spellStart"/>
      <w:r w:rsidRPr="00386828">
        <w:rPr>
          <w:b/>
          <w:lang w:val="fr-FR"/>
        </w:rPr>
        <w:t>Communities</w:t>
      </w:r>
      <w:proofErr w:type="spellEnd"/>
      <w:r w:rsidRPr="00386828">
        <w:rPr>
          <w:b/>
          <w:lang w:val="fr-FR"/>
        </w:rPr>
        <w:t> »</w:t>
      </w:r>
      <w:r w:rsidRPr="00386828">
        <w:rPr>
          <w:lang w:val="fr-FR"/>
        </w:rPr>
        <w:t xml:space="preserve">. Henkel s'est fixé l'ambition d'atteindre la </w:t>
      </w:r>
      <w:r w:rsidRPr="00386828">
        <w:rPr>
          <w:b/>
          <w:lang w:val="fr-FR"/>
        </w:rPr>
        <w:t xml:space="preserve">parité hommes-femmes </w:t>
      </w:r>
      <w:r w:rsidRPr="00386828">
        <w:rPr>
          <w:lang w:val="fr-FR"/>
        </w:rPr>
        <w:t xml:space="preserve">à tous les niveaux de </w:t>
      </w:r>
      <w:r w:rsidR="000C3192">
        <w:rPr>
          <w:lang w:val="fr-FR"/>
        </w:rPr>
        <w:t>management</w:t>
      </w:r>
      <w:r w:rsidRPr="00386828">
        <w:rPr>
          <w:lang w:val="fr-FR"/>
        </w:rPr>
        <w:t xml:space="preserve"> de l'entreprise d'ici 2025.</w:t>
      </w:r>
    </w:p>
    <w:p w14:paraId="369E1ADC" w14:textId="77777777" w:rsidR="007132C5" w:rsidRPr="00386828" w:rsidRDefault="007132C5" w:rsidP="007132C5">
      <w:pPr>
        <w:spacing w:line="276" w:lineRule="auto"/>
        <w:ind w:right="603"/>
        <w:jc w:val="both"/>
        <w:rPr>
          <w:lang w:val="fr-FR"/>
        </w:rPr>
      </w:pPr>
    </w:p>
    <w:p w14:paraId="664225F7" w14:textId="77777777" w:rsidR="007132C5" w:rsidRPr="00386828" w:rsidRDefault="007132C5" w:rsidP="007132C5">
      <w:pPr>
        <w:spacing w:line="276" w:lineRule="auto"/>
        <w:ind w:left="791" w:right="603"/>
        <w:jc w:val="both"/>
        <w:rPr>
          <w:lang w:val="fr-FR"/>
        </w:rPr>
      </w:pPr>
      <w:r w:rsidRPr="00386828">
        <w:rPr>
          <w:lang w:val="fr-FR"/>
        </w:rPr>
        <w:t xml:space="preserve">L’une des principales contributions de la troisième dimension, </w:t>
      </w:r>
      <w:r w:rsidRPr="00386828">
        <w:rPr>
          <w:b/>
          <w:bCs/>
          <w:lang w:val="fr-FR"/>
        </w:rPr>
        <w:t xml:space="preserve">« </w:t>
      </w:r>
      <w:proofErr w:type="spellStart"/>
      <w:r w:rsidRPr="00386828">
        <w:rPr>
          <w:b/>
          <w:bCs/>
          <w:lang w:val="fr-FR"/>
        </w:rPr>
        <w:t>Trusted</w:t>
      </w:r>
      <w:proofErr w:type="spellEnd"/>
      <w:r w:rsidRPr="00386828">
        <w:rPr>
          <w:b/>
          <w:bCs/>
          <w:lang w:val="fr-FR"/>
        </w:rPr>
        <w:t xml:space="preserve"> Partner »</w:t>
      </w:r>
      <w:r w:rsidRPr="00386828">
        <w:rPr>
          <w:lang w:val="fr-FR"/>
        </w:rPr>
        <w:t xml:space="preserve">, est l'objectif d'atteindre une </w:t>
      </w:r>
      <w:r w:rsidRPr="00386828">
        <w:rPr>
          <w:b/>
          <w:bCs/>
          <w:lang w:val="fr-FR"/>
        </w:rPr>
        <w:t>transparence à 100 % dans l’achat d’huile de palme (amande)</w:t>
      </w:r>
      <w:r w:rsidRPr="00386828">
        <w:rPr>
          <w:lang w:val="fr-FR"/>
        </w:rPr>
        <w:t xml:space="preserve"> d’ici 2025 et l’engagement à s’approvisionner de manière 100 % responsable avec tous les partenaires commerciaux.</w:t>
      </w:r>
    </w:p>
    <w:p w14:paraId="12B75E9B" w14:textId="77777777" w:rsidR="007132C5" w:rsidRPr="00386828" w:rsidRDefault="007132C5" w:rsidP="007132C5">
      <w:pPr>
        <w:spacing w:line="276" w:lineRule="auto"/>
        <w:ind w:left="791" w:right="603"/>
        <w:jc w:val="both"/>
        <w:rPr>
          <w:lang w:val="fr-FR"/>
        </w:rPr>
      </w:pPr>
    </w:p>
    <w:p w14:paraId="240B3147" w14:textId="77777777" w:rsidR="000417E2" w:rsidRDefault="007132C5" w:rsidP="000417E2">
      <w:pPr>
        <w:spacing w:after="240" w:line="276" w:lineRule="auto"/>
        <w:ind w:left="791" w:right="603"/>
        <w:jc w:val="both"/>
        <w:rPr>
          <w:i/>
          <w:iCs/>
          <w:lang w:val="fr-FR"/>
        </w:rPr>
      </w:pPr>
      <w:r w:rsidRPr="00386828">
        <w:rPr>
          <w:i/>
          <w:iCs/>
          <w:lang w:val="fr-FR"/>
        </w:rPr>
        <w:t xml:space="preserve">La </w:t>
      </w:r>
      <w:r w:rsidR="00506DD5" w:rsidRPr="00386828">
        <w:rPr>
          <w:i/>
          <w:iCs/>
          <w:lang w:val="fr-FR"/>
        </w:rPr>
        <w:t>digitalisation</w:t>
      </w:r>
      <w:r w:rsidRPr="00386828">
        <w:rPr>
          <w:i/>
          <w:iCs/>
          <w:lang w:val="fr-FR"/>
        </w:rPr>
        <w:t xml:space="preserve"> a encore progressé</w:t>
      </w:r>
    </w:p>
    <w:p w14:paraId="048D8C1D" w14:textId="5D79C86F" w:rsidR="007132C5" w:rsidRPr="000417E2" w:rsidRDefault="007132C5" w:rsidP="000417E2">
      <w:pPr>
        <w:spacing w:line="276" w:lineRule="auto"/>
        <w:ind w:left="791" w:right="603"/>
        <w:jc w:val="both"/>
        <w:rPr>
          <w:i/>
          <w:iCs/>
          <w:lang w:val="fr-FR"/>
        </w:rPr>
      </w:pPr>
      <w:r w:rsidRPr="00386828">
        <w:rPr>
          <w:lang w:val="fr-FR"/>
        </w:rPr>
        <w:t xml:space="preserve">Parallèlement à l’innovation et </w:t>
      </w:r>
      <w:r w:rsidR="00506DD5" w:rsidRPr="00386828">
        <w:rPr>
          <w:lang w:val="fr-FR"/>
        </w:rPr>
        <w:t>au développement durable</w:t>
      </w:r>
      <w:r w:rsidRPr="00386828">
        <w:rPr>
          <w:lang w:val="fr-FR"/>
        </w:rPr>
        <w:t xml:space="preserve">, Henkel a défini la </w:t>
      </w:r>
      <w:r w:rsidR="00103238" w:rsidRPr="00386828">
        <w:rPr>
          <w:b/>
          <w:bCs/>
          <w:lang w:val="fr-FR"/>
        </w:rPr>
        <w:t>digitalisation</w:t>
      </w:r>
      <w:r w:rsidRPr="00386828">
        <w:rPr>
          <w:lang w:val="fr-FR"/>
        </w:rPr>
        <w:t xml:space="preserve"> comme une priorité stratégique pour renforcer son avantage concurrentiel et a réalisé des progrès importants en 2021</w:t>
      </w:r>
      <w:r w:rsidRPr="00386828">
        <w:rPr>
          <w:b/>
          <w:bCs/>
          <w:lang w:val="fr-FR"/>
        </w:rPr>
        <w:t xml:space="preserve">. Les ventes </w:t>
      </w:r>
      <w:r w:rsidR="000C3192">
        <w:rPr>
          <w:b/>
          <w:bCs/>
          <w:lang w:val="fr-FR"/>
        </w:rPr>
        <w:t xml:space="preserve">issues du </w:t>
      </w:r>
      <w:r w:rsidR="00386828" w:rsidRPr="00386828">
        <w:rPr>
          <w:b/>
          <w:bCs/>
          <w:lang w:val="fr-FR"/>
        </w:rPr>
        <w:t>e-commerce o</w:t>
      </w:r>
      <w:r w:rsidRPr="00386828">
        <w:rPr>
          <w:b/>
          <w:bCs/>
          <w:lang w:val="fr-FR"/>
        </w:rPr>
        <w:t xml:space="preserve">nt à nouveau augmenté d’un pourcentage à deux chiffres </w:t>
      </w:r>
      <w:r w:rsidRPr="00386828">
        <w:rPr>
          <w:lang w:val="fr-FR"/>
        </w:rPr>
        <w:t xml:space="preserve">dans les trois </w:t>
      </w:r>
      <w:r w:rsidR="000C3192">
        <w:rPr>
          <w:lang w:val="fr-FR"/>
        </w:rPr>
        <w:t>branches</w:t>
      </w:r>
      <w:r w:rsidRPr="00386828">
        <w:rPr>
          <w:lang w:val="fr-FR"/>
        </w:rPr>
        <w:t xml:space="preserve">. La part des ventes </w:t>
      </w:r>
      <w:r w:rsidR="00386828" w:rsidRPr="00386828">
        <w:rPr>
          <w:lang w:val="fr-FR"/>
        </w:rPr>
        <w:t xml:space="preserve">e-commerce </w:t>
      </w:r>
      <w:r w:rsidRPr="00386828">
        <w:rPr>
          <w:lang w:val="fr-FR"/>
        </w:rPr>
        <w:t>au niveau du Groupe a ainsi augmenté à plus de 18 %. L’</w:t>
      </w:r>
      <w:r w:rsidR="009B113A" w:rsidRPr="00386828">
        <w:rPr>
          <w:lang w:val="fr-FR"/>
        </w:rPr>
        <w:t>entité</w:t>
      </w:r>
      <w:r w:rsidRPr="00386828">
        <w:rPr>
          <w:lang w:val="fr-FR"/>
        </w:rPr>
        <w:t xml:space="preserve"> </w:t>
      </w:r>
      <w:r w:rsidR="000C3192">
        <w:rPr>
          <w:lang w:val="fr-FR"/>
        </w:rPr>
        <w:t xml:space="preserve">en charge du digital, </w:t>
      </w:r>
      <w:r w:rsidRPr="00386828">
        <w:rPr>
          <w:lang w:val="fr-FR"/>
        </w:rPr>
        <w:t xml:space="preserve">Henkel dx, conjointement avec les trois </w:t>
      </w:r>
      <w:r w:rsidR="000C3192">
        <w:rPr>
          <w:lang w:val="fr-FR"/>
        </w:rPr>
        <w:t>branches</w:t>
      </w:r>
      <w:r w:rsidRPr="00386828">
        <w:rPr>
          <w:lang w:val="fr-FR"/>
        </w:rPr>
        <w:t xml:space="preserve">, a continué à piloter la transformation </w:t>
      </w:r>
      <w:r w:rsidR="009B113A" w:rsidRPr="00386828">
        <w:rPr>
          <w:lang w:val="fr-FR"/>
        </w:rPr>
        <w:t>digitale</w:t>
      </w:r>
      <w:r w:rsidRPr="00386828">
        <w:rPr>
          <w:lang w:val="fr-FR"/>
        </w:rPr>
        <w:t xml:space="preserve"> de l’entreprise et a ouvert les premiers « Innovation Hubs » à Berlin et Shanghai. Une plateforme intégrée pour les a</w:t>
      </w:r>
      <w:r w:rsidR="000C3192">
        <w:rPr>
          <w:lang w:val="fr-FR"/>
        </w:rPr>
        <w:t>ctivités</w:t>
      </w:r>
      <w:r w:rsidRPr="00386828">
        <w:rPr>
          <w:lang w:val="fr-FR"/>
        </w:rPr>
        <w:t xml:space="preserve"> numériques et le commerce électronique, développée en collaboration avec Adobe, est destinée à accélérer les innovations et à créer de nouvelles opportunités de croissance pour Henkel.</w:t>
      </w:r>
    </w:p>
    <w:p w14:paraId="2C35750F" w14:textId="77777777" w:rsidR="00D15B3F" w:rsidRPr="00386828" w:rsidRDefault="00D15B3F" w:rsidP="007132C5">
      <w:pPr>
        <w:spacing w:line="276" w:lineRule="auto"/>
        <w:ind w:left="791" w:right="603"/>
        <w:jc w:val="both"/>
        <w:rPr>
          <w:lang w:val="fr-FR"/>
        </w:rPr>
      </w:pPr>
    </w:p>
    <w:p w14:paraId="2FF9B7C0" w14:textId="77777777" w:rsidR="000417E2" w:rsidRDefault="007132C5" w:rsidP="000417E2">
      <w:pPr>
        <w:spacing w:line="276" w:lineRule="auto"/>
        <w:ind w:left="720" w:right="603"/>
        <w:jc w:val="both"/>
        <w:rPr>
          <w:i/>
          <w:iCs/>
          <w:lang w:val="fr-FR"/>
        </w:rPr>
      </w:pPr>
      <w:r w:rsidRPr="00386828">
        <w:rPr>
          <w:i/>
          <w:iCs/>
          <w:lang w:val="fr-FR"/>
        </w:rPr>
        <w:t xml:space="preserve">Élargissement des modèles </w:t>
      </w:r>
      <w:r w:rsidR="000C3192">
        <w:rPr>
          <w:i/>
          <w:iCs/>
          <w:lang w:val="fr-FR"/>
        </w:rPr>
        <w:t>opérationnels</w:t>
      </w:r>
      <w:r w:rsidRPr="00386828">
        <w:rPr>
          <w:i/>
          <w:iCs/>
          <w:lang w:val="fr-FR"/>
        </w:rPr>
        <w:t xml:space="preserve"> prêts pour l'avenir</w:t>
      </w:r>
    </w:p>
    <w:p w14:paraId="2C24B10E" w14:textId="0241C39B" w:rsidR="00386828" w:rsidRPr="000417E2" w:rsidRDefault="007132C5" w:rsidP="000417E2">
      <w:pPr>
        <w:spacing w:before="240" w:line="276" w:lineRule="auto"/>
        <w:ind w:left="720" w:right="603"/>
        <w:jc w:val="both"/>
        <w:rPr>
          <w:i/>
          <w:iCs/>
          <w:lang w:val="fr-FR"/>
        </w:rPr>
      </w:pPr>
      <w:r w:rsidRPr="00386828">
        <w:rPr>
          <w:lang w:val="fr-FR"/>
        </w:rPr>
        <w:t xml:space="preserve">Les </w:t>
      </w:r>
      <w:r w:rsidRPr="00386828">
        <w:rPr>
          <w:b/>
          <w:bCs/>
          <w:lang w:val="fr-FR"/>
        </w:rPr>
        <w:t xml:space="preserve">modèles </w:t>
      </w:r>
      <w:r w:rsidR="000C3192">
        <w:rPr>
          <w:b/>
          <w:bCs/>
          <w:lang w:val="fr-FR"/>
        </w:rPr>
        <w:t>opérationnels</w:t>
      </w:r>
      <w:r w:rsidRPr="00386828">
        <w:rPr>
          <w:lang w:val="fr-FR"/>
        </w:rPr>
        <w:t xml:space="preserve"> allégés, rapides et </w:t>
      </w:r>
      <w:r w:rsidRPr="00386828">
        <w:rPr>
          <w:b/>
          <w:bCs/>
          <w:lang w:val="fr-FR"/>
        </w:rPr>
        <w:t>prêts pour l'avenir</w:t>
      </w:r>
      <w:r w:rsidRPr="00386828">
        <w:rPr>
          <w:lang w:val="fr-FR"/>
        </w:rPr>
        <w:t xml:space="preserve"> sont des éléments</w:t>
      </w:r>
      <w:r w:rsidR="009B113A" w:rsidRPr="00386828">
        <w:rPr>
          <w:lang w:val="fr-FR"/>
        </w:rPr>
        <w:t xml:space="preserve"> cruciaux</w:t>
      </w:r>
      <w:r w:rsidRPr="00386828">
        <w:rPr>
          <w:lang w:val="fr-FR"/>
        </w:rPr>
        <w:t xml:space="preserve"> du cadre stratégique de Henkel. Henkel a encore étendu les changements lancés en 2020 : </w:t>
      </w:r>
      <w:r w:rsidR="000C3192">
        <w:rPr>
          <w:lang w:val="fr-FR"/>
        </w:rPr>
        <w:t xml:space="preserve">pour la branche </w:t>
      </w:r>
      <w:proofErr w:type="spellStart"/>
      <w:r w:rsidRPr="00386828">
        <w:rPr>
          <w:lang w:val="fr-FR"/>
        </w:rPr>
        <w:t>Adhesive</w:t>
      </w:r>
      <w:proofErr w:type="spellEnd"/>
      <w:r w:rsidRPr="00386828">
        <w:rPr>
          <w:lang w:val="fr-FR"/>
        </w:rPr>
        <w:t xml:space="preserve"> Technologies, la nouvelle </w:t>
      </w:r>
      <w:r w:rsidR="000C3192">
        <w:rPr>
          <w:lang w:val="fr-FR"/>
        </w:rPr>
        <w:t>organisation</w:t>
      </w:r>
      <w:r w:rsidR="009C22C0">
        <w:rPr>
          <w:lang w:val="fr-FR"/>
        </w:rPr>
        <w:t xml:space="preserve"> en</w:t>
      </w:r>
      <w:r w:rsidRPr="00386828">
        <w:rPr>
          <w:lang w:val="fr-FR"/>
        </w:rPr>
        <w:t xml:space="preserve"> </w:t>
      </w:r>
      <w:r w:rsidR="00103238" w:rsidRPr="00386828">
        <w:rPr>
          <w:lang w:val="fr-FR"/>
        </w:rPr>
        <w:t xml:space="preserve">quatre </w:t>
      </w:r>
      <w:r w:rsidR="009C22C0">
        <w:rPr>
          <w:lang w:val="fr-FR"/>
        </w:rPr>
        <w:t xml:space="preserve">divisions commerciales </w:t>
      </w:r>
      <w:r w:rsidRPr="00386828">
        <w:rPr>
          <w:lang w:val="fr-FR"/>
        </w:rPr>
        <w:t xml:space="preserve">composées de 11 unités commerciales stratégiques est solidement ancrée. Dans les </w:t>
      </w:r>
      <w:r w:rsidR="00103238" w:rsidRPr="00386828">
        <w:rPr>
          <w:lang w:val="fr-FR"/>
        </w:rPr>
        <w:t>branches</w:t>
      </w:r>
      <w:r w:rsidRPr="00386828">
        <w:rPr>
          <w:lang w:val="fr-FR"/>
        </w:rPr>
        <w:t xml:space="preserve"> Laundry &amp; Home Care et Beauty Care, les changements organisationnels visant à renforcer l'orientation régionale et la proximité avec les clients et les consommateurs ont été poursuivis. En outre, l'organisation des achats a été alignée encore plus étroitement sur les </w:t>
      </w:r>
      <w:r w:rsidR="009C22C0">
        <w:rPr>
          <w:lang w:val="fr-FR"/>
        </w:rPr>
        <w:t>entité</w:t>
      </w:r>
      <w:r w:rsidRPr="00386828">
        <w:rPr>
          <w:lang w:val="fr-FR"/>
        </w:rPr>
        <w:t xml:space="preserve">s commerciales et les marchés. La fusion prévue des </w:t>
      </w:r>
      <w:r w:rsidR="00103238" w:rsidRPr="00386828">
        <w:rPr>
          <w:lang w:val="fr-FR"/>
        </w:rPr>
        <w:t>branches</w:t>
      </w:r>
      <w:r w:rsidRPr="00386828">
        <w:rPr>
          <w:lang w:val="fr-FR"/>
        </w:rPr>
        <w:t xml:space="preserve"> Laundry &amp; Home Care et Beauty </w:t>
      </w:r>
    </w:p>
    <w:p w14:paraId="035CF0D5" w14:textId="1A6FB2B0" w:rsidR="00386828" w:rsidRPr="00386828" w:rsidRDefault="007132C5" w:rsidP="009C22C0">
      <w:pPr>
        <w:spacing w:line="276" w:lineRule="auto"/>
        <w:ind w:left="720" w:right="603"/>
        <w:jc w:val="both"/>
        <w:rPr>
          <w:lang w:val="fr-FR"/>
        </w:rPr>
      </w:pPr>
      <w:r w:rsidRPr="00386828">
        <w:rPr>
          <w:lang w:val="fr-FR"/>
        </w:rPr>
        <w:t xml:space="preserve">Care dans </w:t>
      </w:r>
      <w:r w:rsidR="009C22C0">
        <w:rPr>
          <w:lang w:val="fr-FR"/>
        </w:rPr>
        <w:t xml:space="preserve">une branche </w:t>
      </w:r>
      <w:r w:rsidRPr="00386828">
        <w:rPr>
          <w:lang w:val="fr-FR"/>
        </w:rPr>
        <w:t>« Henkel Consumer Brands » entraînera également une nouvelle optimisation des structures.</w:t>
      </w:r>
    </w:p>
    <w:p w14:paraId="298E3940" w14:textId="77777777" w:rsidR="00386828" w:rsidRPr="00386828" w:rsidRDefault="00386828" w:rsidP="00386828">
      <w:pPr>
        <w:spacing w:line="276" w:lineRule="auto"/>
        <w:ind w:right="603"/>
        <w:jc w:val="both"/>
        <w:rPr>
          <w:lang w:val="fr-FR"/>
        </w:rPr>
      </w:pPr>
    </w:p>
    <w:p w14:paraId="5E533AED" w14:textId="03A461EC" w:rsidR="007132C5" w:rsidRPr="00386828" w:rsidRDefault="007132C5" w:rsidP="00386828">
      <w:pPr>
        <w:spacing w:line="276" w:lineRule="auto"/>
        <w:ind w:left="720" w:right="603"/>
        <w:jc w:val="both"/>
        <w:rPr>
          <w:i/>
          <w:iCs/>
          <w:lang w:val="fr-FR"/>
        </w:rPr>
      </w:pPr>
      <w:r w:rsidRPr="00386828">
        <w:rPr>
          <w:i/>
          <w:iCs/>
          <w:lang w:val="fr-FR"/>
        </w:rPr>
        <w:lastRenderedPageBreak/>
        <w:t>Renforcement de la culture d'entreprise</w:t>
      </w:r>
    </w:p>
    <w:p w14:paraId="544D4B36" w14:textId="77777777" w:rsidR="00D15B3F" w:rsidRPr="00386828" w:rsidRDefault="00D15B3F" w:rsidP="007132C5">
      <w:pPr>
        <w:spacing w:line="276" w:lineRule="auto"/>
        <w:ind w:left="791" w:right="603"/>
        <w:jc w:val="both"/>
        <w:rPr>
          <w:i/>
          <w:iCs/>
          <w:lang w:val="fr-FR"/>
        </w:rPr>
      </w:pPr>
    </w:p>
    <w:p w14:paraId="2A3A6B04" w14:textId="2081B3A7" w:rsidR="007132C5" w:rsidRPr="00386828" w:rsidRDefault="007132C5" w:rsidP="007132C5">
      <w:pPr>
        <w:spacing w:line="276" w:lineRule="auto"/>
        <w:ind w:left="791" w:right="603"/>
        <w:jc w:val="both"/>
        <w:rPr>
          <w:lang w:val="fr-FR"/>
        </w:rPr>
      </w:pPr>
      <w:r w:rsidRPr="00386828">
        <w:rPr>
          <w:lang w:val="fr-FR"/>
        </w:rPr>
        <w:t xml:space="preserve">Henkel a encore renforcé sa culture d'entreprise dans le cadre de son programme stratégique. En 2020, Henkel a </w:t>
      </w:r>
      <w:r w:rsidR="009C22C0">
        <w:rPr>
          <w:lang w:val="fr-FR"/>
        </w:rPr>
        <w:t>présenté</w:t>
      </w:r>
      <w:r w:rsidRPr="00386828">
        <w:rPr>
          <w:lang w:val="fr-FR"/>
        </w:rPr>
        <w:t xml:space="preserve"> un</w:t>
      </w:r>
      <w:r w:rsidR="009C22C0">
        <w:rPr>
          <w:lang w:val="fr-FR"/>
        </w:rPr>
        <w:t>e nouvelle raison d’être d’entreprise (« </w:t>
      </w:r>
      <w:proofErr w:type="spellStart"/>
      <w:r w:rsidR="009C22C0">
        <w:rPr>
          <w:lang w:val="fr-FR"/>
        </w:rPr>
        <w:t>purpose</w:t>
      </w:r>
      <w:proofErr w:type="spellEnd"/>
      <w:r w:rsidR="009C22C0">
        <w:rPr>
          <w:lang w:val="fr-FR"/>
        </w:rPr>
        <w:t> »)</w:t>
      </w:r>
      <w:r w:rsidR="00386828" w:rsidRPr="00386828">
        <w:rPr>
          <w:lang w:val="fr-FR"/>
        </w:rPr>
        <w:t xml:space="preserve"> </w:t>
      </w:r>
      <w:r w:rsidRPr="00386828">
        <w:rPr>
          <w:lang w:val="fr-FR"/>
        </w:rPr>
        <w:t>et l'a lancé en interne et en externe : «</w:t>
      </w:r>
      <w:r w:rsidR="00641DC3" w:rsidRPr="00386828">
        <w:rPr>
          <w:lang w:val="fr-FR"/>
        </w:rPr>
        <w:t xml:space="preserve"> </w:t>
      </w:r>
      <w:proofErr w:type="spellStart"/>
      <w:r w:rsidR="00641DC3" w:rsidRPr="00386828">
        <w:rPr>
          <w:lang w:val="fr-FR"/>
        </w:rPr>
        <w:t>Pioneers</w:t>
      </w:r>
      <w:proofErr w:type="spellEnd"/>
      <w:r w:rsidR="00641DC3" w:rsidRPr="00386828">
        <w:rPr>
          <w:lang w:val="fr-FR"/>
        </w:rPr>
        <w:t xml:space="preserve"> at </w:t>
      </w:r>
      <w:proofErr w:type="spellStart"/>
      <w:r w:rsidR="00641DC3" w:rsidRPr="00386828">
        <w:rPr>
          <w:lang w:val="fr-FR"/>
        </w:rPr>
        <w:t>heart</w:t>
      </w:r>
      <w:proofErr w:type="spellEnd"/>
      <w:r w:rsidR="00641DC3" w:rsidRPr="00386828">
        <w:rPr>
          <w:lang w:val="fr-FR"/>
        </w:rPr>
        <w:t xml:space="preserve"> for the good of </w:t>
      </w:r>
      <w:proofErr w:type="spellStart"/>
      <w:r w:rsidR="00641DC3" w:rsidRPr="00386828">
        <w:rPr>
          <w:lang w:val="fr-FR"/>
        </w:rPr>
        <w:t>generations</w:t>
      </w:r>
      <w:proofErr w:type="spellEnd"/>
      <w:r w:rsidR="009C22C0">
        <w:rPr>
          <w:lang w:val="fr-FR"/>
        </w:rPr>
        <w:t xml:space="preserve"> </w:t>
      </w:r>
      <w:r w:rsidRPr="00386828">
        <w:rPr>
          <w:lang w:val="fr-FR"/>
        </w:rPr>
        <w:t>». L</w:t>
      </w:r>
      <w:r w:rsidR="00386828" w:rsidRPr="00386828">
        <w:rPr>
          <w:lang w:val="fr-FR"/>
        </w:rPr>
        <w:t>e nouv</w:t>
      </w:r>
      <w:r w:rsidR="009C22C0">
        <w:rPr>
          <w:lang w:val="fr-FR"/>
        </w:rPr>
        <w:t>eau « </w:t>
      </w:r>
      <w:proofErr w:type="spellStart"/>
      <w:r w:rsidR="009C22C0">
        <w:rPr>
          <w:lang w:val="fr-FR"/>
        </w:rPr>
        <w:t>purpose</w:t>
      </w:r>
      <w:proofErr w:type="spellEnd"/>
      <w:r w:rsidR="009C22C0">
        <w:rPr>
          <w:lang w:val="fr-FR"/>
        </w:rPr>
        <w:t xml:space="preserve"> » </w:t>
      </w:r>
      <w:r w:rsidR="00386828" w:rsidRPr="00386828">
        <w:rPr>
          <w:lang w:val="fr-FR"/>
        </w:rPr>
        <w:t xml:space="preserve">est </w:t>
      </w:r>
      <w:r w:rsidR="00506DD5" w:rsidRPr="00386828">
        <w:rPr>
          <w:lang w:val="fr-FR"/>
        </w:rPr>
        <w:t>une ligne directrice générale</w:t>
      </w:r>
      <w:r w:rsidRPr="00386828">
        <w:rPr>
          <w:lang w:val="fr-FR"/>
        </w:rPr>
        <w:t xml:space="preserve"> qui unit tous les collaborateurs de Henkel. Avec une nouvelle </w:t>
      </w:r>
      <w:r w:rsidR="00506DD5" w:rsidRPr="00386828">
        <w:rPr>
          <w:lang w:val="fr-FR"/>
        </w:rPr>
        <w:t xml:space="preserve">identité </w:t>
      </w:r>
      <w:r w:rsidRPr="00386828">
        <w:rPr>
          <w:lang w:val="fr-FR"/>
        </w:rPr>
        <w:t>visuelle dynamique de la marque d'entreprise, Henkel souligne son aspiration à être un pionnier dans la conduite de développements positifs sur ses marchés et dans son environnement soci</w:t>
      </w:r>
      <w:r w:rsidR="009C22C0">
        <w:rPr>
          <w:lang w:val="fr-FR"/>
        </w:rPr>
        <w:t>étal.</w:t>
      </w:r>
    </w:p>
    <w:p w14:paraId="0951D6CC" w14:textId="77777777" w:rsidR="003871D0" w:rsidRPr="00386828" w:rsidRDefault="003871D0" w:rsidP="007132C5">
      <w:pPr>
        <w:spacing w:line="276" w:lineRule="auto"/>
        <w:ind w:left="791" w:right="603"/>
        <w:jc w:val="both"/>
        <w:rPr>
          <w:lang w:val="fr-FR"/>
        </w:rPr>
      </w:pPr>
    </w:p>
    <w:p w14:paraId="7E2DB0CB" w14:textId="3C3E5557" w:rsidR="003871D0" w:rsidRPr="00386828" w:rsidRDefault="003871D0" w:rsidP="003871D0">
      <w:pPr>
        <w:pStyle w:val="Corpsdetexte"/>
        <w:spacing w:line="276" w:lineRule="auto"/>
        <w:ind w:left="791" w:right="603"/>
        <w:jc w:val="both"/>
        <w:rPr>
          <w:lang w:val="fr-FR"/>
        </w:rPr>
      </w:pPr>
      <w:r w:rsidRPr="00386828">
        <w:rPr>
          <w:lang w:val="fr-FR"/>
        </w:rPr>
        <w:t xml:space="preserve">Pour promouvoir la culture d'entreprise, de nombreuses formations et offres de perfectionnement ont été mises en place en 2021. Entre autres, un </w:t>
      </w:r>
      <w:r w:rsidRPr="00386828">
        <w:rPr>
          <w:b/>
          <w:lang w:val="fr-FR"/>
        </w:rPr>
        <w:t xml:space="preserve">programme </w:t>
      </w:r>
      <w:r w:rsidRPr="00386828">
        <w:rPr>
          <w:lang w:val="fr-FR"/>
        </w:rPr>
        <w:t xml:space="preserve">complet </w:t>
      </w:r>
      <w:r w:rsidRPr="00386828">
        <w:rPr>
          <w:b/>
          <w:lang w:val="fr-FR"/>
        </w:rPr>
        <w:t xml:space="preserve">de feedback à 360 degrés </w:t>
      </w:r>
      <w:r w:rsidRPr="00386828">
        <w:rPr>
          <w:lang w:val="fr-FR"/>
        </w:rPr>
        <w:t>a été introduit pour les cadres</w:t>
      </w:r>
      <w:r w:rsidR="00386828" w:rsidRPr="00386828">
        <w:rPr>
          <w:lang w:val="fr-FR"/>
        </w:rPr>
        <w:t xml:space="preserve">. </w:t>
      </w:r>
      <w:r w:rsidRPr="00386828">
        <w:rPr>
          <w:lang w:val="fr-FR"/>
        </w:rPr>
        <w:t xml:space="preserve">Henkel a également développé un concept holistique appelé « Smart Work » qui, à l’avenir, fournira un cadre global pour des sujets tels que </w:t>
      </w:r>
      <w:r w:rsidR="0031468C" w:rsidRPr="00386828">
        <w:rPr>
          <w:lang w:val="fr-FR"/>
        </w:rPr>
        <w:t>l</w:t>
      </w:r>
      <w:r w:rsidR="009C22C0">
        <w:rPr>
          <w:lang w:val="fr-FR"/>
        </w:rPr>
        <w:t>e télétravail,</w:t>
      </w:r>
      <w:r w:rsidRPr="00386828">
        <w:rPr>
          <w:lang w:val="fr-FR"/>
        </w:rPr>
        <w:t xml:space="preserve"> l</w:t>
      </w:r>
      <w:r w:rsidR="009C22C0">
        <w:rPr>
          <w:lang w:val="fr-FR"/>
        </w:rPr>
        <w:t>’environnement</w:t>
      </w:r>
      <w:r w:rsidRPr="00386828">
        <w:rPr>
          <w:lang w:val="fr-FR"/>
        </w:rPr>
        <w:t xml:space="preserve"> de travail numérique ou la santé des collaborateurs.</w:t>
      </w:r>
    </w:p>
    <w:p w14:paraId="2821B0DD" w14:textId="77777777" w:rsidR="003871D0" w:rsidRPr="00386828" w:rsidRDefault="003871D0" w:rsidP="003871D0">
      <w:pPr>
        <w:pStyle w:val="Corpsdetexte"/>
        <w:spacing w:line="276" w:lineRule="auto"/>
        <w:ind w:left="791" w:right="603"/>
        <w:jc w:val="both"/>
        <w:rPr>
          <w:lang w:val="fr-FR"/>
        </w:rPr>
      </w:pPr>
    </w:p>
    <w:p w14:paraId="4D8BEFF2" w14:textId="3F3ED11A" w:rsidR="003871D0" w:rsidRPr="00386828" w:rsidRDefault="003871D0" w:rsidP="003871D0">
      <w:pPr>
        <w:ind w:left="791"/>
        <w:jc w:val="both"/>
        <w:rPr>
          <w:b/>
          <w:lang w:val="fr-FR"/>
        </w:rPr>
      </w:pPr>
      <w:r w:rsidRPr="00386828">
        <w:rPr>
          <w:b/>
          <w:lang w:val="fr-FR"/>
        </w:rPr>
        <w:t xml:space="preserve">Le processus d’intégration de la nouvelle </w:t>
      </w:r>
      <w:r w:rsidR="00641DC3" w:rsidRPr="00386828">
        <w:rPr>
          <w:b/>
          <w:lang w:val="fr-FR"/>
        </w:rPr>
        <w:t>entité</w:t>
      </w:r>
      <w:r w:rsidRPr="00386828">
        <w:rPr>
          <w:b/>
          <w:lang w:val="fr-FR"/>
        </w:rPr>
        <w:t xml:space="preserve"> « Consumer Brands » a commencé</w:t>
      </w:r>
    </w:p>
    <w:p w14:paraId="0C80EE36" w14:textId="4FD986B5" w:rsidR="003871D0" w:rsidRPr="00386828" w:rsidRDefault="003871D0" w:rsidP="003871D0">
      <w:pPr>
        <w:pStyle w:val="Corpsdetexte"/>
        <w:spacing w:before="163" w:line="276" w:lineRule="auto"/>
        <w:ind w:left="791" w:right="602"/>
        <w:jc w:val="both"/>
        <w:rPr>
          <w:lang w:val="fr-FR"/>
        </w:rPr>
      </w:pPr>
      <w:r w:rsidRPr="00386828">
        <w:rPr>
          <w:lang w:val="fr-FR"/>
        </w:rPr>
        <w:t xml:space="preserve">Fin janvier 2022, Henkel a annoncé des mesures complètes pour faire passer la mise en œuvre de son plan de croissance ciblée au niveau supérieur. Henkel prévoit de fusionner les </w:t>
      </w:r>
      <w:r w:rsidR="009C22C0">
        <w:rPr>
          <w:lang w:val="fr-FR"/>
        </w:rPr>
        <w:t>branches</w:t>
      </w:r>
      <w:r w:rsidRPr="00386828">
        <w:rPr>
          <w:lang w:val="fr-FR"/>
        </w:rPr>
        <w:t xml:space="preserve"> Laundry &amp; Home Care et Beauty Care pour créer la nouvelle</w:t>
      </w:r>
      <w:r w:rsidR="00641DC3" w:rsidRPr="00386828">
        <w:rPr>
          <w:lang w:val="fr-FR"/>
        </w:rPr>
        <w:t xml:space="preserve"> </w:t>
      </w:r>
      <w:r w:rsidR="009C22C0">
        <w:rPr>
          <w:lang w:val="fr-FR"/>
        </w:rPr>
        <w:t>branche</w:t>
      </w:r>
      <w:r w:rsidRPr="00386828">
        <w:rPr>
          <w:lang w:val="fr-FR"/>
        </w:rPr>
        <w:t xml:space="preserve"> : </w:t>
      </w:r>
      <w:r w:rsidRPr="00386828">
        <w:rPr>
          <w:b/>
          <w:lang w:val="fr-FR"/>
        </w:rPr>
        <w:t>Henkel Consumer Brands</w:t>
      </w:r>
      <w:r w:rsidRPr="00386828">
        <w:rPr>
          <w:lang w:val="fr-FR"/>
        </w:rPr>
        <w:t xml:space="preserve">. Grâce à cette nouvelle </w:t>
      </w:r>
      <w:r w:rsidR="009C22C0">
        <w:rPr>
          <w:lang w:val="fr-FR"/>
        </w:rPr>
        <w:t>organisation</w:t>
      </w:r>
      <w:r w:rsidR="00386828" w:rsidRPr="00386828">
        <w:rPr>
          <w:lang w:val="fr-FR"/>
        </w:rPr>
        <w:t xml:space="preserve">, </w:t>
      </w:r>
      <w:r w:rsidRPr="00386828">
        <w:rPr>
          <w:lang w:val="fr-FR"/>
        </w:rPr>
        <w:t xml:space="preserve">Henkel mettra en place une plateforme multi-catégories pour l'ensemble des activités </w:t>
      </w:r>
      <w:r w:rsidR="00641DC3" w:rsidRPr="00386828">
        <w:rPr>
          <w:lang w:val="fr-FR"/>
        </w:rPr>
        <w:t>grand public</w:t>
      </w:r>
      <w:r w:rsidRPr="00386828">
        <w:rPr>
          <w:lang w:val="fr-FR"/>
        </w:rPr>
        <w:t xml:space="preserve"> sous un même toit, y compris de nombreuses marques emblématiques telles que Persil </w:t>
      </w:r>
      <w:r w:rsidR="00641DC3" w:rsidRPr="00386828">
        <w:rPr>
          <w:lang w:val="fr-FR"/>
        </w:rPr>
        <w:t xml:space="preserve">(Le Chat en France) </w:t>
      </w:r>
      <w:r w:rsidRPr="00386828">
        <w:rPr>
          <w:lang w:val="fr-FR"/>
        </w:rPr>
        <w:t xml:space="preserve">et Schwarzkopf ainsi que l'activité </w:t>
      </w:r>
      <w:proofErr w:type="spellStart"/>
      <w:r w:rsidRPr="00386828">
        <w:rPr>
          <w:lang w:val="fr-FR"/>
        </w:rPr>
        <w:t>Hair</w:t>
      </w:r>
      <w:proofErr w:type="spellEnd"/>
      <w:r w:rsidRPr="00386828">
        <w:rPr>
          <w:lang w:val="fr-FR"/>
        </w:rPr>
        <w:t xml:space="preserve"> Professional. La nouvelle </w:t>
      </w:r>
      <w:r w:rsidR="009C22C0">
        <w:rPr>
          <w:lang w:val="fr-FR"/>
        </w:rPr>
        <w:t>branche</w:t>
      </w:r>
      <w:r w:rsidRPr="00386828">
        <w:rPr>
          <w:lang w:val="fr-FR"/>
        </w:rPr>
        <w:t xml:space="preserve"> aura un chiffre d’affaires d’environ 10 milliards d'euros. La fusion a pour objectif de stimuler la croissance et la rentabilité de l'activité </w:t>
      </w:r>
      <w:r w:rsidR="00641DC3" w:rsidRPr="00386828">
        <w:rPr>
          <w:lang w:val="fr-FR"/>
        </w:rPr>
        <w:t>de produits de grande consommation</w:t>
      </w:r>
      <w:r w:rsidRPr="00386828">
        <w:rPr>
          <w:lang w:val="fr-FR"/>
        </w:rPr>
        <w:t xml:space="preserve"> de l'entreprise.</w:t>
      </w:r>
    </w:p>
    <w:p w14:paraId="676C27A5" w14:textId="77777777" w:rsidR="003871D0" w:rsidRPr="00386828" w:rsidRDefault="003871D0" w:rsidP="003871D0">
      <w:pPr>
        <w:spacing w:line="276" w:lineRule="auto"/>
        <w:ind w:right="603"/>
        <w:jc w:val="both"/>
        <w:rPr>
          <w:lang w:val="fr-FR"/>
        </w:rPr>
      </w:pPr>
    </w:p>
    <w:p w14:paraId="1B8CBA73" w14:textId="0DE8B6F5" w:rsidR="003871D0" w:rsidRPr="00386828" w:rsidRDefault="003871D0" w:rsidP="003871D0">
      <w:pPr>
        <w:pStyle w:val="Corpsdetexte"/>
        <w:spacing w:line="276" w:lineRule="auto"/>
        <w:ind w:left="791" w:right="603"/>
        <w:jc w:val="both"/>
        <w:rPr>
          <w:lang w:val="fr-FR"/>
        </w:rPr>
      </w:pPr>
      <w:r w:rsidRPr="00386828">
        <w:rPr>
          <w:lang w:val="fr-FR"/>
        </w:rPr>
        <w:t xml:space="preserve">Les </w:t>
      </w:r>
      <w:r w:rsidRPr="00386828">
        <w:rPr>
          <w:b/>
          <w:lang w:val="fr-FR"/>
        </w:rPr>
        <w:t xml:space="preserve">préparatifs du processus d’intégration </w:t>
      </w:r>
      <w:r w:rsidRPr="00386828">
        <w:rPr>
          <w:lang w:val="fr-FR"/>
        </w:rPr>
        <w:t xml:space="preserve">de la nouvelle </w:t>
      </w:r>
      <w:r w:rsidR="009C22C0">
        <w:rPr>
          <w:lang w:val="fr-FR"/>
        </w:rPr>
        <w:t>branche</w:t>
      </w:r>
      <w:r w:rsidRPr="00386828">
        <w:rPr>
          <w:lang w:val="fr-FR"/>
        </w:rPr>
        <w:t xml:space="preserve"> ont déjà commencé. </w:t>
      </w:r>
      <w:r w:rsidR="009C22C0">
        <w:rPr>
          <w:lang w:val="fr-FR"/>
        </w:rPr>
        <w:t xml:space="preserve">Cela comprend un dialogue initial et constructif </w:t>
      </w:r>
      <w:r w:rsidRPr="00386828">
        <w:rPr>
          <w:lang w:val="fr-FR"/>
        </w:rPr>
        <w:t xml:space="preserve">avec les représentants des collaborateurs. La structure organisationnelle de la future </w:t>
      </w:r>
      <w:r w:rsidR="009C22C0">
        <w:rPr>
          <w:lang w:val="fr-FR"/>
        </w:rPr>
        <w:t>branche</w:t>
      </w:r>
      <w:r w:rsidRPr="00386828">
        <w:rPr>
          <w:lang w:val="fr-FR"/>
        </w:rPr>
        <w:t xml:space="preserve"> a également été définie et communiquée en interne - avec quatre régions et deux segments commerciaux mondiaux soutenus par des fonctions centrales. En outre, le premier niveau de </w:t>
      </w:r>
      <w:r w:rsidR="009C22C0">
        <w:rPr>
          <w:lang w:val="fr-FR"/>
        </w:rPr>
        <w:t>management</w:t>
      </w:r>
      <w:r w:rsidRPr="00386828">
        <w:rPr>
          <w:lang w:val="fr-FR"/>
        </w:rPr>
        <w:t xml:space="preserve"> sous la responsabilité du </w:t>
      </w:r>
      <w:r w:rsidR="009C22C0">
        <w:rPr>
          <w:lang w:val="fr-FR"/>
        </w:rPr>
        <w:t xml:space="preserve">Comité de direction mondial (« management </w:t>
      </w:r>
      <w:proofErr w:type="spellStart"/>
      <w:r w:rsidR="009C22C0">
        <w:rPr>
          <w:lang w:val="fr-FR"/>
        </w:rPr>
        <w:t>board</w:t>
      </w:r>
      <w:proofErr w:type="spellEnd"/>
      <w:r w:rsidR="009C22C0">
        <w:rPr>
          <w:lang w:val="fr-FR"/>
        </w:rPr>
        <w:t xml:space="preserve"> ») </w:t>
      </w:r>
      <w:r w:rsidRPr="00386828">
        <w:rPr>
          <w:lang w:val="fr-FR"/>
        </w:rPr>
        <w:t xml:space="preserve">a été déterminé et une organisation de projet a été établie pour la fusion prochaine des deux </w:t>
      </w:r>
      <w:r w:rsidR="009C22C0">
        <w:rPr>
          <w:lang w:val="fr-FR"/>
        </w:rPr>
        <w:t>branches.</w:t>
      </w:r>
    </w:p>
    <w:p w14:paraId="3B30173E" w14:textId="77777777" w:rsidR="003871D0" w:rsidRPr="00386828" w:rsidRDefault="003871D0" w:rsidP="003871D0">
      <w:pPr>
        <w:pStyle w:val="Corpsdetexte"/>
        <w:spacing w:line="276" w:lineRule="auto"/>
        <w:ind w:left="791" w:right="603"/>
        <w:jc w:val="both"/>
        <w:rPr>
          <w:lang w:val="fr-FR"/>
        </w:rPr>
      </w:pPr>
    </w:p>
    <w:p w14:paraId="56BB3EA8" w14:textId="77777777" w:rsidR="009C22C0" w:rsidRDefault="009C22C0" w:rsidP="00431B12">
      <w:pPr>
        <w:pStyle w:val="Corpsdetexte"/>
        <w:spacing w:line="276" w:lineRule="auto"/>
        <w:ind w:left="791" w:right="603"/>
        <w:jc w:val="both"/>
        <w:rPr>
          <w:lang w:val="fr-FR"/>
        </w:rPr>
      </w:pPr>
    </w:p>
    <w:p w14:paraId="34477D36" w14:textId="77777777" w:rsidR="009C22C0" w:rsidRDefault="009C22C0" w:rsidP="00431B12">
      <w:pPr>
        <w:pStyle w:val="Corpsdetexte"/>
        <w:spacing w:line="276" w:lineRule="auto"/>
        <w:ind w:left="791" w:right="603"/>
        <w:jc w:val="both"/>
        <w:rPr>
          <w:lang w:val="fr-FR"/>
        </w:rPr>
      </w:pPr>
    </w:p>
    <w:p w14:paraId="22773CDC" w14:textId="3CBB739E" w:rsidR="009C22C0" w:rsidRDefault="009C22C0" w:rsidP="00431B12">
      <w:pPr>
        <w:pStyle w:val="Corpsdetexte"/>
        <w:spacing w:line="276" w:lineRule="auto"/>
        <w:ind w:left="791" w:right="603"/>
        <w:jc w:val="both"/>
        <w:rPr>
          <w:lang w:val="fr-FR"/>
        </w:rPr>
      </w:pPr>
    </w:p>
    <w:p w14:paraId="7E4F3B47" w14:textId="77777777" w:rsidR="000417E2" w:rsidRDefault="000417E2" w:rsidP="00431B12">
      <w:pPr>
        <w:pStyle w:val="Corpsdetexte"/>
        <w:spacing w:line="276" w:lineRule="auto"/>
        <w:ind w:left="791" w:right="603"/>
        <w:jc w:val="both"/>
        <w:rPr>
          <w:lang w:val="fr-FR"/>
        </w:rPr>
      </w:pPr>
    </w:p>
    <w:p w14:paraId="21DBFDBB" w14:textId="77777777" w:rsidR="009C22C0" w:rsidRDefault="009C22C0" w:rsidP="00431B12">
      <w:pPr>
        <w:pStyle w:val="Corpsdetexte"/>
        <w:spacing w:line="276" w:lineRule="auto"/>
        <w:ind w:left="791" w:right="603"/>
        <w:jc w:val="both"/>
        <w:rPr>
          <w:lang w:val="fr-FR"/>
        </w:rPr>
      </w:pPr>
    </w:p>
    <w:p w14:paraId="499AE864" w14:textId="77777777" w:rsidR="009C22C0" w:rsidRDefault="009C22C0" w:rsidP="00431B12">
      <w:pPr>
        <w:pStyle w:val="Corpsdetexte"/>
        <w:spacing w:line="276" w:lineRule="auto"/>
        <w:ind w:left="791" w:right="603"/>
        <w:jc w:val="both"/>
        <w:rPr>
          <w:lang w:val="fr-FR"/>
        </w:rPr>
      </w:pPr>
    </w:p>
    <w:p w14:paraId="3CE874F8" w14:textId="0243170D" w:rsidR="00431B12" w:rsidRPr="00386828" w:rsidRDefault="003871D0" w:rsidP="00431B12">
      <w:pPr>
        <w:pStyle w:val="Corpsdetexte"/>
        <w:spacing w:line="276" w:lineRule="auto"/>
        <w:ind w:left="791" w:right="603"/>
        <w:jc w:val="both"/>
        <w:rPr>
          <w:lang w:val="fr-FR"/>
        </w:rPr>
      </w:pPr>
      <w:r w:rsidRPr="00386828">
        <w:rPr>
          <w:lang w:val="fr-FR"/>
        </w:rPr>
        <w:lastRenderedPageBreak/>
        <w:t>En</w:t>
      </w:r>
      <w:r w:rsidR="009C22C0">
        <w:rPr>
          <w:lang w:val="fr-FR"/>
        </w:rPr>
        <w:t xml:space="preserve"> synthèse</w:t>
      </w:r>
      <w:r w:rsidRPr="00386828">
        <w:rPr>
          <w:lang w:val="fr-FR"/>
        </w:rPr>
        <w:t xml:space="preserve">, Carsten </w:t>
      </w:r>
      <w:proofErr w:type="spellStart"/>
      <w:r w:rsidRPr="00386828">
        <w:rPr>
          <w:lang w:val="fr-FR"/>
        </w:rPr>
        <w:t>Knobel</w:t>
      </w:r>
      <w:proofErr w:type="spellEnd"/>
      <w:r w:rsidRPr="00386828">
        <w:rPr>
          <w:lang w:val="fr-FR"/>
        </w:rPr>
        <w:t xml:space="preserve"> a déclaré : « Nous avons encore progressé en 2021 dans la mise en œuvre de notre plan stratégique et réalisé une bonne performance commerciale globale, bien que nous ayons continué à faire face à une pandémie mondiale ainsi qu'à des chaînes d'approvisionnement très tendues et à des augmentations exceptionnellement fortes des prix des matières premières et de</w:t>
      </w:r>
      <w:r w:rsidR="009C22C0">
        <w:rPr>
          <w:lang w:val="fr-FR"/>
        </w:rPr>
        <w:t>s coûts</w:t>
      </w:r>
      <w:r w:rsidRPr="00386828">
        <w:rPr>
          <w:lang w:val="fr-FR"/>
        </w:rPr>
        <w:t xml:space="preserve"> logistique</w:t>
      </w:r>
      <w:r w:rsidR="009C22C0">
        <w:rPr>
          <w:lang w:val="fr-FR"/>
        </w:rPr>
        <w:t>s</w:t>
      </w:r>
      <w:r w:rsidRPr="00386828">
        <w:rPr>
          <w:lang w:val="fr-FR"/>
        </w:rPr>
        <w:t xml:space="preserve">. Nous nous tournons maintenant vers l'avenir, vers les </w:t>
      </w:r>
      <w:r w:rsidR="00641DC3" w:rsidRPr="00386828">
        <w:rPr>
          <w:lang w:val="fr-FR"/>
        </w:rPr>
        <w:t>défis</w:t>
      </w:r>
      <w:r w:rsidRPr="00386828">
        <w:rPr>
          <w:lang w:val="fr-FR"/>
        </w:rPr>
        <w:t xml:space="preserve"> qui nous attendent </w:t>
      </w:r>
      <w:r w:rsidR="00641DC3" w:rsidRPr="00386828">
        <w:rPr>
          <w:lang w:val="fr-FR"/>
        </w:rPr>
        <w:t>pour</w:t>
      </w:r>
      <w:r w:rsidRPr="00386828">
        <w:rPr>
          <w:lang w:val="fr-FR"/>
        </w:rPr>
        <w:t xml:space="preserve"> 2022 et </w:t>
      </w:r>
      <w:r w:rsidR="00641DC3" w:rsidRPr="00386828">
        <w:rPr>
          <w:lang w:val="fr-FR"/>
        </w:rPr>
        <w:t>pour</w:t>
      </w:r>
      <w:r w:rsidRPr="00386828">
        <w:rPr>
          <w:lang w:val="fr-FR"/>
        </w:rPr>
        <w:t xml:space="preserve"> les années suivantes. Nous nous appuyons sur une stratégie claire pour générer une croissance ciblée et sur une équipe solide composée de collaborateurs motivés dans le monde entier. Nous faisons confiance à nos valeurs communes, à notre culture et à notre objectif pour nous guider. Je suis pleinement convaincu que nous atteindrons nos objectifs ambitieux et que nous mettrons en œuvre avec succès notre plan de croissance ciblée</w:t>
      </w:r>
      <w:bookmarkEnd w:id="10"/>
      <w:r w:rsidR="00641DC3" w:rsidRPr="00386828">
        <w:rPr>
          <w:lang w:val="fr-FR"/>
        </w:rPr>
        <w:t> »</w:t>
      </w:r>
      <w:r w:rsidR="009C22C0">
        <w:rPr>
          <w:lang w:val="fr-FR"/>
        </w:rPr>
        <w:t>.</w:t>
      </w:r>
    </w:p>
    <w:p w14:paraId="64C10FD2" w14:textId="77777777" w:rsidR="00D15B3F" w:rsidRPr="00386828" w:rsidRDefault="00D15B3F" w:rsidP="00431B12">
      <w:pPr>
        <w:pStyle w:val="Corpsdetexte"/>
        <w:spacing w:line="276" w:lineRule="auto"/>
        <w:ind w:left="791" w:right="603"/>
        <w:jc w:val="both"/>
        <w:rPr>
          <w:lang w:val="fr-FR"/>
        </w:rPr>
      </w:pPr>
    </w:p>
    <w:p w14:paraId="13E970BF" w14:textId="77777777" w:rsidR="009C22C0" w:rsidRDefault="009C22C0" w:rsidP="00386828">
      <w:pPr>
        <w:spacing w:before="80"/>
        <w:ind w:left="720"/>
        <w:jc w:val="both"/>
        <w:rPr>
          <w:b/>
          <w:bCs/>
          <w:u w:val="single"/>
          <w:lang w:val="fr-FR"/>
        </w:rPr>
      </w:pPr>
    </w:p>
    <w:p w14:paraId="287A85BF" w14:textId="77777777" w:rsidR="009C22C0" w:rsidRDefault="009C22C0" w:rsidP="00386828">
      <w:pPr>
        <w:spacing w:before="80"/>
        <w:ind w:left="720"/>
        <w:jc w:val="both"/>
        <w:rPr>
          <w:b/>
          <w:bCs/>
          <w:u w:val="single"/>
          <w:lang w:val="fr-FR"/>
        </w:rPr>
      </w:pPr>
    </w:p>
    <w:p w14:paraId="18016A6F" w14:textId="77777777" w:rsidR="009C22C0" w:rsidRDefault="009C22C0" w:rsidP="00386828">
      <w:pPr>
        <w:spacing w:before="80"/>
        <w:ind w:left="720"/>
        <w:jc w:val="both"/>
        <w:rPr>
          <w:b/>
          <w:bCs/>
          <w:u w:val="single"/>
          <w:lang w:val="fr-FR"/>
        </w:rPr>
      </w:pPr>
    </w:p>
    <w:p w14:paraId="4DF1758D" w14:textId="77777777" w:rsidR="009C22C0" w:rsidRDefault="009C22C0" w:rsidP="00386828">
      <w:pPr>
        <w:spacing w:before="80"/>
        <w:ind w:left="720"/>
        <w:jc w:val="both"/>
        <w:rPr>
          <w:b/>
          <w:bCs/>
          <w:u w:val="single"/>
          <w:lang w:val="fr-FR"/>
        </w:rPr>
      </w:pPr>
    </w:p>
    <w:p w14:paraId="453FE539" w14:textId="77777777" w:rsidR="009C22C0" w:rsidRDefault="009C22C0" w:rsidP="00386828">
      <w:pPr>
        <w:spacing w:before="80"/>
        <w:ind w:left="720"/>
        <w:jc w:val="both"/>
        <w:rPr>
          <w:b/>
          <w:bCs/>
          <w:u w:val="single"/>
          <w:lang w:val="fr-FR"/>
        </w:rPr>
      </w:pPr>
    </w:p>
    <w:p w14:paraId="0420775D" w14:textId="77777777" w:rsidR="009C22C0" w:rsidRDefault="009C22C0" w:rsidP="00386828">
      <w:pPr>
        <w:spacing w:before="80"/>
        <w:ind w:left="720"/>
        <w:jc w:val="both"/>
        <w:rPr>
          <w:b/>
          <w:bCs/>
          <w:u w:val="single"/>
          <w:lang w:val="fr-FR"/>
        </w:rPr>
      </w:pPr>
    </w:p>
    <w:p w14:paraId="672EB7EC" w14:textId="77777777" w:rsidR="009C22C0" w:rsidRDefault="009C22C0" w:rsidP="00386828">
      <w:pPr>
        <w:spacing w:before="80"/>
        <w:ind w:left="720"/>
        <w:jc w:val="both"/>
        <w:rPr>
          <w:b/>
          <w:bCs/>
          <w:u w:val="single"/>
          <w:lang w:val="fr-FR"/>
        </w:rPr>
      </w:pPr>
    </w:p>
    <w:p w14:paraId="311A5ABA" w14:textId="77777777" w:rsidR="009C22C0" w:rsidRDefault="009C22C0" w:rsidP="00386828">
      <w:pPr>
        <w:spacing w:before="80"/>
        <w:ind w:left="720"/>
        <w:jc w:val="both"/>
        <w:rPr>
          <w:b/>
          <w:bCs/>
          <w:u w:val="single"/>
          <w:lang w:val="fr-FR"/>
        </w:rPr>
      </w:pPr>
    </w:p>
    <w:p w14:paraId="29784FBC" w14:textId="77777777" w:rsidR="009C22C0" w:rsidRDefault="009C22C0" w:rsidP="00386828">
      <w:pPr>
        <w:spacing w:before="80"/>
        <w:ind w:left="720"/>
        <w:jc w:val="both"/>
        <w:rPr>
          <w:b/>
          <w:bCs/>
          <w:u w:val="single"/>
          <w:lang w:val="fr-FR"/>
        </w:rPr>
      </w:pPr>
    </w:p>
    <w:p w14:paraId="629AC5E7" w14:textId="77777777" w:rsidR="009C22C0" w:rsidRDefault="009C22C0" w:rsidP="00386828">
      <w:pPr>
        <w:spacing w:before="80"/>
        <w:ind w:left="720"/>
        <w:jc w:val="both"/>
        <w:rPr>
          <w:b/>
          <w:bCs/>
          <w:u w:val="single"/>
          <w:lang w:val="fr-FR"/>
        </w:rPr>
      </w:pPr>
    </w:p>
    <w:p w14:paraId="336EF079" w14:textId="77777777" w:rsidR="009C22C0" w:rsidRDefault="009C22C0" w:rsidP="00386828">
      <w:pPr>
        <w:spacing w:before="80"/>
        <w:ind w:left="720"/>
        <w:jc w:val="both"/>
        <w:rPr>
          <w:b/>
          <w:bCs/>
          <w:u w:val="single"/>
          <w:lang w:val="fr-FR"/>
        </w:rPr>
      </w:pPr>
    </w:p>
    <w:p w14:paraId="67F902C7" w14:textId="77777777" w:rsidR="009C22C0" w:rsidRDefault="009C22C0" w:rsidP="00386828">
      <w:pPr>
        <w:spacing w:before="80"/>
        <w:ind w:left="720"/>
        <w:jc w:val="both"/>
        <w:rPr>
          <w:b/>
          <w:bCs/>
          <w:u w:val="single"/>
          <w:lang w:val="fr-FR"/>
        </w:rPr>
      </w:pPr>
    </w:p>
    <w:p w14:paraId="4BC57696" w14:textId="77777777" w:rsidR="009C22C0" w:rsidRDefault="009C22C0" w:rsidP="00386828">
      <w:pPr>
        <w:spacing w:before="80"/>
        <w:ind w:left="720"/>
        <w:jc w:val="both"/>
        <w:rPr>
          <w:b/>
          <w:bCs/>
          <w:u w:val="single"/>
          <w:lang w:val="fr-FR"/>
        </w:rPr>
      </w:pPr>
    </w:p>
    <w:p w14:paraId="037250DE" w14:textId="77777777" w:rsidR="009C22C0" w:rsidRDefault="009C22C0" w:rsidP="00386828">
      <w:pPr>
        <w:spacing w:before="80"/>
        <w:ind w:left="720"/>
        <w:jc w:val="both"/>
        <w:rPr>
          <w:b/>
          <w:bCs/>
          <w:u w:val="single"/>
          <w:lang w:val="fr-FR"/>
        </w:rPr>
      </w:pPr>
    </w:p>
    <w:p w14:paraId="187978E2" w14:textId="77777777" w:rsidR="009C22C0" w:rsidRDefault="009C22C0" w:rsidP="00386828">
      <w:pPr>
        <w:spacing w:before="80"/>
        <w:ind w:left="720"/>
        <w:jc w:val="both"/>
        <w:rPr>
          <w:b/>
          <w:bCs/>
          <w:u w:val="single"/>
          <w:lang w:val="fr-FR"/>
        </w:rPr>
      </w:pPr>
    </w:p>
    <w:p w14:paraId="556D77B1" w14:textId="77777777" w:rsidR="009C22C0" w:rsidRDefault="009C22C0" w:rsidP="00386828">
      <w:pPr>
        <w:spacing w:before="80"/>
        <w:ind w:left="720"/>
        <w:jc w:val="both"/>
        <w:rPr>
          <w:b/>
          <w:bCs/>
          <w:u w:val="single"/>
          <w:lang w:val="fr-FR"/>
        </w:rPr>
      </w:pPr>
    </w:p>
    <w:p w14:paraId="7C6511A5" w14:textId="77777777" w:rsidR="009C22C0" w:rsidRDefault="009C22C0" w:rsidP="00386828">
      <w:pPr>
        <w:spacing w:before="80"/>
        <w:ind w:left="720"/>
        <w:jc w:val="both"/>
        <w:rPr>
          <w:b/>
          <w:bCs/>
          <w:u w:val="single"/>
          <w:lang w:val="fr-FR"/>
        </w:rPr>
      </w:pPr>
    </w:p>
    <w:p w14:paraId="088C90BA" w14:textId="77777777" w:rsidR="009C22C0" w:rsidRDefault="009C22C0" w:rsidP="00386828">
      <w:pPr>
        <w:spacing w:before="80"/>
        <w:ind w:left="720"/>
        <w:jc w:val="both"/>
        <w:rPr>
          <w:b/>
          <w:bCs/>
          <w:u w:val="single"/>
          <w:lang w:val="fr-FR"/>
        </w:rPr>
      </w:pPr>
    </w:p>
    <w:p w14:paraId="6CC963D4" w14:textId="77777777" w:rsidR="009C22C0" w:rsidRDefault="009C22C0" w:rsidP="00386828">
      <w:pPr>
        <w:spacing w:before="80"/>
        <w:ind w:left="720"/>
        <w:jc w:val="both"/>
        <w:rPr>
          <w:b/>
          <w:bCs/>
          <w:u w:val="single"/>
          <w:lang w:val="fr-FR"/>
        </w:rPr>
      </w:pPr>
    </w:p>
    <w:p w14:paraId="1314B5F5" w14:textId="77777777" w:rsidR="009C22C0" w:rsidRDefault="009C22C0" w:rsidP="00386828">
      <w:pPr>
        <w:spacing w:before="80"/>
        <w:ind w:left="720"/>
        <w:jc w:val="both"/>
        <w:rPr>
          <w:b/>
          <w:bCs/>
          <w:u w:val="single"/>
          <w:lang w:val="fr-FR"/>
        </w:rPr>
      </w:pPr>
    </w:p>
    <w:p w14:paraId="20788D74" w14:textId="77777777" w:rsidR="009C22C0" w:rsidRDefault="009C22C0" w:rsidP="00386828">
      <w:pPr>
        <w:spacing w:before="80"/>
        <w:ind w:left="720"/>
        <w:jc w:val="both"/>
        <w:rPr>
          <w:b/>
          <w:bCs/>
          <w:u w:val="single"/>
          <w:lang w:val="fr-FR"/>
        </w:rPr>
      </w:pPr>
    </w:p>
    <w:p w14:paraId="21F206E7" w14:textId="77777777" w:rsidR="009C22C0" w:rsidRDefault="009C22C0" w:rsidP="00386828">
      <w:pPr>
        <w:spacing w:before="80"/>
        <w:ind w:left="720"/>
        <w:jc w:val="both"/>
        <w:rPr>
          <w:b/>
          <w:bCs/>
          <w:u w:val="single"/>
          <w:lang w:val="fr-FR"/>
        </w:rPr>
      </w:pPr>
    </w:p>
    <w:p w14:paraId="54730D13" w14:textId="77777777" w:rsidR="009C22C0" w:rsidRDefault="009C22C0" w:rsidP="00386828">
      <w:pPr>
        <w:spacing w:before="80"/>
        <w:ind w:left="720"/>
        <w:jc w:val="both"/>
        <w:rPr>
          <w:b/>
          <w:bCs/>
          <w:u w:val="single"/>
          <w:lang w:val="fr-FR"/>
        </w:rPr>
      </w:pPr>
    </w:p>
    <w:p w14:paraId="356B12E1" w14:textId="77777777" w:rsidR="009C22C0" w:rsidRDefault="009C22C0" w:rsidP="00386828">
      <w:pPr>
        <w:spacing w:before="80"/>
        <w:ind w:left="720"/>
        <w:jc w:val="both"/>
        <w:rPr>
          <w:b/>
          <w:bCs/>
          <w:u w:val="single"/>
          <w:lang w:val="fr-FR"/>
        </w:rPr>
      </w:pPr>
    </w:p>
    <w:p w14:paraId="4DB887EA" w14:textId="77777777" w:rsidR="009C22C0" w:rsidRDefault="009C22C0" w:rsidP="00386828">
      <w:pPr>
        <w:spacing w:before="80"/>
        <w:ind w:left="720"/>
        <w:jc w:val="both"/>
        <w:rPr>
          <w:b/>
          <w:bCs/>
          <w:u w:val="single"/>
          <w:lang w:val="fr-FR"/>
        </w:rPr>
      </w:pPr>
    </w:p>
    <w:p w14:paraId="13BBAD8C" w14:textId="77777777" w:rsidR="009C22C0" w:rsidRDefault="009C22C0" w:rsidP="00386828">
      <w:pPr>
        <w:spacing w:before="80"/>
        <w:ind w:left="720"/>
        <w:jc w:val="both"/>
        <w:rPr>
          <w:b/>
          <w:bCs/>
          <w:u w:val="single"/>
          <w:lang w:val="fr-FR"/>
        </w:rPr>
      </w:pPr>
    </w:p>
    <w:p w14:paraId="1A5CB074" w14:textId="77777777" w:rsidR="009C22C0" w:rsidRDefault="009C22C0" w:rsidP="00386828">
      <w:pPr>
        <w:spacing w:before="80"/>
        <w:ind w:left="720"/>
        <w:jc w:val="both"/>
        <w:rPr>
          <w:b/>
          <w:bCs/>
          <w:u w:val="single"/>
          <w:lang w:val="fr-FR"/>
        </w:rPr>
      </w:pPr>
    </w:p>
    <w:p w14:paraId="0F54357A" w14:textId="21FDA2D6" w:rsidR="00A5252E" w:rsidRPr="00386828" w:rsidRDefault="00A5252E" w:rsidP="00386828">
      <w:pPr>
        <w:spacing w:before="80"/>
        <w:ind w:left="720"/>
        <w:jc w:val="both"/>
        <w:rPr>
          <w:b/>
          <w:bCs/>
          <w:u w:val="single"/>
          <w:lang w:val="fr-FR"/>
        </w:rPr>
      </w:pPr>
      <w:r w:rsidRPr="00386828">
        <w:rPr>
          <w:b/>
          <w:bCs/>
          <w:u w:val="single"/>
          <w:lang w:val="fr-FR"/>
        </w:rPr>
        <w:lastRenderedPageBreak/>
        <w:t>Ce communiqué de presse en français est une traduction de la version originale en anglais</w:t>
      </w:r>
    </w:p>
    <w:p w14:paraId="0000E4AC" w14:textId="77777777" w:rsidR="00A5252E" w:rsidRPr="00386828" w:rsidRDefault="00A5252E">
      <w:pPr>
        <w:spacing w:before="80"/>
        <w:ind w:left="791"/>
        <w:jc w:val="both"/>
        <w:rPr>
          <w:lang w:val="fr-FR"/>
        </w:rPr>
      </w:pPr>
    </w:p>
    <w:p w14:paraId="266A1CFF" w14:textId="7FCA4F61" w:rsidR="00B42EB5" w:rsidRPr="00386828" w:rsidRDefault="00721A9E">
      <w:pPr>
        <w:spacing w:before="80"/>
        <w:ind w:left="791"/>
        <w:jc w:val="both"/>
        <w:rPr>
          <w:b/>
          <w:sz w:val="18"/>
          <w:lang w:val="fr-FR"/>
        </w:rPr>
      </w:pPr>
      <w:r w:rsidRPr="00386828">
        <w:rPr>
          <w:b/>
          <w:sz w:val="18"/>
          <w:lang w:val="fr-FR"/>
        </w:rPr>
        <w:t>A</w:t>
      </w:r>
      <w:r w:rsidR="00A5252E" w:rsidRPr="00386828">
        <w:rPr>
          <w:b/>
          <w:sz w:val="18"/>
          <w:lang w:val="fr-FR"/>
        </w:rPr>
        <w:t xml:space="preserve"> propos de</w:t>
      </w:r>
      <w:r w:rsidRPr="00386828">
        <w:rPr>
          <w:b/>
          <w:spacing w:val="-1"/>
          <w:sz w:val="18"/>
          <w:lang w:val="fr-FR"/>
        </w:rPr>
        <w:t xml:space="preserve"> </w:t>
      </w:r>
      <w:r w:rsidRPr="00386828">
        <w:rPr>
          <w:b/>
          <w:sz w:val="18"/>
          <w:lang w:val="fr-FR"/>
        </w:rPr>
        <w:t>Henkel</w:t>
      </w:r>
    </w:p>
    <w:p w14:paraId="00CFA347" w14:textId="506DDF52" w:rsidR="00A5252E" w:rsidRPr="00386828" w:rsidRDefault="00721A9E" w:rsidP="00A5252E">
      <w:pPr>
        <w:spacing w:before="35" w:line="276" w:lineRule="auto"/>
        <w:ind w:left="791" w:right="603"/>
        <w:jc w:val="both"/>
        <w:rPr>
          <w:sz w:val="18"/>
          <w:lang w:val="fr-FR"/>
        </w:rPr>
      </w:pPr>
      <w:r w:rsidRPr="00386828">
        <w:rPr>
          <w:sz w:val="18"/>
          <w:lang w:val="fr-FR"/>
        </w:rPr>
        <w:t xml:space="preserve">Henkel </w:t>
      </w:r>
      <w:r w:rsidR="00841D64" w:rsidRPr="00386828">
        <w:rPr>
          <w:sz w:val="18"/>
          <w:lang w:val="fr-FR"/>
        </w:rPr>
        <w:t xml:space="preserve">est présent dans le monde entier avec un portefeuille d’activités diversifié et bien équilibré. L’entreprise détient des positions mondiales fortes dans ses trois secteurs, auprès des industriels comme des consommateurs grâce à ses marques puissantes, ses innovations et ses technologies. Le secteur </w:t>
      </w:r>
      <w:proofErr w:type="spellStart"/>
      <w:r w:rsidR="00841D64" w:rsidRPr="00386828">
        <w:rPr>
          <w:sz w:val="18"/>
          <w:lang w:val="fr-FR"/>
        </w:rPr>
        <w:t>Adhesive</w:t>
      </w:r>
      <w:proofErr w:type="spellEnd"/>
      <w:r w:rsidR="00841D64" w:rsidRPr="00386828">
        <w:rPr>
          <w:sz w:val="18"/>
          <w:lang w:val="fr-FR"/>
        </w:rPr>
        <w:t xml:space="preserve"> Technologies est leader mondial des adhésifs – sur tous ses segments industriels dans le monde. Avec ses activités Laundry &amp; Home Care et Beauty Care, Henkel détient des positions de leader sur un grand nombre de marchés et de catégories dans le monde. </w:t>
      </w:r>
      <w:r w:rsidR="00A5252E" w:rsidRPr="00386828">
        <w:rPr>
          <w:sz w:val="18"/>
          <w:lang w:val="fr-FR"/>
        </w:rPr>
        <w:t xml:space="preserve">Crée en 1876, Henkel s’appuie sur plus de 140 ans de réussite. En 2021, le Groupe a réalisé un chiffre d’affaires de plus de 20 milliards d’EUR et un bénéfice d’exploitation ajusté d’environ 2,7 milliards d’euros. Henkel emploie près de 52 000 personnes à travers le monde – une équipe passionnée, riche de sa grande diversité, unie par une culture forte, la volonté de créer ensemble de la valeur durable et des valeurs d’entreprise partagées. Reconnu comme un leader en matière de développement durable, Henkel détient des positions de premier plan dans différents classements et indices internationaux. Les actions préférentielles Henkel sont listées à l’indice boursier allemand DAX. Pour en savoir plus, rendez-vous sur </w:t>
      </w:r>
      <w:hyperlink r:id="rId10" w:history="1">
        <w:r w:rsidR="00A5252E" w:rsidRPr="00386828">
          <w:rPr>
            <w:rStyle w:val="Lienhypertexte"/>
            <w:sz w:val="18"/>
            <w:lang w:val="fr-FR"/>
          </w:rPr>
          <w:t>www.henkel.fr</w:t>
        </w:r>
      </w:hyperlink>
      <w:r w:rsidR="00A5252E" w:rsidRPr="00386828">
        <w:rPr>
          <w:sz w:val="18"/>
          <w:lang w:val="fr-FR"/>
        </w:rPr>
        <w:t xml:space="preserve">. </w:t>
      </w:r>
    </w:p>
    <w:p w14:paraId="2BC70DE5" w14:textId="77777777" w:rsidR="00B42EB5" w:rsidRPr="00386828" w:rsidRDefault="00B42EB5">
      <w:pPr>
        <w:pStyle w:val="Corpsdetexte"/>
        <w:spacing w:before="9"/>
        <w:rPr>
          <w:sz w:val="24"/>
          <w:lang w:val="fr-FR"/>
        </w:rPr>
      </w:pPr>
    </w:p>
    <w:p w14:paraId="0E6CD174" w14:textId="2B300F93" w:rsidR="00B42EB5" w:rsidRPr="00386828" w:rsidRDefault="00A5252E" w:rsidP="00557C23">
      <w:pPr>
        <w:spacing w:before="100" w:line="276" w:lineRule="auto"/>
        <w:ind w:left="791" w:right="604"/>
        <w:jc w:val="both"/>
        <w:rPr>
          <w:sz w:val="14"/>
          <w:lang w:val="fr-FR"/>
        </w:rPr>
      </w:pPr>
      <w:r w:rsidRPr="00386828">
        <w:rPr>
          <w:sz w:val="14"/>
          <w:lang w:val="fr-FR"/>
        </w:rPr>
        <w:t xml:space="preserve">Ce document contient des prévisions fondées sur les estimations et suppositions établies par la direction d’entreprise de Henkel AG &amp; Co. </w:t>
      </w:r>
      <w:proofErr w:type="spellStart"/>
      <w:r w:rsidRPr="00386828">
        <w:rPr>
          <w:sz w:val="14"/>
          <w:lang w:val="fr-FR"/>
        </w:rPr>
        <w:t>KGaA</w:t>
      </w:r>
      <w:proofErr w:type="spellEnd"/>
      <w:r w:rsidRPr="00386828">
        <w:rPr>
          <w:sz w:val="14"/>
          <w:lang w:val="fr-FR"/>
        </w:rPr>
        <w:t xml:space="preserve">. Les prévisions sont caractérisées par l’emploi de termes tels </w:t>
      </w:r>
      <w:proofErr w:type="gramStart"/>
      <w:r w:rsidRPr="00386828">
        <w:rPr>
          <w:sz w:val="14"/>
          <w:lang w:val="fr-FR"/>
        </w:rPr>
        <w:t>que attendre</w:t>
      </w:r>
      <w:proofErr w:type="gramEnd"/>
      <w:r w:rsidRPr="00386828">
        <w:rPr>
          <w:sz w:val="14"/>
          <w:lang w:val="fr-FR"/>
        </w:rPr>
        <w:t xml:space="preserve">, avoir l’intention, </w:t>
      </w:r>
      <w:r w:rsidR="00557C23" w:rsidRPr="00386828">
        <w:rPr>
          <w:sz w:val="14"/>
          <w:lang w:val="fr-FR"/>
        </w:rPr>
        <w:t>envisager, planifier</w:t>
      </w:r>
      <w:r w:rsidRPr="00386828">
        <w:rPr>
          <w:sz w:val="14"/>
          <w:lang w:val="fr-FR"/>
        </w:rPr>
        <w:t xml:space="preserve">, </w:t>
      </w:r>
      <w:r w:rsidR="00557C23" w:rsidRPr="00386828">
        <w:rPr>
          <w:sz w:val="14"/>
          <w:lang w:val="fr-FR"/>
        </w:rPr>
        <w:t>prédire</w:t>
      </w:r>
      <w:r w:rsidRPr="00386828">
        <w:rPr>
          <w:sz w:val="14"/>
          <w:lang w:val="fr-FR"/>
        </w:rPr>
        <w:t xml:space="preserve">, supposer, croire, estimer, anticiper, prévoir, etc. De telles affirmations ne doivent pas être conçues comme une quelconque garantie que ces prévisions vont se réaliser. La performance et les résultats futurs effectivement réalisés par Henkel AG &amp; Co. </w:t>
      </w:r>
      <w:proofErr w:type="spellStart"/>
      <w:r w:rsidRPr="00386828">
        <w:rPr>
          <w:sz w:val="14"/>
          <w:lang w:val="fr-FR"/>
        </w:rPr>
        <w:t>KGaA</w:t>
      </w:r>
      <w:proofErr w:type="spellEnd"/>
      <w:r w:rsidRPr="00386828">
        <w:rPr>
          <w:sz w:val="14"/>
          <w:lang w:val="fr-FR"/>
        </w:rPr>
        <w:t xml:space="preserve"> et ses filiales comportent de nombreux risques et incertitudes et peuvent par conséquent diverger sensiblement des prévisions initiales. Nombre de ces facteurs échappent au contrôle direct de Henkel et ne peuvent être évalués avec précision à l’avance, à commencer par l’environnement économique futur, et les actions des concurrents et d’autres acteurs impliqués sur les marchés. Henkel n’a pas l’intention de mettre à jour les prévisions et ne le fera jamais</w:t>
      </w:r>
      <w:r w:rsidR="00721A9E" w:rsidRPr="00386828">
        <w:rPr>
          <w:sz w:val="14"/>
          <w:lang w:val="fr-FR"/>
        </w:rPr>
        <w:t>.</w:t>
      </w:r>
    </w:p>
    <w:p w14:paraId="7FABF8A6" w14:textId="77777777" w:rsidR="00B42EB5" w:rsidRPr="00386828" w:rsidRDefault="00B42EB5">
      <w:pPr>
        <w:pStyle w:val="Corpsdetexte"/>
        <w:spacing w:before="1"/>
        <w:rPr>
          <w:sz w:val="16"/>
          <w:lang w:val="fr-FR"/>
        </w:rPr>
      </w:pPr>
    </w:p>
    <w:p w14:paraId="036EEA46" w14:textId="06C1B567" w:rsidR="00B42EB5" w:rsidRPr="00386828" w:rsidRDefault="00A5252E">
      <w:pPr>
        <w:spacing w:line="276" w:lineRule="auto"/>
        <w:ind w:left="791" w:right="604"/>
        <w:jc w:val="both"/>
        <w:rPr>
          <w:sz w:val="14"/>
          <w:lang w:val="fr-FR"/>
        </w:rPr>
      </w:pPr>
      <w:r w:rsidRPr="00386828">
        <w:rPr>
          <w:sz w:val="14"/>
          <w:lang w:val="fr-FR"/>
        </w:rPr>
        <w:t xml:space="preserve">Ce document contient – dans le cadre de </w:t>
      </w:r>
      <w:proofErr w:type="spellStart"/>
      <w:r w:rsidRPr="00386828">
        <w:rPr>
          <w:sz w:val="14"/>
          <w:lang w:val="fr-FR"/>
        </w:rPr>
        <w:t>reporting</w:t>
      </w:r>
      <w:proofErr w:type="spellEnd"/>
      <w:r w:rsidRPr="00386828">
        <w:rPr>
          <w:sz w:val="14"/>
          <w:lang w:val="fr-FR"/>
        </w:rPr>
        <w:t xml:space="preserve"> financier en vigueur qui n’est pas clairement défini – des indicateurs financiers supplémentaires qui sont ou peuvent être des moyens alternatifs d’évaluer les performances (indicateurs dits « non GAAP »). Ces indicateurs financiers supplémentaires ne doivent pas être pris en compte isolément ou comme des moyens de mesurer les actifs nets et les positions financières de Henkel ou le résultat de ses opérations ; tels que présentés dans le cadre de ses États financiers consolidés. D’autres entreprises qui utilisent ou décrivent des indicateurs de performance portant le même nom peuvent les calculer d’une manière différente</w:t>
      </w:r>
      <w:r w:rsidR="00721A9E" w:rsidRPr="00386828">
        <w:rPr>
          <w:sz w:val="14"/>
          <w:lang w:val="fr-FR"/>
        </w:rPr>
        <w:t>.</w:t>
      </w:r>
    </w:p>
    <w:p w14:paraId="511E3D8B" w14:textId="77777777" w:rsidR="00B42EB5" w:rsidRPr="00386828" w:rsidRDefault="00B42EB5">
      <w:pPr>
        <w:pStyle w:val="Corpsdetexte"/>
        <w:spacing w:before="1"/>
        <w:rPr>
          <w:sz w:val="16"/>
          <w:lang w:val="fr-FR"/>
        </w:rPr>
      </w:pPr>
    </w:p>
    <w:p w14:paraId="102BED98" w14:textId="408FA3EA" w:rsidR="00B42EB5" w:rsidRPr="00386828" w:rsidRDefault="00A5252E">
      <w:pPr>
        <w:spacing w:line="276" w:lineRule="auto"/>
        <w:ind w:left="791" w:right="605"/>
        <w:jc w:val="both"/>
        <w:rPr>
          <w:sz w:val="14"/>
          <w:lang w:val="fr-FR"/>
        </w:rPr>
      </w:pPr>
      <w:r w:rsidRPr="00386828">
        <w:rPr>
          <w:spacing w:val="-1"/>
          <w:sz w:val="14"/>
          <w:lang w:val="fr-FR"/>
        </w:rPr>
        <w:t>Ce communiqué est publié à titre informatif uniquement et ne représente pas un conseil en investissement. Ce n'est pas une offre de vente de titres ni une demande d'offre d'achat de titres</w:t>
      </w:r>
      <w:r w:rsidR="00721A9E" w:rsidRPr="00386828">
        <w:rPr>
          <w:sz w:val="14"/>
          <w:lang w:val="fr-FR"/>
        </w:rPr>
        <w:t>.</w:t>
      </w:r>
    </w:p>
    <w:p w14:paraId="00468982" w14:textId="77777777" w:rsidR="00B42EB5" w:rsidRPr="00386828" w:rsidRDefault="00B42EB5">
      <w:pPr>
        <w:pStyle w:val="Corpsdetexte"/>
        <w:rPr>
          <w:sz w:val="18"/>
          <w:lang w:val="fr-FR"/>
        </w:rPr>
      </w:pPr>
    </w:p>
    <w:p w14:paraId="2D15F6ED" w14:textId="77777777" w:rsidR="00B42EB5" w:rsidRPr="00386828" w:rsidRDefault="00B42EB5">
      <w:pPr>
        <w:pStyle w:val="Corpsdetexte"/>
        <w:spacing w:before="10"/>
        <w:rPr>
          <w:sz w:val="20"/>
          <w:lang w:val="fr-FR"/>
        </w:rPr>
      </w:pPr>
    </w:p>
    <w:p w14:paraId="3EAEAC81" w14:textId="18D148B1" w:rsidR="00B42EB5" w:rsidRPr="00386828" w:rsidRDefault="00721A9E">
      <w:pPr>
        <w:ind w:left="791"/>
        <w:rPr>
          <w:b/>
          <w:sz w:val="18"/>
        </w:rPr>
      </w:pPr>
      <w:r w:rsidRPr="00386828">
        <w:rPr>
          <w:b/>
          <w:sz w:val="18"/>
        </w:rPr>
        <w:t>Contacts</w:t>
      </w:r>
      <w:r w:rsidR="00A5252E" w:rsidRPr="00386828">
        <w:rPr>
          <w:b/>
          <w:sz w:val="18"/>
        </w:rPr>
        <w:t xml:space="preserve"> </w:t>
      </w:r>
      <w:proofErr w:type="spellStart"/>
      <w:r w:rsidR="00A5252E" w:rsidRPr="00386828">
        <w:rPr>
          <w:b/>
          <w:sz w:val="18"/>
        </w:rPr>
        <w:t>presse</w:t>
      </w:r>
      <w:proofErr w:type="spellEnd"/>
    </w:p>
    <w:p w14:paraId="46A14886" w14:textId="77777777" w:rsidR="00B42EB5" w:rsidRPr="00386828" w:rsidRDefault="00B42EB5">
      <w:pPr>
        <w:pStyle w:val="Corpsdetexte"/>
        <w:spacing w:before="6"/>
        <w:rPr>
          <w:b/>
          <w:sz w:val="23"/>
        </w:rPr>
      </w:pPr>
    </w:p>
    <w:p w14:paraId="50FA1D5C" w14:textId="5AA777B2" w:rsidR="00A5252E" w:rsidRPr="00386828" w:rsidRDefault="00A5252E" w:rsidP="00A5252E">
      <w:pPr>
        <w:tabs>
          <w:tab w:val="left" w:pos="5291"/>
        </w:tabs>
        <w:ind w:left="791"/>
        <w:rPr>
          <w:b/>
          <w:sz w:val="18"/>
          <w:szCs w:val="18"/>
        </w:rPr>
      </w:pPr>
      <w:bookmarkStart w:id="14" w:name="_Hlk96504170"/>
      <w:r w:rsidRPr="00386828">
        <w:rPr>
          <w:b/>
          <w:sz w:val="18"/>
          <w:szCs w:val="18"/>
        </w:rPr>
        <w:t xml:space="preserve">Henkel </w:t>
      </w:r>
      <w:r w:rsidR="00721A9E" w:rsidRPr="00386828">
        <w:rPr>
          <w:b/>
          <w:sz w:val="18"/>
          <w:szCs w:val="18"/>
        </w:rPr>
        <w:tab/>
      </w:r>
      <w:proofErr w:type="spellStart"/>
      <w:r w:rsidRPr="00386828">
        <w:rPr>
          <w:b/>
          <w:sz w:val="18"/>
          <w:szCs w:val="18"/>
        </w:rPr>
        <w:t>Agence</w:t>
      </w:r>
      <w:proofErr w:type="spellEnd"/>
      <w:r w:rsidRPr="00386828">
        <w:rPr>
          <w:b/>
          <w:sz w:val="18"/>
          <w:szCs w:val="18"/>
        </w:rPr>
        <w:t xml:space="preserve"> </w:t>
      </w:r>
      <w:proofErr w:type="spellStart"/>
      <w:r w:rsidRPr="00386828">
        <w:rPr>
          <w:b/>
          <w:sz w:val="18"/>
          <w:szCs w:val="18"/>
        </w:rPr>
        <w:t>Burson</w:t>
      </w:r>
      <w:proofErr w:type="spellEnd"/>
      <w:r w:rsidRPr="00386828">
        <w:rPr>
          <w:b/>
          <w:sz w:val="18"/>
          <w:szCs w:val="18"/>
        </w:rPr>
        <w:t xml:space="preserve"> Cohn &amp; Wolf</w:t>
      </w:r>
    </w:p>
    <w:p w14:paraId="1A9BE251" w14:textId="11EE2454" w:rsidR="00A5252E" w:rsidRPr="00386828" w:rsidRDefault="00A5252E" w:rsidP="00A5252E">
      <w:pPr>
        <w:tabs>
          <w:tab w:val="left" w:pos="5290"/>
          <w:tab w:val="left" w:pos="6036"/>
        </w:tabs>
        <w:spacing w:before="23"/>
        <w:ind w:left="791"/>
        <w:rPr>
          <w:sz w:val="18"/>
          <w:szCs w:val="18"/>
          <w:lang w:val="fr-FR"/>
        </w:rPr>
      </w:pPr>
      <w:r w:rsidRPr="00386828">
        <w:rPr>
          <w:sz w:val="18"/>
          <w:szCs w:val="18"/>
          <w:lang w:val="fr-FR"/>
        </w:rPr>
        <w:t>Octavie Blandin                                                                  Paolo Ghilardi</w:t>
      </w:r>
    </w:p>
    <w:p w14:paraId="06B162EA" w14:textId="2623C61E" w:rsidR="00A5252E" w:rsidRPr="00386828" w:rsidRDefault="00557C23" w:rsidP="00A5252E">
      <w:pPr>
        <w:tabs>
          <w:tab w:val="left" w:pos="5290"/>
          <w:tab w:val="left" w:pos="6036"/>
        </w:tabs>
        <w:spacing w:before="23"/>
        <w:ind w:left="791"/>
        <w:rPr>
          <w:color w:val="0000FF"/>
          <w:sz w:val="18"/>
          <w:szCs w:val="18"/>
          <w:lang w:val="fr-FR"/>
        </w:rPr>
      </w:pPr>
      <w:r w:rsidRPr="00386828">
        <w:rPr>
          <w:sz w:val="18"/>
          <w:szCs w:val="18"/>
          <w:lang w:val="fr-FR"/>
        </w:rPr>
        <w:t>Tél :</w:t>
      </w:r>
      <w:r w:rsidR="00A5252E" w:rsidRPr="00386828">
        <w:rPr>
          <w:sz w:val="18"/>
          <w:szCs w:val="18"/>
          <w:lang w:val="fr-FR"/>
        </w:rPr>
        <w:t xml:space="preserve"> 01 46 84 92 45                                                            Tél : 01 56 03 1302 </w:t>
      </w:r>
    </w:p>
    <w:p w14:paraId="6945F0E6" w14:textId="2C689935" w:rsidR="00B42EB5" w:rsidRPr="00386828" w:rsidRDefault="00557C23">
      <w:pPr>
        <w:tabs>
          <w:tab w:val="left" w:pos="1500"/>
          <w:tab w:val="left" w:pos="5291"/>
          <w:tab w:val="left" w:pos="6036"/>
        </w:tabs>
        <w:spacing w:before="25"/>
        <w:ind w:left="791"/>
        <w:rPr>
          <w:sz w:val="18"/>
          <w:szCs w:val="18"/>
          <w:lang w:val="fr-FR"/>
        </w:rPr>
      </w:pPr>
      <w:r w:rsidRPr="00386828">
        <w:rPr>
          <w:color w:val="0000FF"/>
          <w:sz w:val="18"/>
          <w:szCs w:val="18"/>
          <w:u w:val="single"/>
          <w:lang w:val="fr-FR"/>
        </w:rPr>
        <w:t>o</w:t>
      </w:r>
      <w:r w:rsidR="00A5252E" w:rsidRPr="00386828">
        <w:rPr>
          <w:color w:val="0000FF"/>
          <w:sz w:val="18"/>
          <w:szCs w:val="18"/>
          <w:u w:val="single"/>
          <w:lang w:val="fr-FR"/>
        </w:rPr>
        <w:t>ctavie.blandin@henkel.com</w:t>
      </w:r>
      <w:r w:rsidR="00721A9E" w:rsidRPr="00386828">
        <w:rPr>
          <w:sz w:val="18"/>
          <w:szCs w:val="18"/>
          <w:lang w:val="fr-FR"/>
        </w:rPr>
        <w:tab/>
      </w:r>
      <w:hyperlink r:id="rId11" w:history="1">
        <w:r w:rsidR="00A5252E" w:rsidRPr="00386828">
          <w:rPr>
            <w:rStyle w:val="Lienhypertexte"/>
            <w:sz w:val="18"/>
            <w:szCs w:val="18"/>
            <w:lang w:val="fr-FR"/>
          </w:rPr>
          <w:t>paolo.ghilardi@bcw-global.com</w:t>
        </w:r>
      </w:hyperlink>
    </w:p>
    <w:bookmarkEnd w:id="14"/>
    <w:p w14:paraId="6EDDEC1D" w14:textId="77777777" w:rsidR="00A5252E" w:rsidRPr="00386828" w:rsidRDefault="00A5252E">
      <w:pPr>
        <w:tabs>
          <w:tab w:val="left" w:pos="1500"/>
          <w:tab w:val="left" w:pos="5291"/>
          <w:tab w:val="left" w:pos="6036"/>
        </w:tabs>
        <w:spacing w:before="25"/>
        <w:ind w:left="791"/>
        <w:rPr>
          <w:sz w:val="18"/>
          <w:lang w:val="fr-FR"/>
        </w:rPr>
      </w:pPr>
    </w:p>
    <w:p w14:paraId="543DEBED" w14:textId="77777777" w:rsidR="00B42EB5" w:rsidRDefault="00B42EB5">
      <w:pPr>
        <w:spacing w:line="264" w:lineRule="auto"/>
        <w:rPr>
          <w:sz w:val="18"/>
          <w:lang w:val="fr-FR"/>
        </w:rPr>
      </w:pPr>
    </w:p>
    <w:p w14:paraId="5BC69CAD" w14:textId="77777777" w:rsidR="009C22C0" w:rsidRDefault="009C22C0">
      <w:pPr>
        <w:spacing w:line="264" w:lineRule="auto"/>
        <w:rPr>
          <w:sz w:val="18"/>
          <w:lang w:val="fr-FR"/>
        </w:rPr>
      </w:pPr>
    </w:p>
    <w:p w14:paraId="48080286" w14:textId="77777777" w:rsidR="009C22C0" w:rsidRDefault="009C22C0">
      <w:pPr>
        <w:spacing w:line="264" w:lineRule="auto"/>
        <w:rPr>
          <w:sz w:val="18"/>
          <w:lang w:val="fr-FR"/>
        </w:rPr>
      </w:pPr>
    </w:p>
    <w:p w14:paraId="65E0EF2D" w14:textId="77777777" w:rsidR="009C22C0" w:rsidRPr="00A24E39" w:rsidRDefault="00C44547" w:rsidP="009C22C0">
      <w:pPr>
        <w:spacing w:before="100" w:line="264" w:lineRule="auto"/>
        <w:ind w:left="791" w:right="7856"/>
        <w:rPr>
          <w:lang w:val="fr-FR"/>
        </w:rPr>
      </w:pPr>
      <w:hyperlink r:id="rId12" w:history="1">
        <w:r w:rsidR="009C22C0" w:rsidRPr="00A24E39">
          <w:rPr>
            <w:rStyle w:val="Lienhypertexte"/>
            <w:lang w:val="fr-FR"/>
          </w:rPr>
          <w:t>www.henkel.fr</w:t>
        </w:r>
      </w:hyperlink>
    </w:p>
    <w:p w14:paraId="1B9D5138" w14:textId="0A0A4BBB" w:rsidR="009C22C0" w:rsidRPr="00557C23" w:rsidRDefault="009C22C0">
      <w:pPr>
        <w:spacing w:line="264" w:lineRule="auto"/>
        <w:rPr>
          <w:sz w:val="18"/>
          <w:lang w:val="fr-FR"/>
        </w:rPr>
        <w:sectPr w:rsidR="009C22C0" w:rsidRPr="00557C23">
          <w:pgSz w:w="11910" w:h="16840"/>
          <w:pgMar w:top="1480" w:right="800" w:bottom="1100" w:left="620" w:header="0" w:footer="909" w:gutter="0"/>
          <w:cols w:space="720"/>
        </w:sectPr>
      </w:pPr>
    </w:p>
    <w:p w14:paraId="7D4188A3" w14:textId="77777777" w:rsidR="00B42EB5" w:rsidRPr="00557C23" w:rsidRDefault="00B42EB5">
      <w:pPr>
        <w:pStyle w:val="Corpsdetexte"/>
        <w:rPr>
          <w:sz w:val="20"/>
          <w:lang w:val="fr-FR"/>
        </w:rPr>
      </w:pPr>
    </w:p>
    <w:p w14:paraId="5623D75D" w14:textId="244A1A3D" w:rsidR="00B42EB5" w:rsidRPr="00A24E39" w:rsidRDefault="00721A9E">
      <w:pPr>
        <w:spacing w:before="175"/>
        <w:ind w:left="169"/>
        <w:rPr>
          <w:rFonts w:ascii="Calibri" w:hAnsi="Calibri"/>
          <w:b/>
          <w:sz w:val="33"/>
          <w:lang w:val="fr-FR"/>
        </w:rPr>
      </w:pPr>
      <w:r>
        <w:rPr>
          <w:noProof/>
        </w:rPr>
        <w:drawing>
          <wp:anchor distT="0" distB="0" distL="0" distR="0" simplePos="0" relativeHeight="15728640" behindDoc="0" locked="0" layoutInCell="1" allowOverlap="1" wp14:anchorId="3F5DBB03" wp14:editId="09DC2FA5">
            <wp:simplePos x="0" y="0"/>
            <wp:positionH relativeFrom="page">
              <wp:posOffset>5727191</wp:posOffset>
            </wp:positionH>
            <wp:positionV relativeFrom="paragraph">
              <wp:posOffset>-175504</wp:posOffset>
            </wp:positionV>
            <wp:extent cx="1121664" cy="675131"/>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1121664" cy="675131"/>
                    </a:xfrm>
                    <a:prstGeom prst="rect">
                      <a:avLst/>
                    </a:prstGeom>
                  </pic:spPr>
                </pic:pic>
              </a:graphicData>
            </a:graphic>
          </wp:anchor>
        </w:drawing>
      </w:r>
      <w:r w:rsidR="00557C23" w:rsidRPr="00A24E39">
        <w:rPr>
          <w:rFonts w:ascii="Calibri" w:hAnsi="Calibri"/>
          <w:b/>
          <w:color w:val="E1000F"/>
          <w:sz w:val="33"/>
          <w:lang w:val="fr-FR"/>
        </w:rPr>
        <w:t>Chiffres clés</w:t>
      </w:r>
      <w:r w:rsidRPr="00A24E39">
        <w:rPr>
          <w:rFonts w:ascii="Calibri" w:hAnsi="Calibri"/>
          <w:b/>
          <w:color w:val="E1000F"/>
          <w:spacing w:val="6"/>
          <w:sz w:val="33"/>
          <w:lang w:val="fr-FR"/>
        </w:rPr>
        <w:t xml:space="preserve"> </w:t>
      </w:r>
      <w:r w:rsidR="00557C23" w:rsidRPr="00A24E39">
        <w:rPr>
          <w:rFonts w:ascii="Calibri" w:hAnsi="Calibri"/>
          <w:b/>
          <w:color w:val="E1000F"/>
          <w:sz w:val="33"/>
          <w:lang w:val="fr-FR"/>
        </w:rPr>
        <w:t>T</w:t>
      </w:r>
      <w:r w:rsidRPr="00A24E39">
        <w:rPr>
          <w:rFonts w:ascii="Calibri" w:hAnsi="Calibri"/>
          <w:b/>
          <w:color w:val="E1000F"/>
          <w:sz w:val="33"/>
          <w:lang w:val="fr-FR"/>
        </w:rPr>
        <w:t>4</w:t>
      </w:r>
      <w:r w:rsidRPr="00A24E39">
        <w:rPr>
          <w:rFonts w:ascii="Calibri" w:hAnsi="Calibri"/>
          <w:b/>
          <w:color w:val="E1000F"/>
          <w:spacing w:val="5"/>
          <w:sz w:val="33"/>
          <w:lang w:val="fr-FR"/>
        </w:rPr>
        <w:t xml:space="preserve"> </w:t>
      </w:r>
      <w:r w:rsidRPr="00A24E39">
        <w:rPr>
          <w:rFonts w:ascii="Calibri" w:hAnsi="Calibri"/>
          <w:b/>
          <w:color w:val="E1000F"/>
          <w:sz w:val="33"/>
          <w:lang w:val="fr-FR"/>
        </w:rPr>
        <w:t>2021</w:t>
      </w:r>
      <w:r w:rsidRPr="00A24E39">
        <w:rPr>
          <w:rFonts w:ascii="Calibri" w:hAnsi="Calibri"/>
          <w:b/>
          <w:color w:val="E1000F"/>
          <w:spacing w:val="5"/>
          <w:sz w:val="33"/>
          <w:lang w:val="fr-FR"/>
        </w:rPr>
        <w:t xml:space="preserve"> </w:t>
      </w:r>
      <w:r w:rsidR="00557C23" w:rsidRPr="00A24E39">
        <w:rPr>
          <w:rFonts w:ascii="Calibri" w:hAnsi="Calibri"/>
          <w:b/>
          <w:color w:val="E1000F"/>
          <w:sz w:val="33"/>
          <w:lang w:val="fr-FR"/>
        </w:rPr>
        <w:t>&amp;</w:t>
      </w:r>
      <w:r w:rsidRPr="00A24E39">
        <w:rPr>
          <w:rFonts w:ascii="Calibri" w:hAnsi="Calibri"/>
          <w:b/>
          <w:color w:val="E1000F"/>
          <w:spacing w:val="5"/>
          <w:sz w:val="33"/>
          <w:lang w:val="fr-FR"/>
        </w:rPr>
        <w:t xml:space="preserve"> </w:t>
      </w:r>
      <w:r w:rsidRPr="00A24E39">
        <w:rPr>
          <w:rFonts w:ascii="Calibri" w:hAnsi="Calibri"/>
          <w:b/>
          <w:color w:val="E1000F"/>
          <w:sz w:val="33"/>
          <w:lang w:val="fr-FR"/>
        </w:rPr>
        <w:t>1‐12</w:t>
      </w:r>
      <w:r w:rsidRPr="00A24E39">
        <w:rPr>
          <w:rFonts w:ascii="Calibri" w:hAnsi="Calibri"/>
          <w:b/>
          <w:color w:val="E1000F"/>
          <w:spacing w:val="6"/>
          <w:sz w:val="33"/>
          <w:lang w:val="fr-FR"/>
        </w:rPr>
        <w:t xml:space="preserve"> </w:t>
      </w:r>
      <w:r w:rsidRPr="00A24E39">
        <w:rPr>
          <w:rFonts w:ascii="Calibri" w:hAnsi="Calibri"/>
          <w:b/>
          <w:color w:val="E1000F"/>
          <w:sz w:val="33"/>
          <w:lang w:val="fr-FR"/>
        </w:rPr>
        <w:t>2021</w:t>
      </w:r>
    </w:p>
    <w:p w14:paraId="3809F842" w14:textId="77777777" w:rsidR="00B42EB5" w:rsidRPr="00A24E39" w:rsidRDefault="00B42EB5">
      <w:pPr>
        <w:pStyle w:val="Corpsdetexte"/>
        <w:rPr>
          <w:rFonts w:ascii="Calibri"/>
          <w:b/>
          <w:sz w:val="15"/>
          <w:lang w:val="fr-FR"/>
        </w:rPr>
      </w:pPr>
    </w:p>
    <w:tbl>
      <w:tblPr>
        <w:tblStyle w:val="TableNormal"/>
        <w:tblW w:w="0" w:type="auto"/>
        <w:tblInd w:w="126" w:type="dxa"/>
        <w:tblBorders>
          <w:top w:val="single" w:sz="6" w:space="0" w:color="AFB4B9"/>
          <w:left w:val="single" w:sz="6" w:space="0" w:color="AFB4B9"/>
          <w:bottom w:val="single" w:sz="6" w:space="0" w:color="AFB4B9"/>
          <w:right w:val="single" w:sz="6" w:space="0" w:color="AFB4B9"/>
          <w:insideH w:val="single" w:sz="6" w:space="0" w:color="AFB4B9"/>
          <w:insideV w:val="single" w:sz="6" w:space="0" w:color="AFB4B9"/>
        </w:tblBorders>
        <w:tblLayout w:type="fixed"/>
        <w:tblLook w:val="01E0" w:firstRow="1" w:lastRow="1" w:firstColumn="1" w:lastColumn="1" w:noHBand="0" w:noVBand="0"/>
      </w:tblPr>
      <w:tblGrid>
        <w:gridCol w:w="4954"/>
        <w:gridCol w:w="1007"/>
        <w:gridCol w:w="1045"/>
        <w:gridCol w:w="1582"/>
        <w:gridCol w:w="1583"/>
      </w:tblGrid>
      <w:tr w:rsidR="00B42EB5" w:rsidRPr="00A24E39" w14:paraId="08039FE0" w14:textId="77777777">
        <w:trPr>
          <w:trHeight w:val="262"/>
        </w:trPr>
        <w:tc>
          <w:tcPr>
            <w:tcW w:w="7006" w:type="dxa"/>
            <w:gridSpan w:val="3"/>
            <w:tcBorders>
              <w:top w:val="nil"/>
              <w:left w:val="nil"/>
              <w:right w:val="single" w:sz="18" w:space="0" w:color="FFFFFF"/>
            </w:tcBorders>
          </w:tcPr>
          <w:p w14:paraId="7185BDE9" w14:textId="77777777" w:rsidR="00B42EB5" w:rsidRPr="00A24E39" w:rsidRDefault="00B42EB5">
            <w:pPr>
              <w:pStyle w:val="TableParagraph"/>
              <w:spacing w:before="0"/>
              <w:jc w:val="left"/>
              <w:rPr>
                <w:rFonts w:ascii="Times New Roman"/>
                <w:sz w:val="18"/>
                <w:lang w:val="fr-FR"/>
              </w:rPr>
            </w:pPr>
          </w:p>
        </w:tc>
        <w:tc>
          <w:tcPr>
            <w:tcW w:w="1582" w:type="dxa"/>
            <w:tcBorders>
              <w:top w:val="nil"/>
              <w:left w:val="single" w:sz="18" w:space="0" w:color="FFFFFF"/>
              <w:right w:val="single" w:sz="18" w:space="0" w:color="FFFFFF"/>
            </w:tcBorders>
          </w:tcPr>
          <w:p w14:paraId="32D38DDB" w14:textId="77777777" w:rsidR="00B42EB5" w:rsidRPr="00A24E39" w:rsidRDefault="00B42EB5">
            <w:pPr>
              <w:pStyle w:val="TableParagraph"/>
              <w:spacing w:before="0"/>
              <w:jc w:val="left"/>
              <w:rPr>
                <w:rFonts w:ascii="Times New Roman"/>
                <w:sz w:val="18"/>
                <w:lang w:val="fr-FR"/>
              </w:rPr>
            </w:pPr>
          </w:p>
        </w:tc>
        <w:tc>
          <w:tcPr>
            <w:tcW w:w="1583" w:type="dxa"/>
            <w:tcBorders>
              <w:top w:val="nil"/>
              <w:left w:val="single" w:sz="18" w:space="0" w:color="FFFFFF"/>
              <w:right w:val="nil"/>
            </w:tcBorders>
          </w:tcPr>
          <w:p w14:paraId="78F5C7EC" w14:textId="77777777" w:rsidR="00B42EB5" w:rsidRPr="00A24E39" w:rsidRDefault="00B42EB5">
            <w:pPr>
              <w:pStyle w:val="TableParagraph"/>
              <w:spacing w:before="0"/>
              <w:jc w:val="left"/>
              <w:rPr>
                <w:rFonts w:ascii="Times New Roman"/>
                <w:sz w:val="18"/>
                <w:lang w:val="fr-FR"/>
              </w:rPr>
            </w:pPr>
          </w:p>
        </w:tc>
      </w:tr>
      <w:tr w:rsidR="00B42EB5" w14:paraId="4465A4B3" w14:textId="77777777">
        <w:trPr>
          <w:trHeight w:val="253"/>
        </w:trPr>
        <w:tc>
          <w:tcPr>
            <w:tcW w:w="4954" w:type="dxa"/>
            <w:vMerge w:val="restart"/>
            <w:tcBorders>
              <w:left w:val="nil"/>
              <w:right w:val="nil"/>
            </w:tcBorders>
          </w:tcPr>
          <w:p w14:paraId="0E1900A9" w14:textId="77777777" w:rsidR="00B42EB5" w:rsidRPr="00A24E39" w:rsidRDefault="00B42EB5">
            <w:pPr>
              <w:pStyle w:val="TableParagraph"/>
              <w:spacing w:before="5"/>
              <w:jc w:val="left"/>
              <w:rPr>
                <w:b/>
                <w:lang w:val="fr-FR"/>
              </w:rPr>
            </w:pPr>
          </w:p>
          <w:p w14:paraId="703B1448" w14:textId="77777777" w:rsidR="00B42EB5" w:rsidRDefault="00721A9E">
            <w:pPr>
              <w:pStyle w:val="TableParagraph"/>
              <w:spacing w:before="0" w:line="229" w:lineRule="exact"/>
              <w:ind w:left="33"/>
              <w:jc w:val="left"/>
              <w:rPr>
                <w:b/>
                <w:sz w:val="20"/>
              </w:rPr>
            </w:pPr>
            <w:r>
              <w:rPr>
                <w:b/>
                <w:sz w:val="20"/>
              </w:rPr>
              <w:t>in</w:t>
            </w:r>
            <w:r>
              <w:rPr>
                <w:b/>
                <w:spacing w:val="3"/>
                <w:sz w:val="20"/>
              </w:rPr>
              <w:t xml:space="preserve"> </w:t>
            </w:r>
            <w:r>
              <w:rPr>
                <w:b/>
                <w:sz w:val="20"/>
              </w:rPr>
              <w:t>million</w:t>
            </w:r>
            <w:r>
              <w:rPr>
                <w:b/>
                <w:spacing w:val="5"/>
                <w:sz w:val="20"/>
              </w:rPr>
              <w:t xml:space="preserve"> </w:t>
            </w:r>
            <w:r>
              <w:rPr>
                <w:b/>
                <w:sz w:val="20"/>
              </w:rPr>
              <w:t>euros</w:t>
            </w:r>
          </w:p>
        </w:tc>
        <w:tc>
          <w:tcPr>
            <w:tcW w:w="2052" w:type="dxa"/>
            <w:gridSpan w:val="2"/>
            <w:tcBorders>
              <w:left w:val="nil"/>
              <w:right w:val="single" w:sz="18" w:space="0" w:color="FFFFFF"/>
            </w:tcBorders>
          </w:tcPr>
          <w:p w14:paraId="2585F389" w14:textId="77777777" w:rsidR="00B42EB5" w:rsidRDefault="00721A9E">
            <w:pPr>
              <w:pStyle w:val="TableParagraph"/>
              <w:spacing w:before="0" w:line="234" w:lineRule="exact"/>
              <w:ind w:left="799" w:right="766"/>
              <w:rPr>
                <w:b/>
                <w:sz w:val="20"/>
              </w:rPr>
            </w:pPr>
            <w:r>
              <w:rPr>
                <w:b/>
                <w:sz w:val="20"/>
              </w:rPr>
              <w:t>Sales</w:t>
            </w:r>
          </w:p>
        </w:tc>
        <w:tc>
          <w:tcPr>
            <w:tcW w:w="1582" w:type="dxa"/>
            <w:tcBorders>
              <w:left w:val="single" w:sz="18" w:space="0" w:color="FFFFFF"/>
              <w:right w:val="single" w:sz="18" w:space="0" w:color="FFFFFF"/>
            </w:tcBorders>
          </w:tcPr>
          <w:p w14:paraId="1EDC9F78" w14:textId="77777777" w:rsidR="00B42EB5" w:rsidRDefault="00721A9E">
            <w:pPr>
              <w:pStyle w:val="TableParagraph"/>
              <w:spacing w:before="5" w:line="229" w:lineRule="exact"/>
              <w:ind w:left="521" w:right="516"/>
              <w:rPr>
                <w:b/>
                <w:sz w:val="20"/>
              </w:rPr>
            </w:pPr>
            <w:r>
              <w:rPr>
                <w:b/>
                <w:sz w:val="20"/>
              </w:rPr>
              <w:t>EBIT</w:t>
            </w:r>
          </w:p>
        </w:tc>
        <w:tc>
          <w:tcPr>
            <w:tcW w:w="1583" w:type="dxa"/>
            <w:tcBorders>
              <w:left w:val="single" w:sz="18" w:space="0" w:color="FFFFFF"/>
              <w:right w:val="nil"/>
            </w:tcBorders>
          </w:tcPr>
          <w:p w14:paraId="10DE8A20" w14:textId="77777777" w:rsidR="00B42EB5" w:rsidRDefault="00721A9E">
            <w:pPr>
              <w:pStyle w:val="TableParagraph"/>
              <w:spacing w:before="5" w:line="229" w:lineRule="exact"/>
              <w:ind w:left="255" w:right="268"/>
              <w:rPr>
                <w:b/>
                <w:sz w:val="20"/>
              </w:rPr>
            </w:pPr>
            <w:r>
              <w:rPr>
                <w:b/>
                <w:sz w:val="20"/>
              </w:rPr>
              <w:t>EBIT</w:t>
            </w:r>
            <w:r>
              <w:rPr>
                <w:b/>
                <w:spacing w:val="5"/>
                <w:sz w:val="20"/>
              </w:rPr>
              <w:t xml:space="preserve"> </w:t>
            </w:r>
            <w:r>
              <w:rPr>
                <w:b/>
                <w:sz w:val="20"/>
              </w:rPr>
              <w:t>margin</w:t>
            </w:r>
          </w:p>
        </w:tc>
      </w:tr>
      <w:tr w:rsidR="00B42EB5" w14:paraId="6B0AEB32" w14:textId="77777777">
        <w:trPr>
          <w:trHeight w:val="253"/>
        </w:trPr>
        <w:tc>
          <w:tcPr>
            <w:tcW w:w="4954" w:type="dxa"/>
            <w:vMerge/>
            <w:tcBorders>
              <w:top w:val="nil"/>
              <w:left w:val="nil"/>
              <w:right w:val="nil"/>
            </w:tcBorders>
          </w:tcPr>
          <w:p w14:paraId="0A6C2DEA" w14:textId="77777777" w:rsidR="00B42EB5" w:rsidRDefault="00B42EB5">
            <w:pPr>
              <w:rPr>
                <w:sz w:val="2"/>
                <w:szCs w:val="2"/>
              </w:rPr>
            </w:pPr>
          </w:p>
        </w:tc>
        <w:tc>
          <w:tcPr>
            <w:tcW w:w="1007" w:type="dxa"/>
            <w:tcBorders>
              <w:left w:val="nil"/>
              <w:right w:val="nil"/>
            </w:tcBorders>
          </w:tcPr>
          <w:p w14:paraId="732A1709" w14:textId="77777777" w:rsidR="00B42EB5" w:rsidRDefault="00721A9E">
            <w:pPr>
              <w:pStyle w:val="TableParagraph"/>
              <w:spacing w:before="5" w:line="229" w:lineRule="exact"/>
              <w:ind w:left="269" w:right="238"/>
              <w:rPr>
                <w:b/>
                <w:sz w:val="20"/>
              </w:rPr>
            </w:pPr>
            <w:r>
              <w:rPr>
                <w:b/>
                <w:sz w:val="20"/>
              </w:rPr>
              <w:t>Q4</w:t>
            </w:r>
          </w:p>
        </w:tc>
        <w:tc>
          <w:tcPr>
            <w:tcW w:w="1045" w:type="dxa"/>
            <w:tcBorders>
              <w:left w:val="nil"/>
              <w:right w:val="single" w:sz="18" w:space="0" w:color="FFFFFF"/>
            </w:tcBorders>
          </w:tcPr>
          <w:p w14:paraId="30C2BAD8" w14:textId="77777777" w:rsidR="00B42EB5" w:rsidRDefault="00721A9E">
            <w:pPr>
              <w:pStyle w:val="TableParagraph"/>
              <w:spacing w:before="5" w:line="229" w:lineRule="exact"/>
              <w:ind w:left="266" w:right="215"/>
              <w:rPr>
                <w:b/>
                <w:sz w:val="20"/>
              </w:rPr>
            </w:pPr>
            <w:r>
              <w:rPr>
                <w:b/>
                <w:sz w:val="20"/>
              </w:rPr>
              <w:t>1‐12</w:t>
            </w:r>
          </w:p>
        </w:tc>
        <w:tc>
          <w:tcPr>
            <w:tcW w:w="1582" w:type="dxa"/>
            <w:tcBorders>
              <w:left w:val="single" w:sz="18" w:space="0" w:color="FFFFFF"/>
              <w:right w:val="single" w:sz="18" w:space="0" w:color="FFFFFF"/>
            </w:tcBorders>
          </w:tcPr>
          <w:p w14:paraId="3986ACA3" w14:textId="77777777" w:rsidR="00B42EB5" w:rsidRDefault="00721A9E">
            <w:pPr>
              <w:pStyle w:val="TableParagraph"/>
              <w:spacing w:before="5" w:line="229" w:lineRule="exact"/>
              <w:ind w:left="525" w:right="516"/>
              <w:rPr>
                <w:b/>
                <w:sz w:val="20"/>
              </w:rPr>
            </w:pPr>
            <w:r>
              <w:rPr>
                <w:b/>
                <w:sz w:val="20"/>
              </w:rPr>
              <w:t>1‐12</w:t>
            </w:r>
          </w:p>
        </w:tc>
        <w:tc>
          <w:tcPr>
            <w:tcW w:w="1583" w:type="dxa"/>
            <w:tcBorders>
              <w:left w:val="single" w:sz="18" w:space="0" w:color="FFFFFF"/>
              <w:right w:val="nil"/>
            </w:tcBorders>
          </w:tcPr>
          <w:p w14:paraId="7E99BD95" w14:textId="77777777" w:rsidR="00B42EB5" w:rsidRDefault="00721A9E">
            <w:pPr>
              <w:pStyle w:val="TableParagraph"/>
              <w:spacing w:before="5" w:line="229" w:lineRule="exact"/>
              <w:ind w:left="255" w:right="268"/>
              <w:rPr>
                <w:b/>
                <w:sz w:val="20"/>
              </w:rPr>
            </w:pPr>
            <w:r>
              <w:rPr>
                <w:b/>
                <w:sz w:val="20"/>
              </w:rPr>
              <w:t>1‐12</w:t>
            </w:r>
          </w:p>
        </w:tc>
      </w:tr>
      <w:tr w:rsidR="00B42EB5" w14:paraId="6AE176E3" w14:textId="77777777">
        <w:trPr>
          <w:trHeight w:val="205"/>
        </w:trPr>
        <w:tc>
          <w:tcPr>
            <w:tcW w:w="7006" w:type="dxa"/>
            <w:gridSpan w:val="3"/>
            <w:tcBorders>
              <w:left w:val="nil"/>
              <w:right w:val="single" w:sz="18" w:space="0" w:color="FFFFFF"/>
            </w:tcBorders>
          </w:tcPr>
          <w:p w14:paraId="1CEDD6ED" w14:textId="77777777" w:rsidR="00B42EB5" w:rsidRDefault="00B42EB5">
            <w:pPr>
              <w:pStyle w:val="TableParagraph"/>
              <w:spacing w:before="0"/>
              <w:jc w:val="left"/>
              <w:rPr>
                <w:rFonts w:ascii="Times New Roman"/>
                <w:sz w:val="14"/>
              </w:rPr>
            </w:pPr>
          </w:p>
        </w:tc>
        <w:tc>
          <w:tcPr>
            <w:tcW w:w="1582" w:type="dxa"/>
            <w:tcBorders>
              <w:left w:val="single" w:sz="18" w:space="0" w:color="FFFFFF"/>
              <w:right w:val="single" w:sz="18" w:space="0" w:color="FFFFFF"/>
            </w:tcBorders>
          </w:tcPr>
          <w:p w14:paraId="6B5AFC04" w14:textId="77777777" w:rsidR="00B42EB5" w:rsidRDefault="00B42EB5">
            <w:pPr>
              <w:pStyle w:val="TableParagraph"/>
              <w:spacing w:before="0"/>
              <w:jc w:val="left"/>
              <w:rPr>
                <w:rFonts w:ascii="Times New Roman"/>
                <w:sz w:val="14"/>
              </w:rPr>
            </w:pPr>
          </w:p>
        </w:tc>
        <w:tc>
          <w:tcPr>
            <w:tcW w:w="1583" w:type="dxa"/>
            <w:tcBorders>
              <w:left w:val="single" w:sz="18" w:space="0" w:color="FFFFFF"/>
              <w:right w:val="nil"/>
            </w:tcBorders>
          </w:tcPr>
          <w:p w14:paraId="1C830EF4" w14:textId="77777777" w:rsidR="00B42EB5" w:rsidRDefault="00B42EB5">
            <w:pPr>
              <w:pStyle w:val="TableParagraph"/>
              <w:spacing w:before="0"/>
              <w:jc w:val="left"/>
              <w:rPr>
                <w:rFonts w:ascii="Times New Roman"/>
                <w:sz w:val="14"/>
              </w:rPr>
            </w:pPr>
          </w:p>
        </w:tc>
      </w:tr>
      <w:tr w:rsidR="00B42EB5" w14:paraId="7E20D4AA" w14:textId="77777777">
        <w:trPr>
          <w:trHeight w:val="330"/>
        </w:trPr>
        <w:tc>
          <w:tcPr>
            <w:tcW w:w="7006" w:type="dxa"/>
            <w:gridSpan w:val="3"/>
            <w:tcBorders>
              <w:left w:val="nil"/>
              <w:right w:val="single" w:sz="18" w:space="0" w:color="FFFFFF"/>
            </w:tcBorders>
            <w:shd w:val="clear" w:color="auto" w:fill="E7E6E6"/>
          </w:tcPr>
          <w:p w14:paraId="669AD0E8" w14:textId="77777777" w:rsidR="00B42EB5" w:rsidRDefault="00721A9E">
            <w:pPr>
              <w:pStyle w:val="TableParagraph"/>
              <w:ind w:left="33"/>
              <w:jc w:val="left"/>
              <w:rPr>
                <w:b/>
                <w:sz w:val="20"/>
              </w:rPr>
            </w:pPr>
            <w:r>
              <w:rPr>
                <w:b/>
                <w:sz w:val="20"/>
              </w:rPr>
              <w:t>Adhesive</w:t>
            </w:r>
            <w:r>
              <w:rPr>
                <w:b/>
                <w:spacing w:val="10"/>
                <w:sz w:val="20"/>
              </w:rPr>
              <w:t xml:space="preserve"> </w:t>
            </w:r>
            <w:r>
              <w:rPr>
                <w:b/>
                <w:sz w:val="20"/>
              </w:rPr>
              <w:t>Technologies</w:t>
            </w:r>
          </w:p>
        </w:tc>
        <w:tc>
          <w:tcPr>
            <w:tcW w:w="1582" w:type="dxa"/>
            <w:tcBorders>
              <w:left w:val="single" w:sz="18" w:space="0" w:color="FFFFFF"/>
              <w:right w:val="single" w:sz="18" w:space="0" w:color="FFFFFF"/>
            </w:tcBorders>
            <w:shd w:val="clear" w:color="auto" w:fill="E7E6E6"/>
          </w:tcPr>
          <w:p w14:paraId="5C4D4A97" w14:textId="77777777" w:rsidR="00B42EB5" w:rsidRDefault="00B42EB5">
            <w:pPr>
              <w:pStyle w:val="TableParagraph"/>
              <w:spacing w:before="0"/>
              <w:jc w:val="left"/>
              <w:rPr>
                <w:rFonts w:ascii="Times New Roman"/>
                <w:sz w:val="18"/>
              </w:rPr>
            </w:pPr>
          </w:p>
        </w:tc>
        <w:tc>
          <w:tcPr>
            <w:tcW w:w="1583" w:type="dxa"/>
            <w:tcBorders>
              <w:left w:val="single" w:sz="18" w:space="0" w:color="FFFFFF"/>
              <w:right w:val="nil"/>
            </w:tcBorders>
            <w:shd w:val="clear" w:color="auto" w:fill="E7E6E6"/>
          </w:tcPr>
          <w:p w14:paraId="1C337BCB" w14:textId="77777777" w:rsidR="00B42EB5" w:rsidRDefault="00B42EB5">
            <w:pPr>
              <w:pStyle w:val="TableParagraph"/>
              <w:spacing w:before="0"/>
              <w:jc w:val="left"/>
              <w:rPr>
                <w:rFonts w:ascii="Times New Roman"/>
                <w:sz w:val="18"/>
              </w:rPr>
            </w:pPr>
          </w:p>
        </w:tc>
      </w:tr>
      <w:tr w:rsidR="00B42EB5" w14:paraId="0D2B0919" w14:textId="77777777">
        <w:trPr>
          <w:trHeight w:val="330"/>
        </w:trPr>
        <w:tc>
          <w:tcPr>
            <w:tcW w:w="4954" w:type="dxa"/>
            <w:tcBorders>
              <w:left w:val="nil"/>
              <w:right w:val="nil"/>
            </w:tcBorders>
          </w:tcPr>
          <w:p w14:paraId="4C8B6742" w14:textId="77777777" w:rsidR="00B42EB5" w:rsidRDefault="00721A9E">
            <w:pPr>
              <w:pStyle w:val="TableParagraph"/>
              <w:ind w:left="33"/>
              <w:jc w:val="left"/>
              <w:rPr>
                <w:sz w:val="20"/>
              </w:rPr>
            </w:pPr>
            <w:r>
              <w:rPr>
                <w:sz w:val="20"/>
              </w:rPr>
              <w:t>2021</w:t>
            </w:r>
          </w:p>
        </w:tc>
        <w:tc>
          <w:tcPr>
            <w:tcW w:w="1007" w:type="dxa"/>
            <w:tcBorders>
              <w:left w:val="nil"/>
              <w:right w:val="nil"/>
            </w:tcBorders>
          </w:tcPr>
          <w:p w14:paraId="1B051F3A" w14:textId="77777777" w:rsidR="00B42EB5" w:rsidRDefault="00721A9E">
            <w:pPr>
              <w:pStyle w:val="TableParagraph"/>
              <w:ind w:left="269" w:right="236"/>
              <w:rPr>
                <w:sz w:val="20"/>
              </w:rPr>
            </w:pPr>
            <w:r>
              <w:rPr>
                <w:sz w:val="20"/>
              </w:rPr>
              <w:t>2,446</w:t>
            </w:r>
          </w:p>
        </w:tc>
        <w:tc>
          <w:tcPr>
            <w:tcW w:w="1045" w:type="dxa"/>
            <w:tcBorders>
              <w:left w:val="nil"/>
              <w:right w:val="nil"/>
            </w:tcBorders>
          </w:tcPr>
          <w:p w14:paraId="2E8BBC27" w14:textId="77777777" w:rsidR="00B42EB5" w:rsidRDefault="00721A9E">
            <w:pPr>
              <w:pStyle w:val="TableParagraph"/>
              <w:ind w:left="238" w:right="207"/>
              <w:rPr>
                <w:sz w:val="20"/>
              </w:rPr>
            </w:pPr>
            <w:r>
              <w:rPr>
                <w:sz w:val="20"/>
              </w:rPr>
              <w:t>9,641</w:t>
            </w:r>
          </w:p>
        </w:tc>
        <w:tc>
          <w:tcPr>
            <w:tcW w:w="1582" w:type="dxa"/>
            <w:tcBorders>
              <w:left w:val="nil"/>
              <w:right w:val="single" w:sz="18" w:space="0" w:color="FFFFFF"/>
            </w:tcBorders>
          </w:tcPr>
          <w:p w14:paraId="41BDF3F8" w14:textId="77777777" w:rsidR="00B42EB5" w:rsidRDefault="00721A9E">
            <w:pPr>
              <w:pStyle w:val="TableParagraph"/>
              <w:ind w:left="465" w:right="432"/>
              <w:rPr>
                <w:sz w:val="20"/>
              </w:rPr>
            </w:pPr>
            <w:r>
              <w:rPr>
                <w:sz w:val="20"/>
              </w:rPr>
              <w:t>1,524</w:t>
            </w:r>
          </w:p>
        </w:tc>
        <w:tc>
          <w:tcPr>
            <w:tcW w:w="1583" w:type="dxa"/>
            <w:tcBorders>
              <w:left w:val="single" w:sz="18" w:space="0" w:color="FFFFFF"/>
              <w:right w:val="nil"/>
            </w:tcBorders>
          </w:tcPr>
          <w:p w14:paraId="2F4535BB" w14:textId="77777777" w:rsidR="00B42EB5" w:rsidRDefault="00721A9E">
            <w:pPr>
              <w:pStyle w:val="TableParagraph"/>
              <w:ind w:left="255" w:right="266"/>
              <w:rPr>
                <w:sz w:val="20"/>
              </w:rPr>
            </w:pPr>
            <w:r>
              <w:rPr>
                <w:sz w:val="20"/>
              </w:rPr>
              <w:t>15.8%</w:t>
            </w:r>
          </w:p>
        </w:tc>
      </w:tr>
      <w:tr w:rsidR="00B42EB5" w14:paraId="60EB01C6" w14:textId="77777777">
        <w:trPr>
          <w:trHeight w:val="330"/>
        </w:trPr>
        <w:tc>
          <w:tcPr>
            <w:tcW w:w="4954" w:type="dxa"/>
            <w:tcBorders>
              <w:left w:val="nil"/>
              <w:right w:val="nil"/>
            </w:tcBorders>
          </w:tcPr>
          <w:p w14:paraId="4708C678" w14:textId="77777777" w:rsidR="00B42EB5" w:rsidRDefault="00721A9E">
            <w:pPr>
              <w:pStyle w:val="TableParagraph"/>
              <w:ind w:left="33"/>
              <w:jc w:val="left"/>
              <w:rPr>
                <w:sz w:val="20"/>
              </w:rPr>
            </w:pPr>
            <w:r>
              <w:rPr>
                <w:sz w:val="20"/>
              </w:rPr>
              <w:t>2020</w:t>
            </w:r>
          </w:p>
        </w:tc>
        <w:tc>
          <w:tcPr>
            <w:tcW w:w="1007" w:type="dxa"/>
            <w:tcBorders>
              <w:left w:val="nil"/>
              <w:right w:val="nil"/>
            </w:tcBorders>
          </w:tcPr>
          <w:p w14:paraId="36B2C0E3" w14:textId="77777777" w:rsidR="00B42EB5" w:rsidRDefault="00721A9E">
            <w:pPr>
              <w:pStyle w:val="TableParagraph"/>
              <w:ind w:left="269" w:right="236"/>
              <w:rPr>
                <w:sz w:val="20"/>
              </w:rPr>
            </w:pPr>
            <w:r>
              <w:rPr>
                <w:sz w:val="20"/>
              </w:rPr>
              <w:t>2,251</w:t>
            </w:r>
          </w:p>
        </w:tc>
        <w:tc>
          <w:tcPr>
            <w:tcW w:w="1045" w:type="dxa"/>
            <w:tcBorders>
              <w:left w:val="nil"/>
              <w:right w:val="nil"/>
            </w:tcBorders>
          </w:tcPr>
          <w:p w14:paraId="029E8F66" w14:textId="77777777" w:rsidR="00B42EB5" w:rsidRDefault="00721A9E">
            <w:pPr>
              <w:pStyle w:val="TableParagraph"/>
              <w:ind w:left="238" w:right="207"/>
              <w:rPr>
                <w:sz w:val="20"/>
              </w:rPr>
            </w:pPr>
            <w:r>
              <w:rPr>
                <w:sz w:val="20"/>
              </w:rPr>
              <w:t>8,684</w:t>
            </w:r>
          </w:p>
        </w:tc>
        <w:tc>
          <w:tcPr>
            <w:tcW w:w="1582" w:type="dxa"/>
            <w:tcBorders>
              <w:left w:val="nil"/>
              <w:right w:val="single" w:sz="18" w:space="0" w:color="FFFFFF"/>
            </w:tcBorders>
          </w:tcPr>
          <w:p w14:paraId="17EFE1BF" w14:textId="77777777" w:rsidR="00B42EB5" w:rsidRDefault="00721A9E">
            <w:pPr>
              <w:pStyle w:val="TableParagraph"/>
              <w:ind w:left="465" w:right="432"/>
              <w:rPr>
                <w:sz w:val="20"/>
              </w:rPr>
            </w:pPr>
            <w:r>
              <w:rPr>
                <w:sz w:val="20"/>
              </w:rPr>
              <w:t>1,248</w:t>
            </w:r>
          </w:p>
        </w:tc>
        <w:tc>
          <w:tcPr>
            <w:tcW w:w="1583" w:type="dxa"/>
            <w:tcBorders>
              <w:left w:val="single" w:sz="18" w:space="0" w:color="FFFFFF"/>
              <w:right w:val="nil"/>
            </w:tcBorders>
          </w:tcPr>
          <w:p w14:paraId="68B41DE0" w14:textId="77777777" w:rsidR="00B42EB5" w:rsidRDefault="00721A9E">
            <w:pPr>
              <w:pStyle w:val="TableParagraph"/>
              <w:ind w:left="255" w:right="266"/>
              <w:rPr>
                <w:sz w:val="20"/>
              </w:rPr>
            </w:pPr>
            <w:r>
              <w:rPr>
                <w:sz w:val="20"/>
              </w:rPr>
              <w:t>14.4%</w:t>
            </w:r>
          </w:p>
        </w:tc>
      </w:tr>
      <w:tr w:rsidR="00B42EB5" w14:paraId="43706D93" w14:textId="77777777">
        <w:trPr>
          <w:trHeight w:val="330"/>
        </w:trPr>
        <w:tc>
          <w:tcPr>
            <w:tcW w:w="4954" w:type="dxa"/>
            <w:tcBorders>
              <w:left w:val="nil"/>
              <w:right w:val="nil"/>
            </w:tcBorders>
          </w:tcPr>
          <w:p w14:paraId="32AFFC3F" w14:textId="77777777" w:rsidR="00B42EB5" w:rsidRDefault="00721A9E">
            <w:pPr>
              <w:pStyle w:val="TableParagraph"/>
              <w:ind w:left="33"/>
              <w:jc w:val="left"/>
              <w:rPr>
                <w:sz w:val="20"/>
              </w:rPr>
            </w:pPr>
            <w:r>
              <w:rPr>
                <w:sz w:val="20"/>
              </w:rPr>
              <w:t>organic</w:t>
            </w:r>
            <w:r>
              <w:rPr>
                <w:spacing w:val="8"/>
                <w:sz w:val="20"/>
              </w:rPr>
              <w:t xml:space="preserve"> </w:t>
            </w:r>
            <w:r>
              <w:rPr>
                <w:sz w:val="20"/>
              </w:rPr>
              <w:t>growth</w:t>
            </w:r>
          </w:p>
        </w:tc>
        <w:tc>
          <w:tcPr>
            <w:tcW w:w="1007" w:type="dxa"/>
            <w:tcBorders>
              <w:left w:val="nil"/>
              <w:right w:val="nil"/>
            </w:tcBorders>
          </w:tcPr>
          <w:p w14:paraId="246CC545" w14:textId="77777777" w:rsidR="00B42EB5" w:rsidRDefault="00721A9E">
            <w:pPr>
              <w:pStyle w:val="TableParagraph"/>
              <w:ind w:left="269" w:right="239"/>
              <w:rPr>
                <w:sz w:val="20"/>
              </w:rPr>
            </w:pPr>
            <w:r>
              <w:rPr>
                <w:sz w:val="20"/>
              </w:rPr>
              <w:t>7.1%</w:t>
            </w:r>
          </w:p>
        </w:tc>
        <w:tc>
          <w:tcPr>
            <w:tcW w:w="1045" w:type="dxa"/>
            <w:tcBorders>
              <w:left w:val="nil"/>
              <w:right w:val="single" w:sz="18" w:space="0" w:color="FFFFFF"/>
            </w:tcBorders>
          </w:tcPr>
          <w:p w14:paraId="7BD8AD5F" w14:textId="77777777" w:rsidR="00B42EB5" w:rsidRDefault="00721A9E">
            <w:pPr>
              <w:pStyle w:val="TableParagraph"/>
              <w:ind w:left="268" w:right="215"/>
              <w:rPr>
                <w:sz w:val="20"/>
              </w:rPr>
            </w:pPr>
            <w:r>
              <w:rPr>
                <w:sz w:val="20"/>
              </w:rPr>
              <w:t>13.4%</w:t>
            </w:r>
          </w:p>
        </w:tc>
        <w:tc>
          <w:tcPr>
            <w:tcW w:w="1582" w:type="dxa"/>
            <w:tcBorders>
              <w:left w:val="single" w:sz="18" w:space="0" w:color="FFFFFF"/>
              <w:right w:val="single" w:sz="18" w:space="0" w:color="FFFFFF"/>
            </w:tcBorders>
          </w:tcPr>
          <w:p w14:paraId="42801663" w14:textId="77777777" w:rsidR="00B42EB5" w:rsidRDefault="00721A9E">
            <w:pPr>
              <w:pStyle w:val="TableParagraph"/>
              <w:ind w:left="6"/>
              <w:rPr>
                <w:sz w:val="20"/>
              </w:rPr>
            </w:pPr>
            <w:r>
              <w:rPr>
                <w:w w:val="102"/>
                <w:sz w:val="20"/>
              </w:rPr>
              <w:t>‐</w:t>
            </w:r>
          </w:p>
        </w:tc>
        <w:tc>
          <w:tcPr>
            <w:tcW w:w="1583" w:type="dxa"/>
            <w:tcBorders>
              <w:left w:val="single" w:sz="18" w:space="0" w:color="FFFFFF"/>
              <w:right w:val="nil"/>
            </w:tcBorders>
          </w:tcPr>
          <w:p w14:paraId="46E7BDFD" w14:textId="77777777" w:rsidR="00B42EB5" w:rsidRDefault="00721A9E">
            <w:pPr>
              <w:pStyle w:val="TableParagraph"/>
              <w:ind w:right="16"/>
              <w:rPr>
                <w:sz w:val="20"/>
              </w:rPr>
            </w:pPr>
            <w:r>
              <w:rPr>
                <w:w w:val="102"/>
                <w:sz w:val="20"/>
              </w:rPr>
              <w:t>‐</w:t>
            </w:r>
          </w:p>
        </w:tc>
      </w:tr>
      <w:tr w:rsidR="00B42EB5" w14:paraId="63CDE8B1" w14:textId="77777777">
        <w:trPr>
          <w:trHeight w:val="330"/>
        </w:trPr>
        <w:tc>
          <w:tcPr>
            <w:tcW w:w="4954" w:type="dxa"/>
            <w:tcBorders>
              <w:left w:val="nil"/>
              <w:right w:val="nil"/>
            </w:tcBorders>
          </w:tcPr>
          <w:p w14:paraId="4B287200" w14:textId="77777777" w:rsidR="00B42EB5" w:rsidRDefault="00721A9E">
            <w:pPr>
              <w:pStyle w:val="TableParagraph"/>
              <w:spacing w:before="62"/>
              <w:ind w:left="33"/>
              <w:jc w:val="left"/>
              <w:rPr>
                <w:sz w:val="20"/>
              </w:rPr>
            </w:pPr>
            <w:r>
              <w:rPr>
                <w:w w:val="105"/>
                <w:sz w:val="20"/>
              </w:rPr>
              <w:t>2021</w:t>
            </w:r>
            <w:r>
              <w:rPr>
                <w:spacing w:val="-11"/>
                <w:w w:val="105"/>
                <w:sz w:val="20"/>
              </w:rPr>
              <w:t xml:space="preserve"> </w:t>
            </w:r>
            <w:r>
              <w:rPr>
                <w:w w:val="105"/>
                <w:sz w:val="20"/>
              </w:rPr>
              <w:t>adjusted</w:t>
            </w:r>
            <w:r>
              <w:rPr>
                <w:spacing w:val="-12"/>
                <w:w w:val="105"/>
                <w:sz w:val="20"/>
              </w:rPr>
              <w:t xml:space="preserve"> </w:t>
            </w:r>
            <w:r>
              <w:rPr>
                <w:w w:val="105"/>
                <w:sz w:val="20"/>
                <w:vertAlign w:val="superscript"/>
              </w:rPr>
              <w:t>1)</w:t>
            </w:r>
          </w:p>
        </w:tc>
        <w:tc>
          <w:tcPr>
            <w:tcW w:w="1007" w:type="dxa"/>
            <w:tcBorders>
              <w:left w:val="nil"/>
              <w:right w:val="nil"/>
            </w:tcBorders>
          </w:tcPr>
          <w:p w14:paraId="69AA3C6B" w14:textId="77777777" w:rsidR="00B42EB5" w:rsidRDefault="00721A9E">
            <w:pPr>
              <w:pStyle w:val="TableParagraph"/>
              <w:ind w:left="29"/>
              <w:rPr>
                <w:sz w:val="20"/>
              </w:rPr>
            </w:pPr>
            <w:r>
              <w:rPr>
                <w:w w:val="102"/>
                <w:sz w:val="20"/>
              </w:rPr>
              <w:t>‐</w:t>
            </w:r>
          </w:p>
        </w:tc>
        <w:tc>
          <w:tcPr>
            <w:tcW w:w="1045" w:type="dxa"/>
            <w:tcBorders>
              <w:left w:val="nil"/>
              <w:right w:val="single" w:sz="18" w:space="0" w:color="FFFFFF"/>
            </w:tcBorders>
          </w:tcPr>
          <w:p w14:paraId="42DCCD95" w14:textId="77777777" w:rsidR="00B42EB5" w:rsidRDefault="00721A9E">
            <w:pPr>
              <w:pStyle w:val="TableParagraph"/>
              <w:ind w:left="49"/>
              <w:rPr>
                <w:sz w:val="20"/>
              </w:rPr>
            </w:pPr>
            <w:r>
              <w:rPr>
                <w:w w:val="102"/>
                <w:sz w:val="20"/>
              </w:rPr>
              <w:t>‐</w:t>
            </w:r>
          </w:p>
        </w:tc>
        <w:tc>
          <w:tcPr>
            <w:tcW w:w="1582" w:type="dxa"/>
            <w:tcBorders>
              <w:left w:val="single" w:sz="18" w:space="0" w:color="FFFFFF"/>
              <w:right w:val="single" w:sz="18" w:space="0" w:color="FFFFFF"/>
            </w:tcBorders>
          </w:tcPr>
          <w:p w14:paraId="2BC79882" w14:textId="77777777" w:rsidR="00B42EB5" w:rsidRDefault="00721A9E">
            <w:pPr>
              <w:pStyle w:val="TableParagraph"/>
              <w:ind w:left="525" w:right="516"/>
              <w:rPr>
                <w:sz w:val="20"/>
              </w:rPr>
            </w:pPr>
            <w:r>
              <w:rPr>
                <w:sz w:val="20"/>
              </w:rPr>
              <w:t>1,561</w:t>
            </w:r>
          </w:p>
        </w:tc>
        <w:tc>
          <w:tcPr>
            <w:tcW w:w="1583" w:type="dxa"/>
            <w:tcBorders>
              <w:left w:val="single" w:sz="18" w:space="0" w:color="FFFFFF"/>
              <w:right w:val="nil"/>
            </w:tcBorders>
          </w:tcPr>
          <w:p w14:paraId="233282BA" w14:textId="77777777" w:rsidR="00B42EB5" w:rsidRDefault="00721A9E">
            <w:pPr>
              <w:pStyle w:val="TableParagraph"/>
              <w:ind w:left="255" w:right="267"/>
              <w:rPr>
                <w:sz w:val="20"/>
              </w:rPr>
            </w:pPr>
            <w:r>
              <w:rPr>
                <w:sz w:val="20"/>
              </w:rPr>
              <w:t>16.2%</w:t>
            </w:r>
          </w:p>
        </w:tc>
      </w:tr>
      <w:tr w:rsidR="00B42EB5" w14:paraId="284367D2" w14:textId="77777777">
        <w:trPr>
          <w:trHeight w:val="325"/>
        </w:trPr>
        <w:tc>
          <w:tcPr>
            <w:tcW w:w="4954" w:type="dxa"/>
            <w:tcBorders>
              <w:left w:val="nil"/>
              <w:right w:val="nil"/>
            </w:tcBorders>
          </w:tcPr>
          <w:p w14:paraId="6D64C74F" w14:textId="77777777" w:rsidR="00B42EB5" w:rsidRDefault="00721A9E">
            <w:pPr>
              <w:pStyle w:val="TableParagraph"/>
              <w:spacing w:before="60"/>
              <w:ind w:left="33"/>
              <w:jc w:val="left"/>
              <w:rPr>
                <w:sz w:val="20"/>
              </w:rPr>
            </w:pPr>
            <w:r>
              <w:rPr>
                <w:w w:val="105"/>
                <w:sz w:val="20"/>
              </w:rPr>
              <w:t>2020</w:t>
            </w:r>
            <w:r>
              <w:rPr>
                <w:spacing w:val="-11"/>
                <w:w w:val="105"/>
                <w:sz w:val="20"/>
              </w:rPr>
              <w:t xml:space="preserve"> </w:t>
            </w:r>
            <w:r>
              <w:rPr>
                <w:w w:val="105"/>
                <w:sz w:val="20"/>
              </w:rPr>
              <w:t>adjusted</w:t>
            </w:r>
            <w:r>
              <w:rPr>
                <w:spacing w:val="-11"/>
                <w:w w:val="105"/>
                <w:sz w:val="20"/>
              </w:rPr>
              <w:t xml:space="preserve"> </w:t>
            </w:r>
            <w:r>
              <w:rPr>
                <w:w w:val="105"/>
                <w:sz w:val="20"/>
                <w:vertAlign w:val="superscript"/>
              </w:rPr>
              <w:t>1)</w:t>
            </w:r>
          </w:p>
        </w:tc>
        <w:tc>
          <w:tcPr>
            <w:tcW w:w="1007" w:type="dxa"/>
            <w:tcBorders>
              <w:left w:val="nil"/>
              <w:right w:val="nil"/>
            </w:tcBorders>
          </w:tcPr>
          <w:p w14:paraId="4E3F08F3" w14:textId="77777777" w:rsidR="00B42EB5" w:rsidRDefault="00721A9E">
            <w:pPr>
              <w:pStyle w:val="TableParagraph"/>
              <w:spacing w:before="41"/>
              <w:ind w:left="29"/>
              <w:rPr>
                <w:sz w:val="20"/>
              </w:rPr>
            </w:pPr>
            <w:r>
              <w:rPr>
                <w:w w:val="102"/>
                <w:sz w:val="20"/>
              </w:rPr>
              <w:t>‐</w:t>
            </w:r>
          </w:p>
        </w:tc>
        <w:tc>
          <w:tcPr>
            <w:tcW w:w="1045" w:type="dxa"/>
            <w:tcBorders>
              <w:left w:val="nil"/>
              <w:right w:val="single" w:sz="18" w:space="0" w:color="FFFFFF"/>
            </w:tcBorders>
          </w:tcPr>
          <w:p w14:paraId="634737CE" w14:textId="77777777" w:rsidR="00B42EB5" w:rsidRDefault="00721A9E">
            <w:pPr>
              <w:pStyle w:val="TableParagraph"/>
              <w:spacing w:before="41"/>
              <w:ind w:left="49"/>
              <w:rPr>
                <w:sz w:val="20"/>
              </w:rPr>
            </w:pPr>
            <w:r>
              <w:rPr>
                <w:w w:val="102"/>
                <w:sz w:val="20"/>
              </w:rPr>
              <w:t>‐</w:t>
            </w:r>
          </w:p>
        </w:tc>
        <w:tc>
          <w:tcPr>
            <w:tcW w:w="1582" w:type="dxa"/>
            <w:tcBorders>
              <w:left w:val="single" w:sz="18" w:space="0" w:color="FFFFFF"/>
              <w:right w:val="single" w:sz="18" w:space="0" w:color="FFFFFF"/>
            </w:tcBorders>
          </w:tcPr>
          <w:p w14:paraId="3E34B865" w14:textId="77777777" w:rsidR="00B42EB5" w:rsidRDefault="00721A9E">
            <w:pPr>
              <w:pStyle w:val="TableParagraph"/>
              <w:spacing w:before="41"/>
              <w:ind w:left="525" w:right="516"/>
              <w:rPr>
                <w:sz w:val="20"/>
              </w:rPr>
            </w:pPr>
            <w:r>
              <w:rPr>
                <w:sz w:val="20"/>
              </w:rPr>
              <w:t>1,320</w:t>
            </w:r>
          </w:p>
        </w:tc>
        <w:tc>
          <w:tcPr>
            <w:tcW w:w="1583" w:type="dxa"/>
            <w:tcBorders>
              <w:left w:val="single" w:sz="18" w:space="0" w:color="FFFFFF"/>
              <w:right w:val="nil"/>
            </w:tcBorders>
          </w:tcPr>
          <w:p w14:paraId="0792DD60" w14:textId="77777777" w:rsidR="00B42EB5" w:rsidRDefault="00721A9E">
            <w:pPr>
              <w:pStyle w:val="TableParagraph"/>
              <w:spacing w:before="41"/>
              <w:ind w:left="255" w:right="267"/>
              <w:rPr>
                <w:sz w:val="20"/>
              </w:rPr>
            </w:pPr>
            <w:r>
              <w:rPr>
                <w:sz w:val="20"/>
              </w:rPr>
              <w:t>15.2%</w:t>
            </w:r>
          </w:p>
        </w:tc>
      </w:tr>
      <w:tr w:rsidR="00B42EB5" w14:paraId="0FF16DE0" w14:textId="77777777">
        <w:trPr>
          <w:trHeight w:val="330"/>
        </w:trPr>
        <w:tc>
          <w:tcPr>
            <w:tcW w:w="7006" w:type="dxa"/>
            <w:gridSpan w:val="3"/>
            <w:tcBorders>
              <w:left w:val="nil"/>
              <w:right w:val="single" w:sz="18" w:space="0" w:color="FFFFFF"/>
            </w:tcBorders>
            <w:shd w:val="clear" w:color="auto" w:fill="E7E6E6"/>
          </w:tcPr>
          <w:p w14:paraId="3CF2A2C1" w14:textId="77777777" w:rsidR="00B42EB5" w:rsidRDefault="00721A9E">
            <w:pPr>
              <w:pStyle w:val="TableParagraph"/>
              <w:ind w:left="33"/>
              <w:jc w:val="left"/>
              <w:rPr>
                <w:b/>
                <w:sz w:val="20"/>
              </w:rPr>
            </w:pPr>
            <w:r>
              <w:rPr>
                <w:b/>
                <w:sz w:val="20"/>
              </w:rPr>
              <w:t>Beauty</w:t>
            </w:r>
            <w:r>
              <w:rPr>
                <w:b/>
                <w:spacing w:val="6"/>
                <w:sz w:val="20"/>
              </w:rPr>
              <w:t xml:space="preserve"> </w:t>
            </w:r>
            <w:r>
              <w:rPr>
                <w:b/>
                <w:sz w:val="20"/>
              </w:rPr>
              <w:t>Care</w:t>
            </w:r>
          </w:p>
        </w:tc>
        <w:tc>
          <w:tcPr>
            <w:tcW w:w="1582" w:type="dxa"/>
            <w:tcBorders>
              <w:left w:val="single" w:sz="18" w:space="0" w:color="FFFFFF"/>
              <w:right w:val="single" w:sz="18" w:space="0" w:color="FFFFFF"/>
            </w:tcBorders>
            <w:shd w:val="clear" w:color="auto" w:fill="E7E6E6"/>
          </w:tcPr>
          <w:p w14:paraId="435A9A2F" w14:textId="77777777" w:rsidR="00B42EB5" w:rsidRDefault="00B42EB5">
            <w:pPr>
              <w:pStyle w:val="TableParagraph"/>
              <w:spacing w:before="0"/>
              <w:jc w:val="left"/>
              <w:rPr>
                <w:rFonts w:ascii="Times New Roman"/>
                <w:sz w:val="18"/>
              </w:rPr>
            </w:pPr>
          </w:p>
        </w:tc>
        <w:tc>
          <w:tcPr>
            <w:tcW w:w="1583" w:type="dxa"/>
            <w:tcBorders>
              <w:left w:val="single" w:sz="18" w:space="0" w:color="FFFFFF"/>
              <w:right w:val="nil"/>
            </w:tcBorders>
            <w:shd w:val="clear" w:color="auto" w:fill="E7E6E6"/>
          </w:tcPr>
          <w:p w14:paraId="05D9CF46" w14:textId="77777777" w:rsidR="00B42EB5" w:rsidRDefault="00B42EB5">
            <w:pPr>
              <w:pStyle w:val="TableParagraph"/>
              <w:spacing w:before="0"/>
              <w:jc w:val="left"/>
              <w:rPr>
                <w:rFonts w:ascii="Times New Roman"/>
                <w:sz w:val="18"/>
              </w:rPr>
            </w:pPr>
          </w:p>
        </w:tc>
      </w:tr>
      <w:tr w:rsidR="00B42EB5" w14:paraId="03288857" w14:textId="77777777">
        <w:trPr>
          <w:trHeight w:val="330"/>
        </w:trPr>
        <w:tc>
          <w:tcPr>
            <w:tcW w:w="4954" w:type="dxa"/>
            <w:tcBorders>
              <w:left w:val="nil"/>
              <w:right w:val="nil"/>
            </w:tcBorders>
          </w:tcPr>
          <w:p w14:paraId="3C10DBC1" w14:textId="77777777" w:rsidR="00B42EB5" w:rsidRDefault="00721A9E">
            <w:pPr>
              <w:pStyle w:val="TableParagraph"/>
              <w:ind w:left="33"/>
              <w:jc w:val="left"/>
              <w:rPr>
                <w:sz w:val="20"/>
              </w:rPr>
            </w:pPr>
            <w:r>
              <w:rPr>
                <w:sz w:val="20"/>
              </w:rPr>
              <w:t>2021</w:t>
            </w:r>
          </w:p>
        </w:tc>
        <w:tc>
          <w:tcPr>
            <w:tcW w:w="1007" w:type="dxa"/>
            <w:tcBorders>
              <w:left w:val="nil"/>
              <w:right w:val="nil"/>
            </w:tcBorders>
          </w:tcPr>
          <w:p w14:paraId="6DCB497C" w14:textId="77777777" w:rsidR="00B42EB5" w:rsidRDefault="00721A9E">
            <w:pPr>
              <w:pStyle w:val="TableParagraph"/>
              <w:ind w:left="269" w:right="237"/>
              <w:rPr>
                <w:sz w:val="20"/>
              </w:rPr>
            </w:pPr>
            <w:r>
              <w:rPr>
                <w:sz w:val="20"/>
              </w:rPr>
              <w:t>905</w:t>
            </w:r>
          </w:p>
        </w:tc>
        <w:tc>
          <w:tcPr>
            <w:tcW w:w="1045" w:type="dxa"/>
            <w:tcBorders>
              <w:left w:val="nil"/>
              <w:right w:val="nil"/>
            </w:tcBorders>
          </w:tcPr>
          <w:p w14:paraId="2ACF1A1A" w14:textId="77777777" w:rsidR="00B42EB5" w:rsidRDefault="00721A9E">
            <w:pPr>
              <w:pStyle w:val="TableParagraph"/>
              <w:ind w:left="238" w:right="208"/>
              <w:rPr>
                <w:sz w:val="20"/>
              </w:rPr>
            </w:pPr>
            <w:r>
              <w:rPr>
                <w:sz w:val="20"/>
              </w:rPr>
              <w:t>3,678</w:t>
            </w:r>
          </w:p>
        </w:tc>
        <w:tc>
          <w:tcPr>
            <w:tcW w:w="1582" w:type="dxa"/>
            <w:tcBorders>
              <w:left w:val="nil"/>
              <w:right w:val="single" w:sz="18" w:space="0" w:color="FFFFFF"/>
            </w:tcBorders>
          </w:tcPr>
          <w:p w14:paraId="66291B41" w14:textId="77777777" w:rsidR="00B42EB5" w:rsidRDefault="00721A9E">
            <w:pPr>
              <w:pStyle w:val="TableParagraph"/>
              <w:ind w:left="465" w:right="436"/>
              <w:rPr>
                <w:sz w:val="20"/>
              </w:rPr>
            </w:pPr>
            <w:r>
              <w:rPr>
                <w:sz w:val="20"/>
              </w:rPr>
              <w:t>77</w:t>
            </w:r>
          </w:p>
        </w:tc>
        <w:tc>
          <w:tcPr>
            <w:tcW w:w="1583" w:type="dxa"/>
            <w:tcBorders>
              <w:left w:val="single" w:sz="18" w:space="0" w:color="FFFFFF"/>
              <w:right w:val="nil"/>
            </w:tcBorders>
          </w:tcPr>
          <w:p w14:paraId="52077536" w14:textId="77777777" w:rsidR="00B42EB5" w:rsidRDefault="00721A9E">
            <w:pPr>
              <w:pStyle w:val="TableParagraph"/>
              <w:ind w:left="254" w:right="268"/>
              <w:rPr>
                <w:sz w:val="20"/>
              </w:rPr>
            </w:pPr>
            <w:r>
              <w:rPr>
                <w:sz w:val="20"/>
              </w:rPr>
              <w:t>2.1%</w:t>
            </w:r>
          </w:p>
        </w:tc>
      </w:tr>
      <w:tr w:rsidR="00B42EB5" w14:paraId="62BDA105" w14:textId="77777777">
        <w:trPr>
          <w:trHeight w:val="330"/>
        </w:trPr>
        <w:tc>
          <w:tcPr>
            <w:tcW w:w="4954" w:type="dxa"/>
            <w:tcBorders>
              <w:left w:val="nil"/>
              <w:right w:val="nil"/>
            </w:tcBorders>
          </w:tcPr>
          <w:p w14:paraId="45031E6A" w14:textId="77777777" w:rsidR="00B42EB5" w:rsidRDefault="00721A9E">
            <w:pPr>
              <w:pStyle w:val="TableParagraph"/>
              <w:ind w:left="33"/>
              <w:jc w:val="left"/>
              <w:rPr>
                <w:sz w:val="20"/>
              </w:rPr>
            </w:pPr>
            <w:r>
              <w:rPr>
                <w:sz w:val="20"/>
              </w:rPr>
              <w:t>2020</w:t>
            </w:r>
          </w:p>
        </w:tc>
        <w:tc>
          <w:tcPr>
            <w:tcW w:w="1007" w:type="dxa"/>
            <w:tcBorders>
              <w:left w:val="nil"/>
              <w:right w:val="nil"/>
            </w:tcBorders>
          </w:tcPr>
          <w:p w14:paraId="23B293D1" w14:textId="77777777" w:rsidR="00B42EB5" w:rsidRDefault="00721A9E">
            <w:pPr>
              <w:pStyle w:val="TableParagraph"/>
              <w:ind w:left="269" w:right="237"/>
              <w:rPr>
                <w:sz w:val="20"/>
              </w:rPr>
            </w:pPr>
            <w:r>
              <w:rPr>
                <w:sz w:val="20"/>
              </w:rPr>
              <w:t>934</w:t>
            </w:r>
          </w:p>
        </w:tc>
        <w:tc>
          <w:tcPr>
            <w:tcW w:w="1045" w:type="dxa"/>
            <w:tcBorders>
              <w:left w:val="nil"/>
              <w:right w:val="nil"/>
            </w:tcBorders>
          </w:tcPr>
          <w:p w14:paraId="14DD7219" w14:textId="77777777" w:rsidR="00B42EB5" w:rsidRDefault="00721A9E">
            <w:pPr>
              <w:pStyle w:val="TableParagraph"/>
              <w:ind w:left="238" w:right="208"/>
              <w:rPr>
                <w:sz w:val="20"/>
              </w:rPr>
            </w:pPr>
            <w:r>
              <w:rPr>
                <w:sz w:val="20"/>
              </w:rPr>
              <w:t>3,752</w:t>
            </w:r>
          </w:p>
        </w:tc>
        <w:tc>
          <w:tcPr>
            <w:tcW w:w="1582" w:type="dxa"/>
            <w:tcBorders>
              <w:left w:val="nil"/>
              <w:right w:val="single" w:sz="18" w:space="0" w:color="FFFFFF"/>
            </w:tcBorders>
          </w:tcPr>
          <w:p w14:paraId="0E6EF344" w14:textId="77777777" w:rsidR="00B42EB5" w:rsidRDefault="00721A9E">
            <w:pPr>
              <w:pStyle w:val="TableParagraph"/>
              <w:ind w:left="465" w:right="433"/>
              <w:rPr>
                <w:sz w:val="20"/>
              </w:rPr>
            </w:pPr>
            <w:r>
              <w:rPr>
                <w:sz w:val="20"/>
              </w:rPr>
              <w:t>246</w:t>
            </w:r>
          </w:p>
        </w:tc>
        <w:tc>
          <w:tcPr>
            <w:tcW w:w="1583" w:type="dxa"/>
            <w:tcBorders>
              <w:left w:val="single" w:sz="18" w:space="0" w:color="FFFFFF"/>
              <w:right w:val="nil"/>
            </w:tcBorders>
          </w:tcPr>
          <w:p w14:paraId="5177246F" w14:textId="77777777" w:rsidR="00B42EB5" w:rsidRDefault="00721A9E">
            <w:pPr>
              <w:pStyle w:val="TableParagraph"/>
              <w:ind w:left="254" w:right="268"/>
              <w:rPr>
                <w:sz w:val="20"/>
              </w:rPr>
            </w:pPr>
            <w:r>
              <w:rPr>
                <w:sz w:val="20"/>
              </w:rPr>
              <w:t>6.6%</w:t>
            </w:r>
          </w:p>
        </w:tc>
      </w:tr>
      <w:tr w:rsidR="00B42EB5" w14:paraId="60871F19" w14:textId="77777777">
        <w:trPr>
          <w:trHeight w:val="330"/>
        </w:trPr>
        <w:tc>
          <w:tcPr>
            <w:tcW w:w="4954" w:type="dxa"/>
            <w:tcBorders>
              <w:left w:val="nil"/>
              <w:right w:val="nil"/>
            </w:tcBorders>
          </w:tcPr>
          <w:p w14:paraId="1FD72FD5" w14:textId="77777777" w:rsidR="00B42EB5" w:rsidRDefault="00721A9E">
            <w:pPr>
              <w:pStyle w:val="TableParagraph"/>
              <w:ind w:left="33"/>
              <w:jc w:val="left"/>
              <w:rPr>
                <w:sz w:val="20"/>
              </w:rPr>
            </w:pPr>
            <w:r>
              <w:rPr>
                <w:sz w:val="20"/>
              </w:rPr>
              <w:t>organic</w:t>
            </w:r>
            <w:r>
              <w:rPr>
                <w:spacing w:val="8"/>
                <w:sz w:val="20"/>
              </w:rPr>
              <w:t xml:space="preserve"> </w:t>
            </w:r>
            <w:r>
              <w:rPr>
                <w:sz w:val="20"/>
              </w:rPr>
              <w:t>growth</w:t>
            </w:r>
          </w:p>
        </w:tc>
        <w:tc>
          <w:tcPr>
            <w:tcW w:w="1007" w:type="dxa"/>
            <w:tcBorders>
              <w:left w:val="nil"/>
              <w:right w:val="nil"/>
            </w:tcBorders>
          </w:tcPr>
          <w:p w14:paraId="1D52D141" w14:textId="77777777" w:rsidR="00B42EB5" w:rsidRDefault="00721A9E">
            <w:pPr>
              <w:pStyle w:val="TableParagraph"/>
              <w:ind w:left="269" w:right="239"/>
              <w:rPr>
                <w:sz w:val="20"/>
              </w:rPr>
            </w:pPr>
            <w:r>
              <w:rPr>
                <w:sz w:val="20"/>
              </w:rPr>
              <w:t>‐1.4%</w:t>
            </w:r>
          </w:p>
        </w:tc>
        <w:tc>
          <w:tcPr>
            <w:tcW w:w="1045" w:type="dxa"/>
            <w:tcBorders>
              <w:left w:val="nil"/>
              <w:right w:val="single" w:sz="18" w:space="0" w:color="FFFFFF"/>
            </w:tcBorders>
          </w:tcPr>
          <w:p w14:paraId="0D325A0C" w14:textId="77777777" w:rsidR="00B42EB5" w:rsidRDefault="00721A9E">
            <w:pPr>
              <w:pStyle w:val="TableParagraph"/>
              <w:ind w:left="265" w:right="215"/>
              <w:rPr>
                <w:sz w:val="20"/>
              </w:rPr>
            </w:pPr>
            <w:r>
              <w:rPr>
                <w:sz w:val="20"/>
              </w:rPr>
              <w:t>1.4%</w:t>
            </w:r>
          </w:p>
        </w:tc>
        <w:tc>
          <w:tcPr>
            <w:tcW w:w="1582" w:type="dxa"/>
            <w:tcBorders>
              <w:left w:val="single" w:sz="18" w:space="0" w:color="FFFFFF"/>
              <w:right w:val="single" w:sz="18" w:space="0" w:color="FFFFFF"/>
            </w:tcBorders>
          </w:tcPr>
          <w:p w14:paraId="5FB53102" w14:textId="77777777" w:rsidR="00B42EB5" w:rsidRDefault="00721A9E">
            <w:pPr>
              <w:pStyle w:val="TableParagraph"/>
              <w:ind w:left="6"/>
              <w:rPr>
                <w:sz w:val="20"/>
              </w:rPr>
            </w:pPr>
            <w:r>
              <w:rPr>
                <w:w w:val="102"/>
                <w:sz w:val="20"/>
              </w:rPr>
              <w:t>‐</w:t>
            </w:r>
          </w:p>
        </w:tc>
        <w:tc>
          <w:tcPr>
            <w:tcW w:w="1583" w:type="dxa"/>
            <w:tcBorders>
              <w:left w:val="single" w:sz="18" w:space="0" w:color="FFFFFF"/>
              <w:right w:val="nil"/>
            </w:tcBorders>
          </w:tcPr>
          <w:p w14:paraId="452611D6" w14:textId="77777777" w:rsidR="00B42EB5" w:rsidRDefault="00721A9E">
            <w:pPr>
              <w:pStyle w:val="TableParagraph"/>
              <w:ind w:right="16"/>
              <w:rPr>
                <w:sz w:val="20"/>
              </w:rPr>
            </w:pPr>
            <w:r>
              <w:rPr>
                <w:w w:val="102"/>
                <w:sz w:val="20"/>
              </w:rPr>
              <w:t>‐</w:t>
            </w:r>
          </w:p>
        </w:tc>
      </w:tr>
      <w:tr w:rsidR="00B42EB5" w14:paraId="3273CC3C" w14:textId="77777777">
        <w:trPr>
          <w:trHeight w:val="330"/>
        </w:trPr>
        <w:tc>
          <w:tcPr>
            <w:tcW w:w="4954" w:type="dxa"/>
            <w:tcBorders>
              <w:left w:val="nil"/>
              <w:right w:val="nil"/>
            </w:tcBorders>
          </w:tcPr>
          <w:p w14:paraId="3AC0F28D" w14:textId="77777777" w:rsidR="00B42EB5" w:rsidRDefault="00721A9E">
            <w:pPr>
              <w:pStyle w:val="TableParagraph"/>
              <w:spacing w:before="62"/>
              <w:ind w:left="33"/>
              <w:jc w:val="left"/>
              <w:rPr>
                <w:sz w:val="20"/>
              </w:rPr>
            </w:pPr>
            <w:r>
              <w:rPr>
                <w:sz w:val="20"/>
              </w:rPr>
              <w:t>2021</w:t>
            </w:r>
            <w:r>
              <w:rPr>
                <w:spacing w:val="10"/>
                <w:sz w:val="20"/>
              </w:rPr>
              <w:t xml:space="preserve"> </w:t>
            </w:r>
            <w:r>
              <w:rPr>
                <w:sz w:val="20"/>
              </w:rPr>
              <w:t>adjusted</w:t>
            </w:r>
            <w:r>
              <w:rPr>
                <w:spacing w:val="-9"/>
                <w:sz w:val="20"/>
              </w:rPr>
              <w:t xml:space="preserve"> </w:t>
            </w:r>
            <w:r>
              <w:rPr>
                <w:sz w:val="20"/>
                <w:vertAlign w:val="superscript"/>
              </w:rPr>
              <w:t>1)</w:t>
            </w:r>
          </w:p>
        </w:tc>
        <w:tc>
          <w:tcPr>
            <w:tcW w:w="1007" w:type="dxa"/>
            <w:tcBorders>
              <w:left w:val="nil"/>
              <w:right w:val="nil"/>
            </w:tcBorders>
          </w:tcPr>
          <w:p w14:paraId="1725D75A" w14:textId="77777777" w:rsidR="00B42EB5" w:rsidRDefault="00721A9E">
            <w:pPr>
              <w:pStyle w:val="TableParagraph"/>
              <w:ind w:left="29"/>
              <w:rPr>
                <w:sz w:val="20"/>
              </w:rPr>
            </w:pPr>
            <w:r>
              <w:rPr>
                <w:w w:val="102"/>
                <w:sz w:val="20"/>
              </w:rPr>
              <w:t>‐</w:t>
            </w:r>
          </w:p>
        </w:tc>
        <w:tc>
          <w:tcPr>
            <w:tcW w:w="1045" w:type="dxa"/>
            <w:tcBorders>
              <w:left w:val="nil"/>
              <w:right w:val="single" w:sz="18" w:space="0" w:color="FFFFFF"/>
            </w:tcBorders>
          </w:tcPr>
          <w:p w14:paraId="21C36027" w14:textId="77777777" w:rsidR="00B42EB5" w:rsidRDefault="00721A9E">
            <w:pPr>
              <w:pStyle w:val="TableParagraph"/>
              <w:ind w:left="49"/>
              <w:rPr>
                <w:sz w:val="20"/>
              </w:rPr>
            </w:pPr>
            <w:r>
              <w:rPr>
                <w:w w:val="102"/>
                <w:sz w:val="20"/>
              </w:rPr>
              <w:t>‐</w:t>
            </w:r>
          </w:p>
        </w:tc>
        <w:tc>
          <w:tcPr>
            <w:tcW w:w="1582" w:type="dxa"/>
            <w:tcBorders>
              <w:left w:val="single" w:sz="18" w:space="0" w:color="FFFFFF"/>
              <w:right w:val="single" w:sz="18" w:space="0" w:color="FFFFFF"/>
            </w:tcBorders>
          </w:tcPr>
          <w:p w14:paraId="5F4C8472" w14:textId="77777777" w:rsidR="00B42EB5" w:rsidRDefault="00721A9E">
            <w:pPr>
              <w:pStyle w:val="TableParagraph"/>
              <w:ind w:left="525" w:right="516"/>
              <w:rPr>
                <w:sz w:val="20"/>
              </w:rPr>
            </w:pPr>
            <w:r>
              <w:rPr>
                <w:sz w:val="20"/>
              </w:rPr>
              <w:t>351</w:t>
            </w:r>
          </w:p>
        </w:tc>
        <w:tc>
          <w:tcPr>
            <w:tcW w:w="1583" w:type="dxa"/>
            <w:tcBorders>
              <w:left w:val="single" w:sz="18" w:space="0" w:color="FFFFFF"/>
              <w:right w:val="nil"/>
            </w:tcBorders>
          </w:tcPr>
          <w:p w14:paraId="1581DFCF" w14:textId="77777777" w:rsidR="00B42EB5" w:rsidRDefault="00721A9E">
            <w:pPr>
              <w:pStyle w:val="TableParagraph"/>
              <w:ind w:left="253" w:right="268"/>
              <w:rPr>
                <w:sz w:val="20"/>
              </w:rPr>
            </w:pPr>
            <w:r>
              <w:rPr>
                <w:sz w:val="20"/>
              </w:rPr>
              <w:t>9.5%</w:t>
            </w:r>
          </w:p>
        </w:tc>
      </w:tr>
      <w:tr w:rsidR="00B42EB5" w14:paraId="2DAE382B" w14:textId="77777777">
        <w:trPr>
          <w:trHeight w:val="325"/>
        </w:trPr>
        <w:tc>
          <w:tcPr>
            <w:tcW w:w="4954" w:type="dxa"/>
            <w:tcBorders>
              <w:left w:val="nil"/>
              <w:right w:val="nil"/>
            </w:tcBorders>
          </w:tcPr>
          <w:p w14:paraId="1F6EF0F1" w14:textId="77777777" w:rsidR="00B42EB5" w:rsidRDefault="00721A9E">
            <w:pPr>
              <w:pStyle w:val="TableParagraph"/>
              <w:spacing w:before="60"/>
              <w:ind w:left="33"/>
              <w:jc w:val="left"/>
              <w:rPr>
                <w:sz w:val="20"/>
              </w:rPr>
            </w:pPr>
            <w:r>
              <w:rPr>
                <w:sz w:val="20"/>
              </w:rPr>
              <w:t>2020</w:t>
            </w:r>
            <w:r>
              <w:rPr>
                <w:spacing w:val="10"/>
                <w:sz w:val="20"/>
              </w:rPr>
              <w:t xml:space="preserve"> </w:t>
            </w:r>
            <w:r>
              <w:rPr>
                <w:sz w:val="20"/>
              </w:rPr>
              <w:t>adjusted</w:t>
            </w:r>
            <w:r>
              <w:rPr>
                <w:spacing w:val="-9"/>
                <w:sz w:val="20"/>
              </w:rPr>
              <w:t xml:space="preserve"> </w:t>
            </w:r>
            <w:r>
              <w:rPr>
                <w:sz w:val="20"/>
                <w:vertAlign w:val="superscript"/>
              </w:rPr>
              <w:t>1)</w:t>
            </w:r>
          </w:p>
        </w:tc>
        <w:tc>
          <w:tcPr>
            <w:tcW w:w="1007" w:type="dxa"/>
            <w:tcBorders>
              <w:left w:val="nil"/>
              <w:right w:val="nil"/>
            </w:tcBorders>
          </w:tcPr>
          <w:p w14:paraId="7E1E0A8A" w14:textId="77777777" w:rsidR="00B42EB5" w:rsidRDefault="00721A9E">
            <w:pPr>
              <w:pStyle w:val="TableParagraph"/>
              <w:spacing w:before="41"/>
              <w:ind w:left="29"/>
              <w:rPr>
                <w:sz w:val="20"/>
              </w:rPr>
            </w:pPr>
            <w:r>
              <w:rPr>
                <w:w w:val="102"/>
                <w:sz w:val="20"/>
              </w:rPr>
              <w:t>‐</w:t>
            </w:r>
          </w:p>
        </w:tc>
        <w:tc>
          <w:tcPr>
            <w:tcW w:w="1045" w:type="dxa"/>
            <w:tcBorders>
              <w:left w:val="nil"/>
              <w:right w:val="single" w:sz="18" w:space="0" w:color="FFFFFF"/>
            </w:tcBorders>
          </w:tcPr>
          <w:p w14:paraId="61874ACA" w14:textId="77777777" w:rsidR="00B42EB5" w:rsidRDefault="00721A9E">
            <w:pPr>
              <w:pStyle w:val="TableParagraph"/>
              <w:spacing w:before="41"/>
              <w:ind w:left="49"/>
              <w:rPr>
                <w:sz w:val="20"/>
              </w:rPr>
            </w:pPr>
            <w:r>
              <w:rPr>
                <w:w w:val="102"/>
                <w:sz w:val="20"/>
              </w:rPr>
              <w:t>‐</w:t>
            </w:r>
          </w:p>
        </w:tc>
        <w:tc>
          <w:tcPr>
            <w:tcW w:w="1582" w:type="dxa"/>
            <w:tcBorders>
              <w:left w:val="single" w:sz="18" w:space="0" w:color="FFFFFF"/>
              <w:right w:val="single" w:sz="18" w:space="0" w:color="FFFFFF"/>
            </w:tcBorders>
          </w:tcPr>
          <w:p w14:paraId="1E4D0E90" w14:textId="77777777" w:rsidR="00B42EB5" w:rsidRDefault="00721A9E">
            <w:pPr>
              <w:pStyle w:val="TableParagraph"/>
              <w:spacing w:before="41"/>
              <w:ind w:left="525" w:right="516"/>
              <w:rPr>
                <w:sz w:val="20"/>
              </w:rPr>
            </w:pPr>
            <w:r>
              <w:rPr>
                <w:sz w:val="20"/>
              </w:rPr>
              <w:t>377</w:t>
            </w:r>
          </w:p>
        </w:tc>
        <w:tc>
          <w:tcPr>
            <w:tcW w:w="1583" w:type="dxa"/>
            <w:tcBorders>
              <w:left w:val="single" w:sz="18" w:space="0" w:color="FFFFFF"/>
              <w:right w:val="nil"/>
            </w:tcBorders>
          </w:tcPr>
          <w:p w14:paraId="0D34625D" w14:textId="77777777" w:rsidR="00B42EB5" w:rsidRDefault="00721A9E">
            <w:pPr>
              <w:pStyle w:val="TableParagraph"/>
              <w:spacing w:before="41"/>
              <w:ind w:left="255" w:right="267"/>
              <w:rPr>
                <w:sz w:val="20"/>
              </w:rPr>
            </w:pPr>
            <w:r>
              <w:rPr>
                <w:sz w:val="20"/>
              </w:rPr>
              <w:t>10.0%</w:t>
            </w:r>
          </w:p>
        </w:tc>
      </w:tr>
      <w:tr w:rsidR="00B42EB5" w14:paraId="5561124E" w14:textId="77777777">
        <w:trPr>
          <w:trHeight w:val="330"/>
        </w:trPr>
        <w:tc>
          <w:tcPr>
            <w:tcW w:w="7006" w:type="dxa"/>
            <w:gridSpan w:val="3"/>
            <w:tcBorders>
              <w:left w:val="nil"/>
              <w:right w:val="single" w:sz="18" w:space="0" w:color="FFFFFF"/>
            </w:tcBorders>
            <w:shd w:val="clear" w:color="auto" w:fill="E7E6E6"/>
          </w:tcPr>
          <w:p w14:paraId="0FAD8DCF" w14:textId="77777777" w:rsidR="00B42EB5" w:rsidRDefault="00721A9E">
            <w:pPr>
              <w:pStyle w:val="TableParagraph"/>
              <w:ind w:left="33"/>
              <w:jc w:val="left"/>
              <w:rPr>
                <w:b/>
                <w:sz w:val="20"/>
              </w:rPr>
            </w:pPr>
            <w:r>
              <w:rPr>
                <w:b/>
                <w:sz w:val="20"/>
              </w:rPr>
              <w:t>Laundry</w:t>
            </w:r>
            <w:r>
              <w:rPr>
                <w:b/>
                <w:spacing w:val="6"/>
                <w:sz w:val="20"/>
              </w:rPr>
              <w:t xml:space="preserve"> </w:t>
            </w:r>
            <w:r>
              <w:rPr>
                <w:b/>
                <w:sz w:val="20"/>
              </w:rPr>
              <w:t>&amp;</w:t>
            </w:r>
            <w:r>
              <w:rPr>
                <w:b/>
                <w:spacing w:val="7"/>
                <w:sz w:val="20"/>
              </w:rPr>
              <w:t xml:space="preserve"> </w:t>
            </w:r>
            <w:r>
              <w:rPr>
                <w:b/>
                <w:sz w:val="20"/>
              </w:rPr>
              <w:t>Home</w:t>
            </w:r>
            <w:r>
              <w:rPr>
                <w:b/>
                <w:spacing w:val="6"/>
                <w:sz w:val="20"/>
              </w:rPr>
              <w:t xml:space="preserve"> </w:t>
            </w:r>
            <w:r>
              <w:rPr>
                <w:b/>
                <w:sz w:val="20"/>
              </w:rPr>
              <w:t>Care</w:t>
            </w:r>
          </w:p>
        </w:tc>
        <w:tc>
          <w:tcPr>
            <w:tcW w:w="1582" w:type="dxa"/>
            <w:tcBorders>
              <w:left w:val="single" w:sz="18" w:space="0" w:color="FFFFFF"/>
              <w:right w:val="single" w:sz="18" w:space="0" w:color="FFFFFF"/>
            </w:tcBorders>
            <w:shd w:val="clear" w:color="auto" w:fill="E7E6E6"/>
          </w:tcPr>
          <w:p w14:paraId="1025FCEB" w14:textId="77777777" w:rsidR="00B42EB5" w:rsidRDefault="00B42EB5">
            <w:pPr>
              <w:pStyle w:val="TableParagraph"/>
              <w:spacing w:before="0"/>
              <w:jc w:val="left"/>
              <w:rPr>
                <w:rFonts w:ascii="Times New Roman"/>
                <w:sz w:val="18"/>
              </w:rPr>
            </w:pPr>
          </w:p>
        </w:tc>
        <w:tc>
          <w:tcPr>
            <w:tcW w:w="1583" w:type="dxa"/>
            <w:tcBorders>
              <w:left w:val="single" w:sz="18" w:space="0" w:color="FFFFFF"/>
              <w:right w:val="nil"/>
            </w:tcBorders>
            <w:shd w:val="clear" w:color="auto" w:fill="E7E6E6"/>
          </w:tcPr>
          <w:p w14:paraId="1C647820" w14:textId="77777777" w:rsidR="00B42EB5" w:rsidRDefault="00B42EB5">
            <w:pPr>
              <w:pStyle w:val="TableParagraph"/>
              <w:spacing w:before="0"/>
              <w:jc w:val="left"/>
              <w:rPr>
                <w:rFonts w:ascii="Times New Roman"/>
                <w:sz w:val="18"/>
              </w:rPr>
            </w:pPr>
          </w:p>
        </w:tc>
      </w:tr>
      <w:tr w:rsidR="00B42EB5" w14:paraId="58655FE6" w14:textId="77777777">
        <w:trPr>
          <w:trHeight w:val="330"/>
        </w:trPr>
        <w:tc>
          <w:tcPr>
            <w:tcW w:w="4954" w:type="dxa"/>
            <w:tcBorders>
              <w:left w:val="nil"/>
              <w:right w:val="nil"/>
            </w:tcBorders>
          </w:tcPr>
          <w:p w14:paraId="08081A66" w14:textId="77777777" w:rsidR="00B42EB5" w:rsidRDefault="00721A9E">
            <w:pPr>
              <w:pStyle w:val="TableParagraph"/>
              <w:ind w:left="33"/>
              <w:jc w:val="left"/>
              <w:rPr>
                <w:sz w:val="20"/>
              </w:rPr>
            </w:pPr>
            <w:r>
              <w:rPr>
                <w:sz w:val="20"/>
              </w:rPr>
              <w:t>2021</w:t>
            </w:r>
          </w:p>
        </w:tc>
        <w:tc>
          <w:tcPr>
            <w:tcW w:w="1007" w:type="dxa"/>
            <w:tcBorders>
              <w:left w:val="nil"/>
              <w:right w:val="nil"/>
            </w:tcBorders>
          </w:tcPr>
          <w:p w14:paraId="39E96949" w14:textId="77777777" w:rsidR="00B42EB5" w:rsidRDefault="00721A9E">
            <w:pPr>
              <w:pStyle w:val="TableParagraph"/>
              <w:ind w:left="269" w:right="236"/>
              <w:rPr>
                <w:sz w:val="20"/>
              </w:rPr>
            </w:pPr>
            <w:r>
              <w:rPr>
                <w:sz w:val="20"/>
              </w:rPr>
              <w:t>1,650</w:t>
            </w:r>
          </w:p>
        </w:tc>
        <w:tc>
          <w:tcPr>
            <w:tcW w:w="1045" w:type="dxa"/>
            <w:tcBorders>
              <w:left w:val="nil"/>
              <w:right w:val="nil"/>
            </w:tcBorders>
          </w:tcPr>
          <w:p w14:paraId="4A78F221" w14:textId="77777777" w:rsidR="00B42EB5" w:rsidRDefault="00721A9E">
            <w:pPr>
              <w:pStyle w:val="TableParagraph"/>
              <w:ind w:left="238" w:right="207"/>
              <w:rPr>
                <w:sz w:val="20"/>
              </w:rPr>
            </w:pPr>
            <w:r>
              <w:rPr>
                <w:sz w:val="20"/>
              </w:rPr>
              <w:t>6,605</w:t>
            </w:r>
          </w:p>
        </w:tc>
        <w:tc>
          <w:tcPr>
            <w:tcW w:w="1582" w:type="dxa"/>
            <w:tcBorders>
              <w:left w:val="nil"/>
              <w:right w:val="single" w:sz="18" w:space="0" w:color="FFFFFF"/>
            </w:tcBorders>
          </w:tcPr>
          <w:p w14:paraId="1CEDC950" w14:textId="77777777" w:rsidR="00B42EB5" w:rsidRDefault="00721A9E">
            <w:pPr>
              <w:pStyle w:val="TableParagraph"/>
              <w:ind w:left="465" w:right="433"/>
              <w:rPr>
                <w:sz w:val="20"/>
              </w:rPr>
            </w:pPr>
            <w:r>
              <w:rPr>
                <w:sz w:val="20"/>
              </w:rPr>
              <w:t>797</w:t>
            </w:r>
          </w:p>
        </w:tc>
        <w:tc>
          <w:tcPr>
            <w:tcW w:w="1583" w:type="dxa"/>
            <w:tcBorders>
              <w:left w:val="single" w:sz="18" w:space="0" w:color="FFFFFF"/>
              <w:right w:val="nil"/>
            </w:tcBorders>
          </w:tcPr>
          <w:p w14:paraId="6950B60F" w14:textId="77777777" w:rsidR="00B42EB5" w:rsidRDefault="00721A9E">
            <w:pPr>
              <w:pStyle w:val="TableParagraph"/>
              <w:ind w:left="255" w:right="266"/>
              <w:rPr>
                <w:sz w:val="20"/>
              </w:rPr>
            </w:pPr>
            <w:r>
              <w:rPr>
                <w:sz w:val="20"/>
              </w:rPr>
              <w:t>12.1%</w:t>
            </w:r>
          </w:p>
        </w:tc>
      </w:tr>
      <w:tr w:rsidR="00B42EB5" w14:paraId="52026230" w14:textId="77777777">
        <w:trPr>
          <w:trHeight w:val="330"/>
        </w:trPr>
        <w:tc>
          <w:tcPr>
            <w:tcW w:w="4954" w:type="dxa"/>
            <w:tcBorders>
              <w:left w:val="nil"/>
              <w:right w:val="nil"/>
            </w:tcBorders>
          </w:tcPr>
          <w:p w14:paraId="441CDD76" w14:textId="77777777" w:rsidR="00B42EB5" w:rsidRDefault="00721A9E">
            <w:pPr>
              <w:pStyle w:val="TableParagraph"/>
              <w:ind w:left="33"/>
              <w:jc w:val="left"/>
              <w:rPr>
                <w:sz w:val="20"/>
              </w:rPr>
            </w:pPr>
            <w:r>
              <w:rPr>
                <w:sz w:val="20"/>
              </w:rPr>
              <w:t>2020</w:t>
            </w:r>
          </w:p>
        </w:tc>
        <w:tc>
          <w:tcPr>
            <w:tcW w:w="1007" w:type="dxa"/>
            <w:tcBorders>
              <w:left w:val="nil"/>
              <w:right w:val="nil"/>
            </w:tcBorders>
          </w:tcPr>
          <w:p w14:paraId="2268C8B8" w14:textId="77777777" w:rsidR="00B42EB5" w:rsidRDefault="00721A9E">
            <w:pPr>
              <w:pStyle w:val="TableParagraph"/>
              <w:ind w:left="269" w:right="236"/>
              <w:rPr>
                <w:sz w:val="20"/>
              </w:rPr>
            </w:pPr>
            <w:r>
              <w:rPr>
                <w:sz w:val="20"/>
              </w:rPr>
              <w:t>1,551</w:t>
            </w:r>
          </w:p>
        </w:tc>
        <w:tc>
          <w:tcPr>
            <w:tcW w:w="1045" w:type="dxa"/>
            <w:tcBorders>
              <w:left w:val="nil"/>
              <w:right w:val="nil"/>
            </w:tcBorders>
          </w:tcPr>
          <w:p w14:paraId="28E8EDF2" w14:textId="77777777" w:rsidR="00B42EB5" w:rsidRDefault="00721A9E">
            <w:pPr>
              <w:pStyle w:val="TableParagraph"/>
              <w:ind w:left="238" w:right="207"/>
              <w:rPr>
                <w:sz w:val="20"/>
              </w:rPr>
            </w:pPr>
            <w:r>
              <w:rPr>
                <w:sz w:val="20"/>
              </w:rPr>
              <w:t>6,704</w:t>
            </w:r>
          </w:p>
        </w:tc>
        <w:tc>
          <w:tcPr>
            <w:tcW w:w="1582" w:type="dxa"/>
            <w:tcBorders>
              <w:left w:val="nil"/>
              <w:right w:val="single" w:sz="18" w:space="0" w:color="FFFFFF"/>
            </w:tcBorders>
          </w:tcPr>
          <w:p w14:paraId="0AFD321C" w14:textId="77777777" w:rsidR="00B42EB5" w:rsidRDefault="00721A9E">
            <w:pPr>
              <w:pStyle w:val="TableParagraph"/>
              <w:ind w:left="465" w:right="433"/>
              <w:rPr>
                <w:sz w:val="20"/>
              </w:rPr>
            </w:pPr>
            <w:r>
              <w:rPr>
                <w:sz w:val="20"/>
              </w:rPr>
              <w:t>688</w:t>
            </w:r>
          </w:p>
        </w:tc>
        <w:tc>
          <w:tcPr>
            <w:tcW w:w="1583" w:type="dxa"/>
            <w:tcBorders>
              <w:left w:val="single" w:sz="18" w:space="0" w:color="FFFFFF"/>
              <w:right w:val="nil"/>
            </w:tcBorders>
          </w:tcPr>
          <w:p w14:paraId="2E7823CE" w14:textId="77777777" w:rsidR="00B42EB5" w:rsidRDefault="00721A9E">
            <w:pPr>
              <w:pStyle w:val="TableParagraph"/>
              <w:ind w:left="255" w:right="266"/>
              <w:rPr>
                <w:sz w:val="20"/>
              </w:rPr>
            </w:pPr>
            <w:r>
              <w:rPr>
                <w:sz w:val="20"/>
              </w:rPr>
              <w:t>10.3%</w:t>
            </w:r>
          </w:p>
        </w:tc>
      </w:tr>
      <w:tr w:rsidR="00B42EB5" w14:paraId="7F166456" w14:textId="77777777">
        <w:trPr>
          <w:trHeight w:val="330"/>
        </w:trPr>
        <w:tc>
          <w:tcPr>
            <w:tcW w:w="4954" w:type="dxa"/>
            <w:tcBorders>
              <w:left w:val="nil"/>
              <w:right w:val="nil"/>
            </w:tcBorders>
          </w:tcPr>
          <w:p w14:paraId="407DA8CC" w14:textId="77777777" w:rsidR="00B42EB5" w:rsidRDefault="00721A9E">
            <w:pPr>
              <w:pStyle w:val="TableParagraph"/>
              <w:ind w:left="33"/>
              <w:jc w:val="left"/>
              <w:rPr>
                <w:sz w:val="20"/>
              </w:rPr>
            </w:pPr>
            <w:r>
              <w:rPr>
                <w:sz w:val="20"/>
              </w:rPr>
              <w:t>organic</w:t>
            </w:r>
            <w:r>
              <w:rPr>
                <w:spacing w:val="8"/>
                <w:sz w:val="20"/>
              </w:rPr>
              <w:t xml:space="preserve"> </w:t>
            </w:r>
            <w:r>
              <w:rPr>
                <w:sz w:val="20"/>
              </w:rPr>
              <w:t>growth</w:t>
            </w:r>
          </w:p>
        </w:tc>
        <w:tc>
          <w:tcPr>
            <w:tcW w:w="1007" w:type="dxa"/>
            <w:tcBorders>
              <w:left w:val="nil"/>
              <w:right w:val="nil"/>
            </w:tcBorders>
          </w:tcPr>
          <w:p w14:paraId="2FC18063" w14:textId="77777777" w:rsidR="00B42EB5" w:rsidRDefault="00721A9E">
            <w:pPr>
              <w:pStyle w:val="TableParagraph"/>
              <w:ind w:left="269" w:right="239"/>
              <w:rPr>
                <w:sz w:val="20"/>
              </w:rPr>
            </w:pPr>
            <w:r>
              <w:rPr>
                <w:sz w:val="20"/>
              </w:rPr>
              <w:t>5.9%</w:t>
            </w:r>
          </w:p>
        </w:tc>
        <w:tc>
          <w:tcPr>
            <w:tcW w:w="1045" w:type="dxa"/>
            <w:tcBorders>
              <w:left w:val="nil"/>
              <w:right w:val="single" w:sz="18" w:space="0" w:color="FFFFFF"/>
            </w:tcBorders>
          </w:tcPr>
          <w:p w14:paraId="2D672D7C" w14:textId="77777777" w:rsidR="00B42EB5" w:rsidRDefault="00721A9E">
            <w:pPr>
              <w:pStyle w:val="TableParagraph"/>
              <w:ind w:left="266" w:right="215"/>
              <w:rPr>
                <w:sz w:val="20"/>
              </w:rPr>
            </w:pPr>
            <w:r>
              <w:rPr>
                <w:sz w:val="20"/>
              </w:rPr>
              <w:t>3.9%</w:t>
            </w:r>
          </w:p>
        </w:tc>
        <w:tc>
          <w:tcPr>
            <w:tcW w:w="1582" w:type="dxa"/>
            <w:tcBorders>
              <w:left w:val="single" w:sz="18" w:space="0" w:color="FFFFFF"/>
              <w:right w:val="single" w:sz="18" w:space="0" w:color="FFFFFF"/>
            </w:tcBorders>
          </w:tcPr>
          <w:p w14:paraId="6A48A784" w14:textId="77777777" w:rsidR="00B42EB5" w:rsidRDefault="00721A9E">
            <w:pPr>
              <w:pStyle w:val="TableParagraph"/>
              <w:ind w:left="6"/>
              <w:rPr>
                <w:sz w:val="20"/>
              </w:rPr>
            </w:pPr>
            <w:r>
              <w:rPr>
                <w:w w:val="102"/>
                <w:sz w:val="20"/>
              </w:rPr>
              <w:t>‐</w:t>
            </w:r>
          </w:p>
        </w:tc>
        <w:tc>
          <w:tcPr>
            <w:tcW w:w="1583" w:type="dxa"/>
            <w:tcBorders>
              <w:left w:val="single" w:sz="18" w:space="0" w:color="FFFFFF"/>
              <w:right w:val="nil"/>
            </w:tcBorders>
          </w:tcPr>
          <w:p w14:paraId="004F5902" w14:textId="77777777" w:rsidR="00B42EB5" w:rsidRDefault="00721A9E">
            <w:pPr>
              <w:pStyle w:val="TableParagraph"/>
              <w:ind w:right="16"/>
              <w:rPr>
                <w:sz w:val="20"/>
              </w:rPr>
            </w:pPr>
            <w:r>
              <w:rPr>
                <w:w w:val="102"/>
                <w:sz w:val="20"/>
              </w:rPr>
              <w:t>‐</w:t>
            </w:r>
          </w:p>
        </w:tc>
      </w:tr>
      <w:tr w:rsidR="00B42EB5" w14:paraId="0540C060" w14:textId="77777777">
        <w:trPr>
          <w:trHeight w:val="330"/>
        </w:trPr>
        <w:tc>
          <w:tcPr>
            <w:tcW w:w="4954" w:type="dxa"/>
            <w:tcBorders>
              <w:left w:val="nil"/>
              <w:right w:val="nil"/>
            </w:tcBorders>
          </w:tcPr>
          <w:p w14:paraId="19142371" w14:textId="77777777" w:rsidR="00B42EB5" w:rsidRDefault="00721A9E">
            <w:pPr>
              <w:pStyle w:val="TableParagraph"/>
              <w:spacing w:before="62"/>
              <w:ind w:left="33"/>
              <w:jc w:val="left"/>
              <w:rPr>
                <w:sz w:val="20"/>
              </w:rPr>
            </w:pPr>
            <w:r>
              <w:rPr>
                <w:sz w:val="20"/>
              </w:rPr>
              <w:t>2021</w:t>
            </w:r>
            <w:r>
              <w:rPr>
                <w:spacing w:val="10"/>
                <w:sz w:val="20"/>
              </w:rPr>
              <w:t xml:space="preserve"> </w:t>
            </w:r>
            <w:r>
              <w:rPr>
                <w:sz w:val="20"/>
              </w:rPr>
              <w:t>adjusted</w:t>
            </w:r>
            <w:r>
              <w:rPr>
                <w:spacing w:val="-9"/>
                <w:sz w:val="20"/>
              </w:rPr>
              <w:t xml:space="preserve"> </w:t>
            </w:r>
            <w:r>
              <w:rPr>
                <w:sz w:val="20"/>
                <w:vertAlign w:val="superscript"/>
              </w:rPr>
              <w:t>1)</w:t>
            </w:r>
          </w:p>
        </w:tc>
        <w:tc>
          <w:tcPr>
            <w:tcW w:w="1007" w:type="dxa"/>
            <w:tcBorders>
              <w:left w:val="nil"/>
              <w:right w:val="nil"/>
            </w:tcBorders>
          </w:tcPr>
          <w:p w14:paraId="34A07301" w14:textId="77777777" w:rsidR="00B42EB5" w:rsidRDefault="00721A9E">
            <w:pPr>
              <w:pStyle w:val="TableParagraph"/>
              <w:ind w:left="29"/>
              <w:rPr>
                <w:sz w:val="20"/>
              </w:rPr>
            </w:pPr>
            <w:r>
              <w:rPr>
                <w:w w:val="102"/>
                <w:sz w:val="20"/>
              </w:rPr>
              <w:t>‐</w:t>
            </w:r>
          </w:p>
        </w:tc>
        <w:tc>
          <w:tcPr>
            <w:tcW w:w="1045" w:type="dxa"/>
            <w:tcBorders>
              <w:left w:val="nil"/>
              <w:right w:val="single" w:sz="18" w:space="0" w:color="FFFFFF"/>
            </w:tcBorders>
          </w:tcPr>
          <w:p w14:paraId="0A68B5BF" w14:textId="77777777" w:rsidR="00B42EB5" w:rsidRDefault="00721A9E">
            <w:pPr>
              <w:pStyle w:val="TableParagraph"/>
              <w:ind w:left="49"/>
              <w:rPr>
                <w:sz w:val="20"/>
              </w:rPr>
            </w:pPr>
            <w:r>
              <w:rPr>
                <w:w w:val="102"/>
                <w:sz w:val="20"/>
              </w:rPr>
              <w:t>‐</w:t>
            </w:r>
          </w:p>
        </w:tc>
        <w:tc>
          <w:tcPr>
            <w:tcW w:w="1582" w:type="dxa"/>
            <w:tcBorders>
              <w:left w:val="single" w:sz="18" w:space="0" w:color="FFFFFF"/>
              <w:right w:val="single" w:sz="18" w:space="0" w:color="FFFFFF"/>
            </w:tcBorders>
          </w:tcPr>
          <w:p w14:paraId="6E1125B1" w14:textId="77777777" w:rsidR="00B42EB5" w:rsidRDefault="00721A9E">
            <w:pPr>
              <w:pStyle w:val="TableParagraph"/>
              <w:ind w:left="525" w:right="516"/>
              <w:rPr>
                <w:sz w:val="20"/>
              </w:rPr>
            </w:pPr>
            <w:r>
              <w:rPr>
                <w:sz w:val="20"/>
              </w:rPr>
              <w:t>904</w:t>
            </w:r>
          </w:p>
        </w:tc>
        <w:tc>
          <w:tcPr>
            <w:tcW w:w="1583" w:type="dxa"/>
            <w:tcBorders>
              <w:left w:val="single" w:sz="18" w:space="0" w:color="FFFFFF"/>
              <w:right w:val="nil"/>
            </w:tcBorders>
          </w:tcPr>
          <w:p w14:paraId="22DFF82E" w14:textId="77777777" w:rsidR="00B42EB5" w:rsidRDefault="00721A9E">
            <w:pPr>
              <w:pStyle w:val="TableParagraph"/>
              <w:ind w:left="255" w:right="267"/>
              <w:rPr>
                <w:sz w:val="20"/>
              </w:rPr>
            </w:pPr>
            <w:r>
              <w:rPr>
                <w:sz w:val="20"/>
              </w:rPr>
              <w:t>13.7%</w:t>
            </w:r>
          </w:p>
        </w:tc>
      </w:tr>
      <w:tr w:rsidR="00B42EB5" w14:paraId="60BD5E4B" w14:textId="77777777">
        <w:trPr>
          <w:trHeight w:val="325"/>
        </w:trPr>
        <w:tc>
          <w:tcPr>
            <w:tcW w:w="4954" w:type="dxa"/>
            <w:tcBorders>
              <w:left w:val="nil"/>
              <w:right w:val="nil"/>
            </w:tcBorders>
          </w:tcPr>
          <w:p w14:paraId="2020D72D" w14:textId="77777777" w:rsidR="00B42EB5" w:rsidRDefault="00721A9E">
            <w:pPr>
              <w:pStyle w:val="TableParagraph"/>
              <w:spacing w:before="60"/>
              <w:ind w:left="33"/>
              <w:jc w:val="left"/>
              <w:rPr>
                <w:sz w:val="20"/>
              </w:rPr>
            </w:pPr>
            <w:r>
              <w:rPr>
                <w:sz w:val="20"/>
              </w:rPr>
              <w:t>2020</w:t>
            </w:r>
            <w:r>
              <w:rPr>
                <w:spacing w:val="10"/>
                <w:sz w:val="20"/>
              </w:rPr>
              <w:t xml:space="preserve"> </w:t>
            </w:r>
            <w:r>
              <w:rPr>
                <w:sz w:val="20"/>
              </w:rPr>
              <w:t>adjusted</w:t>
            </w:r>
            <w:r>
              <w:rPr>
                <w:spacing w:val="-9"/>
                <w:sz w:val="20"/>
              </w:rPr>
              <w:t xml:space="preserve"> </w:t>
            </w:r>
            <w:r>
              <w:rPr>
                <w:sz w:val="20"/>
                <w:vertAlign w:val="superscript"/>
              </w:rPr>
              <w:t>1)</w:t>
            </w:r>
          </w:p>
        </w:tc>
        <w:tc>
          <w:tcPr>
            <w:tcW w:w="1007" w:type="dxa"/>
            <w:tcBorders>
              <w:left w:val="nil"/>
              <w:right w:val="nil"/>
            </w:tcBorders>
          </w:tcPr>
          <w:p w14:paraId="26EBAAF2" w14:textId="77777777" w:rsidR="00B42EB5" w:rsidRDefault="00721A9E">
            <w:pPr>
              <w:pStyle w:val="TableParagraph"/>
              <w:spacing w:before="41"/>
              <w:ind w:left="29"/>
              <w:rPr>
                <w:sz w:val="20"/>
              </w:rPr>
            </w:pPr>
            <w:r>
              <w:rPr>
                <w:w w:val="102"/>
                <w:sz w:val="20"/>
              </w:rPr>
              <w:t>‐</w:t>
            </w:r>
          </w:p>
        </w:tc>
        <w:tc>
          <w:tcPr>
            <w:tcW w:w="1045" w:type="dxa"/>
            <w:tcBorders>
              <w:left w:val="nil"/>
              <w:right w:val="single" w:sz="18" w:space="0" w:color="FFFFFF"/>
            </w:tcBorders>
          </w:tcPr>
          <w:p w14:paraId="3A09D856" w14:textId="77777777" w:rsidR="00B42EB5" w:rsidRDefault="00721A9E">
            <w:pPr>
              <w:pStyle w:val="TableParagraph"/>
              <w:spacing w:before="41"/>
              <w:ind w:left="49"/>
              <w:rPr>
                <w:sz w:val="20"/>
              </w:rPr>
            </w:pPr>
            <w:r>
              <w:rPr>
                <w:w w:val="102"/>
                <w:sz w:val="20"/>
              </w:rPr>
              <w:t>‐</w:t>
            </w:r>
          </w:p>
        </w:tc>
        <w:tc>
          <w:tcPr>
            <w:tcW w:w="1582" w:type="dxa"/>
            <w:tcBorders>
              <w:left w:val="single" w:sz="18" w:space="0" w:color="FFFFFF"/>
              <w:right w:val="single" w:sz="18" w:space="0" w:color="FFFFFF"/>
            </w:tcBorders>
          </w:tcPr>
          <w:p w14:paraId="26BD2D97" w14:textId="77777777" w:rsidR="00B42EB5" w:rsidRDefault="00721A9E">
            <w:pPr>
              <w:pStyle w:val="TableParagraph"/>
              <w:spacing w:before="41"/>
              <w:ind w:left="525" w:right="516"/>
              <w:rPr>
                <w:sz w:val="20"/>
              </w:rPr>
            </w:pPr>
            <w:r>
              <w:rPr>
                <w:sz w:val="20"/>
              </w:rPr>
              <w:t>1,004</w:t>
            </w:r>
          </w:p>
        </w:tc>
        <w:tc>
          <w:tcPr>
            <w:tcW w:w="1583" w:type="dxa"/>
            <w:tcBorders>
              <w:left w:val="single" w:sz="18" w:space="0" w:color="FFFFFF"/>
              <w:right w:val="nil"/>
            </w:tcBorders>
          </w:tcPr>
          <w:p w14:paraId="428AC53C" w14:textId="77777777" w:rsidR="00B42EB5" w:rsidRDefault="00721A9E">
            <w:pPr>
              <w:pStyle w:val="TableParagraph"/>
              <w:spacing w:before="41"/>
              <w:ind w:left="255" w:right="267"/>
              <w:rPr>
                <w:sz w:val="20"/>
              </w:rPr>
            </w:pPr>
            <w:r>
              <w:rPr>
                <w:sz w:val="20"/>
              </w:rPr>
              <w:t>15.0%</w:t>
            </w:r>
          </w:p>
        </w:tc>
      </w:tr>
      <w:tr w:rsidR="00B42EB5" w14:paraId="6B3C3800" w14:textId="77777777">
        <w:trPr>
          <w:trHeight w:val="330"/>
        </w:trPr>
        <w:tc>
          <w:tcPr>
            <w:tcW w:w="7006" w:type="dxa"/>
            <w:gridSpan w:val="3"/>
            <w:tcBorders>
              <w:left w:val="nil"/>
              <w:right w:val="single" w:sz="18" w:space="0" w:color="FFFFFF"/>
            </w:tcBorders>
            <w:shd w:val="clear" w:color="auto" w:fill="E7E6E6"/>
          </w:tcPr>
          <w:p w14:paraId="5BD758BB" w14:textId="77777777" w:rsidR="00B42EB5" w:rsidRDefault="00721A9E">
            <w:pPr>
              <w:pStyle w:val="TableParagraph"/>
              <w:ind w:left="33"/>
              <w:jc w:val="left"/>
              <w:rPr>
                <w:b/>
                <w:sz w:val="20"/>
              </w:rPr>
            </w:pPr>
            <w:r>
              <w:rPr>
                <w:b/>
                <w:sz w:val="20"/>
              </w:rPr>
              <w:t>Henkel</w:t>
            </w:r>
          </w:p>
        </w:tc>
        <w:tc>
          <w:tcPr>
            <w:tcW w:w="1582" w:type="dxa"/>
            <w:tcBorders>
              <w:left w:val="single" w:sz="18" w:space="0" w:color="FFFFFF"/>
              <w:right w:val="single" w:sz="18" w:space="0" w:color="FFFFFF"/>
            </w:tcBorders>
            <w:shd w:val="clear" w:color="auto" w:fill="E7E6E6"/>
          </w:tcPr>
          <w:p w14:paraId="6F73F6F1" w14:textId="77777777" w:rsidR="00B42EB5" w:rsidRDefault="00B42EB5">
            <w:pPr>
              <w:pStyle w:val="TableParagraph"/>
              <w:spacing w:before="0"/>
              <w:jc w:val="left"/>
              <w:rPr>
                <w:rFonts w:ascii="Times New Roman"/>
                <w:sz w:val="18"/>
              </w:rPr>
            </w:pPr>
          </w:p>
        </w:tc>
        <w:tc>
          <w:tcPr>
            <w:tcW w:w="1583" w:type="dxa"/>
            <w:tcBorders>
              <w:left w:val="single" w:sz="18" w:space="0" w:color="FFFFFF"/>
              <w:right w:val="nil"/>
            </w:tcBorders>
            <w:shd w:val="clear" w:color="auto" w:fill="E7E6E6"/>
          </w:tcPr>
          <w:p w14:paraId="4ED562CD" w14:textId="77777777" w:rsidR="00B42EB5" w:rsidRDefault="00B42EB5">
            <w:pPr>
              <w:pStyle w:val="TableParagraph"/>
              <w:spacing w:before="0"/>
              <w:jc w:val="left"/>
              <w:rPr>
                <w:rFonts w:ascii="Times New Roman"/>
                <w:sz w:val="18"/>
              </w:rPr>
            </w:pPr>
          </w:p>
        </w:tc>
      </w:tr>
      <w:tr w:rsidR="00B42EB5" w14:paraId="10FA8DE7" w14:textId="77777777">
        <w:trPr>
          <w:trHeight w:val="330"/>
        </w:trPr>
        <w:tc>
          <w:tcPr>
            <w:tcW w:w="4954" w:type="dxa"/>
            <w:tcBorders>
              <w:left w:val="nil"/>
              <w:right w:val="nil"/>
            </w:tcBorders>
          </w:tcPr>
          <w:p w14:paraId="003D3690" w14:textId="77777777" w:rsidR="00B42EB5" w:rsidRDefault="00721A9E">
            <w:pPr>
              <w:pStyle w:val="TableParagraph"/>
              <w:ind w:left="33"/>
              <w:jc w:val="left"/>
              <w:rPr>
                <w:sz w:val="20"/>
              </w:rPr>
            </w:pPr>
            <w:r>
              <w:rPr>
                <w:sz w:val="20"/>
              </w:rPr>
              <w:t>2021</w:t>
            </w:r>
          </w:p>
        </w:tc>
        <w:tc>
          <w:tcPr>
            <w:tcW w:w="1007" w:type="dxa"/>
            <w:tcBorders>
              <w:left w:val="nil"/>
              <w:right w:val="nil"/>
            </w:tcBorders>
          </w:tcPr>
          <w:p w14:paraId="4762EEC8" w14:textId="77777777" w:rsidR="00B42EB5" w:rsidRDefault="00721A9E">
            <w:pPr>
              <w:pStyle w:val="TableParagraph"/>
              <w:ind w:left="269" w:right="236"/>
              <w:rPr>
                <w:sz w:val="20"/>
              </w:rPr>
            </w:pPr>
            <w:r>
              <w:rPr>
                <w:sz w:val="20"/>
              </w:rPr>
              <w:t>5,047</w:t>
            </w:r>
          </w:p>
        </w:tc>
        <w:tc>
          <w:tcPr>
            <w:tcW w:w="1045" w:type="dxa"/>
            <w:tcBorders>
              <w:left w:val="nil"/>
              <w:right w:val="nil"/>
            </w:tcBorders>
          </w:tcPr>
          <w:p w14:paraId="396F388A" w14:textId="77777777" w:rsidR="00B42EB5" w:rsidRDefault="00721A9E">
            <w:pPr>
              <w:pStyle w:val="TableParagraph"/>
              <w:ind w:left="238" w:right="210"/>
              <w:rPr>
                <w:sz w:val="20"/>
              </w:rPr>
            </w:pPr>
            <w:r>
              <w:rPr>
                <w:sz w:val="20"/>
              </w:rPr>
              <w:t>20,066</w:t>
            </w:r>
          </w:p>
        </w:tc>
        <w:tc>
          <w:tcPr>
            <w:tcW w:w="1582" w:type="dxa"/>
            <w:tcBorders>
              <w:left w:val="nil"/>
              <w:right w:val="single" w:sz="18" w:space="0" w:color="FFFFFF"/>
            </w:tcBorders>
          </w:tcPr>
          <w:p w14:paraId="7AD8CBBD" w14:textId="77777777" w:rsidR="00B42EB5" w:rsidRDefault="00721A9E">
            <w:pPr>
              <w:pStyle w:val="TableParagraph"/>
              <w:ind w:left="465" w:right="432"/>
              <w:rPr>
                <w:sz w:val="20"/>
              </w:rPr>
            </w:pPr>
            <w:r>
              <w:rPr>
                <w:sz w:val="20"/>
              </w:rPr>
              <w:t>2,213</w:t>
            </w:r>
          </w:p>
        </w:tc>
        <w:tc>
          <w:tcPr>
            <w:tcW w:w="1583" w:type="dxa"/>
            <w:tcBorders>
              <w:left w:val="single" w:sz="18" w:space="0" w:color="FFFFFF"/>
              <w:right w:val="nil"/>
            </w:tcBorders>
          </w:tcPr>
          <w:p w14:paraId="6A0D080B" w14:textId="77777777" w:rsidR="00B42EB5" w:rsidRDefault="00721A9E">
            <w:pPr>
              <w:pStyle w:val="TableParagraph"/>
              <w:ind w:left="255" w:right="266"/>
              <w:rPr>
                <w:sz w:val="20"/>
              </w:rPr>
            </w:pPr>
            <w:r>
              <w:rPr>
                <w:sz w:val="20"/>
              </w:rPr>
              <w:t>11.0%</w:t>
            </w:r>
          </w:p>
        </w:tc>
      </w:tr>
      <w:tr w:rsidR="00B42EB5" w14:paraId="034CAAD1" w14:textId="77777777">
        <w:trPr>
          <w:trHeight w:val="330"/>
        </w:trPr>
        <w:tc>
          <w:tcPr>
            <w:tcW w:w="4954" w:type="dxa"/>
            <w:tcBorders>
              <w:left w:val="nil"/>
              <w:right w:val="nil"/>
            </w:tcBorders>
          </w:tcPr>
          <w:p w14:paraId="77228CB7" w14:textId="77777777" w:rsidR="00B42EB5" w:rsidRDefault="00721A9E">
            <w:pPr>
              <w:pStyle w:val="TableParagraph"/>
              <w:ind w:left="33"/>
              <w:jc w:val="left"/>
              <w:rPr>
                <w:sz w:val="20"/>
              </w:rPr>
            </w:pPr>
            <w:r>
              <w:rPr>
                <w:sz w:val="20"/>
              </w:rPr>
              <w:t>2020</w:t>
            </w:r>
          </w:p>
        </w:tc>
        <w:tc>
          <w:tcPr>
            <w:tcW w:w="1007" w:type="dxa"/>
            <w:tcBorders>
              <w:left w:val="nil"/>
              <w:right w:val="nil"/>
            </w:tcBorders>
          </w:tcPr>
          <w:p w14:paraId="037D325C" w14:textId="77777777" w:rsidR="00B42EB5" w:rsidRDefault="00721A9E">
            <w:pPr>
              <w:pStyle w:val="TableParagraph"/>
              <w:ind w:left="269" w:right="236"/>
              <w:rPr>
                <w:sz w:val="20"/>
              </w:rPr>
            </w:pPr>
            <w:r>
              <w:rPr>
                <w:sz w:val="20"/>
              </w:rPr>
              <w:t>4,765</w:t>
            </w:r>
          </w:p>
        </w:tc>
        <w:tc>
          <w:tcPr>
            <w:tcW w:w="1045" w:type="dxa"/>
            <w:tcBorders>
              <w:left w:val="nil"/>
              <w:right w:val="nil"/>
            </w:tcBorders>
          </w:tcPr>
          <w:p w14:paraId="750199DB" w14:textId="77777777" w:rsidR="00B42EB5" w:rsidRDefault="00721A9E">
            <w:pPr>
              <w:pStyle w:val="TableParagraph"/>
              <w:ind w:left="238" w:right="210"/>
              <w:rPr>
                <w:sz w:val="20"/>
              </w:rPr>
            </w:pPr>
            <w:r>
              <w:rPr>
                <w:sz w:val="20"/>
              </w:rPr>
              <w:t>19,250</w:t>
            </w:r>
          </w:p>
        </w:tc>
        <w:tc>
          <w:tcPr>
            <w:tcW w:w="1582" w:type="dxa"/>
            <w:tcBorders>
              <w:left w:val="nil"/>
              <w:right w:val="single" w:sz="18" w:space="0" w:color="FFFFFF"/>
            </w:tcBorders>
          </w:tcPr>
          <w:p w14:paraId="59786DBA" w14:textId="77777777" w:rsidR="00B42EB5" w:rsidRDefault="00721A9E">
            <w:pPr>
              <w:pStyle w:val="TableParagraph"/>
              <w:ind w:left="465" w:right="432"/>
              <w:rPr>
                <w:sz w:val="20"/>
              </w:rPr>
            </w:pPr>
            <w:r>
              <w:rPr>
                <w:sz w:val="20"/>
              </w:rPr>
              <w:t>2,019</w:t>
            </w:r>
          </w:p>
        </w:tc>
        <w:tc>
          <w:tcPr>
            <w:tcW w:w="1583" w:type="dxa"/>
            <w:tcBorders>
              <w:left w:val="single" w:sz="18" w:space="0" w:color="FFFFFF"/>
              <w:right w:val="nil"/>
            </w:tcBorders>
          </w:tcPr>
          <w:p w14:paraId="7C166C7B" w14:textId="77777777" w:rsidR="00B42EB5" w:rsidRDefault="00721A9E">
            <w:pPr>
              <w:pStyle w:val="TableParagraph"/>
              <w:ind w:left="255" w:right="266"/>
              <w:rPr>
                <w:sz w:val="20"/>
              </w:rPr>
            </w:pPr>
            <w:r>
              <w:rPr>
                <w:sz w:val="20"/>
              </w:rPr>
              <w:t>10.5%</w:t>
            </w:r>
          </w:p>
        </w:tc>
      </w:tr>
      <w:tr w:rsidR="00B42EB5" w14:paraId="7F531C51" w14:textId="77777777">
        <w:trPr>
          <w:trHeight w:val="330"/>
        </w:trPr>
        <w:tc>
          <w:tcPr>
            <w:tcW w:w="4954" w:type="dxa"/>
            <w:tcBorders>
              <w:left w:val="nil"/>
              <w:right w:val="nil"/>
            </w:tcBorders>
          </w:tcPr>
          <w:p w14:paraId="2F41B86B" w14:textId="77777777" w:rsidR="00B42EB5" w:rsidRDefault="00721A9E">
            <w:pPr>
              <w:pStyle w:val="TableParagraph"/>
              <w:ind w:left="33"/>
              <w:jc w:val="left"/>
              <w:rPr>
                <w:sz w:val="20"/>
              </w:rPr>
            </w:pPr>
            <w:r>
              <w:rPr>
                <w:sz w:val="20"/>
              </w:rPr>
              <w:t>organic</w:t>
            </w:r>
            <w:r>
              <w:rPr>
                <w:spacing w:val="8"/>
                <w:sz w:val="20"/>
              </w:rPr>
              <w:t xml:space="preserve"> </w:t>
            </w:r>
            <w:r>
              <w:rPr>
                <w:sz w:val="20"/>
              </w:rPr>
              <w:t>growth</w:t>
            </w:r>
          </w:p>
        </w:tc>
        <w:tc>
          <w:tcPr>
            <w:tcW w:w="1007" w:type="dxa"/>
            <w:tcBorders>
              <w:left w:val="nil"/>
              <w:right w:val="nil"/>
            </w:tcBorders>
          </w:tcPr>
          <w:p w14:paraId="074CA5F6" w14:textId="77777777" w:rsidR="00B42EB5" w:rsidRDefault="00721A9E">
            <w:pPr>
              <w:pStyle w:val="TableParagraph"/>
              <w:ind w:left="269" w:right="239"/>
              <w:rPr>
                <w:sz w:val="20"/>
              </w:rPr>
            </w:pPr>
            <w:r>
              <w:rPr>
                <w:sz w:val="20"/>
              </w:rPr>
              <w:t>5.4%</w:t>
            </w:r>
          </w:p>
        </w:tc>
        <w:tc>
          <w:tcPr>
            <w:tcW w:w="1045" w:type="dxa"/>
            <w:tcBorders>
              <w:left w:val="nil"/>
              <w:right w:val="nil"/>
            </w:tcBorders>
          </w:tcPr>
          <w:p w14:paraId="2287849E" w14:textId="77777777" w:rsidR="00B42EB5" w:rsidRDefault="00721A9E">
            <w:pPr>
              <w:pStyle w:val="TableParagraph"/>
              <w:ind w:left="238" w:right="210"/>
              <w:rPr>
                <w:sz w:val="20"/>
              </w:rPr>
            </w:pPr>
            <w:r>
              <w:rPr>
                <w:sz w:val="20"/>
              </w:rPr>
              <w:t>7.8%</w:t>
            </w:r>
          </w:p>
        </w:tc>
        <w:tc>
          <w:tcPr>
            <w:tcW w:w="1582" w:type="dxa"/>
            <w:tcBorders>
              <w:left w:val="nil"/>
              <w:right w:val="single" w:sz="18" w:space="0" w:color="FFFFFF"/>
            </w:tcBorders>
          </w:tcPr>
          <w:p w14:paraId="43F7685B" w14:textId="77777777" w:rsidR="00B42EB5" w:rsidRDefault="00721A9E">
            <w:pPr>
              <w:pStyle w:val="TableParagraph"/>
              <w:ind w:left="28"/>
              <w:rPr>
                <w:sz w:val="20"/>
              </w:rPr>
            </w:pPr>
            <w:r>
              <w:rPr>
                <w:w w:val="102"/>
                <w:sz w:val="20"/>
              </w:rPr>
              <w:t>‐</w:t>
            </w:r>
          </w:p>
        </w:tc>
        <w:tc>
          <w:tcPr>
            <w:tcW w:w="1583" w:type="dxa"/>
            <w:tcBorders>
              <w:left w:val="single" w:sz="18" w:space="0" w:color="FFFFFF"/>
              <w:right w:val="nil"/>
            </w:tcBorders>
          </w:tcPr>
          <w:p w14:paraId="056B456D" w14:textId="77777777" w:rsidR="00B42EB5" w:rsidRDefault="00721A9E">
            <w:pPr>
              <w:pStyle w:val="TableParagraph"/>
              <w:ind w:right="16"/>
              <w:rPr>
                <w:sz w:val="20"/>
              </w:rPr>
            </w:pPr>
            <w:r>
              <w:rPr>
                <w:w w:val="102"/>
                <w:sz w:val="20"/>
              </w:rPr>
              <w:t>‐</w:t>
            </w:r>
          </w:p>
        </w:tc>
      </w:tr>
      <w:tr w:rsidR="00B42EB5" w14:paraId="3C6D88BC" w14:textId="77777777">
        <w:trPr>
          <w:trHeight w:val="330"/>
        </w:trPr>
        <w:tc>
          <w:tcPr>
            <w:tcW w:w="4954" w:type="dxa"/>
            <w:tcBorders>
              <w:left w:val="nil"/>
              <w:right w:val="nil"/>
            </w:tcBorders>
          </w:tcPr>
          <w:p w14:paraId="327258B2" w14:textId="77777777" w:rsidR="00B42EB5" w:rsidRDefault="00721A9E">
            <w:pPr>
              <w:pStyle w:val="TableParagraph"/>
              <w:spacing w:before="62"/>
              <w:ind w:left="33"/>
              <w:jc w:val="left"/>
              <w:rPr>
                <w:sz w:val="20"/>
              </w:rPr>
            </w:pPr>
            <w:r>
              <w:rPr>
                <w:sz w:val="20"/>
              </w:rPr>
              <w:t>2021</w:t>
            </w:r>
            <w:r>
              <w:rPr>
                <w:spacing w:val="10"/>
                <w:sz w:val="20"/>
              </w:rPr>
              <w:t xml:space="preserve"> </w:t>
            </w:r>
            <w:r>
              <w:rPr>
                <w:sz w:val="20"/>
              </w:rPr>
              <w:t>adjusted</w:t>
            </w:r>
            <w:r>
              <w:rPr>
                <w:spacing w:val="-9"/>
                <w:sz w:val="20"/>
              </w:rPr>
              <w:t xml:space="preserve"> </w:t>
            </w:r>
            <w:r>
              <w:rPr>
                <w:sz w:val="20"/>
                <w:vertAlign w:val="superscript"/>
              </w:rPr>
              <w:t>1)</w:t>
            </w:r>
          </w:p>
        </w:tc>
        <w:tc>
          <w:tcPr>
            <w:tcW w:w="1007" w:type="dxa"/>
            <w:tcBorders>
              <w:left w:val="nil"/>
              <w:right w:val="nil"/>
            </w:tcBorders>
          </w:tcPr>
          <w:p w14:paraId="67C17582" w14:textId="77777777" w:rsidR="00B42EB5" w:rsidRDefault="00721A9E">
            <w:pPr>
              <w:pStyle w:val="TableParagraph"/>
              <w:ind w:left="29"/>
              <w:rPr>
                <w:sz w:val="20"/>
              </w:rPr>
            </w:pPr>
            <w:r>
              <w:rPr>
                <w:w w:val="102"/>
                <w:sz w:val="20"/>
              </w:rPr>
              <w:t>‐</w:t>
            </w:r>
          </w:p>
        </w:tc>
        <w:tc>
          <w:tcPr>
            <w:tcW w:w="1045" w:type="dxa"/>
            <w:tcBorders>
              <w:left w:val="nil"/>
              <w:right w:val="nil"/>
            </w:tcBorders>
          </w:tcPr>
          <w:p w14:paraId="03C5FC0F" w14:textId="77777777" w:rsidR="00B42EB5" w:rsidRDefault="00721A9E">
            <w:pPr>
              <w:pStyle w:val="TableParagraph"/>
              <w:ind w:left="26"/>
              <w:rPr>
                <w:sz w:val="20"/>
              </w:rPr>
            </w:pPr>
            <w:r>
              <w:rPr>
                <w:w w:val="102"/>
                <w:sz w:val="20"/>
              </w:rPr>
              <w:t>‐</w:t>
            </w:r>
          </w:p>
        </w:tc>
        <w:tc>
          <w:tcPr>
            <w:tcW w:w="1582" w:type="dxa"/>
            <w:tcBorders>
              <w:left w:val="nil"/>
              <w:right w:val="single" w:sz="18" w:space="0" w:color="FFFFFF"/>
            </w:tcBorders>
          </w:tcPr>
          <w:p w14:paraId="5D637A47" w14:textId="77777777" w:rsidR="00B42EB5" w:rsidRDefault="00721A9E">
            <w:pPr>
              <w:pStyle w:val="TableParagraph"/>
              <w:ind w:left="465" w:right="433"/>
              <w:rPr>
                <w:sz w:val="20"/>
              </w:rPr>
            </w:pPr>
            <w:r>
              <w:rPr>
                <w:sz w:val="20"/>
              </w:rPr>
              <w:t>2,686</w:t>
            </w:r>
          </w:p>
        </w:tc>
        <w:tc>
          <w:tcPr>
            <w:tcW w:w="1583" w:type="dxa"/>
            <w:tcBorders>
              <w:left w:val="single" w:sz="18" w:space="0" w:color="FFFFFF"/>
              <w:right w:val="nil"/>
            </w:tcBorders>
          </w:tcPr>
          <w:p w14:paraId="4C56E3CA" w14:textId="77777777" w:rsidR="00B42EB5" w:rsidRDefault="00721A9E">
            <w:pPr>
              <w:pStyle w:val="TableParagraph"/>
              <w:ind w:left="255" w:right="267"/>
              <w:rPr>
                <w:sz w:val="20"/>
              </w:rPr>
            </w:pPr>
            <w:r>
              <w:rPr>
                <w:sz w:val="20"/>
              </w:rPr>
              <w:t>13.4%</w:t>
            </w:r>
          </w:p>
        </w:tc>
      </w:tr>
      <w:tr w:rsidR="00B42EB5" w14:paraId="099AE803" w14:textId="77777777">
        <w:trPr>
          <w:trHeight w:val="330"/>
        </w:trPr>
        <w:tc>
          <w:tcPr>
            <w:tcW w:w="4954" w:type="dxa"/>
            <w:tcBorders>
              <w:left w:val="nil"/>
              <w:right w:val="nil"/>
            </w:tcBorders>
          </w:tcPr>
          <w:p w14:paraId="512371A8" w14:textId="77777777" w:rsidR="00B42EB5" w:rsidRDefault="00721A9E">
            <w:pPr>
              <w:pStyle w:val="TableParagraph"/>
              <w:spacing w:before="62"/>
              <w:ind w:left="33"/>
              <w:jc w:val="left"/>
              <w:rPr>
                <w:sz w:val="20"/>
              </w:rPr>
            </w:pPr>
            <w:r>
              <w:rPr>
                <w:sz w:val="20"/>
              </w:rPr>
              <w:t>2020</w:t>
            </w:r>
            <w:r>
              <w:rPr>
                <w:spacing w:val="10"/>
                <w:sz w:val="20"/>
              </w:rPr>
              <w:t xml:space="preserve"> </w:t>
            </w:r>
            <w:r>
              <w:rPr>
                <w:sz w:val="20"/>
              </w:rPr>
              <w:t>adjusted</w:t>
            </w:r>
            <w:r>
              <w:rPr>
                <w:spacing w:val="-9"/>
                <w:sz w:val="20"/>
              </w:rPr>
              <w:t xml:space="preserve"> </w:t>
            </w:r>
            <w:r>
              <w:rPr>
                <w:sz w:val="20"/>
                <w:vertAlign w:val="superscript"/>
              </w:rPr>
              <w:t>1)</w:t>
            </w:r>
          </w:p>
        </w:tc>
        <w:tc>
          <w:tcPr>
            <w:tcW w:w="1007" w:type="dxa"/>
            <w:tcBorders>
              <w:left w:val="nil"/>
              <w:right w:val="nil"/>
            </w:tcBorders>
          </w:tcPr>
          <w:p w14:paraId="57CC204F" w14:textId="77777777" w:rsidR="00B42EB5" w:rsidRDefault="00721A9E">
            <w:pPr>
              <w:pStyle w:val="TableParagraph"/>
              <w:ind w:left="29"/>
              <w:rPr>
                <w:sz w:val="20"/>
              </w:rPr>
            </w:pPr>
            <w:r>
              <w:rPr>
                <w:w w:val="102"/>
                <w:sz w:val="20"/>
              </w:rPr>
              <w:t>‐</w:t>
            </w:r>
          </w:p>
        </w:tc>
        <w:tc>
          <w:tcPr>
            <w:tcW w:w="1045" w:type="dxa"/>
            <w:tcBorders>
              <w:left w:val="nil"/>
              <w:right w:val="nil"/>
            </w:tcBorders>
          </w:tcPr>
          <w:p w14:paraId="4D004E37" w14:textId="77777777" w:rsidR="00B42EB5" w:rsidRDefault="00721A9E">
            <w:pPr>
              <w:pStyle w:val="TableParagraph"/>
              <w:ind w:left="26"/>
              <w:rPr>
                <w:sz w:val="20"/>
              </w:rPr>
            </w:pPr>
            <w:r>
              <w:rPr>
                <w:w w:val="102"/>
                <w:sz w:val="20"/>
              </w:rPr>
              <w:t>‐</w:t>
            </w:r>
          </w:p>
        </w:tc>
        <w:tc>
          <w:tcPr>
            <w:tcW w:w="1582" w:type="dxa"/>
            <w:tcBorders>
              <w:left w:val="nil"/>
              <w:right w:val="single" w:sz="18" w:space="0" w:color="FFFFFF"/>
            </w:tcBorders>
          </w:tcPr>
          <w:p w14:paraId="1FC573D1" w14:textId="77777777" w:rsidR="00B42EB5" w:rsidRDefault="00721A9E">
            <w:pPr>
              <w:pStyle w:val="TableParagraph"/>
              <w:ind w:left="465" w:right="433"/>
              <w:rPr>
                <w:sz w:val="20"/>
              </w:rPr>
            </w:pPr>
            <w:r>
              <w:rPr>
                <w:sz w:val="20"/>
              </w:rPr>
              <w:t>2,579</w:t>
            </w:r>
          </w:p>
        </w:tc>
        <w:tc>
          <w:tcPr>
            <w:tcW w:w="1583" w:type="dxa"/>
            <w:tcBorders>
              <w:left w:val="single" w:sz="18" w:space="0" w:color="FFFFFF"/>
              <w:right w:val="nil"/>
            </w:tcBorders>
          </w:tcPr>
          <w:p w14:paraId="74F8D89D" w14:textId="77777777" w:rsidR="00B42EB5" w:rsidRDefault="00721A9E">
            <w:pPr>
              <w:pStyle w:val="TableParagraph"/>
              <w:ind w:left="255" w:right="267"/>
              <w:rPr>
                <w:sz w:val="20"/>
              </w:rPr>
            </w:pPr>
            <w:r>
              <w:rPr>
                <w:sz w:val="20"/>
              </w:rPr>
              <w:t>13.4%</w:t>
            </w:r>
          </w:p>
        </w:tc>
      </w:tr>
      <w:tr w:rsidR="00B42EB5" w14:paraId="48C02AD3" w14:textId="77777777">
        <w:trPr>
          <w:trHeight w:val="311"/>
        </w:trPr>
        <w:tc>
          <w:tcPr>
            <w:tcW w:w="8588" w:type="dxa"/>
            <w:gridSpan w:val="4"/>
            <w:tcBorders>
              <w:left w:val="nil"/>
              <w:right w:val="single" w:sz="18" w:space="0" w:color="FFFFFF"/>
            </w:tcBorders>
          </w:tcPr>
          <w:p w14:paraId="16C38100" w14:textId="77777777" w:rsidR="00B42EB5" w:rsidRDefault="00B42EB5">
            <w:pPr>
              <w:pStyle w:val="TableParagraph"/>
              <w:spacing w:before="0"/>
              <w:jc w:val="left"/>
              <w:rPr>
                <w:rFonts w:ascii="Times New Roman"/>
                <w:sz w:val="18"/>
              </w:rPr>
            </w:pPr>
          </w:p>
        </w:tc>
        <w:tc>
          <w:tcPr>
            <w:tcW w:w="1583" w:type="dxa"/>
            <w:tcBorders>
              <w:left w:val="single" w:sz="18" w:space="0" w:color="FFFFFF"/>
              <w:right w:val="nil"/>
            </w:tcBorders>
          </w:tcPr>
          <w:p w14:paraId="6538A288" w14:textId="77777777" w:rsidR="00B42EB5" w:rsidRDefault="00B42EB5">
            <w:pPr>
              <w:pStyle w:val="TableParagraph"/>
              <w:spacing w:before="0"/>
              <w:jc w:val="left"/>
              <w:rPr>
                <w:rFonts w:ascii="Times New Roman"/>
                <w:sz w:val="18"/>
              </w:rPr>
            </w:pPr>
          </w:p>
        </w:tc>
      </w:tr>
      <w:tr w:rsidR="00B42EB5" w14:paraId="16CA0AB9" w14:textId="77777777">
        <w:trPr>
          <w:trHeight w:val="513"/>
        </w:trPr>
        <w:tc>
          <w:tcPr>
            <w:tcW w:w="4954" w:type="dxa"/>
            <w:tcBorders>
              <w:left w:val="nil"/>
              <w:right w:val="nil"/>
            </w:tcBorders>
          </w:tcPr>
          <w:p w14:paraId="0F37BE51" w14:textId="77777777" w:rsidR="00B42EB5" w:rsidRDefault="00B42EB5">
            <w:pPr>
              <w:pStyle w:val="TableParagraph"/>
              <w:spacing w:before="5"/>
              <w:jc w:val="left"/>
              <w:rPr>
                <w:b/>
                <w:sz w:val="20"/>
              </w:rPr>
            </w:pPr>
          </w:p>
          <w:p w14:paraId="688CDED9" w14:textId="77777777" w:rsidR="00B42EB5" w:rsidRDefault="00721A9E">
            <w:pPr>
              <w:pStyle w:val="TableParagraph"/>
              <w:spacing w:before="0" w:line="243" w:lineRule="exact"/>
              <w:ind w:left="33"/>
              <w:jc w:val="left"/>
              <w:rPr>
                <w:b/>
                <w:sz w:val="20"/>
              </w:rPr>
            </w:pPr>
            <w:r>
              <w:rPr>
                <w:b/>
                <w:sz w:val="20"/>
              </w:rPr>
              <w:t>Henkel</w:t>
            </w:r>
          </w:p>
        </w:tc>
        <w:tc>
          <w:tcPr>
            <w:tcW w:w="1007" w:type="dxa"/>
            <w:tcBorders>
              <w:left w:val="nil"/>
              <w:right w:val="nil"/>
            </w:tcBorders>
          </w:tcPr>
          <w:p w14:paraId="7F4E1839" w14:textId="77777777" w:rsidR="00B42EB5" w:rsidRDefault="00721A9E">
            <w:pPr>
              <w:pStyle w:val="TableParagraph"/>
              <w:spacing w:before="0" w:line="225" w:lineRule="exact"/>
              <w:ind w:left="333"/>
              <w:jc w:val="left"/>
              <w:rPr>
                <w:b/>
                <w:sz w:val="20"/>
              </w:rPr>
            </w:pPr>
            <w:r>
              <w:rPr>
                <w:b/>
                <w:sz w:val="20"/>
              </w:rPr>
              <w:t>1‐12</w:t>
            </w:r>
          </w:p>
          <w:p w14:paraId="72044A66" w14:textId="77777777" w:rsidR="00B42EB5" w:rsidRDefault="00721A9E">
            <w:pPr>
              <w:pStyle w:val="TableParagraph"/>
              <w:spacing w:before="24" w:line="243" w:lineRule="exact"/>
              <w:ind w:left="311"/>
              <w:jc w:val="left"/>
              <w:rPr>
                <w:b/>
                <w:sz w:val="20"/>
              </w:rPr>
            </w:pPr>
            <w:r>
              <w:rPr>
                <w:b/>
                <w:sz w:val="20"/>
              </w:rPr>
              <w:t>2020</w:t>
            </w:r>
          </w:p>
        </w:tc>
        <w:tc>
          <w:tcPr>
            <w:tcW w:w="1045" w:type="dxa"/>
            <w:tcBorders>
              <w:left w:val="nil"/>
              <w:right w:val="nil"/>
            </w:tcBorders>
          </w:tcPr>
          <w:p w14:paraId="29A72976" w14:textId="77777777" w:rsidR="00B42EB5" w:rsidRDefault="00721A9E">
            <w:pPr>
              <w:pStyle w:val="TableParagraph"/>
              <w:spacing w:before="0" w:line="225" w:lineRule="exact"/>
              <w:ind w:left="351"/>
              <w:jc w:val="left"/>
              <w:rPr>
                <w:b/>
                <w:sz w:val="20"/>
              </w:rPr>
            </w:pPr>
            <w:r>
              <w:rPr>
                <w:b/>
                <w:sz w:val="20"/>
              </w:rPr>
              <w:t>1‐12</w:t>
            </w:r>
          </w:p>
          <w:p w14:paraId="0CEE57D5" w14:textId="77777777" w:rsidR="00B42EB5" w:rsidRDefault="00721A9E">
            <w:pPr>
              <w:pStyle w:val="TableParagraph"/>
              <w:spacing w:before="24" w:line="243" w:lineRule="exact"/>
              <w:ind w:left="329"/>
              <w:jc w:val="left"/>
              <w:rPr>
                <w:b/>
                <w:sz w:val="20"/>
              </w:rPr>
            </w:pPr>
            <w:r>
              <w:rPr>
                <w:b/>
                <w:sz w:val="20"/>
              </w:rPr>
              <w:t>2021</w:t>
            </w:r>
          </w:p>
        </w:tc>
        <w:tc>
          <w:tcPr>
            <w:tcW w:w="1582" w:type="dxa"/>
            <w:tcBorders>
              <w:left w:val="nil"/>
              <w:right w:val="single" w:sz="18" w:space="0" w:color="FFFFFF"/>
            </w:tcBorders>
          </w:tcPr>
          <w:p w14:paraId="2EAC3031" w14:textId="77777777" w:rsidR="00B42EB5" w:rsidRDefault="00B42EB5">
            <w:pPr>
              <w:pStyle w:val="TableParagraph"/>
              <w:spacing w:before="5"/>
              <w:jc w:val="left"/>
              <w:rPr>
                <w:b/>
                <w:sz w:val="20"/>
              </w:rPr>
            </w:pPr>
          </w:p>
          <w:p w14:paraId="1EC188EA" w14:textId="77777777" w:rsidR="00B42EB5" w:rsidRDefault="00721A9E">
            <w:pPr>
              <w:pStyle w:val="TableParagraph"/>
              <w:spacing w:before="0" w:line="243" w:lineRule="exact"/>
              <w:ind w:left="465" w:right="439"/>
              <w:rPr>
                <w:b/>
                <w:sz w:val="20"/>
              </w:rPr>
            </w:pPr>
            <w:r>
              <w:rPr>
                <w:b/>
                <w:sz w:val="20"/>
              </w:rPr>
              <w:t>Change</w:t>
            </w:r>
          </w:p>
        </w:tc>
        <w:tc>
          <w:tcPr>
            <w:tcW w:w="1583" w:type="dxa"/>
            <w:tcBorders>
              <w:left w:val="single" w:sz="18" w:space="0" w:color="FFFFFF"/>
              <w:right w:val="nil"/>
            </w:tcBorders>
          </w:tcPr>
          <w:p w14:paraId="01AE4CEE" w14:textId="77777777" w:rsidR="00B42EB5" w:rsidRDefault="00B42EB5">
            <w:pPr>
              <w:pStyle w:val="TableParagraph"/>
              <w:spacing w:before="0"/>
              <w:jc w:val="left"/>
              <w:rPr>
                <w:rFonts w:ascii="Times New Roman"/>
                <w:sz w:val="18"/>
              </w:rPr>
            </w:pPr>
          </w:p>
        </w:tc>
      </w:tr>
      <w:tr w:rsidR="00B42EB5" w14:paraId="2DA04375" w14:textId="77777777">
        <w:trPr>
          <w:trHeight w:val="253"/>
        </w:trPr>
        <w:tc>
          <w:tcPr>
            <w:tcW w:w="4954" w:type="dxa"/>
            <w:tcBorders>
              <w:left w:val="nil"/>
              <w:right w:val="nil"/>
            </w:tcBorders>
          </w:tcPr>
          <w:p w14:paraId="600A20E4" w14:textId="77777777" w:rsidR="00B42EB5" w:rsidRDefault="00721A9E">
            <w:pPr>
              <w:pStyle w:val="TableParagraph"/>
              <w:spacing w:before="5" w:line="229" w:lineRule="exact"/>
              <w:ind w:left="33"/>
              <w:jc w:val="left"/>
              <w:rPr>
                <w:sz w:val="18"/>
              </w:rPr>
            </w:pPr>
            <w:r>
              <w:rPr>
                <w:sz w:val="20"/>
              </w:rPr>
              <w:t>Earnings</w:t>
            </w:r>
            <w:r>
              <w:rPr>
                <w:spacing w:val="4"/>
                <w:sz w:val="20"/>
              </w:rPr>
              <w:t xml:space="preserve"> </w:t>
            </w:r>
            <w:r>
              <w:rPr>
                <w:sz w:val="20"/>
              </w:rPr>
              <w:t>per</w:t>
            </w:r>
            <w:r>
              <w:rPr>
                <w:spacing w:val="4"/>
                <w:sz w:val="20"/>
              </w:rPr>
              <w:t xml:space="preserve"> </w:t>
            </w:r>
            <w:r>
              <w:rPr>
                <w:sz w:val="20"/>
              </w:rPr>
              <w:t>preferred</w:t>
            </w:r>
            <w:r>
              <w:rPr>
                <w:spacing w:val="5"/>
                <w:sz w:val="20"/>
              </w:rPr>
              <w:t xml:space="preserve"> </w:t>
            </w:r>
            <w:r>
              <w:rPr>
                <w:sz w:val="20"/>
              </w:rPr>
              <w:t>share</w:t>
            </w:r>
            <w:r>
              <w:rPr>
                <w:spacing w:val="12"/>
                <w:sz w:val="20"/>
              </w:rPr>
              <w:t xml:space="preserve"> </w:t>
            </w:r>
            <w:r>
              <w:rPr>
                <w:sz w:val="18"/>
              </w:rPr>
              <w:t>in</w:t>
            </w:r>
            <w:r>
              <w:rPr>
                <w:spacing w:val="3"/>
                <w:sz w:val="18"/>
              </w:rPr>
              <w:t xml:space="preserve"> </w:t>
            </w:r>
            <w:r>
              <w:rPr>
                <w:sz w:val="18"/>
              </w:rPr>
              <w:t>euros</w:t>
            </w:r>
          </w:p>
        </w:tc>
        <w:tc>
          <w:tcPr>
            <w:tcW w:w="1007" w:type="dxa"/>
            <w:tcBorders>
              <w:left w:val="nil"/>
              <w:right w:val="nil"/>
            </w:tcBorders>
          </w:tcPr>
          <w:p w14:paraId="7F9CB8D2" w14:textId="77777777" w:rsidR="00B42EB5" w:rsidRDefault="00721A9E">
            <w:pPr>
              <w:pStyle w:val="TableParagraph"/>
              <w:spacing w:before="5" w:line="229" w:lineRule="exact"/>
              <w:ind w:left="269" w:right="239"/>
              <w:rPr>
                <w:sz w:val="20"/>
              </w:rPr>
            </w:pPr>
            <w:r>
              <w:rPr>
                <w:sz w:val="20"/>
              </w:rPr>
              <w:t>3.25</w:t>
            </w:r>
          </w:p>
        </w:tc>
        <w:tc>
          <w:tcPr>
            <w:tcW w:w="1045" w:type="dxa"/>
            <w:tcBorders>
              <w:left w:val="nil"/>
              <w:right w:val="nil"/>
            </w:tcBorders>
          </w:tcPr>
          <w:p w14:paraId="3A6B4301" w14:textId="77777777" w:rsidR="00B42EB5" w:rsidRDefault="00721A9E">
            <w:pPr>
              <w:pStyle w:val="TableParagraph"/>
              <w:spacing w:before="5" w:line="229" w:lineRule="exact"/>
              <w:ind w:left="238" w:right="210"/>
              <w:rPr>
                <w:sz w:val="20"/>
              </w:rPr>
            </w:pPr>
            <w:r>
              <w:rPr>
                <w:sz w:val="20"/>
              </w:rPr>
              <w:t>3.78</w:t>
            </w:r>
          </w:p>
        </w:tc>
        <w:tc>
          <w:tcPr>
            <w:tcW w:w="1582" w:type="dxa"/>
            <w:tcBorders>
              <w:left w:val="nil"/>
              <w:right w:val="single" w:sz="18" w:space="0" w:color="FFFFFF"/>
            </w:tcBorders>
          </w:tcPr>
          <w:p w14:paraId="3FF65ACD" w14:textId="77777777" w:rsidR="00B42EB5" w:rsidRDefault="00721A9E">
            <w:pPr>
              <w:pStyle w:val="TableParagraph"/>
              <w:spacing w:before="5" w:line="229" w:lineRule="exact"/>
              <w:ind w:left="465" w:right="433"/>
              <w:rPr>
                <w:sz w:val="20"/>
              </w:rPr>
            </w:pPr>
            <w:r>
              <w:rPr>
                <w:sz w:val="20"/>
              </w:rPr>
              <w:t>16.3%</w:t>
            </w:r>
          </w:p>
        </w:tc>
        <w:tc>
          <w:tcPr>
            <w:tcW w:w="1583" w:type="dxa"/>
            <w:tcBorders>
              <w:left w:val="single" w:sz="18" w:space="0" w:color="FFFFFF"/>
              <w:right w:val="nil"/>
            </w:tcBorders>
          </w:tcPr>
          <w:p w14:paraId="6906315A" w14:textId="77777777" w:rsidR="00B42EB5" w:rsidRDefault="00B42EB5">
            <w:pPr>
              <w:pStyle w:val="TableParagraph"/>
              <w:spacing w:before="0"/>
              <w:jc w:val="left"/>
              <w:rPr>
                <w:rFonts w:ascii="Times New Roman"/>
                <w:sz w:val="18"/>
              </w:rPr>
            </w:pPr>
          </w:p>
        </w:tc>
      </w:tr>
      <w:tr w:rsidR="00B42EB5" w14:paraId="3356E2A1" w14:textId="77777777">
        <w:trPr>
          <w:trHeight w:val="263"/>
        </w:trPr>
        <w:tc>
          <w:tcPr>
            <w:tcW w:w="4954" w:type="dxa"/>
            <w:tcBorders>
              <w:left w:val="nil"/>
              <w:right w:val="nil"/>
            </w:tcBorders>
          </w:tcPr>
          <w:p w14:paraId="78489958" w14:textId="77777777" w:rsidR="00B42EB5" w:rsidRDefault="00721A9E">
            <w:pPr>
              <w:pStyle w:val="TableParagraph"/>
              <w:spacing w:before="29" w:line="215" w:lineRule="exact"/>
              <w:ind w:left="33"/>
              <w:jc w:val="left"/>
              <w:rPr>
                <w:sz w:val="18"/>
              </w:rPr>
            </w:pPr>
            <w:r>
              <w:rPr>
                <w:sz w:val="20"/>
              </w:rPr>
              <w:t>Adjusted</w:t>
            </w:r>
            <w:r>
              <w:rPr>
                <w:sz w:val="20"/>
                <w:vertAlign w:val="superscript"/>
              </w:rPr>
              <w:t>1)</w:t>
            </w:r>
            <w:r>
              <w:rPr>
                <w:spacing w:val="7"/>
                <w:sz w:val="20"/>
              </w:rPr>
              <w:t xml:space="preserve"> </w:t>
            </w:r>
            <w:r>
              <w:rPr>
                <w:sz w:val="20"/>
              </w:rPr>
              <w:t>earnings</w:t>
            </w:r>
            <w:r>
              <w:rPr>
                <w:spacing w:val="7"/>
                <w:sz w:val="20"/>
              </w:rPr>
              <w:t xml:space="preserve"> </w:t>
            </w:r>
            <w:r>
              <w:rPr>
                <w:sz w:val="20"/>
              </w:rPr>
              <w:t>per</w:t>
            </w:r>
            <w:r>
              <w:rPr>
                <w:spacing w:val="8"/>
                <w:sz w:val="20"/>
              </w:rPr>
              <w:t xml:space="preserve"> </w:t>
            </w:r>
            <w:r>
              <w:rPr>
                <w:sz w:val="20"/>
              </w:rPr>
              <w:t>preferred</w:t>
            </w:r>
            <w:r>
              <w:rPr>
                <w:spacing w:val="8"/>
                <w:sz w:val="20"/>
              </w:rPr>
              <w:t xml:space="preserve"> </w:t>
            </w:r>
            <w:r>
              <w:rPr>
                <w:sz w:val="20"/>
              </w:rPr>
              <w:t>share</w:t>
            </w:r>
            <w:r>
              <w:rPr>
                <w:spacing w:val="13"/>
                <w:sz w:val="20"/>
              </w:rPr>
              <w:t xml:space="preserve"> </w:t>
            </w:r>
            <w:r>
              <w:rPr>
                <w:sz w:val="18"/>
              </w:rPr>
              <w:t>in</w:t>
            </w:r>
            <w:r>
              <w:rPr>
                <w:spacing w:val="6"/>
                <w:sz w:val="18"/>
              </w:rPr>
              <w:t xml:space="preserve"> </w:t>
            </w:r>
            <w:r>
              <w:rPr>
                <w:sz w:val="18"/>
              </w:rPr>
              <w:t>euros</w:t>
            </w:r>
          </w:p>
        </w:tc>
        <w:tc>
          <w:tcPr>
            <w:tcW w:w="1007" w:type="dxa"/>
            <w:tcBorders>
              <w:left w:val="nil"/>
              <w:right w:val="nil"/>
            </w:tcBorders>
          </w:tcPr>
          <w:p w14:paraId="142FCDDE" w14:textId="77777777" w:rsidR="00B42EB5" w:rsidRDefault="00721A9E">
            <w:pPr>
              <w:pStyle w:val="TableParagraph"/>
              <w:spacing w:before="9" w:line="234" w:lineRule="exact"/>
              <w:ind w:left="269" w:right="239"/>
              <w:rPr>
                <w:sz w:val="20"/>
              </w:rPr>
            </w:pPr>
            <w:r>
              <w:rPr>
                <w:sz w:val="20"/>
              </w:rPr>
              <w:t>4.26</w:t>
            </w:r>
          </w:p>
        </w:tc>
        <w:tc>
          <w:tcPr>
            <w:tcW w:w="1045" w:type="dxa"/>
            <w:tcBorders>
              <w:left w:val="nil"/>
              <w:right w:val="nil"/>
            </w:tcBorders>
          </w:tcPr>
          <w:p w14:paraId="08F96BBC" w14:textId="77777777" w:rsidR="00B42EB5" w:rsidRDefault="00721A9E">
            <w:pPr>
              <w:pStyle w:val="TableParagraph"/>
              <w:spacing w:before="9" w:line="234" w:lineRule="exact"/>
              <w:ind w:left="238" w:right="210"/>
              <w:rPr>
                <w:sz w:val="20"/>
              </w:rPr>
            </w:pPr>
            <w:r>
              <w:rPr>
                <w:sz w:val="20"/>
              </w:rPr>
              <w:t>4.56</w:t>
            </w:r>
          </w:p>
        </w:tc>
        <w:tc>
          <w:tcPr>
            <w:tcW w:w="1582" w:type="dxa"/>
            <w:tcBorders>
              <w:left w:val="nil"/>
              <w:right w:val="single" w:sz="18" w:space="0" w:color="FFFFFF"/>
            </w:tcBorders>
          </w:tcPr>
          <w:p w14:paraId="63A6B39B" w14:textId="77777777" w:rsidR="00B42EB5" w:rsidRDefault="00721A9E">
            <w:pPr>
              <w:pStyle w:val="TableParagraph"/>
              <w:spacing w:before="9" w:line="234" w:lineRule="exact"/>
              <w:ind w:left="465" w:right="435"/>
              <w:rPr>
                <w:sz w:val="20"/>
              </w:rPr>
            </w:pPr>
            <w:r>
              <w:rPr>
                <w:sz w:val="20"/>
              </w:rPr>
              <w:t>7.0%</w:t>
            </w:r>
          </w:p>
        </w:tc>
        <w:tc>
          <w:tcPr>
            <w:tcW w:w="1583" w:type="dxa"/>
            <w:tcBorders>
              <w:left w:val="single" w:sz="18" w:space="0" w:color="FFFFFF"/>
              <w:right w:val="nil"/>
            </w:tcBorders>
          </w:tcPr>
          <w:p w14:paraId="0D4536E0" w14:textId="77777777" w:rsidR="00B42EB5" w:rsidRDefault="00B42EB5">
            <w:pPr>
              <w:pStyle w:val="TableParagraph"/>
              <w:spacing w:before="0"/>
              <w:jc w:val="left"/>
              <w:rPr>
                <w:rFonts w:ascii="Times New Roman"/>
                <w:sz w:val="18"/>
              </w:rPr>
            </w:pPr>
          </w:p>
        </w:tc>
      </w:tr>
      <w:tr w:rsidR="00B42EB5" w14:paraId="6D16875E" w14:textId="77777777">
        <w:trPr>
          <w:trHeight w:val="263"/>
        </w:trPr>
        <w:tc>
          <w:tcPr>
            <w:tcW w:w="4954" w:type="dxa"/>
            <w:tcBorders>
              <w:left w:val="nil"/>
              <w:right w:val="nil"/>
            </w:tcBorders>
          </w:tcPr>
          <w:p w14:paraId="2740F742" w14:textId="77777777" w:rsidR="00B42EB5" w:rsidRDefault="00721A9E">
            <w:pPr>
              <w:pStyle w:val="TableParagraph"/>
              <w:spacing w:before="9" w:line="234" w:lineRule="exact"/>
              <w:ind w:left="357"/>
              <w:jc w:val="left"/>
              <w:rPr>
                <w:sz w:val="20"/>
              </w:rPr>
            </w:pPr>
            <w:r>
              <w:rPr>
                <w:sz w:val="20"/>
              </w:rPr>
              <w:t>at</w:t>
            </w:r>
            <w:r>
              <w:rPr>
                <w:spacing w:val="9"/>
                <w:sz w:val="20"/>
              </w:rPr>
              <w:t xml:space="preserve"> </w:t>
            </w:r>
            <w:r>
              <w:rPr>
                <w:sz w:val="20"/>
              </w:rPr>
              <w:t>constant</w:t>
            </w:r>
            <w:r>
              <w:rPr>
                <w:spacing w:val="9"/>
                <w:sz w:val="20"/>
              </w:rPr>
              <w:t xml:space="preserve"> </w:t>
            </w:r>
            <w:r>
              <w:rPr>
                <w:sz w:val="20"/>
              </w:rPr>
              <w:t>exchange</w:t>
            </w:r>
            <w:r>
              <w:rPr>
                <w:spacing w:val="9"/>
                <w:sz w:val="20"/>
              </w:rPr>
              <w:t xml:space="preserve"> </w:t>
            </w:r>
            <w:r>
              <w:rPr>
                <w:sz w:val="20"/>
              </w:rPr>
              <w:t>rates</w:t>
            </w:r>
          </w:p>
        </w:tc>
        <w:tc>
          <w:tcPr>
            <w:tcW w:w="1007" w:type="dxa"/>
            <w:tcBorders>
              <w:left w:val="nil"/>
              <w:right w:val="nil"/>
            </w:tcBorders>
          </w:tcPr>
          <w:p w14:paraId="025A5E5F" w14:textId="77777777" w:rsidR="00B42EB5" w:rsidRDefault="00B42EB5">
            <w:pPr>
              <w:pStyle w:val="TableParagraph"/>
              <w:spacing w:before="0"/>
              <w:jc w:val="left"/>
              <w:rPr>
                <w:rFonts w:ascii="Times New Roman"/>
                <w:sz w:val="18"/>
              </w:rPr>
            </w:pPr>
          </w:p>
        </w:tc>
        <w:tc>
          <w:tcPr>
            <w:tcW w:w="1045" w:type="dxa"/>
            <w:tcBorders>
              <w:left w:val="nil"/>
              <w:right w:val="nil"/>
            </w:tcBorders>
          </w:tcPr>
          <w:p w14:paraId="5FE3093F" w14:textId="77777777" w:rsidR="00B42EB5" w:rsidRDefault="00B42EB5">
            <w:pPr>
              <w:pStyle w:val="TableParagraph"/>
              <w:spacing w:before="0"/>
              <w:jc w:val="left"/>
              <w:rPr>
                <w:rFonts w:ascii="Times New Roman"/>
                <w:sz w:val="18"/>
              </w:rPr>
            </w:pPr>
          </w:p>
        </w:tc>
        <w:tc>
          <w:tcPr>
            <w:tcW w:w="1582" w:type="dxa"/>
            <w:tcBorders>
              <w:left w:val="nil"/>
              <w:right w:val="single" w:sz="18" w:space="0" w:color="FFFFFF"/>
            </w:tcBorders>
          </w:tcPr>
          <w:p w14:paraId="23E6B292" w14:textId="77777777" w:rsidR="00B42EB5" w:rsidRDefault="00721A9E">
            <w:pPr>
              <w:pStyle w:val="TableParagraph"/>
              <w:spacing w:before="9" w:line="234" w:lineRule="exact"/>
              <w:ind w:left="465" w:right="435"/>
              <w:rPr>
                <w:sz w:val="20"/>
              </w:rPr>
            </w:pPr>
            <w:r>
              <w:rPr>
                <w:sz w:val="20"/>
              </w:rPr>
              <w:t>9.2%</w:t>
            </w:r>
          </w:p>
        </w:tc>
        <w:tc>
          <w:tcPr>
            <w:tcW w:w="1583" w:type="dxa"/>
            <w:tcBorders>
              <w:left w:val="single" w:sz="18" w:space="0" w:color="FFFFFF"/>
              <w:right w:val="nil"/>
            </w:tcBorders>
          </w:tcPr>
          <w:p w14:paraId="645D5F1B" w14:textId="77777777" w:rsidR="00B42EB5" w:rsidRDefault="00B42EB5">
            <w:pPr>
              <w:pStyle w:val="TableParagraph"/>
              <w:spacing w:before="0"/>
              <w:jc w:val="left"/>
              <w:rPr>
                <w:rFonts w:ascii="Times New Roman"/>
                <w:sz w:val="18"/>
              </w:rPr>
            </w:pPr>
          </w:p>
        </w:tc>
      </w:tr>
      <w:tr w:rsidR="00B42EB5" w14:paraId="0A95A612" w14:textId="77777777">
        <w:trPr>
          <w:trHeight w:val="509"/>
        </w:trPr>
        <w:tc>
          <w:tcPr>
            <w:tcW w:w="8588" w:type="dxa"/>
            <w:gridSpan w:val="4"/>
            <w:tcBorders>
              <w:left w:val="nil"/>
              <w:bottom w:val="nil"/>
              <w:right w:val="single" w:sz="18" w:space="0" w:color="FFFFFF"/>
            </w:tcBorders>
          </w:tcPr>
          <w:p w14:paraId="145404F5" w14:textId="77777777" w:rsidR="00B42EB5" w:rsidRDefault="00721A9E">
            <w:pPr>
              <w:pStyle w:val="TableParagraph"/>
              <w:spacing w:before="9"/>
              <w:ind w:left="19"/>
              <w:jc w:val="left"/>
              <w:rPr>
                <w:sz w:val="12"/>
              </w:rPr>
            </w:pPr>
            <w:r>
              <w:rPr>
                <w:w w:val="105"/>
                <w:sz w:val="12"/>
                <w:vertAlign w:val="superscript"/>
              </w:rPr>
              <w:t>1)</w:t>
            </w:r>
            <w:r>
              <w:rPr>
                <w:spacing w:val="-7"/>
                <w:w w:val="105"/>
                <w:sz w:val="12"/>
              </w:rPr>
              <w:t xml:space="preserve"> </w:t>
            </w:r>
            <w:r>
              <w:rPr>
                <w:w w:val="105"/>
                <w:sz w:val="12"/>
              </w:rPr>
              <w:t>Adjusted</w:t>
            </w:r>
            <w:r>
              <w:rPr>
                <w:spacing w:val="2"/>
                <w:w w:val="105"/>
                <w:sz w:val="12"/>
              </w:rPr>
              <w:t xml:space="preserve"> </w:t>
            </w:r>
            <w:r>
              <w:rPr>
                <w:w w:val="105"/>
                <w:sz w:val="12"/>
              </w:rPr>
              <w:t>for</w:t>
            </w:r>
            <w:r>
              <w:rPr>
                <w:spacing w:val="2"/>
                <w:w w:val="105"/>
                <w:sz w:val="12"/>
              </w:rPr>
              <w:t xml:space="preserve"> </w:t>
            </w:r>
            <w:r>
              <w:rPr>
                <w:w w:val="105"/>
                <w:sz w:val="12"/>
              </w:rPr>
              <w:t>one‐time</w:t>
            </w:r>
            <w:r>
              <w:rPr>
                <w:spacing w:val="2"/>
                <w:w w:val="105"/>
                <w:sz w:val="12"/>
              </w:rPr>
              <w:t xml:space="preserve"> </w:t>
            </w:r>
            <w:r>
              <w:rPr>
                <w:w w:val="105"/>
                <w:sz w:val="12"/>
              </w:rPr>
              <w:t>expenses</w:t>
            </w:r>
            <w:r>
              <w:rPr>
                <w:spacing w:val="2"/>
                <w:w w:val="105"/>
                <w:sz w:val="12"/>
              </w:rPr>
              <w:t xml:space="preserve"> </w:t>
            </w:r>
            <w:r>
              <w:rPr>
                <w:w w:val="105"/>
                <w:sz w:val="12"/>
              </w:rPr>
              <w:t>and</w:t>
            </w:r>
            <w:r>
              <w:rPr>
                <w:spacing w:val="2"/>
                <w:w w:val="105"/>
                <w:sz w:val="12"/>
              </w:rPr>
              <w:t xml:space="preserve"> </w:t>
            </w:r>
            <w:r>
              <w:rPr>
                <w:w w:val="105"/>
                <w:sz w:val="12"/>
              </w:rPr>
              <w:t>income,</w:t>
            </w:r>
            <w:r>
              <w:rPr>
                <w:spacing w:val="3"/>
                <w:w w:val="105"/>
                <w:sz w:val="12"/>
              </w:rPr>
              <w:t xml:space="preserve"> </w:t>
            </w:r>
            <w:r>
              <w:rPr>
                <w:w w:val="105"/>
                <w:sz w:val="12"/>
              </w:rPr>
              <w:t>and</w:t>
            </w:r>
            <w:r>
              <w:rPr>
                <w:spacing w:val="2"/>
                <w:w w:val="105"/>
                <w:sz w:val="12"/>
              </w:rPr>
              <w:t xml:space="preserve"> </w:t>
            </w:r>
            <w:r>
              <w:rPr>
                <w:w w:val="105"/>
                <w:sz w:val="12"/>
              </w:rPr>
              <w:t>for</w:t>
            </w:r>
            <w:r>
              <w:rPr>
                <w:spacing w:val="2"/>
                <w:w w:val="105"/>
                <w:sz w:val="12"/>
              </w:rPr>
              <w:t xml:space="preserve"> </w:t>
            </w:r>
            <w:r>
              <w:rPr>
                <w:w w:val="105"/>
                <w:sz w:val="12"/>
              </w:rPr>
              <w:t>restructuring</w:t>
            </w:r>
            <w:r>
              <w:rPr>
                <w:spacing w:val="2"/>
                <w:w w:val="105"/>
                <w:sz w:val="12"/>
              </w:rPr>
              <w:t xml:space="preserve"> </w:t>
            </w:r>
            <w:r>
              <w:rPr>
                <w:w w:val="105"/>
                <w:sz w:val="12"/>
              </w:rPr>
              <w:t>expenses.</w:t>
            </w:r>
          </w:p>
          <w:p w14:paraId="764EDC61" w14:textId="77777777" w:rsidR="00B42EB5" w:rsidRDefault="00B42EB5">
            <w:pPr>
              <w:pStyle w:val="TableParagraph"/>
              <w:spacing w:before="8"/>
              <w:jc w:val="left"/>
              <w:rPr>
                <w:b/>
                <w:sz w:val="15"/>
              </w:rPr>
            </w:pPr>
          </w:p>
          <w:p w14:paraId="4A6969FA" w14:textId="77777777" w:rsidR="00B42EB5" w:rsidRDefault="00721A9E">
            <w:pPr>
              <w:pStyle w:val="TableParagraph"/>
              <w:spacing w:before="1" w:line="142" w:lineRule="exact"/>
              <w:ind w:left="24"/>
              <w:jc w:val="left"/>
              <w:rPr>
                <w:sz w:val="12"/>
              </w:rPr>
            </w:pPr>
            <w:r>
              <w:rPr>
                <w:w w:val="105"/>
                <w:sz w:val="12"/>
              </w:rPr>
              <w:t>Henkel</w:t>
            </w:r>
            <w:r>
              <w:rPr>
                <w:spacing w:val="1"/>
                <w:w w:val="105"/>
                <w:sz w:val="12"/>
              </w:rPr>
              <w:t xml:space="preserve"> </w:t>
            </w:r>
            <w:r>
              <w:rPr>
                <w:w w:val="105"/>
                <w:sz w:val="12"/>
              </w:rPr>
              <w:t>AG</w:t>
            </w:r>
            <w:r>
              <w:rPr>
                <w:spacing w:val="2"/>
                <w:w w:val="105"/>
                <w:sz w:val="12"/>
              </w:rPr>
              <w:t xml:space="preserve"> </w:t>
            </w:r>
            <w:r>
              <w:rPr>
                <w:w w:val="105"/>
                <w:sz w:val="12"/>
              </w:rPr>
              <w:t>&amp;</w:t>
            </w:r>
            <w:r>
              <w:rPr>
                <w:spacing w:val="2"/>
                <w:w w:val="105"/>
                <w:sz w:val="12"/>
              </w:rPr>
              <w:t xml:space="preserve"> </w:t>
            </w:r>
            <w:r>
              <w:rPr>
                <w:w w:val="105"/>
                <w:sz w:val="12"/>
              </w:rPr>
              <w:t>Co.</w:t>
            </w:r>
            <w:r>
              <w:rPr>
                <w:spacing w:val="2"/>
                <w:w w:val="105"/>
                <w:sz w:val="12"/>
              </w:rPr>
              <w:t xml:space="preserve"> </w:t>
            </w:r>
            <w:proofErr w:type="spellStart"/>
            <w:r>
              <w:rPr>
                <w:w w:val="105"/>
                <w:sz w:val="12"/>
              </w:rPr>
              <w:t>KGaA</w:t>
            </w:r>
            <w:proofErr w:type="spellEnd"/>
            <w:r>
              <w:rPr>
                <w:w w:val="105"/>
                <w:sz w:val="12"/>
              </w:rPr>
              <w:t>,</w:t>
            </w:r>
            <w:r>
              <w:rPr>
                <w:spacing w:val="1"/>
                <w:w w:val="105"/>
                <w:sz w:val="12"/>
              </w:rPr>
              <w:t xml:space="preserve"> </w:t>
            </w:r>
            <w:r>
              <w:rPr>
                <w:w w:val="105"/>
                <w:sz w:val="12"/>
              </w:rPr>
              <w:t>Investor</w:t>
            </w:r>
            <w:r>
              <w:rPr>
                <w:spacing w:val="2"/>
                <w:w w:val="105"/>
                <w:sz w:val="12"/>
              </w:rPr>
              <w:t xml:space="preserve"> </w:t>
            </w:r>
            <w:r>
              <w:rPr>
                <w:w w:val="105"/>
                <w:sz w:val="12"/>
              </w:rPr>
              <w:t>Relations</w:t>
            </w:r>
          </w:p>
        </w:tc>
        <w:tc>
          <w:tcPr>
            <w:tcW w:w="1583" w:type="dxa"/>
            <w:tcBorders>
              <w:left w:val="single" w:sz="18" w:space="0" w:color="FFFFFF"/>
              <w:bottom w:val="nil"/>
              <w:right w:val="nil"/>
            </w:tcBorders>
          </w:tcPr>
          <w:p w14:paraId="491375A9" w14:textId="77777777" w:rsidR="00B42EB5" w:rsidRDefault="00B42EB5">
            <w:pPr>
              <w:pStyle w:val="TableParagraph"/>
              <w:spacing w:before="0"/>
              <w:jc w:val="left"/>
              <w:rPr>
                <w:rFonts w:ascii="Times New Roman"/>
                <w:sz w:val="18"/>
              </w:rPr>
            </w:pPr>
          </w:p>
        </w:tc>
      </w:tr>
    </w:tbl>
    <w:p w14:paraId="2A10B391" w14:textId="77777777" w:rsidR="00721A9E" w:rsidRDefault="00721A9E"/>
    <w:sectPr w:rsidR="00721A9E">
      <w:footerReference w:type="default" r:id="rId14"/>
      <w:pgSz w:w="11910" w:h="16840"/>
      <w:pgMar w:top="780" w:right="80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317E6" w14:textId="77777777" w:rsidR="00C44547" w:rsidRDefault="00C44547">
      <w:r>
        <w:separator/>
      </w:r>
    </w:p>
  </w:endnote>
  <w:endnote w:type="continuationSeparator" w:id="0">
    <w:p w14:paraId="7CE93749" w14:textId="77777777" w:rsidR="00C44547" w:rsidRDefault="00C44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063E" w14:textId="371A9BF0" w:rsidR="00B42EB5" w:rsidRPr="00386828" w:rsidRDefault="001151B1">
    <w:pPr>
      <w:pStyle w:val="Corpsdetexte"/>
      <w:spacing w:line="14" w:lineRule="auto"/>
      <w:rPr>
        <w:sz w:val="20"/>
        <w:lang w:val="fr-FR"/>
      </w:rPr>
    </w:pPr>
    <w:r>
      <w:rPr>
        <w:noProof/>
      </w:rPr>
      <mc:AlternateContent>
        <mc:Choice Requires="wps">
          <w:drawing>
            <wp:anchor distT="0" distB="0" distL="114300" distR="114300" simplePos="0" relativeHeight="487201792" behindDoc="1" locked="0" layoutInCell="1" allowOverlap="1" wp14:anchorId="2CD0417D" wp14:editId="4E31F0EA">
              <wp:simplePos x="0" y="0"/>
              <wp:positionH relativeFrom="page">
                <wp:posOffset>883285</wp:posOffset>
              </wp:positionH>
              <wp:positionV relativeFrom="page">
                <wp:posOffset>9976485</wp:posOffset>
              </wp:positionV>
              <wp:extent cx="796925" cy="1270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92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F4A47" w14:textId="77777777" w:rsidR="00B42EB5" w:rsidRDefault="00721A9E">
                          <w:pPr>
                            <w:spacing w:before="20"/>
                            <w:ind w:left="20"/>
                            <w:rPr>
                              <w:sz w:val="12"/>
                            </w:rPr>
                          </w:pPr>
                          <w:r>
                            <w:rPr>
                              <w:sz w:val="12"/>
                            </w:rPr>
                            <w:t>Henkel</w:t>
                          </w:r>
                          <w:r>
                            <w:rPr>
                              <w:spacing w:val="-1"/>
                              <w:sz w:val="12"/>
                            </w:rPr>
                            <w:t xml:space="preserve"> </w:t>
                          </w:r>
                          <w:r>
                            <w:rPr>
                              <w:sz w:val="12"/>
                            </w:rPr>
                            <w:t>AG</w:t>
                          </w:r>
                          <w:r>
                            <w:rPr>
                              <w:spacing w:val="-1"/>
                              <w:sz w:val="12"/>
                            </w:rPr>
                            <w:t xml:space="preserve"> </w:t>
                          </w:r>
                          <w:r>
                            <w:rPr>
                              <w:sz w:val="12"/>
                            </w:rPr>
                            <w:t>&amp;</w:t>
                          </w:r>
                          <w:r>
                            <w:rPr>
                              <w:spacing w:val="-1"/>
                              <w:sz w:val="12"/>
                            </w:rPr>
                            <w:t xml:space="preserve"> </w:t>
                          </w:r>
                          <w:r>
                            <w:rPr>
                              <w:sz w:val="12"/>
                            </w:rPr>
                            <w:t>Co.</w:t>
                          </w:r>
                          <w:r>
                            <w:rPr>
                              <w:spacing w:val="-1"/>
                              <w:sz w:val="12"/>
                            </w:rPr>
                            <w:t xml:space="preserve"> </w:t>
                          </w:r>
                          <w:proofErr w:type="spellStart"/>
                          <w:r>
                            <w:rPr>
                              <w:sz w:val="12"/>
                            </w:rPr>
                            <w:t>KGaA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0417D" id="_x0000_t202" coordsize="21600,21600" o:spt="202" path="m,l,21600r21600,l21600,xe">
              <v:stroke joinstyle="miter"/>
              <v:path gradientshapeok="t" o:connecttype="rect"/>
            </v:shapetype>
            <v:shape id="Text Box 2" o:spid="_x0000_s1026" type="#_x0000_t202" style="position:absolute;margin-left:69.55pt;margin-top:785.55pt;width:62.75pt;height:10pt;z-index:-1611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" filled="f" stroked="f">
              <v:textbox inset="0,0,0,0">
                <w:txbxContent>
                  <w:p w14:paraId="0F5F4A47" w14:textId="77777777" w:rsidR="00B42EB5" w:rsidRDefault="00721A9E">
                    <w:pPr>
                      <w:spacing w:before="20"/>
                      <w:ind w:left="20"/>
                      <w:rPr>
                        <w:sz w:val="12"/>
                      </w:rPr>
                    </w:pPr>
                    <w:r>
                      <w:rPr>
                        <w:sz w:val="12"/>
                      </w:rPr>
                      <w:t>Henkel</w:t>
                    </w:r>
                    <w:r>
                      <w:rPr>
                        <w:spacing w:val="-1"/>
                        <w:sz w:val="12"/>
                      </w:rPr>
                      <w:t xml:space="preserve"> </w:t>
                    </w:r>
                    <w:r>
                      <w:rPr>
                        <w:sz w:val="12"/>
                      </w:rPr>
                      <w:t>AG</w:t>
                    </w:r>
                    <w:r>
                      <w:rPr>
                        <w:spacing w:val="-1"/>
                        <w:sz w:val="12"/>
                      </w:rPr>
                      <w:t xml:space="preserve"> </w:t>
                    </w:r>
                    <w:r>
                      <w:rPr>
                        <w:sz w:val="12"/>
                      </w:rPr>
                      <w:t>&amp;</w:t>
                    </w:r>
                    <w:r>
                      <w:rPr>
                        <w:spacing w:val="-1"/>
                        <w:sz w:val="12"/>
                      </w:rPr>
                      <w:t xml:space="preserve"> </w:t>
                    </w:r>
                    <w:r>
                      <w:rPr>
                        <w:sz w:val="12"/>
                      </w:rPr>
                      <w:t>Co.</w:t>
                    </w:r>
                    <w:r>
                      <w:rPr>
                        <w:spacing w:val="-1"/>
                        <w:sz w:val="12"/>
                      </w:rPr>
                      <w:t xml:space="preserve"> </w:t>
                    </w:r>
                    <w:proofErr w:type="spellStart"/>
                    <w:r>
                      <w:rPr>
                        <w:sz w:val="12"/>
                      </w:rPr>
                      <w:t>KGaA</w:t>
                    </w:r>
                    <w:proofErr w:type="spellEnd"/>
                  </w:p>
                </w:txbxContent>
              </v:textbox>
              <w10:wrap anchorx="page" anchory="page"/>
            </v:shape>
          </w:pict>
        </mc:Fallback>
      </mc:AlternateContent>
    </w:r>
    <w:r w:rsidR="00386828" w:rsidRPr="00386828">
      <w:rPr>
        <w:sz w:val="20"/>
        <w:lang w:val="fr-F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1AE87" w14:textId="77777777" w:rsidR="00B42EB5" w:rsidRDefault="00B42EB5">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1F46E" w14:textId="77777777" w:rsidR="00C44547" w:rsidRDefault="00C44547">
      <w:r>
        <w:separator/>
      </w:r>
    </w:p>
  </w:footnote>
  <w:footnote w:type="continuationSeparator" w:id="0">
    <w:p w14:paraId="7E8E9066" w14:textId="77777777" w:rsidR="00C44547" w:rsidRDefault="00C44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E6511"/>
    <w:multiLevelType w:val="hybridMultilevel"/>
    <w:tmpl w:val="F8C68268"/>
    <w:lvl w:ilvl="0" w:tplc="FEC2E4EC">
      <w:start w:val="23"/>
      <w:numFmt w:val="bullet"/>
      <w:lvlText w:val=""/>
      <w:lvlJc w:val="left"/>
      <w:pPr>
        <w:ind w:left="720" w:hanging="360"/>
      </w:pPr>
      <w:rPr>
        <w:rFonts w:ascii="Symbol" w:eastAsia="Segoe UI" w:hAnsi="Symbol"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C225EF"/>
    <w:multiLevelType w:val="hybridMultilevel"/>
    <w:tmpl w:val="FDC296B0"/>
    <w:lvl w:ilvl="0" w:tplc="5156E858">
      <w:numFmt w:val="bullet"/>
      <w:lvlText w:val=""/>
      <w:lvlJc w:val="left"/>
      <w:pPr>
        <w:ind w:left="1148" w:hanging="358"/>
      </w:pPr>
      <w:rPr>
        <w:rFonts w:ascii="Wingdings" w:eastAsia="Wingdings" w:hAnsi="Wingdings" w:cs="Wingdings" w:hint="default"/>
        <w:color w:val="E1000F"/>
        <w:w w:val="99"/>
        <w:sz w:val="24"/>
        <w:szCs w:val="24"/>
        <w:lang w:val="en-US" w:eastAsia="en-US" w:bidi="ar-SA"/>
      </w:rPr>
    </w:lvl>
    <w:lvl w:ilvl="1" w:tplc="0DE4290C">
      <w:numFmt w:val="bullet"/>
      <w:lvlText w:val="-"/>
      <w:lvlJc w:val="left"/>
      <w:pPr>
        <w:ind w:left="1871" w:hanging="360"/>
      </w:pPr>
      <w:rPr>
        <w:rFonts w:ascii="Arial MT" w:eastAsia="Arial MT" w:hAnsi="Arial MT" w:cs="Arial MT" w:hint="default"/>
        <w:color w:val="FF0000"/>
        <w:w w:val="99"/>
        <w:sz w:val="22"/>
        <w:szCs w:val="22"/>
        <w:lang w:val="en-US" w:eastAsia="en-US" w:bidi="ar-SA"/>
      </w:rPr>
    </w:lvl>
    <w:lvl w:ilvl="2" w:tplc="1C6E20D4">
      <w:numFmt w:val="bullet"/>
      <w:lvlText w:val="•"/>
      <w:lvlJc w:val="left"/>
      <w:pPr>
        <w:ind w:left="2836" w:hanging="360"/>
      </w:pPr>
      <w:rPr>
        <w:rFonts w:hint="default"/>
        <w:lang w:val="en-US" w:eastAsia="en-US" w:bidi="ar-SA"/>
      </w:rPr>
    </w:lvl>
    <w:lvl w:ilvl="3" w:tplc="D3B421FA">
      <w:numFmt w:val="bullet"/>
      <w:lvlText w:val="•"/>
      <w:lvlJc w:val="left"/>
      <w:pPr>
        <w:ind w:left="3792" w:hanging="360"/>
      </w:pPr>
      <w:rPr>
        <w:rFonts w:hint="default"/>
        <w:lang w:val="en-US" w:eastAsia="en-US" w:bidi="ar-SA"/>
      </w:rPr>
    </w:lvl>
    <w:lvl w:ilvl="4" w:tplc="B5DC6434">
      <w:numFmt w:val="bullet"/>
      <w:lvlText w:val="•"/>
      <w:lvlJc w:val="left"/>
      <w:pPr>
        <w:ind w:left="4748" w:hanging="360"/>
      </w:pPr>
      <w:rPr>
        <w:rFonts w:hint="default"/>
        <w:lang w:val="en-US" w:eastAsia="en-US" w:bidi="ar-SA"/>
      </w:rPr>
    </w:lvl>
    <w:lvl w:ilvl="5" w:tplc="A414200E">
      <w:numFmt w:val="bullet"/>
      <w:lvlText w:val="•"/>
      <w:lvlJc w:val="left"/>
      <w:pPr>
        <w:ind w:left="5704" w:hanging="360"/>
      </w:pPr>
      <w:rPr>
        <w:rFonts w:hint="default"/>
        <w:lang w:val="en-US" w:eastAsia="en-US" w:bidi="ar-SA"/>
      </w:rPr>
    </w:lvl>
    <w:lvl w:ilvl="6" w:tplc="18664D8A">
      <w:numFmt w:val="bullet"/>
      <w:lvlText w:val="•"/>
      <w:lvlJc w:val="left"/>
      <w:pPr>
        <w:ind w:left="6660" w:hanging="360"/>
      </w:pPr>
      <w:rPr>
        <w:rFonts w:hint="default"/>
        <w:lang w:val="en-US" w:eastAsia="en-US" w:bidi="ar-SA"/>
      </w:rPr>
    </w:lvl>
    <w:lvl w:ilvl="7" w:tplc="F8C64808">
      <w:numFmt w:val="bullet"/>
      <w:lvlText w:val="•"/>
      <w:lvlJc w:val="left"/>
      <w:pPr>
        <w:ind w:left="7616" w:hanging="360"/>
      </w:pPr>
      <w:rPr>
        <w:rFonts w:hint="default"/>
        <w:lang w:val="en-US" w:eastAsia="en-US" w:bidi="ar-SA"/>
      </w:rPr>
    </w:lvl>
    <w:lvl w:ilvl="8" w:tplc="ABD4873E">
      <w:numFmt w:val="bullet"/>
      <w:lvlText w:val="•"/>
      <w:lvlJc w:val="left"/>
      <w:pPr>
        <w:ind w:left="8572" w:hanging="360"/>
      </w:pPr>
      <w:rPr>
        <w:rFonts w:hint="default"/>
        <w:lang w:val="en-US" w:eastAsia="en-US" w:bidi="ar-SA"/>
      </w:rPr>
    </w:lvl>
  </w:abstractNum>
  <w:abstractNum w:abstractNumId="2" w15:restartNumberingAfterBreak="0">
    <w:nsid w:val="2CF60578"/>
    <w:multiLevelType w:val="hybridMultilevel"/>
    <w:tmpl w:val="0F2A38EE"/>
    <w:lvl w:ilvl="0" w:tplc="37C62700">
      <w:numFmt w:val="bullet"/>
      <w:lvlText w:val="-"/>
      <w:lvlJc w:val="left"/>
      <w:pPr>
        <w:ind w:left="1800" w:hanging="360"/>
      </w:pPr>
      <w:rPr>
        <w:rFonts w:ascii="Arial MT" w:eastAsia="Arial MT" w:hAnsi="Arial MT" w:cs="Arial MT" w:hint="default"/>
        <w:color w:val="FF0000"/>
        <w:w w:val="99"/>
        <w:sz w:val="22"/>
        <w:szCs w:val="22"/>
        <w:lang w:val="en-US" w:eastAsia="en-US" w:bidi="ar-SA"/>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 w15:restartNumberingAfterBreak="0">
    <w:nsid w:val="5B5D4CD0"/>
    <w:multiLevelType w:val="hybridMultilevel"/>
    <w:tmpl w:val="244E4602"/>
    <w:lvl w:ilvl="0" w:tplc="37C62700">
      <w:numFmt w:val="bullet"/>
      <w:lvlText w:val="-"/>
      <w:lvlJc w:val="left"/>
      <w:pPr>
        <w:ind w:left="1511" w:hanging="360"/>
      </w:pPr>
      <w:rPr>
        <w:rFonts w:ascii="Arial MT" w:eastAsia="Arial MT" w:hAnsi="Arial MT" w:cs="Arial MT" w:hint="default"/>
        <w:color w:val="FF0000"/>
        <w:w w:val="99"/>
        <w:sz w:val="22"/>
        <w:szCs w:val="22"/>
        <w:lang w:val="en-US" w:eastAsia="en-US" w:bidi="ar-SA"/>
      </w:rPr>
    </w:lvl>
    <w:lvl w:ilvl="1" w:tplc="78EA0D68">
      <w:numFmt w:val="bullet"/>
      <w:lvlText w:val="•"/>
      <w:lvlJc w:val="left"/>
      <w:pPr>
        <w:ind w:left="2416" w:hanging="360"/>
      </w:pPr>
      <w:rPr>
        <w:rFonts w:hint="default"/>
        <w:lang w:val="en-US" w:eastAsia="en-US" w:bidi="ar-SA"/>
      </w:rPr>
    </w:lvl>
    <w:lvl w:ilvl="2" w:tplc="B3E032C6">
      <w:numFmt w:val="bullet"/>
      <w:lvlText w:val="•"/>
      <w:lvlJc w:val="left"/>
      <w:pPr>
        <w:ind w:left="3312" w:hanging="360"/>
      </w:pPr>
      <w:rPr>
        <w:rFonts w:hint="default"/>
        <w:lang w:val="en-US" w:eastAsia="en-US" w:bidi="ar-SA"/>
      </w:rPr>
    </w:lvl>
    <w:lvl w:ilvl="3" w:tplc="61EE7226">
      <w:numFmt w:val="bullet"/>
      <w:lvlText w:val="•"/>
      <w:lvlJc w:val="left"/>
      <w:pPr>
        <w:ind w:left="4209" w:hanging="360"/>
      </w:pPr>
      <w:rPr>
        <w:rFonts w:hint="default"/>
        <w:lang w:val="en-US" w:eastAsia="en-US" w:bidi="ar-SA"/>
      </w:rPr>
    </w:lvl>
    <w:lvl w:ilvl="4" w:tplc="8CB479DE">
      <w:numFmt w:val="bullet"/>
      <w:lvlText w:val="•"/>
      <w:lvlJc w:val="left"/>
      <w:pPr>
        <w:ind w:left="5105" w:hanging="360"/>
      </w:pPr>
      <w:rPr>
        <w:rFonts w:hint="default"/>
        <w:lang w:val="en-US" w:eastAsia="en-US" w:bidi="ar-SA"/>
      </w:rPr>
    </w:lvl>
    <w:lvl w:ilvl="5" w:tplc="DC3A4AE8">
      <w:numFmt w:val="bullet"/>
      <w:lvlText w:val="•"/>
      <w:lvlJc w:val="left"/>
      <w:pPr>
        <w:ind w:left="6002" w:hanging="360"/>
      </w:pPr>
      <w:rPr>
        <w:rFonts w:hint="default"/>
        <w:lang w:val="en-US" w:eastAsia="en-US" w:bidi="ar-SA"/>
      </w:rPr>
    </w:lvl>
    <w:lvl w:ilvl="6" w:tplc="F72E41AE">
      <w:numFmt w:val="bullet"/>
      <w:lvlText w:val="•"/>
      <w:lvlJc w:val="left"/>
      <w:pPr>
        <w:ind w:left="6898" w:hanging="360"/>
      </w:pPr>
      <w:rPr>
        <w:rFonts w:hint="default"/>
        <w:lang w:val="en-US" w:eastAsia="en-US" w:bidi="ar-SA"/>
      </w:rPr>
    </w:lvl>
    <w:lvl w:ilvl="7" w:tplc="0E6249EC">
      <w:numFmt w:val="bullet"/>
      <w:lvlText w:val="•"/>
      <w:lvlJc w:val="left"/>
      <w:pPr>
        <w:ind w:left="7795" w:hanging="360"/>
      </w:pPr>
      <w:rPr>
        <w:rFonts w:hint="default"/>
        <w:lang w:val="en-US" w:eastAsia="en-US" w:bidi="ar-SA"/>
      </w:rPr>
    </w:lvl>
    <w:lvl w:ilvl="8" w:tplc="76AC4ABA">
      <w:numFmt w:val="bullet"/>
      <w:lvlText w:val="•"/>
      <w:lvlJc w:val="left"/>
      <w:pPr>
        <w:ind w:left="8691" w:hanging="360"/>
      </w:pPr>
      <w:rPr>
        <w:rFonts w:hint="default"/>
        <w:lang w:val="en-US" w:eastAsia="en-US" w:bidi="ar-SA"/>
      </w:rPr>
    </w:lvl>
  </w:abstractNum>
  <w:abstractNum w:abstractNumId="4" w15:restartNumberingAfterBreak="0">
    <w:nsid w:val="609217F3"/>
    <w:multiLevelType w:val="hybridMultilevel"/>
    <w:tmpl w:val="EF543232"/>
    <w:lvl w:ilvl="0" w:tplc="5156E858">
      <w:numFmt w:val="bullet"/>
      <w:lvlText w:val=""/>
      <w:lvlJc w:val="left"/>
      <w:pPr>
        <w:ind w:left="1080" w:hanging="360"/>
      </w:pPr>
      <w:rPr>
        <w:rFonts w:ascii="Wingdings" w:eastAsia="Wingdings" w:hAnsi="Wingdings" w:cs="Wingdings" w:hint="default"/>
        <w:color w:val="E1000F"/>
        <w:w w:val="99"/>
        <w:sz w:val="24"/>
        <w:szCs w:val="24"/>
        <w:lang w:val="en-US" w:eastAsia="en-US" w:bidi="ar-S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7D69042A"/>
    <w:multiLevelType w:val="hybridMultilevel"/>
    <w:tmpl w:val="FC1A0C2E"/>
    <w:lvl w:ilvl="0" w:tplc="37C62700">
      <w:numFmt w:val="bullet"/>
      <w:lvlText w:val="-"/>
      <w:lvlJc w:val="left"/>
      <w:pPr>
        <w:ind w:left="1798" w:hanging="358"/>
      </w:pPr>
      <w:rPr>
        <w:rFonts w:ascii="Arial MT" w:eastAsia="Arial MT" w:hAnsi="Arial MT" w:cs="Arial MT" w:hint="default"/>
        <w:color w:val="FF0000"/>
        <w:w w:val="99"/>
        <w:sz w:val="22"/>
        <w:szCs w:val="22"/>
        <w:lang w:val="en-US" w:eastAsia="en-US" w:bidi="ar-SA"/>
      </w:rPr>
    </w:lvl>
    <w:lvl w:ilvl="1" w:tplc="FFFFFFFF">
      <w:numFmt w:val="bullet"/>
      <w:lvlText w:val="-"/>
      <w:lvlJc w:val="left"/>
      <w:pPr>
        <w:ind w:left="2521" w:hanging="360"/>
      </w:pPr>
      <w:rPr>
        <w:rFonts w:ascii="Arial MT" w:eastAsia="Arial MT" w:hAnsi="Arial MT" w:cs="Arial MT" w:hint="default"/>
        <w:color w:val="FF0000"/>
        <w:w w:val="99"/>
        <w:sz w:val="22"/>
        <w:szCs w:val="22"/>
        <w:lang w:val="en-US" w:eastAsia="en-US" w:bidi="ar-SA"/>
      </w:rPr>
    </w:lvl>
    <w:lvl w:ilvl="2" w:tplc="FFFFFFFF">
      <w:numFmt w:val="bullet"/>
      <w:lvlText w:val="•"/>
      <w:lvlJc w:val="left"/>
      <w:pPr>
        <w:ind w:left="3486" w:hanging="360"/>
      </w:pPr>
      <w:rPr>
        <w:rFonts w:hint="default"/>
        <w:lang w:val="en-US" w:eastAsia="en-US" w:bidi="ar-SA"/>
      </w:rPr>
    </w:lvl>
    <w:lvl w:ilvl="3" w:tplc="FFFFFFFF">
      <w:numFmt w:val="bullet"/>
      <w:lvlText w:val="•"/>
      <w:lvlJc w:val="left"/>
      <w:pPr>
        <w:ind w:left="4442" w:hanging="360"/>
      </w:pPr>
      <w:rPr>
        <w:rFonts w:hint="default"/>
        <w:lang w:val="en-US" w:eastAsia="en-US" w:bidi="ar-SA"/>
      </w:rPr>
    </w:lvl>
    <w:lvl w:ilvl="4" w:tplc="FFFFFFFF">
      <w:numFmt w:val="bullet"/>
      <w:lvlText w:val="•"/>
      <w:lvlJc w:val="left"/>
      <w:pPr>
        <w:ind w:left="5398" w:hanging="360"/>
      </w:pPr>
      <w:rPr>
        <w:rFonts w:hint="default"/>
        <w:lang w:val="en-US" w:eastAsia="en-US" w:bidi="ar-SA"/>
      </w:rPr>
    </w:lvl>
    <w:lvl w:ilvl="5" w:tplc="FFFFFFFF">
      <w:numFmt w:val="bullet"/>
      <w:lvlText w:val="•"/>
      <w:lvlJc w:val="left"/>
      <w:pPr>
        <w:ind w:left="6354" w:hanging="360"/>
      </w:pPr>
      <w:rPr>
        <w:rFonts w:hint="default"/>
        <w:lang w:val="en-US" w:eastAsia="en-US" w:bidi="ar-SA"/>
      </w:rPr>
    </w:lvl>
    <w:lvl w:ilvl="6" w:tplc="FFFFFFFF">
      <w:numFmt w:val="bullet"/>
      <w:lvlText w:val="•"/>
      <w:lvlJc w:val="left"/>
      <w:pPr>
        <w:ind w:left="7310" w:hanging="360"/>
      </w:pPr>
      <w:rPr>
        <w:rFonts w:hint="default"/>
        <w:lang w:val="en-US" w:eastAsia="en-US" w:bidi="ar-SA"/>
      </w:rPr>
    </w:lvl>
    <w:lvl w:ilvl="7" w:tplc="FFFFFFFF">
      <w:numFmt w:val="bullet"/>
      <w:lvlText w:val="•"/>
      <w:lvlJc w:val="left"/>
      <w:pPr>
        <w:ind w:left="8266" w:hanging="360"/>
      </w:pPr>
      <w:rPr>
        <w:rFonts w:hint="default"/>
        <w:lang w:val="en-US" w:eastAsia="en-US" w:bidi="ar-SA"/>
      </w:rPr>
    </w:lvl>
    <w:lvl w:ilvl="8" w:tplc="FFFFFFFF">
      <w:numFmt w:val="bullet"/>
      <w:lvlText w:val="•"/>
      <w:lvlJc w:val="left"/>
      <w:pPr>
        <w:ind w:left="9222" w:hanging="360"/>
      </w:pPr>
      <w:rPr>
        <w:rFonts w:hint="default"/>
        <w:lang w:val="en-US" w:eastAsia="en-US" w:bidi="ar-SA"/>
      </w:rPr>
    </w:lvl>
  </w:abstractNum>
  <w:abstractNum w:abstractNumId="6" w15:restartNumberingAfterBreak="0">
    <w:nsid w:val="7DF747DA"/>
    <w:multiLevelType w:val="hybridMultilevel"/>
    <w:tmpl w:val="66E84F48"/>
    <w:lvl w:ilvl="0" w:tplc="37C62700">
      <w:numFmt w:val="bullet"/>
      <w:lvlText w:val="-"/>
      <w:lvlJc w:val="left"/>
      <w:pPr>
        <w:ind w:left="1798" w:hanging="358"/>
      </w:pPr>
      <w:rPr>
        <w:rFonts w:ascii="Arial MT" w:eastAsia="Arial MT" w:hAnsi="Arial MT" w:cs="Arial MT" w:hint="default"/>
        <w:color w:val="FF0000"/>
        <w:w w:val="99"/>
        <w:sz w:val="22"/>
        <w:szCs w:val="22"/>
        <w:lang w:val="en-US" w:eastAsia="en-US" w:bidi="ar-SA"/>
      </w:rPr>
    </w:lvl>
    <w:lvl w:ilvl="1" w:tplc="FFFFFFFF">
      <w:numFmt w:val="bullet"/>
      <w:lvlText w:val="-"/>
      <w:lvlJc w:val="left"/>
      <w:pPr>
        <w:ind w:left="2521" w:hanging="360"/>
      </w:pPr>
      <w:rPr>
        <w:rFonts w:ascii="Arial MT" w:eastAsia="Arial MT" w:hAnsi="Arial MT" w:cs="Arial MT" w:hint="default"/>
        <w:color w:val="FF0000"/>
        <w:w w:val="99"/>
        <w:sz w:val="22"/>
        <w:szCs w:val="22"/>
        <w:lang w:val="en-US" w:eastAsia="en-US" w:bidi="ar-SA"/>
      </w:rPr>
    </w:lvl>
    <w:lvl w:ilvl="2" w:tplc="FFFFFFFF">
      <w:numFmt w:val="bullet"/>
      <w:lvlText w:val="•"/>
      <w:lvlJc w:val="left"/>
      <w:pPr>
        <w:ind w:left="3486" w:hanging="360"/>
      </w:pPr>
      <w:rPr>
        <w:rFonts w:hint="default"/>
        <w:lang w:val="en-US" w:eastAsia="en-US" w:bidi="ar-SA"/>
      </w:rPr>
    </w:lvl>
    <w:lvl w:ilvl="3" w:tplc="FFFFFFFF">
      <w:numFmt w:val="bullet"/>
      <w:lvlText w:val="•"/>
      <w:lvlJc w:val="left"/>
      <w:pPr>
        <w:ind w:left="4442" w:hanging="360"/>
      </w:pPr>
      <w:rPr>
        <w:rFonts w:hint="default"/>
        <w:lang w:val="en-US" w:eastAsia="en-US" w:bidi="ar-SA"/>
      </w:rPr>
    </w:lvl>
    <w:lvl w:ilvl="4" w:tplc="FFFFFFFF">
      <w:numFmt w:val="bullet"/>
      <w:lvlText w:val="•"/>
      <w:lvlJc w:val="left"/>
      <w:pPr>
        <w:ind w:left="5398" w:hanging="360"/>
      </w:pPr>
      <w:rPr>
        <w:rFonts w:hint="default"/>
        <w:lang w:val="en-US" w:eastAsia="en-US" w:bidi="ar-SA"/>
      </w:rPr>
    </w:lvl>
    <w:lvl w:ilvl="5" w:tplc="FFFFFFFF">
      <w:numFmt w:val="bullet"/>
      <w:lvlText w:val="•"/>
      <w:lvlJc w:val="left"/>
      <w:pPr>
        <w:ind w:left="6354" w:hanging="360"/>
      </w:pPr>
      <w:rPr>
        <w:rFonts w:hint="default"/>
        <w:lang w:val="en-US" w:eastAsia="en-US" w:bidi="ar-SA"/>
      </w:rPr>
    </w:lvl>
    <w:lvl w:ilvl="6" w:tplc="FFFFFFFF">
      <w:numFmt w:val="bullet"/>
      <w:lvlText w:val="•"/>
      <w:lvlJc w:val="left"/>
      <w:pPr>
        <w:ind w:left="7310" w:hanging="360"/>
      </w:pPr>
      <w:rPr>
        <w:rFonts w:hint="default"/>
        <w:lang w:val="en-US" w:eastAsia="en-US" w:bidi="ar-SA"/>
      </w:rPr>
    </w:lvl>
    <w:lvl w:ilvl="7" w:tplc="FFFFFFFF">
      <w:numFmt w:val="bullet"/>
      <w:lvlText w:val="•"/>
      <w:lvlJc w:val="left"/>
      <w:pPr>
        <w:ind w:left="8266" w:hanging="360"/>
      </w:pPr>
      <w:rPr>
        <w:rFonts w:hint="default"/>
        <w:lang w:val="en-US" w:eastAsia="en-US" w:bidi="ar-SA"/>
      </w:rPr>
    </w:lvl>
    <w:lvl w:ilvl="8" w:tplc="FFFFFFFF">
      <w:numFmt w:val="bullet"/>
      <w:lvlText w:val="•"/>
      <w:lvlJc w:val="left"/>
      <w:pPr>
        <w:ind w:left="9222" w:hanging="360"/>
      </w:pPr>
      <w:rPr>
        <w:rFonts w:hint="default"/>
        <w:lang w:val="en-US" w:eastAsia="en-US" w:bidi="ar-SA"/>
      </w:rPr>
    </w:lvl>
  </w:abstractNum>
  <w:num w:numId="1">
    <w:abstractNumId w:val="3"/>
  </w:num>
  <w:num w:numId="2">
    <w:abstractNumId w:val="1"/>
  </w:num>
  <w:num w:numId="3">
    <w:abstractNumId w:val="4"/>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EB5"/>
    <w:rsid w:val="000417E2"/>
    <w:rsid w:val="000C3192"/>
    <w:rsid w:val="00103238"/>
    <w:rsid w:val="001151B1"/>
    <w:rsid w:val="001D2791"/>
    <w:rsid w:val="00245BF1"/>
    <w:rsid w:val="00291D64"/>
    <w:rsid w:val="0031468C"/>
    <w:rsid w:val="00386828"/>
    <w:rsid w:val="003871D0"/>
    <w:rsid w:val="00431B12"/>
    <w:rsid w:val="004A1F98"/>
    <w:rsid w:val="00506DD5"/>
    <w:rsid w:val="00557C23"/>
    <w:rsid w:val="00576843"/>
    <w:rsid w:val="00593579"/>
    <w:rsid w:val="00612179"/>
    <w:rsid w:val="00624D69"/>
    <w:rsid w:val="00641DC3"/>
    <w:rsid w:val="006D299E"/>
    <w:rsid w:val="007132C5"/>
    <w:rsid w:val="00721A9E"/>
    <w:rsid w:val="00840489"/>
    <w:rsid w:val="00841D64"/>
    <w:rsid w:val="008F2184"/>
    <w:rsid w:val="009B113A"/>
    <w:rsid w:val="009C22C0"/>
    <w:rsid w:val="00A10C1B"/>
    <w:rsid w:val="00A24E39"/>
    <w:rsid w:val="00A5252E"/>
    <w:rsid w:val="00A83BC0"/>
    <w:rsid w:val="00B03077"/>
    <w:rsid w:val="00B42EB5"/>
    <w:rsid w:val="00C02E9D"/>
    <w:rsid w:val="00C37822"/>
    <w:rsid w:val="00C44547"/>
    <w:rsid w:val="00C551D4"/>
    <w:rsid w:val="00D15B3F"/>
    <w:rsid w:val="00D82746"/>
    <w:rsid w:val="00EE15F3"/>
    <w:rsid w:val="00F57F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1F192"/>
  <w15:docId w15:val="{68E7AEF7-2D67-4759-B6AD-7ADA9E2E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Titre">
    <w:name w:val="Title"/>
    <w:basedOn w:val="Normal"/>
    <w:uiPriority w:val="10"/>
    <w:qFormat/>
    <w:pPr>
      <w:spacing w:before="100"/>
      <w:ind w:right="605"/>
      <w:jc w:val="right"/>
    </w:pPr>
    <w:rPr>
      <w:b/>
      <w:bCs/>
      <w:sz w:val="40"/>
      <w:szCs w:val="40"/>
    </w:rPr>
  </w:style>
  <w:style w:type="paragraph" w:styleId="Paragraphedeliste">
    <w:name w:val="List Paragraph"/>
    <w:basedOn w:val="Normal"/>
    <w:uiPriority w:val="1"/>
    <w:qFormat/>
    <w:pPr>
      <w:spacing w:before="124"/>
      <w:ind w:left="1871" w:hanging="361"/>
    </w:pPr>
  </w:style>
  <w:style w:type="paragraph" w:customStyle="1" w:styleId="TableParagraph">
    <w:name w:val="Table Paragraph"/>
    <w:basedOn w:val="Normal"/>
    <w:uiPriority w:val="1"/>
    <w:qFormat/>
    <w:pPr>
      <w:spacing w:before="43"/>
      <w:jc w:val="center"/>
    </w:pPr>
    <w:rPr>
      <w:rFonts w:ascii="Calibri" w:eastAsia="Calibri" w:hAnsi="Calibri" w:cs="Calibri"/>
    </w:rPr>
  </w:style>
  <w:style w:type="character" w:styleId="Lienhypertexte">
    <w:name w:val="Hyperlink"/>
    <w:basedOn w:val="Policepardfaut"/>
    <w:uiPriority w:val="99"/>
    <w:unhideWhenUsed/>
    <w:rsid w:val="00A5252E"/>
    <w:rPr>
      <w:color w:val="0000FF" w:themeColor="hyperlink"/>
      <w:u w:val="single"/>
    </w:rPr>
  </w:style>
  <w:style w:type="character" w:styleId="Mentionnonrsolue">
    <w:name w:val="Unresolved Mention"/>
    <w:basedOn w:val="Policepardfaut"/>
    <w:uiPriority w:val="99"/>
    <w:semiHidden/>
    <w:unhideWhenUsed/>
    <w:rsid w:val="00A5252E"/>
    <w:rPr>
      <w:color w:val="605E5C"/>
      <w:shd w:val="clear" w:color="auto" w:fill="E1DFDD"/>
    </w:rPr>
  </w:style>
  <w:style w:type="paragraph" w:styleId="En-tte">
    <w:name w:val="header"/>
    <w:basedOn w:val="Normal"/>
    <w:link w:val="En-tteCar"/>
    <w:uiPriority w:val="99"/>
    <w:unhideWhenUsed/>
    <w:rsid w:val="00612179"/>
    <w:pPr>
      <w:tabs>
        <w:tab w:val="center" w:pos="4536"/>
        <w:tab w:val="right" w:pos="9072"/>
      </w:tabs>
    </w:pPr>
  </w:style>
  <w:style w:type="character" w:customStyle="1" w:styleId="En-tteCar">
    <w:name w:val="En-tête Car"/>
    <w:basedOn w:val="Policepardfaut"/>
    <w:link w:val="En-tte"/>
    <w:uiPriority w:val="99"/>
    <w:rsid w:val="00612179"/>
    <w:rPr>
      <w:rFonts w:ascii="Segoe UI" w:eastAsia="Segoe UI" w:hAnsi="Segoe UI" w:cs="Segoe UI"/>
    </w:rPr>
  </w:style>
  <w:style w:type="paragraph" w:styleId="Pieddepage">
    <w:name w:val="footer"/>
    <w:basedOn w:val="Normal"/>
    <w:link w:val="PieddepageCar"/>
    <w:uiPriority w:val="99"/>
    <w:unhideWhenUsed/>
    <w:rsid w:val="00612179"/>
    <w:pPr>
      <w:tabs>
        <w:tab w:val="center" w:pos="4536"/>
        <w:tab w:val="right" w:pos="9072"/>
      </w:tabs>
    </w:pPr>
  </w:style>
  <w:style w:type="character" w:customStyle="1" w:styleId="PieddepageCar">
    <w:name w:val="Pied de page Car"/>
    <w:basedOn w:val="Policepardfaut"/>
    <w:link w:val="Pieddepage"/>
    <w:uiPriority w:val="99"/>
    <w:rsid w:val="00612179"/>
    <w:rPr>
      <w:rFonts w:ascii="Segoe UI" w:eastAsia="Segoe UI" w:hAnsi="Segoe UI" w:cs="Segoe UI"/>
    </w:rPr>
  </w:style>
  <w:style w:type="character" w:customStyle="1" w:styleId="CorpsdetexteCar">
    <w:name w:val="Corps de texte Car"/>
    <w:basedOn w:val="Policepardfaut"/>
    <w:link w:val="Corpsdetexte"/>
    <w:uiPriority w:val="1"/>
    <w:rsid w:val="007132C5"/>
    <w:rPr>
      <w:rFonts w:ascii="Segoe UI" w:eastAsia="Segoe UI" w:hAnsi="Segoe UI" w:cs="Segoe UI"/>
    </w:rPr>
  </w:style>
  <w:style w:type="paragraph" w:styleId="Rvision">
    <w:name w:val="Revision"/>
    <w:hidden/>
    <w:uiPriority w:val="99"/>
    <w:semiHidden/>
    <w:rsid w:val="00576843"/>
    <w:pPr>
      <w:widowControl/>
      <w:autoSpaceDE/>
      <w:autoSpaceDN/>
    </w:pPr>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henkel.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olo.ghilardi@bcw-globa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enkel.f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4779</Words>
  <Characters>26290</Characters>
  <Application>Microsoft Office Word</Application>
  <DocSecurity>0</DocSecurity>
  <Lines>219</Lines>
  <Paragraphs>62</Paragraphs>
  <ScaleCrop>false</ScaleCrop>
  <HeadingPairs>
    <vt:vector size="2" baseType="variant">
      <vt:variant>
        <vt:lpstr>Titre</vt:lpstr>
      </vt:variant>
      <vt:variant>
        <vt:i4>1</vt:i4>
      </vt:variant>
    </vt:vector>
  </HeadingPairs>
  <TitlesOfParts>
    <vt:vector size="1" baseType="lpstr">
      <vt:lpstr>Microsoft Word - News Release_Henkel_Full Year_2021_EN.docx</vt:lpstr>
    </vt:vector>
  </TitlesOfParts>
  <Company/>
  <LinksUpToDate>false</LinksUpToDate>
  <CharactersWithSpaces>31007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News Release_Henkel_Full Year_2021_EN.docx</dc:title>
  <dc:creator>klueppel</dc:creator>
  <cp:lastModifiedBy>Octavie Blandin</cp:lastModifiedBy>
  <cp:revision>2</cp:revision>
  <dcterms:created xsi:type="dcterms:W3CDTF">2022-02-23T16:21:00Z</dcterms:created>
  <dcterms:modified xsi:type="dcterms:W3CDTF">2022-02-23T16:21:00Z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2022-02-22T00:00:00Z</vt:filetime>
  </property>
  <property fmtid="{D5CDD505-2E9C-101B-9397-08002B2CF9AE}" pid="3" name="Creator">
    <vt:lpwstr>PScript5.dll Version 5.2.2</vt:lpwstr>
  </property>
  <property fmtid="{D5CDD505-2E9C-101B-9397-08002B2CF9AE}" pid="4" name="LastSaved">
    <vt:filetime>2022-02-23T00:00:00Z</vt:filetime>
  </property>
</Properties>
</file>