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691D" w14:textId="77777777" w:rsidR="00614FAF" w:rsidRDefault="00AE6D39" w:rsidP="00465DEA">
      <w:pPr>
        <w:pStyle w:val="Tekstpodstawowy"/>
        <w:jc w:val="right"/>
        <w:rPr>
          <w:rFonts w:ascii="Times New Roman"/>
          <w:sz w:val="20"/>
        </w:rPr>
      </w:pPr>
      <w:r>
        <w:rPr>
          <w:rFonts w:ascii="Times New Roman"/>
          <w:noProof/>
          <w:sz w:val="20"/>
          <w:lang w:val="pl"/>
        </w:rPr>
        <w:drawing>
          <wp:anchor distT="0" distB="0" distL="114300" distR="114300" simplePos="0" relativeHeight="251658240" behindDoc="0" locked="0" layoutInCell="1" allowOverlap="1" wp14:anchorId="5BC78512" wp14:editId="37CC8FF5">
            <wp:simplePos x="0" y="0"/>
            <wp:positionH relativeFrom="column">
              <wp:posOffset>5031992</wp:posOffset>
            </wp:positionH>
            <wp:positionV relativeFrom="paragraph">
              <wp:posOffset>-447339</wp:posOffset>
            </wp:positionV>
            <wp:extent cx="1062909" cy="594359"/>
            <wp:effectExtent l="0" t="0" r="44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909" cy="594359"/>
                    </a:xfrm>
                    <a:prstGeom prst="rect">
                      <a:avLst/>
                    </a:prstGeom>
                  </pic:spPr>
                </pic:pic>
              </a:graphicData>
            </a:graphic>
            <wp14:sizeRelH relativeFrom="page">
              <wp14:pctWidth>0</wp14:pctWidth>
            </wp14:sizeRelH>
            <wp14:sizeRelV relativeFrom="page">
              <wp14:pctHeight>0</wp14:pctHeight>
            </wp14:sizeRelV>
          </wp:anchor>
        </w:drawing>
      </w:r>
    </w:p>
    <w:p w14:paraId="04FE0C18" w14:textId="77777777" w:rsidR="00614FAF" w:rsidRPr="00465DEA" w:rsidRDefault="00AE6D39" w:rsidP="00465DEA">
      <w:pPr>
        <w:pStyle w:val="Tytu"/>
        <w:ind w:right="4"/>
        <w:rPr>
          <w:lang w:val="pl-PL"/>
        </w:rPr>
      </w:pPr>
      <w:r>
        <w:rPr>
          <w:color w:val="3D3B3B"/>
          <w:lang w:val="pl"/>
        </w:rPr>
        <w:t>Informacja prasowa</w:t>
      </w:r>
    </w:p>
    <w:p w14:paraId="21229AB6" w14:textId="77777777" w:rsidR="00614FAF" w:rsidRPr="00465DEA" w:rsidRDefault="00AE6D39" w:rsidP="00465DEA">
      <w:pPr>
        <w:pStyle w:val="Tekstpodstawowy"/>
        <w:spacing w:before="122"/>
        <w:ind w:right="4"/>
        <w:jc w:val="right"/>
        <w:rPr>
          <w:lang w:val="pl-PL"/>
        </w:rPr>
      </w:pPr>
      <w:r>
        <w:rPr>
          <w:lang w:val="pl"/>
        </w:rPr>
        <w:t>23 lutego 2022 r.</w:t>
      </w:r>
    </w:p>
    <w:p w14:paraId="5E0311D0" w14:textId="77777777" w:rsidR="00614FAF" w:rsidRPr="00465DEA" w:rsidRDefault="00AE6D39" w:rsidP="00465DEA">
      <w:pPr>
        <w:pStyle w:val="Tekstpodstawowy"/>
        <w:spacing w:before="231"/>
        <w:jc w:val="both"/>
        <w:rPr>
          <w:lang w:val="pl-PL"/>
        </w:rPr>
      </w:pPr>
      <w:r>
        <w:rPr>
          <w:lang w:val="pl"/>
        </w:rPr>
        <w:t>Solidne wyniki i postępy w realizacji wszystkich priorytetów strategicznych w roku obrotowym 2021</w:t>
      </w:r>
    </w:p>
    <w:p w14:paraId="36CF3014" w14:textId="77777777" w:rsidR="00614FAF" w:rsidRPr="00465DEA" w:rsidRDefault="00614FAF" w:rsidP="00465DEA">
      <w:pPr>
        <w:pStyle w:val="Tekstpodstawowy"/>
        <w:spacing w:before="4"/>
        <w:rPr>
          <w:sz w:val="30"/>
          <w:lang w:val="pl-PL"/>
        </w:rPr>
      </w:pPr>
    </w:p>
    <w:p w14:paraId="1A0B5823" w14:textId="202DD7D7" w:rsidR="00614FAF" w:rsidRPr="00465DEA" w:rsidRDefault="00AE6D39" w:rsidP="00465DEA">
      <w:pPr>
        <w:jc w:val="both"/>
        <w:rPr>
          <w:b/>
          <w:sz w:val="32"/>
          <w:lang w:val="pl-PL"/>
        </w:rPr>
      </w:pPr>
      <w:r>
        <w:rPr>
          <w:b/>
          <w:bCs/>
          <w:sz w:val="32"/>
          <w:lang w:val="pl"/>
        </w:rPr>
        <w:t>Henkel publikuje wyniki roczne za 2021 rok</w:t>
      </w:r>
      <w:r w:rsidR="00465DEA">
        <w:rPr>
          <w:b/>
          <w:bCs/>
          <w:sz w:val="32"/>
          <w:lang w:val="pl"/>
        </w:rPr>
        <w:t xml:space="preserve"> </w:t>
      </w:r>
      <w:r>
        <w:rPr>
          <w:b/>
          <w:bCs/>
          <w:sz w:val="32"/>
          <w:lang w:val="pl"/>
        </w:rPr>
        <w:t>i otwiera kolejny etap w realizacji programu ukierunkowanego rozwoju</w:t>
      </w:r>
    </w:p>
    <w:p w14:paraId="4040F954" w14:textId="77777777" w:rsidR="00614FAF" w:rsidRPr="00465DEA" w:rsidRDefault="00614FAF">
      <w:pPr>
        <w:pStyle w:val="Tekstpodstawowy"/>
        <w:spacing w:before="1"/>
        <w:rPr>
          <w:b/>
          <w:sz w:val="30"/>
          <w:lang w:val="pl-PL"/>
        </w:rPr>
      </w:pPr>
    </w:p>
    <w:p w14:paraId="17A9D15A" w14:textId="77777777" w:rsidR="00614FAF" w:rsidRPr="00465DEA" w:rsidRDefault="00AE6D39" w:rsidP="00465DEA">
      <w:pPr>
        <w:pStyle w:val="Akapitzlist"/>
        <w:numPr>
          <w:ilvl w:val="0"/>
          <w:numId w:val="2"/>
        </w:numPr>
        <w:spacing w:before="0"/>
        <w:ind w:left="1134" w:right="145" w:hanging="567"/>
        <w:rPr>
          <w:b/>
          <w:lang w:val="pl-PL"/>
        </w:rPr>
      </w:pPr>
      <w:r>
        <w:rPr>
          <w:b/>
          <w:bCs/>
          <w:lang w:val="pl"/>
        </w:rPr>
        <w:t>Dobre wyniki działalności w 2021 roku pomimo trudnego otoczenia rynkowego:</w:t>
      </w:r>
    </w:p>
    <w:p w14:paraId="68D12842" w14:textId="77777777" w:rsidR="00614FAF" w:rsidRPr="00465DEA" w:rsidRDefault="00AE6D39" w:rsidP="00275B37">
      <w:pPr>
        <w:pStyle w:val="Akapitzlist"/>
        <w:numPr>
          <w:ilvl w:val="1"/>
          <w:numId w:val="2"/>
        </w:numPr>
        <w:ind w:left="1560" w:right="4" w:hanging="426"/>
        <w:jc w:val="both"/>
        <w:rPr>
          <w:b/>
          <w:lang w:val="pl-PL"/>
        </w:rPr>
      </w:pPr>
      <w:r>
        <w:rPr>
          <w:b/>
          <w:bCs/>
          <w:lang w:val="pl"/>
        </w:rPr>
        <w:t>Przychody ze sprzedaży Grupy na poziomie 20,1 mld euro, w ujęciu organicznym: +7,8%</w:t>
      </w:r>
    </w:p>
    <w:p w14:paraId="3B025F84" w14:textId="77777777" w:rsidR="00614FAF" w:rsidRPr="00465DEA" w:rsidRDefault="00AE6D39" w:rsidP="00275B37">
      <w:pPr>
        <w:pStyle w:val="Akapitzlist"/>
        <w:numPr>
          <w:ilvl w:val="1"/>
          <w:numId w:val="2"/>
        </w:numPr>
        <w:ind w:left="1560" w:right="4" w:hanging="426"/>
        <w:jc w:val="both"/>
        <w:rPr>
          <w:b/>
          <w:lang w:val="pl-PL"/>
        </w:rPr>
      </w:pPr>
      <w:r>
        <w:rPr>
          <w:b/>
          <w:bCs/>
          <w:lang w:val="pl"/>
        </w:rPr>
        <w:t>Wzrost zysku z działalności operacyjnej* do 2,7 mld euro (+4,2%)</w:t>
      </w:r>
    </w:p>
    <w:p w14:paraId="6517283D" w14:textId="77777777" w:rsidR="00614FAF" w:rsidRPr="00465DEA" w:rsidRDefault="00AE6D39" w:rsidP="00275B37">
      <w:pPr>
        <w:pStyle w:val="Akapitzlist"/>
        <w:numPr>
          <w:ilvl w:val="1"/>
          <w:numId w:val="2"/>
        </w:numPr>
        <w:spacing w:before="125"/>
        <w:ind w:left="1560" w:right="4" w:hanging="426"/>
        <w:jc w:val="both"/>
        <w:rPr>
          <w:b/>
          <w:lang w:val="pl-PL"/>
        </w:rPr>
      </w:pPr>
      <w:r>
        <w:rPr>
          <w:b/>
          <w:bCs/>
          <w:lang w:val="pl"/>
        </w:rPr>
        <w:t>Marża EBIT* na poziomie z ubiegłego roku: 13,4%</w:t>
      </w:r>
    </w:p>
    <w:p w14:paraId="446F8B78" w14:textId="77777777" w:rsidR="00614FAF" w:rsidRPr="00465DEA" w:rsidRDefault="00AE6D39" w:rsidP="00275B37">
      <w:pPr>
        <w:pStyle w:val="Akapitzlist"/>
        <w:numPr>
          <w:ilvl w:val="1"/>
          <w:numId w:val="2"/>
        </w:numPr>
        <w:spacing w:line="276" w:lineRule="auto"/>
        <w:ind w:left="1560" w:right="4" w:hanging="426"/>
        <w:jc w:val="both"/>
        <w:rPr>
          <w:b/>
          <w:lang w:val="pl-PL"/>
        </w:rPr>
      </w:pPr>
      <w:r>
        <w:rPr>
          <w:b/>
          <w:bCs/>
          <w:lang w:val="pl"/>
        </w:rPr>
        <w:t>Zysk na akcję uprzywilejowaną (EPS)* − 4,56 euro, +9,2% po uwzględnieniu korekty o różnice kursowe</w:t>
      </w:r>
    </w:p>
    <w:p w14:paraId="0646563C" w14:textId="77777777" w:rsidR="00614FAF" w:rsidRPr="00465DEA" w:rsidRDefault="00AE6D39" w:rsidP="00275B37">
      <w:pPr>
        <w:pStyle w:val="Akapitzlist"/>
        <w:numPr>
          <w:ilvl w:val="1"/>
          <w:numId w:val="2"/>
        </w:numPr>
        <w:spacing w:before="79" w:line="276" w:lineRule="auto"/>
        <w:ind w:left="1560" w:right="4" w:hanging="426"/>
        <w:jc w:val="both"/>
        <w:rPr>
          <w:b/>
          <w:lang w:val="pl-PL"/>
        </w:rPr>
      </w:pPr>
      <w:r>
        <w:rPr>
          <w:b/>
          <w:bCs/>
          <w:lang w:val="pl"/>
        </w:rPr>
        <w:t>Wysokie wolne przepływy pieniężne w wysokości 1,5 mld euro i znaczna poprawa pozycji finansowej netto</w:t>
      </w:r>
    </w:p>
    <w:p w14:paraId="5366F4E4" w14:textId="77777777" w:rsidR="00614FAF" w:rsidRPr="00465DEA" w:rsidRDefault="00AE6D39">
      <w:pPr>
        <w:pStyle w:val="Akapitzlist"/>
        <w:numPr>
          <w:ilvl w:val="0"/>
          <w:numId w:val="2"/>
        </w:numPr>
        <w:tabs>
          <w:tab w:val="left" w:pos="1151"/>
          <w:tab w:val="left" w:pos="1152"/>
        </w:tabs>
        <w:spacing w:before="80"/>
        <w:ind w:left="1151" w:hanging="361"/>
        <w:rPr>
          <w:b/>
          <w:lang w:val="pl-PL"/>
        </w:rPr>
      </w:pPr>
      <w:r>
        <w:rPr>
          <w:b/>
          <w:bCs/>
          <w:lang w:val="pl"/>
        </w:rPr>
        <w:t>Proponowana dywidenda na poziomie z ubiegłego roku: 1,85 euro na akcję uprzywilejowaną</w:t>
      </w:r>
    </w:p>
    <w:p w14:paraId="2FCDB867" w14:textId="77777777" w:rsidR="00614FAF" w:rsidRPr="00465DEA" w:rsidRDefault="00AE6D39">
      <w:pPr>
        <w:pStyle w:val="Akapitzlist"/>
        <w:numPr>
          <w:ilvl w:val="0"/>
          <w:numId w:val="2"/>
        </w:numPr>
        <w:tabs>
          <w:tab w:val="left" w:pos="1151"/>
          <w:tab w:val="left" w:pos="1152"/>
        </w:tabs>
        <w:ind w:left="1151" w:hanging="361"/>
        <w:rPr>
          <w:b/>
          <w:lang w:val="pl-PL"/>
        </w:rPr>
      </w:pPr>
      <w:r>
        <w:rPr>
          <w:b/>
          <w:bCs/>
          <w:lang w:val="pl"/>
        </w:rPr>
        <w:t>Prognozy na 2022 rok oraz cele finansowe w perspektywie średnio- i długoterminowej bez zmian</w:t>
      </w:r>
    </w:p>
    <w:p w14:paraId="02281EA3" w14:textId="77777777" w:rsidR="00614FAF" w:rsidRPr="00465DEA" w:rsidRDefault="00AE6D39">
      <w:pPr>
        <w:pStyle w:val="Akapitzlist"/>
        <w:numPr>
          <w:ilvl w:val="0"/>
          <w:numId w:val="2"/>
        </w:numPr>
        <w:tabs>
          <w:tab w:val="left" w:pos="1151"/>
          <w:tab w:val="left" w:pos="1152"/>
        </w:tabs>
        <w:ind w:left="1151" w:hanging="361"/>
        <w:rPr>
          <w:b/>
          <w:lang w:val="pl-PL"/>
        </w:rPr>
      </w:pPr>
      <w:r>
        <w:rPr>
          <w:b/>
          <w:bCs/>
          <w:lang w:val="pl"/>
        </w:rPr>
        <w:t>Konsekwentna realizacja programu ukierunkowanego rozwoju od 2020 roku</w:t>
      </w:r>
    </w:p>
    <w:p w14:paraId="582C172C" w14:textId="77777777" w:rsidR="00614FAF" w:rsidRPr="00465DEA" w:rsidRDefault="00AE6D39">
      <w:pPr>
        <w:pStyle w:val="Akapitzlist"/>
        <w:numPr>
          <w:ilvl w:val="0"/>
          <w:numId w:val="2"/>
        </w:numPr>
        <w:tabs>
          <w:tab w:val="left" w:pos="1151"/>
          <w:tab w:val="left" w:pos="1152"/>
        </w:tabs>
        <w:ind w:left="1151" w:hanging="361"/>
        <w:rPr>
          <w:b/>
          <w:lang w:val="pl-PL"/>
        </w:rPr>
      </w:pPr>
      <w:r>
        <w:rPr>
          <w:b/>
          <w:bCs/>
          <w:lang w:val="pl"/>
        </w:rPr>
        <w:t>Kluczowe działania otwierające kolejny etap strategicznego planu rozwoju:</w:t>
      </w:r>
    </w:p>
    <w:p w14:paraId="2E81E986" w14:textId="77777777" w:rsidR="00614FAF" w:rsidRPr="00465DEA" w:rsidRDefault="00AE6D39" w:rsidP="00465DEA">
      <w:pPr>
        <w:pStyle w:val="Akapitzlist"/>
        <w:numPr>
          <w:ilvl w:val="1"/>
          <w:numId w:val="2"/>
        </w:numPr>
        <w:spacing w:line="276" w:lineRule="auto"/>
        <w:ind w:left="1560" w:right="4" w:hanging="426"/>
        <w:rPr>
          <w:b/>
          <w:lang w:val="pl-PL"/>
        </w:rPr>
      </w:pPr>
      <w:r>
        <w:rPr>
          <w:b/>
          <w:bCs/>
          <w:lang w:val="pl"/>
        </w:rPr>
        <w:t>Rozpoczęcie procesu integracji sektorów biznesowych Laundry &amp; Home Care (środków piorących i czystości) oraz Beauty Care (kosmetyków) w jedną platformę wieloproduktową osiągającą przychody ze sprzedaży rzędu 10 mld euro</w:t>
      </w:r>
    </w:p>
    <w:p w14:paraId="48E891CC" w14:textId="77777777" w:rsidR="00614FAF" w:rsidRPr="00465DEA" w:rsidRDefault="00AE6D39" w:rsidP="00465DEA">
      <w:pPr>
        <w:pStyle w:val="Akapitzlist"/>
        <w:numPr>
          <w:ilvl w:val="1"/>
          <w:numId w:val="2"/>
        </w:numPr>
        <w:spacing w:before="0"/>
        <w:ind w:left="1560" w:right="4" w:hanging="426"/>
        <w:rPr>
          <w:b/>
          <w:lang w:val="pl-PL"/>
        </w:rPr>
      </w:pPr>
      <w:r>
        <w:rPr>
          <w:b/>
          <w:bCs/>
          <w:lang w:val="pl"/>
        </w:rPr>
        <w:t>Plany dalszej optymalizacji portfolio produktów przeznaczonych dla klientów indywidualnych (segment konsumencki)</w:t>
      </w:r>
    </w:p>
    <w:p w14:paraId="1D2E09F7" w14:textId="77777777" w:rsidR="00614FAF" w:rsidRPr="00465DEA" w:rsidRDefault="00AE6D39" w:rsidP="00465DEA">
      <w:pPr>
        <w:pStyle w:val="Akapitzlist"/>
        <w:numPr>
          <w:ilvl w:val="1"/>
          <w:numId w:val="2"/>
        </w:numPr>
        <w:spacing w:before="43"/>
        <w:ind w:left="1560" w:right="4" w:hanging="426"/>
        <w:rPr>
          <w:b/>
          <w:lang w:val="pl-PL"/>
        </w:rPr>
      </w:pPr>
      <w:r>
        <w:rPr>
          <w:b/>
          <w:bCs/>
          <w:lang w:val="pl"/>
        </w:rPr>
        <w:t>Rozpoczęcie programu skupu akcji własnych o wartości do 1 mld euro</w:t>
      </w:r>
    </w:p>
    <w:p w14:paraId="0A410DD1" w14:textId="77777777" w:rsidR="00614FAF" w:rsidRPr="00465DEA" w:rsidRDefault="00AE6D39" w:rsidP="00465DEA">
      <w:pPr>
        <w:pStyle w:val="Akapitzlist"/>
        <w:numPr>
          <w:ilvl w:val="1"/>
          <w:numId w:val="2"/>
        </w:numPr>
        <w:ind w:left="1560" w:right="4" w:hanging="426"/>
        <w:rPr>
          <w:b/>
          <w:lang w:val="pl-PL"/>
        </w:rPr>
      </w:pPr>
      <w:r>
        <w:rPr>
          <w:b/>
          <w:bCs/>
          <w:lang w:val="pl"/>
        </w:rPr>
        <w:t>Fundusz Venture Fund II o łącznej wartości 150 mln euro</w:t>
      </w:r>
    </w:p>
    <w:p w14:paraId="7CBBD088" w14:textId="1E5D488D" w:rsidR="00614FAF" w:rsidRPr="00465DEA" w:rsidRDefault="00AE6D39" w:rsidP="00465DEA">
      <w:pPr>
        <w:pStyle w:val="Akapitzlist"/>
        <w:numPr>
          <w:ilvl w:val="1"/>
          <w:numId w:val="2"/>
        </w:numPr>
        <w:ind w:left="1560" w:right="4" w:hanging="426"/>
        <w:rPr>
          <w:b/>
          <w:lang w:val="pl-PL"/>
        </w:rPr>
      </w:pPr>
      <w:r>
        <w:rPr>
          <w:b/>
          <w:bCs/>
          <w:lang w:val="pl"/>
        </w:rPr>
        <w:t xml:space="preserve">Nowa strategia i cele w zakresie zrównoważonego rozwoju </w:t>
      </w:r>
    </w:p>
    <w:p w14:paraId="7BB50CE1" w14:textId="77777777" w:rsidR="00465DEA" w:rsidRPr="00465DEA" w:rsidRDefault="00465DEA" w:rsidP="00465DEA">
      <w:pPr>
        <w:pStyle w:val="Akapitzlist"/>
        <w:ind w:left="1560" w:right="4" w:firstLine="0"/>
        <w:rPr>
          <w:b/>
          <w:lang w:val="pl-PL"/>
        </w:rPr>
      </w:pPr>
    </w:p>
    <w:p w14:paraId="78124B91" w14:textId="29E61174" w:rsidR="00614FAF" w:rsidRPr="00465DEA" w:rsidRDefault="00AE6D39" w:rsidP="00465DEA">
      <w:pPr>
        <w:spacing w:line="276" w:lineRule="auto"/>
        <w:ind w:left="284" w:right="4"/>
        <w:jc w:val="both"/>
        <w:rPr>
          <w:b/>
          <w:lang w:val="pl-PL"/>
        </w:rPr>
      </w:pPr>
      <w:r>
        <w:rPr>
          <w:b/>
          <w:bCs/>
          <w:lang w:val="pl"/>
        </w:rPr>
        <w:t>Düsseldorf - Ogólnie odnotowaliśmy dobre wyniki działalności w 2021 roku i konsekwentnie realizowaliśmy nasz strategiczny program pomimo niezwykle trudnego otoczenia rynkowego, charakteryzującego się z niespotykanymi wcześniej zakłóceniami w globalnych</w:t>
      </w:r>
      <w:r w:rsidR="00465DEA">
        <w:rPr>
          <w:b/>
          <w:bCs/>
          <w:lang w:val="pl"/>
        </w:rPr>
        <w:t xml:space="preserve"> </w:t>
      </w:r>
      <w:r>
        <w:rPr>
          <w:b/>
          <w:bCs/>
          <w:lang w:val="pl"/>
        </w:rPr>
        <w:t xml:space="preserve">łańcuchach dostaw, brakami kluczowych surowców i </w:t>
      </w:r>
      <w:r w:rsidR="0011029F">
        <w:rPr>
          <w:b/>
          <w:bCs/>
          <w:lang w:val="pl"/>
        </w:rPr>
        <w:t>znacząco wzrastającymi</w:t>
      </w:r>
      <w:r>
        <w:rPr>
          <w:b/>
          <w:bCs/>
          <w:lang w:val="pl"/>
        </w:rPr>
        <w:t xml:space="preserve"> cenami - powiedział Carsten Knobel, prezes zarządu Henkel.</w:t>
      </w:r>
    </w:p>
    <w:p w14:paraId="70E9EC04" w14:textId="77777777" w:rsidR="00614FAF" w:rsidRPr="00465DEA" w:rsidRDefault="00614FAF" w:rsidP="00465DEA">
      <w:pPr>
        <w:pStyle w:val="Tekstpodstawowy"/>
        <w:spacing w:before="4"/>
        <w:ind w:left="284" w:right="4"/>
        <w:rPr>
          <w:b/>
          <w:sz w:val="31"/>
          <w:lang w:val="pl-PL"/>
        </w:rPr>
      </w:pPr>
    </w:p>
    <w:p w14:paraId="5910367C" w14:textId="15EAB0CD" w:rsidR="00614FAF" w:rsidRPr="00465DEA" w:rsidRDefault="00AE6D39" w:rsidP="00465DEA">
      <w:pPr>
        <w:spacing w:line="276" w:lineRule="auto"/>
        <w:ind w:left="284" w:right="4"/>
        <w:jc w:val="both"/>
        <w:rPr>
          <w:b/>
          <w:lang w:val="pl-PL"/>
        </w:rPr>
      </w:pPr>
      <w:r>
        <w:rPr>
          <w:b/>
          <w:bCs/>
          <w:lang w:val="pl"/>
        </w:rPr>
        <w:t>- Odnotowaliśmy wzrost w ujęciu organicznym we wszystkich sektorach biznesowych, utrzymaliśmy stabilną marżę i osiągnęliśmy znaczny wzrost zysku na akcję uprzywilejowaną. Jest to zasług</w:t>
      </w:r>
      <w:r w:rsidR="0011029F">
        <w:rPr>
          <w:b/>
          <w:bCs/>
          <w:lang w:val="pl"/>
        </w:rPr>
        <w:t>ą</w:t>
      </w:r>
      <w:r>
        <w:rPr>
          <w:b/>
          <w:bCs/>
          <w:lang w:val="pl"/>
        </w:rPr>
        <w:t xml:space="preserve"> pracowników Henk</w:t>
      </w:r>
      <w:r w:rsidR="0011029F">
        <w:rPr>
          <w:b/>
          <w:bCs/>
          <w:lang w:val="pl"/>
        </w:rPr>
        <w:t>la na całym świecie</w:t>
      </w:r>
      <w:r>
        <w:rPr>
          <w:b/>
          <w:bCs/>
          <w:lang w:val="pl"/>
        </w:rPr>
        <w:t>. Wspólnym wysiłkiem osiągnęliśmy postępy w realizacji programu ukierunkowanego rozwoju - nawet w tych trudnych czasach. Pragnę podziękować wszystkim pracownikom za ich niezwykłe zaangażowanie. Szczególne słowa uznania kieruję do pracowników odpowiedzialnych za utrzymanie krytycznych procesów produkcyjnych i biznesowych w naszych zakładach.</w:t>
      </w:r>
    </w:p>
    <w:p w14:paraId="5E071593" w14:textId="77777777" w:rsidR="00614FAF" w:rsidRPr="00465DEA" w:rsidRDefault="00614FAF" w:rsidP="00465DEA">
      <w:pPr>
        <w:pStyle w:val="Tekstpodstawowy"/>
        <w:spacing w:before="5"/>
        <w:ind w:left="284" w:right="4"/>
        <w:rPr>
          <w:b/>
          <w:sz w:val="31"/>
          <w:lang w:val="pl-PL"/>
        </w:rPr>
      </w:pPr>
    </w:p>
    <w:p w14:paraId="50D3A322" w14:textId="7C83DA2C" w:rsidR="00614FAF" w:rsidRPr="00465DEA" w:rsidRDefault="00AE6D39" w:rsidP="00465DEA">
      <w:pPr>
        <w:spacing w:line="276" w:lineRule="auto"/>
        <w:ind w:left="284" w:right="4"/>
        <w:jc w:val="both"/>
        <w:rPr>
          <w:b/>
          <w:lang w:val="pl-PL"/>
        </w:rPr>
      </w:pPr>
      <w:r>
        <w:rPr>
          <w:b/>
          <w:bCs/>
          <w:lang w:val="pl"/>
        </w:rPr>
        <w:t xml:space="preserve">W roku obrotowym 2021 Henkel osiągnął przychody ze sprzedaży w ujęciu organicznym na poziomie około 20,1 mld euro, co oznacza wzrost o 7,8% w porównaniu z poprzednim rokiem. Szczególnie pozytywny wpływ miało </w:t>
      </w:r>
      <w:r w:rsidR="002C7EF2">
        <w:rPr>
          <w:b/>
          <w:bCs/>
          <w:lang w:val="pl"/>
        </w:rPr>
        <w:t xml:space="preserve">tu </w:t>
      </w:r>
      <w:r>
        <w:rPr>
          <w:b/>
          <w:bCs/>
          <w:lang w:val="pl"/>
        </w:rPr>
        <w:t xml:space="preserve">znaczne ożywienie popytu ze strony branży przemysłowej i fryzjerskiej. W segmencie konsumenckim popyt w wielu kategoriach powrócił do stanu sprzed 2020 roku, w którym był on szczególnie duży </w:t>
      </w:r>
      <w:r w:rsidR="002C7EF2">
        <w:rPr>
          <w:b/>
          <w:bCs/>
          <w:lang w:val="pl"/>
        </w:rPr>
        <w:t>jeśli chodzi o</w:t>
      </w:r>
      <w:r>
        <w:rPr>
          <w:b/>
          <w:bCs/>
          <w:lang w:val="pl"/>
        </w:rPr>
        <w:t xml:space="preserve"> artykuły higieniczne i środki czystości</w:t>
      </w:r>
      <w:r>
        <w:rPr>
          <w:lang w:val="pl"/>
        </w:rPr>
        <w:t xml:space="preserve"> </w:t>
      </w:r>
      <w:r>
        <w:rPr>
          <w:b/>
          <w:bCs/>
          <w:lang w:val="pl"/>
        </w:rPr>
        <w:t>oraz produkty do koloryzacji</w:t>
      </w:r>
      <w:r w:rsidR="002C7EF2">
        <w:rPr>
          <w:b/>
          <w:bCs/>
          <w:lang w:val="pl"/>
        </w:rPr>
        <w:t xml:space="preserve">, </w:t>
      </w:r>
      <w:r>
        <w:rPr>
          <w:b/>
          <w:bCs/>
          <w:lang w:val="pl"/>
        </w:rPr>
        <w:t>przy mniejszym popycie na produkty do stylizacji. Jednocześnie wyraźny wzrost cen surowców i kosztów logistyki oraz różnic kursowych miał niekorzystny wpływ na rentowność w roku obrotowym 2021. Dzięki znacznie wyższym wolumenom sprzedaży, wprowadzonym skutecznie podwyżkom cen, aktywnemu zarządzaniu kosztami oraz bieżącym korektom strukturalnym Henkel zdołał z nawiązką zrekompensować wpływ tych wzrostów na swoje zyski. Skorygowany zysk operacyjny wzrósł o 4,2%, osiągając poziom 2</w:t>
      </w:r>
      <w:r w:rsidR="002C7EF2">
        <w:rPr>
          <w:b/>
          <w:bCs/>
          <w:lang w:val="pl"/>
        </w:rPr>
        <w:t>,</w:t>
      </w:r>
      <w:r>
        <w:rPr>
          <w:b/>
          <w:bCs/>
          <w:lang w:val="pl"/>
        </w:rPr>
        <w:t>7 mld euro. Skorygowana rentowność sprzedaży ukształtowała się na poziomie roku ubiegłego (13,4%), a skorygowany zysk na akcję uprzywilejowaną wzrósł do 4,56 euro, co oznacza istotny wzrost rzędu 9,2% przy założeniu stałych kursów wymiany walut.</w:t>
      </w:r>
    </w:p>
    <w:p w14:paraId="62263D6B" w14:textId="77777777" w:rsidR="00614FAF" w:rsidRPr="00465DEA" w:rsidRDefault="00614FAF" w:rsidP="00465DEA">
      <w:pPr>
        <w:pStyle w:val="Tekstpodstawowy"/>
        <w:spacing w:before="4"/>
        <w:ind w:left="284" w:right="4"/>
        <w:rPr>
          <w:b/>
          <w:sz w:val="31"/>
          <w:lang w:val="pl-PL"/>
        </w:rPr>
      </w:pPr>
    </w:p>
    <w:p w14:paraId="700F2B8D" w14:textId="77777777" w:rsidR="00614FAF" w:rsidRPr="00465DEA" w:rsidRDefault="00AE6D39" w:rsidP="00465DEA">
      <w:pPr>
        <w:spacing w:line="276" w:lineRule="auto"/>
        <w:ind w:left="284" w:right="4"/>
        <w:jc w:val="both"/>
        <w:rPr>
          <w:b/>
          <w:lang w:val="pl-PL"/>
        </w:rPr>
      </w:pPr>
      <w:r>
        <w:rPr>
          <w:b/>
          <w:bCs/>
          <w:lang w:val="pl"/>
        </w:rPr>
        <w:t>Uwzględniając powyższe wyniki, na najbliższym Walnym Zgromadzeniu Henkel zaproponuje swoim akcjonariuszom stabilną dywidendę w wysokości 1,85 euro na akcję uprzywilejowaną i 1,83 euro na akcję zwykłą. Daje to wskaźnik wypłaty dywidendy w wysokości 40,5%, czyli nieco powyżej docelowego przedziału 30-40% skorygowanego zysku netto po odliczeniu udziałów niekontrolujących. Spółka wypłaca stabilną dywidendę od początku pandemii COVID-19.</w:t>
      </w:r>
    </w:p>
    <w:p w14:paraId="1106BFD4" w14:textId="77777777" w:rsidR="00614FAF" w:rsidRPr="00465DEA" w:rsidRDefault="00614FAF" w:rsidP="00465DEA">
      <w:pPr>
        <w:pStyle w:val="Tekstpodstawowy"/>
        <w:spacing w:before="3"/>
        <w:ind w:left="284" w:right="4"/>
        <w:rPr>
          <w:b/>
          <w:sz w:val="25"/>
          <w:lang w:val="pl-PL"/>
        </w:rPr>
      </w:pPr>
    </w:p>
    <w:p w14:paraId="4AF9E861" w14:textId="77777777" w:rsidR="00614FAF" w:rsidRPr="00465DEA" w:rsidRDefault="00AE6D39" w:rsidP="00465DEA">
      <w:pPr>
        <w:spacing w:line="276" w:lineRule="auto"/>
        <w:ind w:left="284" w:right="4"/>
        <w:jc w:val="both"/>
        <w:rPr>
          <w:b/>
          <w:lang w:val="pl-PL"/>
        </w:rPr>
      </w:pPr>
      <w:r>
        <w:rPr>
          <w:b/>
          <w:bCs/>
          <w:lang w:val="pl"/>
        </w:rPr>
        <w:t>Ponadto z końcem stycznia 2022 roku Henkel ogłosił program skupu akcji własnych o wartości do 1 mld euro, którego realizacja rozpoczęła się już w lutym. Planowane jest odkupienie od akcjonariuszy akcji uprzywilejowanych spółki o łącznej wartości do 800 mln euro oraz akcji zwykłych o łącznej wartości do 200 mln euro. Program ma zostać zakończony najpóźniej do 31 marca 2023 roku.</w:t>
      </w:r>
    </w:p>
    <w:p w14:paraId="7B5F0DFF" w14:textId="18A7E44B" w:rsidR="00614FAF" w:rsidRPr="00465DEA" w:rsidRDefault="00AE6D39" w:rsidP="00465DEA">
      <w:pPr>
        <w:spacing w:before="80" w:line="276" w:lineRule="auto"/>
        <w:ind w:left="284" w:right="4"/>
        <w:jc w:val="both"/>
        <w:rPr>
          <w:b/>
          <w:lang w:val="pl-PL"/>
        </w:rPr>
      </w:pPr>
      <w:r>
        <w:rPr>
          <w:b/>
          <w:bCs/>
          <w:lang w:val="pl"/>
        </w:rPr>
        <w:t>- Konsekwentnie realizując nasz program strategiczny, poczyniliśmy znaczne postępy w wielu kluczowych obszarach. W niektórych z nich widzimy jednak potrzebę podjęcia dalszych działań. Z tego względu otwieramy kolejny etap w realizacji naszego programu ukierunkowanego rozwoju: pod koniec stycznia ogłosiliśmy połączenie sektorów biznesowych Laundry &amp; Home Care (środków piorących i czystości) oraz Beauty Care (kosmetyków)</w:t>
      </w:r>
      <w:r>
        <w:rPr>
          <w:lang w:val="pl"/>
        </w:rPr>
        <w:t xml:space="preserve"> </w:t>
      </w:r>
      <w:r>
        <w:rPr>
          <w:b/>
          <w:bCs/>
          <w:lang w:val="pl"/>
        </w:rPr>
        <w:t>w jeden nowy sektor, który będzie funkcjonował pod nazwą:</w:t>
      </w:r>
      <w:r>
        <w:rPr>
          <w:lang w:val="pl"/>
        </w:rPr>
        <w:t xml:space="preserve"> </w:t>
      </w:r>
      <w:r>
        <w:rPr>
          <w:b/>
          <w:bCs/>
          <w:lang w:val="pl"/>
        </w:rPr>
        <w:t xml:space="preserve">Henkel Consumer Brands. Dzięki temu stworzymy platformę wieloproduktową generującą przychody rzędu 10 mld euro. Zapewni nam to szersze możliwości dalszej konsekwentnej optymalizacji i takiego kształtowania portfolio produktów, które przełoży się na szybsze tempo wzrostu i osiąganie wyższej marży. Znajduje to również swoje odzwierciedlenie w celach finansowych, jakie stawiamy sobie w perspektywie średnio- i długoterminowej - powiedział Carsten Knobel. - Ponadto, wspomniany wcześniej fundusz Venture Fund II o wartości 150 mln euro oraz nasz nowy Program Celów Zrównoważonego Rozwoju 2030+ stanowią ważny impuls w tworzeniu innowacji i zrównoważonym rozwoju, a nowy, otwarty i dynamiczny </w:t>
      </w:r>
      <w:r w:rsidR="001D5304">
        <w:rPr>
          <w:b/>
          <w:bCs/>
          <w:lang w:val="pl"/>
        </w:rPr>
        <w:t>wizerunek</w:t>
      </w:r>
      <w:r>
        <w:rPr>
          <w:b/>
          <w:bCs/>
          <w:lang w:val="pl"/>
        </w:rPr>
        <w:t xml:space="preserve"> naszej marki korporacyjnej wzmacnia nasze cele.</w:t>
      </w:r>
    </w:p>
    <w:p w14:paraId="08A8D804" w14:textId="77777777" w:rsidR="00614FAF" w:rsidRPr="00465DEA" w:rsidRDefault="00614FAF" w:rsidP="00465DEA">
      <w:pPr>
        <w:pStyle w:val="Tekstpodstawowy"/>
        <w:spacing w:before="4"/>
        <w:ind w:left="284" w:right="4"/>
        <w:rPr>
          <w:b/>
          <w:sz w:val="31"/>
          <w:lang w:val="pl-PL"/>
        </w:rPr>
      </w:pPr>
    </w:p>
    <w:p w14:paraId="5073C5FA" w14:textId="77777777" w:rsidR="00614FAF" w:rsidRPr="00465DEA" w:rsidRDefault="00AE6D39" w:rsidP="00465DEA">
      <w:pPr>
        <w:ind w:left="284" w:right="4"/>
        <w:jc w:val="both"/>
        <w:rPr>
          <w:b/>
          <w:lang w:val="pl-PL"/>
        </w:rPr>
      </w:pPr>
      <w:r>
        <w:rPr>
          <w:b/>
          <w:bCs/>
          <w:lang w:val="pl"/>
        </w:rPr>
        <w:t>Wyniki sprzedaży i zyski Grupy w roku obrotowym 2021</w:t>
      </w:r>
    </w:p>
    <w:p w14:paraId="047EEE54" w14:textId="2AA82C5D" w:rsidR="00614FAF" w:rsidRPr="00465DEA" w:rsidRDefault="00AE6D39" w:rsidP="00465DEA">
      <w:pPr>
        <w:pStyle w:val="Tekstpodstawowy"/>
        <w:spacing w:before="164" w:line="276" w:lineRule="auto"/>
        <w:ind w:left="284" w:right="4"/>
        <w:jc w:val="both"/>
        <w:rPr>
          <w:lang w:val="pl-PL"/>
        </w:rPr>
      </w:pPr>
      <w:r>
        <w:rPr>
          <w:b/>
          <w:bCs/>
          <w:lang w:val="pl"/>
        </w:rPr>
        <w:t xml:space="preserve">Przychody ze sprzedaży </w:t>
      </w:r>
      <w:r>
        <w:rPr>
          <w:lang w:val="pl"/>
        </w:rPr>
        <w:t>Grupy Henkel w roku obrotowym 2021 wyniosły 20</w:t>
      </w:r>
      <w:r w:rsidR="006D67C6">
        <w:rPr>
          <w:lang w:val="pl"/>
        </w:rPr>
        <w:t>,</w:t>
      </w:r>
      <w:r>
        <w:rPr>
          <w:lang w:val="pl"/>
        </w:rPr>
        <w:t>066 ml</w:t>
      </w:r>
      <w:r w:rsidR="006D67C6">
        <w:rPr>
          <w:lang w:val="pl"/>
        </w:rPr>
        <w:t>d</w:t>
      </w:r>
      <w:r>
        <w:rPr>
          <w:lang w:val="pl"/>
        </w:rPr>
        <w:t xml:space="preserve"> euro, co oznacza wzrost o 4,2% w ujęciu nominalnym i znaczny </w:t>
      </w:r>
      <w:r>
        <w:rPr>
          <w:b/>
          <w:bCs/>
          <w:lang w:val="pl"/>
        </w:rPr>
        <w:t>wzrost w ujęciu organicznym –</w:t>
      </w:r>
      <w:r>
        <w:rPr>
          <w:lang w:val="pl"/>
        </w:rPr>
        <w:t xml:space="preserve"> o 7,8%. Wpływ transakcji przejęć i zbycia aktywów na przychody ze sprzedaży był ujemny i wyniósł -0,1%. Jednak na skutek niekorzystnych zmian kursów walut przychody ze sprzedaży uległy obniżeniu o -3.5%.</w:t>
      </w:r>
    </w:p>
    <w:p w14:paraId="1489AC37" w14:textId="77777777" w:rsidR="00614FAF" w:rsidRPr="00465DEA" w:rsidRDefault="00614FAF" w:rsidP="00465DEA">
      <w:pPr>
        <w:pStyle w:val="Tekstpodstawowy"/>
        <w:spacing w:before="4"/>
        <w:ind w:left="284" w:right="4"/>
        <w:rPr>
          <w:sz w:val="25"/>
          <w:lang w:val="pl-PL"/>
        </w:rPr>
      </w:pPr>
    </w:p>
    <w:p w14:paraId="249F9E2C" w14:textId="2B4FF18E" w:rsidR="00614FAF" w:rsidRPr="00465DEA" w:rsidRDefault="00AE6D39" w:rsidP="00465DEA">
      <w:pPr>
        <w:spacing w:line="276" w:lineRule="auto"/>
        <w:ind w:left="284" w:right="4"/>
        <w:jc w:val="both"/>
        <w:rPr>
          <w:lang w:val="pl-PL"/>
        </w:rPr>
      </w:pPr>
      <w:r>
        <w:rPr>
          <w:lang w:val="pl"/>
        </w:rPr>
        <w:t xml:space="preserve">Sektor biznesowy </w:t>
      </w:r>
      <w:r>
        <w:rPr>
          <w:b/>
          <w:bCs/>
          <w:lang w:val="pl"/>
        </w:rPr>
        <w:t>Adhesive Technologies</w:t>
      </w:r>
      <w:r>
        <w:rPr>
          <w:lang w:val="pl"/>
        </w:rPr>
        <w:t xml:space="preserve"> (kleje budowlane i konsumenckie oraz kleje i technologie dla przemysłu) odnotował dwucyfrowy organiczny wzrost sprzedaży na poziomie 13,4%, głównie za sprawą znacznego ożywienia popytu ze strony odbiorców przemysłowych w porównaniu z tym samym okresem poprzedniego roku, na którym dotkliwie zaważyła pandemia COVID-19. Przychody ze sprzedaży w sektorze biznesowym </w:t>
      </w:r>
      <w:r>
        <w:rPr>
          <w:b/>
          <w:bCs/>
          <w:lang w:val="pl"/>
        </w:rPr>
        <w:t xml:space="preserve">Beauty Care </w:t>
      </w:r>
      <w:r>
        <w:rPr>
          <w:lang w:val="pl"/>
        </w:rPr>
        <w:t xml:space="preserve">(kosmetyki) zwiększyły się w ujęciu </w:t>
      </w:r>
      <w:r>
        <w:rPr>
          <w:b/>
          <w:bCs/>
          <w:lang w:val="pl"/>
        </w:rPr>
        <w:t xml:space="preserve">organicznym </w:t>
      </w:r>
      <w:r>
        <w:rPr>
          <w:lang w:val="pl"/>
        </w:rPr>
        <w:t>o 1,4%. Ożywienie koniunktury w branży salonów fryzjerskich miało korzystny wpływ na wyniki sektora, natomiast negatywnie na segment konsumencki Beauty Care</w:t>
      </w:r>
      <w:r>
        <w:rPr>
          <w:b/>
          <w:bCs/>
          <w:lang w:val="pl"/>
        </w:rPr>
        <w:t xml:space="preserve"> </w:t>
      </w:r>
      <w:r>
        <w:rPr>
          <w:lang w:val="pl"/>
        </w:rPr>
        <w:t xml:space="preserve">wpłynęła normalizacja popytu na produkty do pielęgnacji ciała, przekładająca się na tendencję spadkową w ramach tego segmentu. Sektor biznesowy </w:t>
      </w:r>
      <w:r>
        <w:rPr>
          <w:b/>
          <w:bCs/>
          <w:lang w:val="pl"/>
        </w:rPr>
        <w:t>Laundry &amp; Home Care</w:t>
      </w:r>
      <w:r>
        <w:rPr>
          <w:lang w:val="pl"/>
        </w:rPr>
        <w:t xml:space="preserve"> (środków piorących i czystości) odnotował wysoki wzrost sprzedaży w ujęciu organicznym na poziomie 3,9%, na który złożyły się bardzo dobre wyniki uzyskane zarówno w kategorii środków piorących, jak i środków czystości.</w:t>
      </w:r>
    </w:p>
    <w:p w14:paraId="1A83B609" w14:textId="77777777" w:rsidR="00614FAF" w:rsidRPr="00465DEA" w:rsidRDefault="00614FAF" w:rsidP="00465DEA">
      <w:pPr>
        <w:pStyle w:val="Tekstpodstawowy"/>
        <w:spacing w:before="4"/>
        <w:ind w:left="284" w:right="4"/>
        <w:rPr>
          <w:sz w:val="25"/>
          <w:lang w:val="pl-PL"/>
        </w:rPr>
      </w:pPr>
    </w:p>
    <w:p w14:paraId="49EB3127" w14:textId="77777777" w:rsidR="00614FAF" w:rsidRPr="00465DEA" w:rsidRDefault="00AE6D39" w:rsidP="00465DEA">
      <w:pPr>
        <w:pStyle w:val="Tekstpodstawowy"/>
        <w:spacing w:line="276" w:lineRule="auto"/>
        <w:ind w:left="284" w:right="4"/>
        <w:jc w:val="both"/>
        <w:rPr>
          <w:lang w:val="pl-PL"/>
        </w:rPr>
      </w:pPr>
      <w:r>
        <w:rPr>
          <w:lang w:val="pl"/>
        </w:rPr>
        <w:t xml:space="preserve">Na </w:t>
      </w:r>
      <w:r>
        <w:rPr>
          <w:b/>
          <w:bCs/>
          <w:lang w:val="pl"/>
        </w:rPr>
        <w:t>rynkach wschodzących</w:t>
      </w:r>
      <w:r>
        <w:rPr>
          <w:lang w:val="pl"/>
        </w:rPr>
        <w:t xml:space="preserve"> odnotowano dwucyfrowy wzrost przychodów ze sprzedaży w ujęciu organicznym, na poziomie 15,4%. Analogiczny wskaźnik w ramach działalności prowadzonej na </w:t>
      </w:r>
      <w:r>
        <w:rPr>
          <w:b/>
          <w:bCs/>
          <w:lang w:val="pl"/>
        </w:rPr>
        <w:t xml:space="preserve">rynkach rozwiniętych </w:t>
      </w:r>
      <w:r>
        <w:rPr>
          <w:lang w:val="pl"/>
        </w:rPr>
        <w:t>był również zadowalający, na poziomie 2,5%.</w:t>
      </w:r>
    </w:p>
    <w:p w14:paraId="5EC97800" w14:textId="77777777" w:rsidR="00614FAF" w:rsidRPr="00465DEA" w:rsidRDefault="00614FAF" w:rsidP="00465DEA">
      <w:pPr>
        <w:pStyle w:val="Tekstpodstawowy"/>
        <w:spacing w:before="4"/>
        <w:ind w:left="284" w:right="4"/>
        <w:rPr>
          <w:sz w:val="25"/>
          <w:lang w:val="pl-PL"/>
        </w:rPr>
      </w:pPr>
    </w:p>
    <w:p w14:paraId="720D7D73" w14:textId="69E9D11F" w:rsidR="00614FAF" w:rsidRPr="00465DEA" w:rsidRDefault="00AE6D39" w:rsidP="00465DEA">
      <w:pPr>
        <w:spacing w:line="276" w:lineRule="auto"/>
        <w:ind w:left="284" w:right="4"/>
        <w:jc w:val="both"/>
        <w:rPr>
          <w:lang w:val="pl-PL"/>
        </w:rPr>
      </w:pPr>
      <w:r>
        <w:rPr>
          <w:lang w:val="pl"/>
        </w:rPr>
        <w:t xml:space="preserve">W 2021 roku </w:t>
      </w:r>
      <w:r>
        <w:rPr>
          <w:b/>
          <w:bCs/>
          <w:lang w:val="pl"/>
        </w:rPr>
        <w:t>skorygowany zysk operacyjny (skorygowany zysk EBIT)</w:t>
      </w:r>
      <w:r>
        <w:rPr>
          <w:lang w:val="pl"/>
        </w:rPr>
        <w:t xml:space="preserve"> zwiększył się o 4,2%, do poziomu 2</w:t>
      </w:r>
      <w:r w:rsidR="006D67C6">
        <w:rPr>
          <w:lang w:val="pl"/>
        </w:rPr>
        <w:t>,</w:t>
      </w:r>
      <w:r>
        <w:rPr>
          <w:lang w:val="pl"/>
        </w:rPr>
        <w:t>686 ml</w:t>
      </w:r>
      <w:r w:rsidR="006D67C6">
        <w:rPr>
          <w:lang w:val="pl"/>
        </w:rPr>
        <w:t>d</w:t>
      </w:r>
      <w:r>
        <w:rPr>
          <w:lang w:val="pl"/>
        </w:rPr>
        <w:t xml:space="preserve"> euro, wobec 2</w:t>
      </w:r>
      <w:r w:rsidR="006D67C6">
        <w:rPr>
          <w:lang w:val="pl"/>
        </w:rPr>
        <w:t>,</w:t>
      </w:r>
      <w:r>
        <w:rPr>
          <w:lang w:val="pl"/>
        </w:rPr>
        <w:t>579 ml</w:t>
      </w:r>
      <w:r w:rsidR="006D67C6">
        <w:rPr>
          <w:lang w:val="pl"/>
        </w:rPr>
        <w:t>d</w:t>
      </w:r>
      <w:r>
        <w:rPr>
          <w:lang w:val="pl"/>
        </w:rPr>
        <w:t xml:space="preserve"> euro w 2020 roku. </w:t>
      </w:r>
      <w:r>
        <w:rPr>
          <w:b/>
          <w:bCs/>
          <w:lang w:val="pl"/>
        </w:rPr>
        <w:t xml:space="preserve">Skorygowana rentowność sprzedaży (skorygowana marża EBIT) </w:t>
      </w:r>
      <w:r>
        <w:rPr>
          <w:lang w:val="pl"/>
        </w:rPr>
        <w:t>ukształtowała się na poziomie z ubiegłego roku, wynoszącym 13,4%.</w:t>
      </w:r>
    </w:p>
    <w:p w14:paraId="0A92A2BC" w14:textId="77777777" w:rsidR="00614FAF" w:rsidRPr="00465DEA" w:rsidRDefault="00614FAF" w:rsidP="00465DEA">
      <w:pPr>
        <w:pStyle w:val="Tekstpodstawowy"/>
        <w:spacing w:before="4"/>
        <w:ind w:left="284" w:right="4"/>
        <w:rPr>
          <w:sz w:val="25"/>
          <w:lang w:val="pl-PL"/>
        </w:rPr>
      </w:pPr>
    </w:p>
    <w:p w14:paraId="6624904F" w14:textId="58E2CE6C" w:rsidR="00614FAF" w:rsidRDefault="00AE6D39" w:rsidP="00465DEA">
      <w:pPr>
        <w:spacing w:before="1"/>
        <w:ind w:left="284" w:right="4"/>
        <w:jc w:val="both"/>
        <w:rPr>
          <w:lang w:val="pl"/>
        </w:rPr>
      </w:pPr>
      <w:r>
        <w:rPr>
          <w:b/>
          <w:bCs/>
          <w:lang w:val="pl"/>
        </w:rPr>
        <w:t xml:space="preserve">Skorygowany zysk na akcję uprzywilejowaną </w:t>
      </w:r>
      <w:r>
        <w:rPr>
          <w:lang w:val="pl"/>
        </w:rPr>
        <w:t xml:space="preserve">wzrósł o 7,0%, do 4,56 euro (w </w:t>
      </w:r>
      <w:r w:rsidR="00465DEA">
        <w:rPr>
          <w:lang w:val="pl"/>
        </w:rPr>
        <w:t>p</w:t>
      </w:r>
      <w:r>
        <w:rPr>
          <w:lang w:val="pl"/>
        </w:rPr>
        <w:t>oprzednim roku:</w:t>
      </w:r>
      <w:r w:rsidR="00465DEA">
        <w:rPr>
          <w:lang w:val="pl"/>
        </w:rPr>
        <w:t xml:space="preserve"> </w:t>
      </w:r>
      <w:r>
        <w:rPr>
          <w:lang w:val="pl"/>
        </w:rPr>
        <w:t>4,26 euro). Przy założeniu stałych kursów wymiany walut skorygowany zysk na akcję uprzywilejowaną był wyższy o 9,2%.</w:t>
      </w:r>
    </w:p>
    <w:p w14:paraId="1015E8AB" w14:textId="77777777" w:rsidR="00465DEA" w:rsidRPr="00465DEA" w:rsidRDefault="00465DEA" w:rsidP="00465DEA">
      <w:pPr>
        <w:spacing w:before="1"/>
        <w:ind w:left="284" w:right="4"/>
        <w:jc w:val="both"/>
        <w:rPr>
          <w:lang w:val="pl-PL"/>
        </w:rPr>
      </w:pPr>
    </w:p>
    <w:p w14:paraId="4088E56C" w14:textId="77777777" w:rsidR="00614FAF" w:rsidRPr="00465DEA" w:rsidRDefault="00AE6D39" w:rsidP="00465DEA">
      <w:pPr>
        <w:pStyle w:val="Tekstpodstawowy"/>
        <w:spacing w:before="80" w:line="276" w:lineRule="auto"/>
        <w:ind w:left="284" w:right="4"/>
        <w:jc w:val="both"/>
        <w:rPr>
          <w:lang w:val="pl-PL"/>
        </w:rPr>
      </w:pPr>
      <w:r>
        <w:rPr>
          <w:b/>
          <w:bCs/>
          <w:lang w:val="pl"/>
        </w:rPr>
        <w:t xml:space="preserve">Wskaźnik kapitału obrotowego netto </w:t>
      </w:r>
      <w:r>
        <w:rPr>
          <w:lang w:val="pl"/>
        </w:rPr>
        <w:t>w relacji do przychodów ze sprzedaży zwiększył się do 2,2%, czyli o 1,5 punktu procentowego w porównaniu z wyjątkowo niskim poziomem odnotowanym w roku ubiegłym (0,7%). Oznacza to stopniową normalizację poziomu kapitału obrotowego netto. W porównaniu z 2019 rokiem, a więc okresem sprzed kryzysu, wskaźnik ten uległ poprawie o 1,7%.</w:t>
      </w:r>
    </w:p>
    <w:p w14:paraId="5ED63CEB" w14:textId="77777777" w:rsidR="00614FAF" w:rsidRPr="00465DEA" w:rsidRDefault="00614FAF" w:rsidP="00465DEA">
      <w:pPr>
        <w:pStyle w:val="Tekstpodstawowy"/>
        <w:spacing w:before="4"/>
        <w:ind w:left="284" w:right="4"/>
        <w:rPr>
          <w:sz w:val="25"/>
          <w:lang w:val="pl-PL"/>
        </w:rPr>
      </w:pPr>
    </w:p>
    <w:p w14:paraId="5BEBF7A9" w14:textId="1F4934E3" w:rsidR="00614FAF" w:rsidRPr="00465DEA" w:rsidRDefault="00AE6D39" w:rsidP="00465DEA">
      <w:pPr>
        <w:pStyle w:val="Tekstpodstawowy"/>
        <w:spacing w:line="276" w:lineRule="auto"/>
        <w:ind w:left="284" w:right="4"/>
        <w:jc w:val="both"/>
        <w:rPr>
          <w:lang w:val="pl-PL"/>
        </w:rPr>
      </w:pPr>
      <w:r>
        <w:rPr>
          <w:b/>
          <w:bCs/>
          <w:lang w:val="pl"/>
        </w:rPr>
        <w:t xml:space="preserve">Stan wolnych przepływów pieniężnych </w:t>
      </w:r>
      <w:r>
        <w:rPr>
          <w:lang w:val="pl"/>
        </w:rPr>
        <w:t>wyniósł w sumie 1</w:t>
      </w:r>
      <w:r w:rsidR="006D67C6">
        <w:rPr>
          <w:lang w:val="pl"/>
        </w:rPr>
        <w:t>,</w:t>
      </w:r>
      <w:r>
        <w:rPr>
          <w:lang w:val="pl"/>
        </w:rPr>
        <w:t>478 ml</w:t>
      </w:r>
      <w:r w:rsidR="006D67C6">
        <w:rPr>
          <w:lang w:val="pl"/>
        </w:rPr>
        <w:t>d</w:t>
      </w:r>
      <w:r>
        <w:rPr>
          <w:lang w:val="pl"/>
        </w:rPr>
        <w:t xml:space="preserve"> euro, co oznacza spadek w porównaniu z rokiem poprzednim (2020 rok: 2</w:t>
      </w:r>
      <w:r w:rsidR="006D67C6">
        <w:rPr>
          <w:lang w:val="pl"/>
        </w:rPr>
        <w:t>,</w:t>
      </w:r>
      <w:r>
        <w:rPr>
          <w:lang w:val="pl"/>
        </w:rPr>
        <w:t>340 ml</w:t>
      </w:r>
      <w:r w:rsidR="006D67C6">
        <w:rPr>
          <w:lang w:val="pl"/>
        </w:rPr>
        <w:t>d</w:t>
      </w:r>
      <w:r>
        <w:rPr>
          <w:lang w:val="pl"/>
        </w:rPr>
        <w:t xml:space="preserve"> euro), kiedy to na ich poziom wpłynął niezwykle silny spadek kapitału obrotowego netto w ramach przepływów pieniężnych z działalności operacyjnej.</w:t>
      </w:r>
    </w:p>
    <w:p w14:paraId="0688E4A4" w14:textId="77777777" w:rsidR="00614FAF" w:rsidRPr="00465DEA" w:rsidRDefault="00614FAF" w:rsidP="00465DEA">
      <w:pPr>
        <w:pStyle w:val="Tekstpodstawowy"/>
        <w:spacing w:before="3"/>
        <w:ind w:left="284" w:right="4"/>
        <w:rPr>
          <w:sz w:val="25"/>
          <w:lang w:val="pl-PL"/>
        </w:rPr>
      </w:pPr>
    </w:p>
    <w:p w14:paraId="4CB81DAD" w14:textId="77777777" w:rsidR="00614FAF" w:rsidRPr="00465DEA" w:rsidRDefault="00AE6D39" w:rsidP="00465DEA">
      <w:pPr>
        <w:pStyle w:val="Tekstpodstawowy"/>
        <w:spacing w:line="276" w:lineRule="auto"/>
        <w:ind w:left="284" w:right="4"/>
        <w:jc w:val="both"/>
        <w:rPr>
          <w:lang w:val="pl-PL"/>
        </w:rPr>
      </w:pPr>
      <w:r>
        <w:rPr>
          <w:b/>
          <w:bCs/>
          <w:lang w:val="pl"/>
        </w:rPr>
        <w:t xml:space="preserve">Pozycja finansowa netto </w:t>
      </w:r>
      <w:r>
        <w:rPr>
          <w:lang w:val="pl"/>
        </w:rPr>
        <w:t>uległa znacznej poprawie, głównie dzięki solidnemu poziomowi wolnych przepływów pieniężnych. Pozycja finansowa netto na dzień 31 grudnia 2021 roku wyniosła -292 mln euro (31 grudnia 2020 roku: -888 mln euro).</w:t>
      </w:r>
    </w:p>
    <w:p w14:paraId="4E57553B" w14:textId="77777777" w:rsidR="00614FAF" w:rsidRPr="00465DEA" w:rsidRDefault="00614FAF" w:rsidP="00465DEA">
      <w:pPr>
        <w:pStyle w:val="Tekstpodstawowy"/>
        <w:spacing w:before="5"/>
        <w:ind w:left="284" w:right="4"/>
        <w:rPr>
          <w:sz w:val="25"/>
          <w:lang w:val="pl-PL"/>
        </w:rPr>
      </w:pPr>
    </w:p>
    <w:p w14:paraId="076D9B0B" w14:textId="77777777" w:rsidR="00614FAF" w:rsidRPr="00465DEA" w:rsidRDefault="00AE6D39" w:rsidP="00465DEA">
      <w:pPr>
        <w:ind w:left="284" w:right="4"/>
        <w:jc w:val="both"/>
        <w:rPr>
          <w:i/>
          <w:lang w:val="pl-PL"/>
        </w:rPr>
      </w:pPr>
      <w:r>
        <w:rPr>
          <w:i/>
          <w:iCs/>
          <w:lang w:val="pl"/>
        </w:rPr>
        <w:t>Wyniki sektorów biznesowych w roku obrotowym 2021</w:t>
      </w:r>
    </w:p>
    <w:p w14:paraId="12E1A9F9" w14:textId="3D5FD53E" w:rsidR="00614FAF" w:rsidRPr="00465DEA" w:rsidRDefault="00AE6D39" w:rsidP="00465DEA">
      <w:pPr>
        <w:pStyle w:val="Tekstpodstawowy"/>
        <w:spacing w:before="164" w:line="276" w:lineRule="auto"/>
        <w:ind w:left="284" w:right="4"/>
        <w:jc w:val="both"/>
        <w:rPr>
          <w:lang w:val="pl-PL"/>
        </w:rPr>
      </w:pPr>
      <w:r>
        <w:rPr>
          <w:lang w:val="pl"/>
        </w:rPr>
        <w:t xml:space="preserve">Przychody ze sprzedaży sektora </w:t>
      </w:r>
      <w:r>
        <w:rPr>
          <w:b/>
          <w:bCs/>
          <w:lang w:val="pl"/>
        </w:rPr>
        <w:t xml:space="preserve">Adhesive Technologies </w:t>
      </w:r>
      <w:r>
        <w:rPr>
          <w:lang w:val="pl"/>
        </w:rPr>
        <w:t>(kleje budowlane i konsumenckie oraz kleje i technologie dla przemysłu) wzrosły w roku obrotowym 2021 o 11,0% w ujęciu nominalnym, zamykając się kwotą 9</w:t>
      </w:r>
      <w:r w:rsidR="00A95824">
        <w:rPr>
          <w:lang w:val="pl"/>
        </w:rPr>
        <w:t>,</w:t>
      </w:r>
      <w:r>
        <w:rPr>
          <w:lang w:val="pl"/>
        </w:rPr>
        <w:t>641 ml</w:t>
      </w:r>
      <w:r w:rsidR="00A95824">
        <w:rPr>
          <w:lang w:val="pl"/>
        </w:rPr>
        <w:t>d</w:t>
      </w:r>
      <w:r>
        <w:rPr>
          <w:lang w:val="pl"/>
        </w:rPr>
        <w:t xml:space="preserve"> euro. Ich wzrost</w:t>
      </w:r>
      <w:r w:rsidR="00A95824">
        <w:rPr>
          <w:lang w:val="pl"/>
        </w:rPr>
        <w:t xml:space="preserve"> w</w:t>
      </w:r>
      <w:r>
        <w:rPr>
          <w:lang w:val="pl"/>
        </w:rPr>
        <w:t xml:space="preserve"> </w:t>
      </w:r>
      <w:r>
        <w:rPr>
          <w:b/>
          <w:bCs/>
          <w:lang w:val="pl"/>
        </w:rPr>
        <w:t>ujęciu organicznym</w:t>
      </w:r>
      <w:r>
        <w:rPr>
          <w:lang w:val="pl"/>
        </w:rPr>
        <w:t xml:space="preserve"> wyniósł 13,4%,</w:t>
      </w:r>
      <w:r w:rsidR="00275B37">
        <w:rPr>
          <w:lang w:val="pl"/>
        </w:rPr>
        <w:t xml:space="preserve"> </w:t>
      </w:r>
      <w:r>
        <w:rPr>
          <w:lang w:val="pl"/>
        </w:rPr>
        <w:t xml:space="preserve">na co złożyły się zarówno istotnie wyższe wolumeny sprzedaży, jak i systematyczny wzrost cen w ciągu roku. Motorem wzrostu w pierwszym półroczu była szeroka odbudowa popytu ze strony odbiorców przemysłowych </w:t>
      </w:r>
      <w:r w:rsidR="00A95824">
        <w:rPr>
          <w:lang w:val="pl"/>
        </w:rPr>
        <w:t xml:space="preserve">w ujęciu ilościowym </w:t>
      </w:r>
      <w:r>
        <w:rPr>
          <w:lang w:val="pl"/>
        </w:rPr>
        <w:t xml:space="preserve">w porównaniu z analogicznym okresem poprzedniego roku, na którym dotkliwie zaważyła pandemia COVID-19. Organiczny wzrost przychodów w drugiej połowie roku był z jednej strony efektem dalszego silnego wzrostu wielkości sprzedaży, z drugiej zaś – w coraz większym stopniu – rosnących cen. </w:t>
      </w:r>
      <w:r>
        <w:rPr>
          <w:b/>
          <w:bCs/>
          <w:lang w:val="pl"/>
        </w:rPr>
        <w:t xml:space="preserve">Skorygowany zysk operacyjny </w:t>
      </w:r>
      <w:r>
        <w:rPr>
          <w:lang w:val="pl"/>
        </w:rPr>
        <w:t>wyniósł 1</w:t>
      </w:r>
      <w:r w:rsidR="00A95824">
        <w:rPr>
          <w:lang w:val="pl"/>
        </w:rPr>
        <w:t>,</w:t>
      </w:r>
      <w:r>
        <w:rPr>
          <w:lang w:val="pl"/>
        </w:rPr>
        <w:t>561 ml</w:t>
      </w:r>
      <w:r w:rsidR="00A95824">
        <w:rPr>
          <w:lang w:val="pl"/>
        </w:rPr>
        <w:t>d</w:t>
      </w:r>
      <w:r>
        <w:rPr>
          <w:lang w:val="pl"/>
        </w:rPr>
        <w:t xml:space="preserve"> euro, znacznie powyżej poziomu odnotowanego w roku ubiegłym (1</w:t>
      </w:r>
      <w:r w:rsidR="00A95824">
        <w:rPr>
          <w:lang w:val="pl"/>
        </w:rPr>
        <w:t>,</w:t>
      </w:r>
      <w:r>
        <w:rPr>
          <w:lang w:val="pl"/>
        </w:rPr>
        <w:t>320 ml</w:t>
      </w:r>
      <w:r w:rsidR="00A95824">
        <w:rPr>
          <w:lang w:val="pl"/>
        </w:rPr>
        <w:t>d</w:t>
      </w:r>
      <w:r>
        <w:rPr>
          <w:lang w:val="pl"/>
        </w:rPr>
        <w:t xml:space="preserve"> euro). </w:t>
      </w:r>
      <w:r>
        <w:rPr>
          <w:b/>
          <w:bCs/>
          <w:lang w:val="pl"/>
        </w:rPr>
        <w:t xml:space="preserve">Skorygowana rentowność sprzedaży </w:t>
      </w:r>
      <w:r>
        <w:rPr>
          <w:lang w:val="pl"/>
        </w:rPr>
        <w:t>wzrosła o 100 punktów bazowych osiągając poziom 16,2%, do czego przyczynił się zwłaszcza dwucyfrowy procentowy wzrost sprzedaży.</w:t>
      </w:r>
    </w:p>
    <w:p w14:paraId="7642790A" w14:textId="77777777" w:rsidR="00614FAF" w:rsidRPr="00465DEA" w:rsidRDefault="00614FAF" w:rsidP="00465DEA">
      <w:pPr>
        <w:pStyle w:val="Tekstpodstawowy"/>
        <w:spacing w:before="4"/>
        <w:ind w:left="284" w:right="4"/>
        <w:rPr>
          <w:sz w:val="25"/>
          <w:lang w:val="pl-PL"/>
        </w:rPr>
      </w:pPr>
    </w:p>
    <w:p w14:paraId="49E55218" w14:textId="488B737D" w:rsidR="00614FAF" w:rsidRPr="00465DEA" w:rsidRDefault="00AE6D39" w:rsidP="00A95824">
      <w:pPr>
        <w:pStyle w:val="Tekstpodstawowy"/>
        <w:spacing w:line="276" w:lineRule="auto"/>
        <w:ind w:left="284" w:right="4"/>
        <w:jc w:val="both"/>
        <w:rPr>
          <w:lang w:val="pl-PL"/>
        </w:rPr>
      </w:pPr>
      <w:r>
        <w:rPr>
          <w:lang w:val="pl"/>
        </w:rPr>
        <w:t xml:space="preserve">W sektorze biznesowym </w:t>
      </w:r>
      <w:r>
        <w:rPr>
          <w:b/>
          <w:bCs/>
          <w:lang w:val="pl"/>
        </w:rPr>
        <w:t xml:space="preserve">Beauty Care </w:t>
      </w:r>
      <w:r>
        <w:rPr>
          <w:lang w:val="pl"/>
        </w:rPr>
        <w:t>(kosmetyki)</w:t>
      </w:r>
      <w:r>
        <w:rPr>
          <w:b/>
          <w:bCs/>
          <w:lang w:val="pl"/>
        </w:rPr>
        <w:t xml:space="preserve"> </w:t>
      </w:r>
      <w:r>
        <w:rPr>
          <w:lang w:val="pl"/>
        </w:rPr>
        <w:t>przychody ze sprzedaży spadły nominalnie w roku obrotowym 2021 o 2,0%, do poziomu 3</w:t>
      </w:r>
      <w:r w:rsidR="00A95824">
        <w:rPr>
          <w:lang w:val="pl"/>
        </w:rPr>
        <w:t>,</w:t>
      </w:r>
      <w:r>
        <w:rPr>
          <w:lang w:val="pl"/>
        </w:rPr>
        <w:t>678 ml</w:t>
      </w:r>
      <w:r w:rsidR="00A95824">
        <w:rPr>
          <w:lang w:val="pl"/>
        </w:rPr>
        <w:t>d</w:t>
      </w:r>
      <w:r>
        <w:rPr>
          <w:lang w:val="pl"/>
        </w:rPr>
        <w:t xml:space="preserve"> euro. W </w:t>
      </w:r>
      <w:r>
        <w:rPr>
          <w:b/>
          <w:bCs/>
          <w:lang w:val="pl"/>
        </w:rPr>
        <w:t>ujęciu</w:t>
      </w:r>
      <w:r>
        <w:rPr>
          <w:lang w:val="pl"/>
        </w:rPr>
        <w:t xml:space="preserve"> </w:t>
      </w:r>
      <w:r>
        <w:rPr>
          <w:b/>
          <w:bCs/>
          <w:lang w:val="pl"/>
        </w:rPr>
        <w:t>organicznym</w:t>
      </w:r>
      <w:r>
        <w:rPr>
          <w:lang w:val="pl"/>
        </w:rPr>
        <w:t xml:space="preserve"> wzrosły jednak o 1,4%,</w:t>
      </w:r>
      <w:r w:rsidR="00275B37">
        <w:rPr>
          <w:lang w:val="pl"/>
        </w:rPr>
        <w:t xml:space="preserve"> </w:t>
      </w:r>
      <w:r>
        <w:rPr>
          <w:lang w:val="pl"/>
        </w:rPr>
        <w:t xml:space="preserve">na co złożył się szereg czynników o zróżnicowanym charakterze. Znaczne ożywienie koniunktury w branży salonów fryzjerskich miało korzystny wpływ na wynik sektora, natomiast negatywnie na segment dóbr dla konsumentów indywidualnych wpłynęła normalizacja popytu na produkty do pielęgnacji ciała, przekładająca się na tendencję spadkową w ramach tego segmentu. </w:t>
      </w:r>
      <w:r>
        <w:rPr>
          <w:b/>
          <w:bCs/>
          <w:lang w:val="pl"/>
        </w:rPr>
        <w:t>Skorygowany zysk operacyjny</w:t>
      </w:r>
      <w:r>
        <w:rPr>
          <w:lang w:val="pl"/>
        </w:rPr>
        <w:t xml:space="preserve"> wyniósł 351 mln euro, wobec poziomu 377 mln euro osiągniętego w roku ubiegłym. </w:t>
      </w:r>
      <w:r>
        <w:rPr>
          <w:b/>
          <w:bCs/>
          <w:lang w:val="pl"/>
        </w:rPr>
        <w:t xml:space="preserve">Skorygowana rentowność sprzedaży </w:t>
      </w:r>
      <w:r>
        <w:rPr>
          <w:lang w:val="pl"/>
        </w:rPr>
        <w:t>spadła do poziomu</w:t>
      </w:r>
      <w:r w:rsidR="00A95824">
        <w:rPr>
          <w:lang w:val="pl"/>
        </w:rPr>
        <w:t xml:space="preserve"> </w:t>
      </w:r>
      <w:r>
        <w:rPr>
          <w:lang w:val="pl"/>
        </w:rPr>
        <w:t>9,5% (rok wcześniej: 10,0%). Przyczyną spadku były m.in. wyższe nakłady na marketing i reklamę oraz znaczące podwyżki cen surowców.</w:t>
      </w:r>
    </w:p>
    <w:p w14:paraId="7D8B3BCE" w14:textId="77777777" w:rsidR="00614FAF" w:rsidRPr="00465DEA" w:rsidRDefault="00614FAF" w:rsidP="00465DEA">
      <w:pPr>
        <w:pStyle w:val="Tekstpodstawowy"/>
        <w:spacing w:before="3"/>
        <w:ind w:left="284" w:right="4"/>
        <w:rPr>
          <w:sz w:val="25"/>
          <w:lang w:val="pl-PL"/>
        </w:rPr>
      </w:pPr>
    </w:p>
    <w:p w14:paraId="61824CEA" w14:textId="3BD3CEB2" w:rsidR="00614FAF" w:rsidRPr="00465DEA" w:rsidRDefault="00AE6D39" w:rsidP="00465DEA">
      <w:pPr>
        <w:spacing w:line="276" w:lineRule="auto"/>
        <w:ind w:left="284" w:right="4"/>
        <w:jc w:val="both"/>
        <w:rPr>
          <w:lang w:val="pl-PL"/>
        </w:rPr>
      </w:pPr>
      <w:r>
        <w:rPr>
          <w:lang w:val="pl"/>
        </w:rPr>
        <w:t>W ramach sektora</w:t>
      </w:r>
      <w:r>
        <w:rPr>
          <w:b/>
          <w:bCs/>
          <w:lang w:val="pl"/>
        </w:rPr>
        <w:t xml:space="preserve"> Laundry &amp; Home Care </w:t>
      </w:r>
      <w:r>
        <w:rPr>
          <w:lang w:val="pl"/>
        </w:rPr>
        <w:t>przychody ze sprzedaży</w:t>
      </w:r>
      <w:r>
        <w:rPr>
          <w:b/>
          <w:bCs/>
          <w:lang w:val="pl"/>
        </w:rPr>
        <w:t xml:space="preserve"> </w:t>
      </w:r>
      <w:r>
        <w:rPr>
          <w:lang w:val="pl"/>
        </w:rPr>
        <w:t>zmniejszyły się w roku obrotowym 2021 o 1,5% w ujęciu nominalnym, do 6</w:t>
      </w:r>
      <w:r w:rsidR="00A95824">
        <w:rPr>
          <w:lang w:val="pl"/>
        </w:rPr>
        <w:t>,</w:t>
      </w:r>
      <w:r>
        <w:rPr>
          <w:lang w:val="pl"/>
        </w:rPr>
        <w:t>605 ml</w:t>
      </w:r>
      <w:r w:rsidR="00A95824">
        <w:rPr>
          <w:lang w:val="pl"/>
        </w:rPr>
        <w:t>d</w:t>
      </w:r>
      <w:r>
        <w:rPr>
          <w:lang w:val="pl"/>
        </w:rPr>
        <w:t xml:space="preserve"> euro. W </w:t>
      </w:r>
      <w:r>
        <w:rPr>
          <w:b/>
          <w:bCs/>
          <w:lang w:val="pl"/>
        </w:rPr>
        <w:t>ujęciu</w:t>
      </w:r>
      <w:r>
        <w:rPr>
          <w:lang w:val="pl"/>
        </w:rPr>
        <w:t xml:space="preserve"> </w:t>
      </w:r>
      <w:r>
        <w:rPr>
          <w:b/>
          <w:bCs/>
          <w:lang w:val="pl"/>
        </w:rPr>
        <w:t>organicznym</w:t>
      </w:r>
      <w:r>
        <w:rPr>
          <w:lang w:val="pl"/>
        </w:rPr>
        <w:t xml:space="preserve"> przychody ze sprzedaży wzrosły jednak o 3,9%. </w:t>
      </w:r>
      <w:r>
        <w:rPr>
          <w:b/>
          <w:bCs/>
          <w:lang w:val="pl"/>
        </w:rPr>
        <w:t>Skorygowany zysk operacyjny</w:t>
      </w:r>
      <w:r>
        <w:rPr>
          <w:lang w:val="pl"/>
        </w:rPr>
        <w:t xml:space="preserve"> zamknął się kwotą 904 mln euro, a zatem był niższy niż w ubiegłym roku (1</w:t>
      </w:r>
      <w:r w:rsidR="00A95824">
        <w:rPr>
          <w:lang w:val="pl"/>
        </w:rPr>
        <w:t>,</w:t>
      </w:r>
      <w:r>
        <w:rPr>
          <w:lang w:val="pl"/>
        </w:rPr>
        <w:t>004 ml</w:t>
      </w:r>
      <w:r w:rsidR="00A95824">
        <w:rPr>
          <w:lang w:val="pl"/>
        </w:rPr>
        <w:t>d</w:t>
      </w:r>
      <w:r>
        <w:rPr>
          <w:lang w:val="pl"/>
        </w:rPr>
        <w:t xml:space="preserve"> euro). </w:t>
      </w:r>
      <w:r>
        <w:rPr>
          <w:b/>
          <w:bCs/>
          <w:lang w:val="pl"/>
        </w:rPr>
        <w:t xml:space="preserve">Skorygowana rentowność sprzedaży spadła </w:t>
      </w:r>
      <w:r>
        <w:rPr>
          <w:lang w:val="pl"/>
        </w:rPr>
        <w:t>o 130 punktów bazowych do poziomu 13,7%, głównie za sprawą znacznie wyższych cen surowców i usług logistycznych.</w:t>
      </w:r>
    </w:p>
    <w:p w14:paraId="0E17005E" w14:textId="77777777" w:rsidR="00614FAF" w:rsidRPr="00465DEA" w:rsidRDefault="00AE6D39" w:rsidP="00465DEA">
      <w:pPr>
        <w:spacing w:before="80"/>
        <w:ind w:left="284" w:right="4"/>
        <w:jc w:val="both"/>
        <w:rPr>
          <w:b/>
          <w:lang w:val="pl-PL"/>
        </w:rPr>
      </w:pPr>
      <w:r>
        <w:rPr>
          <w:b/>
          <w:bCs/>
          <w:lang w:val="pl"/>
        </w:rPr>
        <w:t>Prognozy na 2022 rok</w:t>
      </w:r>
    </w:p>
    <w:p w14:paraId="7BEF6C53" w14:textId="47AD632C" w:rsidR="00614FAF" w:rsidRPr="00465DEA" w:rsidRDefault="00AE6D39" w:rsidP="00A95824">
      <w:pPr>
        <w:pStyle w:val="Tekstpodstawowy"/>
        <w:spacing w:before="163" w:line="276" w:lineRule="auto"/>
        <w:ind w:left="284" w:right="4"/>
        <w:jc w:val="both"/>
        <w:rPr>
          <w:lang w:val="pl-PL"/>
        </w:rPr>
      </w:pPr>
      <w:r>
        <w:rPr>
          <w:lang w:val="pl"/>
        </w:rPr>
        <w:t>Spółka podtrzymuje prognozy na rok obrotowy 2022 opublikowane pod koniec stycznia. Ze względu na duży poziom niepewności i zmienności panującej na rynku oraz dalszy istotny wzrost kosztów surowców i logistyki, Henkel oczekuje wzrostu sprzedaży w ujęciu organicznym w przedziale 2%–4%, a skorygowanej rentowności sprzedaży (marży EBIT) w przedziale 11,5%–13,5%. Na poziomie całej Grupy Henkel prognozuje, że dynamika skorygowanego zysku na akcję uprzywilejowaną (EPS) w roku obrotowym 2022 zamknie się w przedziale między -15% a +5% (wg stałych kursów wymiany).</w:t>
      </w:r>
    </w:p>
    <w:p w14:paraId="2B1BA0AB" w14:textId="77777777" w:rsidR="00614FAF" w:rsidRPr="00465DEA" w:rsidRDefault="00614FAF" w:rsidP="00465DEA">
      <w:pPr>
        <w:pStyle w:val="Tekstpodstawowy"/>
        <w:spacing w:before="3"/>
        <w:ind w:left="284" w:right="4"/>
        <w:rPr>
          <w:sz w:val="31"/>
          <w:lang w:val="pl-PL"/>
        </w:rPr>
      </w:pPr>
    </w:p>
    <w:p w14:paraId="5DEF84FB" w14:textId="77777777" w:rsidR="00614FAF" w:rsidRPr="00465DEA" w:rsidRDefault="00AE6D39" w:rsidP="00465DEA">
      <w:pPr>
        <w:ind w:left="284" w:right="4"/>
        <w:jc w:val="both"/>
        <w:rPr>
          <w:b/>
          <w:lang w:val="pl-PL"/>
        </w:rPr>
      </w:pPr>
      <w:r>
        <w:rPr>
          <w:b/>
          <w:bCs/>
          <w:lang w:val="pl"/>
        </w:rPr>
        <w:t>Znaczne postępy w realizacji programu ukierunkowanego rozwoju</w:t>
      </w:r>
    </w:p>
    <w:p w14:paraId="48CD6840" w14:textId="5BAC323D" w:rsidR="00614FAF" w:rsidRPr="00465DEA" w:rsidRDefault="00AE6D39" w:rsidP="00465DEA">
      <w:pPr>
        <w:pStyle w:val="Tekstpodstawowy"/>
        <w:spacing w:before="125" w:line="276" w:lineRule="auto"/>
        <w:ind w:left="284" w:right="4"/>
        <w:jc w:val="both"/>
        <w:rPr>
          <w:lang w:val="pl-PL"/>
        </w:rPr>
      </w:pPr>
      <w:r>
        <w:rPr>
          <w:lang w:val="pl"/>
        </w:rPr>
        <w:t>Dwa lata temu, w pierwszych dniach marca 2020 roku, Henkel przedstawił swój nowy program rozwoju na najbliższe lata i przejrzyste ramy strategiczne służące jego realizacji. Kluczowymi elementami strategicznymi są skuteczne portfolio produktów, wyraźna przewaga konkurencyjna w obszarze innowacji, zrównoważonego rozwoju i cyfryzacji, a także nastawione na przyszłość modele operacyjne, bazujące na silnej kulturze firmy.</w:t>
      </w:r>
    </w:p>
    <w:p w14:paraId="0B253BA4" w14:textId="77777777" w:rsidR="00614FAF" w:rsidRPr="00465DEA" w:rsidRDefault="00614FAF" w:rsidP="00465DEA">
      <w:pPr>
        <w:pStyle w:val="Tekstpodstawowy"/>
        <w:spacing w:before="4"/>
        <w:ind w:left="284" w:right="4"/>
        <w:rPr>
          <w:sz w:val="37"/>
          <w:lang w:val="pl-PL"/>
        </w:rPr>
      </w:pPr>
    </w:p>
    <w:p w14:paraId="2E6DB4A2" w14:textId="77777777" w:rsidR="00614FAF" w:rsidRPr="00465DEA" w:rsidRDefault="00AE6D39" w:rsidP="00465DEA">
      <w:pPr>
        <w:ind w:left="284" w:right="4"/>
        <w:jc w:val="both"/>
        <w:rPr>
          <w:i/>
          <w:lang w:val="pl-PL"/>
        </w:rPr>
      </w:pPr>
      <w:r>
        <w:rPr>
          <w:i/>
          <w:iCs/>
          <w:lang w:val="pl"/>
        </w:rPr>
        <w:t>Zarządzanie portfolio realizowane zgodnie z planem</w:t>
      </w:r>
    </w:p>
    <w:p w14:paraId="41B76B37" w14:textId="77777777" w:rsidR="00614FAF" w:rsidRPr="00465DEA" w:rsidRDefault="00AE6D39" w:rsidP="00465DEA">
      <w:pPr>
        <w:pStyle w:val="Tekstpodstawowy"/>
        <w:spacing w:before="164" w:line="276" w:lineRule="auto"/>
        <w:ind w:left="284" w:right="4"/>
        <w:jc w:val="both"/>
        <w:rPr>
          <w:lang w:val="pl-PL"/>
        </w:rPr>
      </w:pPr>
      <w:r>
        <w:rPr>
          <w:lang w:val="pl"/>
        </w:rPr>
        <w:t xml:space="preserve">W ramach </w:t>
      </w:r>
      <w:r>
        <w:rPr>
          <w:b/>
          <w:bCs/>
          <w:lang w:val="pl"/>
        </w:rPr>
        <w:t>aktywnego zarządzania portfolio</w:t>
      </w:r>
      <w:r>
        <w:rPr>
          <w:lang w:val="pl"/>
        </w:rPr>
        <w:t xml:space="preserve"> biznesowym, na początku 2020 roku Henkel wyznaczył sobie cel zakładający zbycie lub likwidację do końca 2021 roku marek i obszarów biznesu generujących sprzedaż o wartości około 0,5 mld euro. Zgodnie z planem do końca 2021 roku spółka zawarła umowy sprzedaży, sfinalizowała transakcje zbycia lub zaprzestała działalności generującej sprzedaż o wartości około 0,5 mld euro w skali roku. Większość tych działań optymalizujących portfolio (takich, jak na przykład zbycie marek Right Guard czy Dry Idea) dotyczyła sektorów Beauty Care oraz Laundry &amp; Home Care.</w:t>
      </w:r>
    </w:p>
    <w:p w14:paraId="3498F7F2" w14:textId="77777777" w:rsidR="00614FAF" w:rsidRPr="00465DEA" w:rsidRDefault="00614FAF" w:rsidP="00465DEA">
      <w:pPr>
        <w:pStyle w:val="Tekstpodstawowy"/>
        <w:spacing w:before="5"/>
        <w:ind w:left="284" w:right="4"/>
        <w:rPr>
          <w:sz w:val="37"/>
          <w:lang w:val="pl-PL"/>
        </w:rPr>
      </w:pPr>
    </w:p>
    <w:p w14:paraId="6B6CC605" w14:textId="25BEADC4" w:rsidR="00614FAF" w:rsidRPr="00465DEA" w:rsidRDefault="00AE6D39" w:rsidP="00465DEA">
      <w:pPr>
        <w:pStyle w:val="Tekstpodstawowy"/>
        <w:spacing w:line="276" w:lineRule="auto"/>
        <w:ind w:left="284" w:right="4"/>
        <w:jc w:val="both"/>
        <w:rPr>
          <w:lang w:val="pl-PL"/>
        </w:rPr>
      </w:pPr>
      <w:r>
        <w:rPr>
          <w:lang w:val="pl"/>
        </w:rPr>
        <w:t xml:space="preserve">Ponadto w 2021 roku nastąpiło strategiczne wzmocnienie portfolio Henkel dzięki perspektywicznej </w:t>
      </w:r>
      <w:r>
        <w:rPr>
          <w:b/>
          <w:bCs/>
          <w:lang w:val="pl"/>
        </w:rPr>
        <w:t>akwizycji</w:t>
      </w:r>
      <w:r>
        <w:rPr>
          <w:lang w:val="pl"/>
        </w:rPr>
        <w:t xml:space="preserve"> dynamicznie rozwijającego się przedsiębiorstwa. W ramach sektora biznesowego Laundry &amp; Home Care Henkel umocnił swoją pozycję na rynku francuskim poprzez przejęcie spółki Swania. Nabyt</w:t>
      </w:r>
      <w:r w:rsidR="0063564E">
        <w:rPr>
          <w:lang w:val="pl"/>
        </w:rPr>
        <w:t>e portfolio</w:t>
      </w:r>
      <w:r>
        <w:rPr>
          <w:lang w:val="pl"/>
        </w:rPr>
        <w:t xml:space="preserve"> obejmuje niezwykle atrakcyjne i rentowne segmenty rynku, uzupełniając ofertę Henkel o uznane, innowacyjne marki, takie jak Maison Verte czy YOU.</w:t>
      </w:r>
    </w:p>
    <w:p w14:paraId="46F5961E" w14:textId="77777777" w:rsidR="00614FAF" w:rsidRPr="00465DEA" w:rsidRDefault="00614FAF" w:rsidP="00465DEA">
      <w:pPr>
        <w:pStyle w:val="Tekstpodstawowy"/>
        <w:spacing w:before="3"/>
        <w:ind w:left="284" w:right="4"/>
        <w:rPr>
          <w:sz w:val="25"/>
          <w:lang w:val="pl-PL"/>
        </w:rPr>
      </w:pPr>
    </w:p>
    <w:p w14:paraId="568CD0BE" w14:textId="77777777" w:rsidR="00614FAF" w:rsidRPr="00465DEA" w:rsidRDefault="00AE6D39" w:rsidP="00465DEA">
      <w:pPr>
        <w:pStyle w:val="Tekstpodstawowy"/>
        <w:spacing w:line="276" w:lineRule="auto"/>
        <w:ind w:left="284" w:right="4"/>
        <w:jc w:val="both"/>
        <w:rPr>
          <w:lang w:val="pl-PL"/>
        </w:rPr>
      </w:pPr>
      <w:r>
        <w:rPr>
          <w:lang w:val="pl"/>
        </w:rPr>
        <w:t xml:space="preserve">Z początkiem lutego 2022 roku oferta produktów profesjonalnych Henkel wzbogaciła się dzięki przejęciu działalności </w:t>
      </w:r>
      <w:r>
        <w:rPr>
          <w:b/>
          <w:bCs/>
          <w:lang w:val="pl"/>
        </w:rPr>
        <w:t xml:space="preserve">Shiseido </w:t>
      </w:r>
      <w:r>
        <w:rPr>
          <w:lang w:val="pl"/>
        </w:rPr>
        <w:t>z branży Hair Professional (produktów przeznaczonych dla branży fryzjerskiej) w regionie Azji i Pacyfiku. Przedmiotem transakcji były marki profesjonalnych produktów do włosów klasy premium, których sprzedaż w roku obrotowym 2021 przekroczyła wartość 100 mln euro. Poszerzając swoją działalność w segmencie produktów profesjonalnych na rynkach Azji i Pacyfiku, Henkel zamierza uplasować się w gronie czołowych graczy w tym niezwykle dynamicznym regionie o atrakcyjnym potencjale przyszłego wzrostu.</w:t>
      </w:r>
    </w:p>
    <w:p w14:paraId="69FFA11E" w14:textId="77777777" w:rsidR="006E1889" w:rsidRPr="00465DEA" w:rsidRDefault="006E1889" w:rsidP="00465DEA">
      <w:pPr>
        <w:spacing w:before="80" w:line="276" w:lineRule="auto"/>
        <w:ind w:left="284" w:right="4"/>
        <w:jc w:val="both"/>
        <w:rPr>
          <w:lang w:val="pl-PL"/>
        </w:rPr>
      </w:pPr>
    </w:p>
    <w:p w14:paraId="36F49904" w14:textId="47177566" w:rsidR="00614FAF" w:rsidRPr="00465DEA" w:rsidRDefault="00AE6D39" w:rsidP="00465DEA">
      <w:pPr>
        <w:spacing w:before="80" w:line="276" w:lineRule="auto"/>
        <w:ind w:left="284" w:right="4"/>
        <w:jc w:val="both"/>
        <w:rPr>
          <w:lang w:val="pl-PL"/>
        </w:rPr>
      </w:pPr>
      <w:r>
        <w:rPr>
          <w:lang w:val="pl"/>
        </w:rPr>
        <w:t xml:space="preserve">Dążąc do wzmocnienia swojej </w:t>
      </w:r>
      <w:r>
        <w:rPr>
          <w:b/>
          <w:bCs/>
          <w:lang w:val="pl"/>
        </w:rPr>
        <w:t>przewagi konkurencyjnej</w:t>
      </w:r>
      <w:r>
        <w:rPr>
          <w:lang w:val="pl"/>
        </w:rPr>
        <w:t xml:space="preserve">, Henkel koncentruje się na dalszym przyspieszaniu tempa </w:t>
      </w:r>
      <w:r>
        <w:rPr>
          <w:b/>
          <w:bCs/>
          <w:lang w:val="pl"/>
        </w:rPr>
        <w:t>innowacji</w:t>
      </w:r>
      <w:r>
        <w:rPr>
          <w:lang w:val="pl"/>
        </w:rPr>
        <w:t xml:space="preserve">, zwiększaniu roli </w:t>
      </w:r>
      <w:r>
        <w:rPr>
          <w:b/>
          <w:bCs/>
          <w:lang w:val="pl"/>
        </w:rPr>
        <w:t xml:space="preserve">zrównoważonego rozwoju </w:t>
      </w:r>
      <w:r>
        <w:rPr>
          <w:lang w:val="pl"/>
        </w:rPr>
        <w:t xml:space="preserve">jako czynnika wyróżniającego firmę na tle konkurencji oraz zwiększaniu wartości dodanej dla klientów i konsumentów poprzez </w:t>
      </w:r>
      <w:r>
        <w:rPr>
          <w:b/>
          <w:bCs/>
          <w:lang w:val="pl"/>
        </w:rPr>
        <w:t>cyfrową transformację</w:t>
      </w:r>
      <w:r>
        <w:rPr>
          <w:lang w:val="pl"/>
        </w:rPr>
        <w:t>.</w:t>
      </w:r>
    </w:p>
    <w:p w14:paraId="609F0525" w14:textId="77777777" w:rsidR="00614FAF" w:rsidRPr="00465DEA" w:rsidRDefault="00614FAF">
      <w:pPr>
        <w:pStyle w:val="Tekstpodstawowy"/>
        <w:spacing w:before="3"/>
        <w:rPr>
          <w:sz w:val="31"/>
          <w:lang w:val="pl-PL"/>
        </w:rPr>
      </w:pPr>
    </w:p>
    <w:p w14:paraId="4F953C59" w14:textId="42365F1E" w:rsidR="00614FAF" w:rsidRPr="00465DEA" w:rsidRDefault="00AE6D39" w:rsidP="00465DEA">
      <w:pPr>
        <w:spacing w:before="1"/>
        <w:ind w:left="284"/>
        <w:jc w:val="both"/>
        <w:rPr>
          <w:i/>
          <w:lang w:val="pl-PL"/>
        </w:rPr>
      </w:pPr>
      <w:r>
        <w:rPr>
          <w:i/>
          <w:iCs/>
          <w:lang w:val="pl"/>
        </w:rPr>
        <w:t>Udane</w:t>
      </w:r>
      <w:r w:rsidR="00150224">
        <w:rPr>
          <w:i/>
          <w:iCs/>
          <w:lang w:val="pl"/>
        </w:rPr>
        <w:t xml:space="preserve"> zastosowanie</w:t>
      </w:r>
      <w:r>
        <w:rPr>
          <w:i/>
          <w:iCs/>
          <w:lang w:val="pl"/>
        </w:rPr>
        <w:t xml:space="preserve"> innowacj</w:t>
      </w:r>
      <w:r w:rsidR="006E663E">
        <w:rPr>
          <w:i/>
          <w:iCs/>
          <w:lang w:val="pl"/>
        </w:rPr>
        <w:t>i</w:t>
      </w:r>
    </w:p>
    <w:p w14:paraId="2B390F5B" w14:textId="77777777" w:rsidR="00614FAF" w:rsidRPr="00465DEA" w:rsidRDefault="00AE6D39" w:rsidP="00465DEA">
      <w:pPr>
        <w:pStyle w:val="Tekstpodstawowy"/>
        <w:spacing w:before="123" w:line="276" w:lineRule="auto"/>
        <w:ind w:left="284"/>
        <w:jc w:val="both"/>
        <w:rPr>
          <w:lang w:val="pl-PL"/>
        </w:rPr>
      </w:pPr>
      <w:r>
        <w:rPr>
          <w:lang w:val="pl"/>
        </w:rPr>
        <w:t xml:space="preserve">W 2021 roku Henkel poczynił dalsze postępy w zakresie wdrażania </w:t>
      </w:r>
      <w:r>
        <w:rPr>
          <w:b/>
          <w:bCs/>
          <w:lang w:val="pl"/>
        </w:rPr>
        <w:t>udanych innowacji</w:t>
      </w:r>
      <w:r>
        <w:rPr>
          <w:lang w:val="pl"/>
        </w:rPr>
        <w:t>. Swój wkład w tym obszarze miały wewnętrzne fabryki pomysłów i zespoły inkubatorów, które powstały w minionym roku w ramach sektorów biznesowych Beauty Care (kosmetyki) oraz Laundry &amp; Home Care (środki piorące i czystości). W sektorze Adhesive Technologies (kleje budowlane i konsumenckie oraz kleje i technologie dla przemysłu) otwarto nowe globalne centrum innowacji w Düsseldorfie, w które zainwestowano łącznie około 130 mln euro. Rozpoczęły się już prace nad budową kolejnego, supernowoczesnego centrum innowacji dla sektora Adhesive Technologies w Szanghaju.</w:t>
      </w:r>
    </w:p>
    <w:p w14:paraId="470ED48C" w14:textId="77777777" w:rsidR="00614FAF" w:rsidRPr="00465DEA" w:rsidRDefault="00614FAF" w:rsidP="00465DEA">
      <w:pPr>
        <w:pStyle w:val="Tekstpodstawowy"/>
        <w:spacing w:before="5"/>
        <w:ind w:left="284"/>
        <w:rPr>
          <w:sz w:val="37"/>
          <w:lang w:val="pl-PL"/>
        </w:rPr>
      </w:pPr>
    </w:p>
    <w:p w14:paraId="1EFCEB6F" w14:textId="77777777" w:rsidR="00614FAF" w:rsidRPr="00465DEA" w:rsidRDefault="00AE6D39" w:rsidP="00465DEA">
      <w:pPr>
        <w:pStyle w:val="Tekstpodstawowy"/>
        <w:spacing w:before="1" w:line="276" w:lineRule="auto"/>
        <w:ind w:left="284"/>
        <w:jc w:val="both"/>
        <w:rPr>
          <w:lang w:val="pl-PL"/>
        </w:rPr>
      </w:pPr>
      <w:r>
        <w:rPr>
          <w:lang w:val="pl"/>
        </w:rPr>
        <w:t xml:space="preserve">W roku obrotowym 2021 Henkel z powodzeniem wprowadził na rynek wiele nowych innowacji, wspierając je odpowiednimi inwestycjami. Na przykład w sektorze </w:t>
      </w:r>
      <w:r>
        <w:rPr>
          <w:b/>
          <w:bCs/>
          <w:lang w:val="pl"/>
        </w:rPr>
        <w:t>Adhesive Technologies</w:t>
      </w:r>
      <w:r>
        <w:rPr>
          <w:lang w:val="pl"/>
        </w:rPr>
        <w:t xml:space="preserve"> Henkel opracował i wprowadził rozwiązania dla przemysłu motoryzacyjnego, w których przyjazne dla środowiska technologie klejenia wspomagają rozpraszanie ciepła. Ponadto innowacyjne kleje umożliwiają opracowywanie przyjaznych dla środowiska opakowań.</w:t>
      </w:r>
    </w:p>
    <w:p w14:paraId="67E0BC5E" w14:textId="77777777" w:rsidR="00614FAF" w:rsidRPr="00465DEA" w:rsidRDefault="00614FAF" w:rsidP="00465DEA">
      <w:pPr>
        <w:pStyle w:val="Tekstpodstawowy"/>
        <w:spacing w:before="4"/>
        <w:ind w:left="284"/>
        <w:rPr>
          <w:sz w:val="37"/>
          <w:lang w:val="pl-PL"/>
        </w:rPr>
      </w:pPr>
    </w:p>
    <w:p w14:paraId="33A74115" w14:textId="77777777" w:rsidR="00614FAF" w:rsidRPr="00465DEA" w:rsidRDefault="00AE6D39" w:rsidP="00465DEA">
      <w:pPr>
        <w:pStyle w:val="Tekstpodstawowy"/>
        <w:spacing w:line="276" w:lineRule="auto"/>
        <w:ind w:left="284"/>
        <w:jc w:val="both"/>
        <w:rPr>
          <w:lang w:val="pl-PL"/>
        </w:rPr>
      </w:pPr>
      <w:r>
        <w:rPr>
          <w:lang w:val="pl"/>
        </w:rPr>
        <w:t xml:space="preserve">W sektorze </w:t>
      </w:r>
      <w:r>
        <w:rPr>
          <w:b/>
          <w:bCs/>
          <w:lang w:val="pl"/>
        </w:rPr>
        <w:t>Beauty Care</w:t>
      </w:r>
      <w:r>
        <w:rPr>
          <w:lang w:val="pl"/>
        </w:rPr>
        <w:t xml:space="preserve"> Henkel ponownie wprowadził na rynek szeroki asortyment kosmetyków do stylizacji włosów marki Taft oraz produkt do koloryzacji włosów Igora Royal, natomiast w sektorze Hair Care wprowadził udane innowacje. Ponadto gama przyjaznych środowisku produktów pod marką Nature Box została poszerzona o kolejne produkty w kostce i opakowania uzupełniające.</w:t>
      </w:r>
    </w:p>
    <w:p w14:paraId="3278A1CA" w14:textId="77777777" w:rsidR="00614FAF" w:rsidRPr="00465DEA" w:rsidRDefault="00614FAF" w:rsidP="00465DEA">
      <w:pPr>
        <w:pStyle w:val="Tekstpodstawowy"/>
        <w:spacing w:before="4"/>
        <w:ind w:left="284"/>
        <w:rPr>
          <w:sz w:val="37"/>
          <w:lang w:val="pl-PL"/>
        </w:rPr>
      </w:pPr>
    </w:p>
    <w:p w14:paraId="58E39015" w14:textId="77777777" w:rsidR="00614FAF" w:rsidRPr="00465DEA" w:rsidRDefault="00AE6D39" w:rsidP="00465DEA">
      <w:pPr>
        <w:pStyle w:val="Tekstpodstawowy"/>
        <w:spacing w:line="276" w:lineRule="auto"/>
        <w:ind w:left="284"/>
        <w:jc w:val="both"/>
        <w:rPr>
          <w:lang w:val="pl-PL"/>
        </w:rPr>
      </w:pPr>
      <w:r>
        <w:rPr>
          <w:lang w:val="pl"/>
        </w:rPr>
        <w:t xml:space="preserve">W sektorze </w:t>
      </w:r>
      <w:r>
        <w:rPr>
          <w:b/>
          <w:bCs/>
          <w:lang w:val="pl"/>
        </w:rPr>
        <w:t xml:space="preserve">Laundry &amp; Home Care </w:t>
      </w:r>
      <w:r>
        <w:rPr>
          <w:lang w:val="pl"/>
        </w:rPr>
        <w:t>kapsułki z detergentami zostały ulepszone dzięki innowacjom wprowadzonym we wszystkich segmentach cenowych i są dostępne pod różnymi markami, w tym Perwoll. W niektórych krajach europejskich Henkel wprowadził do sprzedaży w sklepach detalicznych przyjazny dla środowiska środek piorący pod nazwą Persil Eco Power Bars. Innowacje w obszarze środków czyszczących obejmują tabletki do zmywarek Somat Excellence.</w:t>
      </w:r>
    </w:p>
    <w:p w14:paraId="2D1B5D55" w14:textId="77777777" w:rsidR="00614FAF" w:rsidRPr="00465DEA" w:rsidRDefault="00614FAF" w:rsidP="00465DEA">
      <w:pPr>
        <w:pStyle w:val="Tekstpodstawowy"/>
        <w:spacing w:before="4"/>
        <w:ind w:left="284"/>
        <w:rPr>
          <w:sz w:val="31"/>
          <w:lang w:val="pl-PL"/>
        </w:rPr>
      </w:pPr>
    </w:p>
    <w:p w14:paraId="0DD84858" w14:textId="77777777" w:rsidR="00614FAF" w:rsidRPr="00465DEA" w:rsidRDefault="00AE6D39" w:rsidP="00465DEA">
      <w:pPr>
        <w:pStyle w:val="Tekstpodstawowy"/>
        <w:spacing w:before="1" w:line="276" w:lineRule="auto"/>
        <w:ind w:left="284"/>
        <w:jc w:val="both"/>
        <w:rPr>
          <w:lang w:val="pl-PL"/>
        </w:rPr>
      </w:pPr>
      <w:r>
        <w:rPr>
          <w:lang w:val="pl"/>
        </w:rPr>
        <w:t xml:space="preserve">Henkel uruchomił również nowy fundusz </w:t>
      </w:r>
      <w:r>
        <w:rPr>
          <w:b/>
          <w:bCs/>
          <w:lang w:val="pl"/>
        </w:rPr>
        <w:t xml:space="preserve">Venture Fund II </w:t>
      </w:r>
      <w:r>
        <w:rPr>
          <w:lang w:val="pl"/>
        </w:rPr>
        <w:t xml:space="preserve">o wartości 150 mln euro, którego celem jest inwestowanie w innowacyjne i nowe modele biznesowe poprzez udział w start-upach lub funduszach </w:t>
      </w:r>
      <w:r>
        <w:rPr>
          <w:i/>
          <w:iCs/>
          <w:lang w:val="pl"/>
        </w:rPr>
        <w:t>venture capital</w:t>
      </w:r>
      <w:r>
        <w:rPr>
          <w:lang w:val="pl"/>
        </w:rPr>
        <w:t>.</w:t>
      </w:r>
    </w:p>
    <w:p w14:paraId="3D5C0FDE" w14:textId="77777777" w:rsidR="00614FAF" w:rsidRPr="00465DEA" w:rsidRDefault="00614FAF" w:rsidP="00465DEA">
      <w:pPr>
        <w:pStyle w:val="Tekstpodstawowy"/>
        <w:spacing w:before="3"/>
        <w:ind w:left="284"/>
        <w:rPr>
          <w:sz w:val="31"/>
          <w:lang w:val="pl-PL"/>
        </w:rPr>
      </w:pPr>
    </w:p>
    <w:p w14:paraId="0FD97E75" w14:textId="77777777" w:rsidR="00614FAF" w:rsidRPr="00465DEA" w:rsidRDefault="00AE6D39" w:rsidP="00465DEA">
      <w:pPr>
        <w:ind w:left="284"/>
        <w:jc w:val="both"/>
        <w:rPr>
          <w:i/>
          <w:lang w:val="pl-PL"/>
        </w:rPr>
      </w:pPr>
      <w:r>
        <w:rPr>
          <w:i/>
          <w:iCs/>
          <w:lang w:val="pl"/>
        </w:rPr>
        <w:t>Istotne postępy w dziedzinie zrównoważonego rozwoju</w:t>
      </w:r>
    </w:p>
    <w:p w14:paraId="25D51AEF" w14:textId="4F41309F" w:rsidR="00614FAF" w:rsidRPr="00465DEA" w:rsidRDefault="00AE6D39" w:rsidP="00465DEA">
      <w:pPr>
        <w:pStyle w:val="Tekstpodstawowy"/>
        <w:spacing w:before="124" w:line="276" w:lineRule="auto"/>
        <w:ind w:left="284"/>
        <w:jc w:val="both"/>
        <w:rPr>
          <w:lang w:val="pl-PL"/>
        </w:rPr>
      </w:pPr>
      <w:r>
        <w:rPr>
          <w:lang w:val="pl"/>
        </w:rPr>
        <w:t xml:space="preserve">W ramach swojego programu strategicznego Henkel koncentruje się na </w:t>
      </w:r>
      <w:r>
        <w:rPr>
          <w:b/>
          <w:bCs/>
          <w:lang w:val="pl"/>
        </w:rPr>
        <w:t>zrównoważonym rozwoju</w:t>
      </w:r>
      <w:r>
        <w:rPr>
          <w:lang w:val="pl"/>
        </w:rPr>
        <w:t>, tak aby wyraźnie odróżniać się na tle konkurencji, osiągać ukierunkowany wzrost i tworzyć wartość dla swoich interesariuszy. W 2021 roku Henkel poczynił w tym zakresie znaczne postępy, na przykład:</w:t>
      </w:r>
    </w:p>
    <w:p w14:paraId="12F313B7" w14:textId="77777777" w:rsidR="006E1889" w:rsidRPr="00465DEA" w:rsidRDefault="006E1889">
      <w:pPr>
        <w:pStyle w:val="Tekstpodstawowy"/>
        <w:spacing w:before="124" w:line="276" w:lineRule="auto"/>
        <w:ind w:left="791" w:right="605" w:hanging="1"/>
        <w:jc w:val="both"/>
        <w:rPr>
          <w:lang w:val="pl-PL"/>
        </w:rPr>
      </w:pPr>
    </w:p>
    <w:p w14:paraId="1F66278B" w14:textId="77777777" w:rsidR="00614FAF" w:rsidRPr="00465DEA" w:rsidRDefault="00AE6D39">
      <w:pPr>
        <w:pStyle w:val="Akapitzlist"/>
        <w:numPr>
          <w:ilvl w:val="0"/>
          <w:numId w:val="1"/>
        </w:numPr>
        <w:tabs>
          <w:tab w:val="left" w:pos="1512"/>
        </w:tabs>
        <w:spacing w:before="80" w:line="276" w:lineRule="auto"/>
        <w:ind w:right="605"/>
        <w:jc w:val="both"/>
        <w:rPr>
          <w:lang w:val="pl-PL"/>
        </w:rPr>
      </w:pPr>
      <w:r>
        <w:rPr>
          <w:lang w:val="pl"/>
        </w:rPr>
        <w:t>W porównaniu z rokiem bazowym 2010, w roku obrotowym 2021 Henkel zmniejszył emisję CO2 ze swoich procesów produkcyjnych o 50% i zwiększył udział zielonej energii elektrycznej do ponad jednej trzeciej.</w:t>
      </w:r>
    </w:p>
    <w:p w14:paraId="2D07B12D" w14:textId="77777777" w:rsidR="00614FAF" w:rsidRPr="00465DEA" w:rsidRDefault="00AE6D39">
      <w:pPr>
        <w:pStyle w:val="Akapitzlist"/>
        <w:numPr>
          <w:ilvl w:val="0"/>
          <w:numId w:val="1"/>
        </w:numPr>
        <w:tabs>
          <w:tab w:val="left" w:pos="1512"/>
        </w:tabs>
        <w:spacing w:before="0" w:line="276" w:lineRule="auto"/>
        <w:ind w:right="604"/>
        <w:jc w:val="both"/>
        <w:rPr>
          <w:lang w:val="pl-PL"/>
        </w:rPr>
      </w:pPr>
      <w:r>
        <w:rPr>
          <w:lang w:val="pl"/>
        </w:rPr>
        <w:t>Do końca 2021 roku Henkel w pełni przestawił produkcję w 21 krajach na zasilanie energią elektryczną pochodzącą wyłącznie ze źródeł odnawialnych.</w:t>
      </w:r>
    </w:p>
    <w:p w14:paraId="1B24CF3C" w14:textId="77777777" w:rsidR="00614FAF" w:rsidRPr="00465DEA" w:rsidRDefault="00AE6D39">
      <w:pPr>
        <w:pStyle w:val="Akapitzlist"/>
        <w:numPr>
          <w:ilvl w:val="0"/>
          <w:numId w:val="1"/>
        </w:numPr>
        <w:tabs>
          <w:tab w:val="left" w:pos="1512"/>
        </w:tabs>
        <w:spacing w:before="0" w:line="276" w:lineRule="auto"/>
        <w:ind w:right="606"/>
        <w:jc w:val="both"/>
        <w:rPr>
          <w:lang w:val="pl-PL"/>
        </w:rPr>
      </w:pPr>
      <w:r>
        <w:rPr>
          <w:lang w:val="pl"/>
        </w:rPr>
        <w:t>Udział opakowań nadających się do recyklingu lub ponownego wykorzystania wzrósł do 86% – celem jest osiągnięcie 100% do 2025 roku.</w:t>
      </w:r>
    </w:p>
    <w:p w14:paraId="6E2EFA00" w14:textId="77777777" w:rsidR="00614FAF" w:rsidRPr="00465DEA" w:rsidRDefault="00614FAF">
      <w:pPr>
        <w:pStyle w:val="Tekstpodstawowy"/>
        <w:spacing w:before="3"/>
        <w:rPr>
          <w:sz w:val="25"/>
          <w:lang w:val="pl-PL"/>
        </w:rPr>
      </w:pPr>
    </w:p>
    <w:p w14:paraId="1B39BD99" w14:textId="77777777" w:rsidR="00614FAF" w:rsidRPr="00465DEA" w:rsidRDefault="00AE6D39" w:rsidP="00465DEA">
      <w:pPr>
        <w:pStyle w:val="Tekstpodstawowy"/>
        <w:spacing w:line="276" w:lineRule="auto"/>
        <w:ind w:left="142" w:right="605"/>
        <w:jc w:val="both"/>
        <w:rPr>
          <w:lang w:val="pl-PL"/>
        </w:rPr>
      </w:pPr>
      <w:r>
        <w:rPr>
          <w:lang w:val="pl"/>
        </w:rPr>
        <w:t>W obszarze zrównoważonego finansowania Henkel po raz kolejny dał ważny impuls, na przykład przedstawiając „ramy zrównoważonego finansowania”, w których możliwe będzie w przyszłości plasowanie obligacji zrównoważonego rozwoju. W 2021 roku Henkel, jako pierwsza firma w swojej branży, wyemitował euro obligacje, których oprocentowanie zależy od osiągnięcia określonych celów zrównoważonego rozwoju. W ubiegłym roku Henkel wyemitował obligacje zrównoważonego rozwoju o łącznej wartości ponad 700 mln euro.</w:t>
      </w:r>
    </w:p>
    <w:p w14:paraId="112B6A21" w14:textId="77777777" w:rsidR="00614FAF" w:rsidRPr="00465DEA" w:rsidRDefault="00614FAF" w:rsidP="00465DEA">
      <w:pPr>
        <w:pStyle w:val="Tekstpodstawowy"/>
        <w:spacing w:before="5"/>
        <w:ind w:left="142"/>
        <w:rPr>
          <w:sz w:val="37"/>
          <w:lang w:val="pl-PL"/>
        </w:rPr>
      </w:pPr>
    </w:p>
    <w:p w14:paraId="49933BC5" w14:textId="77777777" w:rsidR="00614FAF" w:rsidRPr="00465DEA" w:rsidRDefault="00AE6D39" w:rsidP="00465DEA">
      <w:pPr>
        <w:ind w:left="142"/>
        <w:jc w:val="both"/>
        <w:rPr>
          <w:b/>
          <w:lang w:val="pl-PL"/>
        </w:rPr>
      </w:pPr>
      <w:r>
        <w:rPr>
          <w:b/>
          <w:bCs/>
          <w:lang w:val="pl"/>
        </w:rPr>
        <w:t xml:space="preserve">Ogłoszenie nowej strategii i celów w zakresie zrównoważonego rozwoju </w:t>
      </w:r>
    </w:p>
    <w:p w14:paraId="3068CEDB" w14:textId="0F27EF7F" w:rsidR="00614FAF" w:rsidRPr="00465DEA" w:rsidRDefault="00AE6D39" w:rsidP="00465DEA">
      <w:pPr>
        <w:pStyle w:val="Tekstpodstawowy"/>
        <w:spacing w:before="124" w:line="276" w:lineRule="auto"/>
        <w:ind w:left="142" w:right="604"/>
        <w:jc w:val="both"/>
        <w:rPr>
          <w:lang w:val="pl-PL"/>
        </w:rPr>
      </w:pPr>
      <w:r>
        <w:rPr>
          <w:lang w:val="pl"/>
        </w:rPr>
        <w:t xml:space="preserve">W odpowiedzi na rosnące znaczenie zrównoważonego zarządzania oraz coraz wyższe oczekiwania ze strony klientów i całego społeczeństwa, Henkel udoskonalił swoją długoterminową strategię zrównoważonego rozwoju, wprowadzając nowy </w:t>
      </w:r>
      <w:r>
        <w:rPr>
          <w:b/>
          <w:bCs/>
          <w:lang w:val="pl"/>
        </w:rPr>
        <w:t>Program Celów Zrównoważonego Rozwoju 2030+.</w:t>
      </w:r>
      <w:r w:rsidR="00275B37">
        <w:rPr>
          <w:b/>
          <w:bCs/>
          <w:lang w:val="pl"/>
        </w:rPr>
        <w:t xml:space="preserve"> </w:t>
      </w:r>
      <w:r>
        <w:rPr>
          <w:lang w:val="pl"/>
        </w:rPr>
        <w:t>Obok dotychczasowych celów określono nowe długoterminowe ambicje firmy w trzech wymiarach: „Regeneracja planety”, „Rozwój społeczności” i „Zaufany partner”, które mają być motorem dalszego postępu.</w:t>
      </w:r>
    </w:p>
    <w:p w14:paraId="3FD47CAD" w14:textId="77777777" w:rsidR="00614FAF" w:rsidRPr="00465DEA" w:rsidRDefault="00614FAF" w:rsidP="00465DEA">
      <w:pPr>
        <w:pStyle w:val="Tekstpodstawowy"/>
        <w:spacing w:before="4"/>
        <w:ind w:left="142"/>
        <w:rPr>
          <w:sz w:val="25"/>
          <w:lang w:val="pl-PL"/>
        </w:rPr>
      </w:pPr>
    </w:p>
    <w:p w14:paraId="3CFC64D9" w14:textId="776CDFD4" w:rsidR="00614FAF" w:rsidRPr="0063564E" w:rsidRDefault="00AE6D39" w:rsidP="0063564E">
      <w:pPr>
        <w:spacing w:line="276" w:lineRule="auto"/>
        <w:ind w:left="142" w:right="605"/>
        <w:jc w:val="both"/>
        <w:rPr>
          <w:b/>
          <w:lang w:val="pl-PL"/>
        </w:rPr>
      </w:pPr>
      <w:r>
        <w:rPr>
          <w:lang w:val="pl"/>
        </w:rPr>
        <w:t>Wymiar „</w:t>
      </w:r>
      <w:r>
        <w:rPr>
          <w:b/>
          <w:bCs/>
          <w:lang w:val="pl"/>
        </w:rPr>
        <w:t>Regeneracja planety</w:t>
      </w:r>
      <w:r>
        <w:rPr>
          <w:lang w:val="pl"/>
        </w:rPr>
        <w:t xml:space="preserve">” dotyczy ważnych tematów, takich jak klimat, gospodarka o obiegu zamkniętym i zasoby naturalne. </w:t>
      </w:r>
      <w:r>
        <w:rPr>
          <w:b/>
          <w:bCs/>
          <w:lang w:val="pl"/>
        </w:rPr>
        <w:t>Ambicją Henk</w:t>
      </w:r>
      <w:r w:rsidR="0084059E">
        <w:rPr>
          <w:b/>
          <w:bCs/>
          <w:lang w:val="pl"/>
        </w:rPr>
        <w:t>la</w:t>
      </w:r>
      <w:r>
        <w:rPr>
          <w:b/>
          <w:bCs/>
          <w:lang w:val="pl"/>
        </w:rPr>
        <w:t xml:space="preserve"> jest prowadzenie działalności przyjaznej dla klimatu w perspektywie 2030 roku</w:t>
      </w:r>
      <w:r>
        <w:rPr>
          <w:lang w:val="pl"/>
        </w:rPr>
        <w:t>,</w:t>
      </w:r>
      <w:r w:rsidR="0063564E">
        <w:rPr>
          <w:b/>
          <w:lang w:val="pl-PL"/>
        </w:rPr>
        <w:t xml:space="preserve"> </w:t>
      </w:r>
      <w:r>
        <w:rPr>
          <w:lang w:val="pl"/>
        </w:rPr>
        <w:t xml:space="preserve">czyli dziesięć lat wcześniej niż planowano, oraz wyznaczenie ścieżki zerowej emisji netto dla emisji z </w:t>
      </w:r>
      <w:r w:rsidR="0084059E">
        <w:rPr>
          <w:lang w:val="pl"/>
        </w:rPr>
        <w:t>Z</w:t>
      </w:r>
      <w:r>
        <w:rPr>
          <w:lang w:val="pl"/>
        </w:rPr>
        <w:t xml:space="preserve">akresu 3 (ang. </w:t>
      </w:r>
      <w:r w:rsidRPr="00465DEA">
        <w:rPr>
          <w:lang w:val="en-GB"/>
        </w:rPr>
        <w:t xml:space="preserve">„from source to shelf”) zgodnie z inicjatywą Science Based Targets. </w:t>
      </w:r>
      <w:r>
        <w:rPr>
          <w:lang w:val="pl"/>
        </w:rPr>
        <w:t xml:space="preserve">Aby osiągnąć ten cel, </w:t>
      </w:r>
      <w:r>
        <w:rPr>
          <w:b/>
          <w:bCs/>
          <w:lang w:val="pl"/>
        </w:rPr>
        <w:t>w 2030 roku 100% pozyskiwanej przez firmę energii elektrycznej będzie pochodzić ze źródeł odnawialnych</w:t>
      </w:r>
      <w:r>
        <w:rPr>
          <w:lang w:val="pl"/>
        </w:rPr>
        <w:t>.</w:t>
      </w:r>
    </w:p>
    <w:p w14:paraId="39B5B5D2" w14:textId="77777777" w:rsidR="00614FAF" w:rsidRPr="00465DEA" w:rsidRDefault="00614FAF" w:rsidP="00465DEA">
      <w:pPr>
        <w:pStyle w:val="Tekstpodstawowy"/>
        <w:spacing w:before="3"/>
        <w:ind w:left="142"/>
        <w:rPr>
          <w:sz w:val="25"/>
          <w:lang w:val="pl-PL"/>
        </w:rPr>
      </w:pPr>
    </w:p>
    <w:p w14:paraId="0B0CFCBA" w14:textId="77777777" w:rsidR="00614FAF" w:rsidRPr="00465DEA" w:rsidRDefault="00AE6D39" w:rsidP="00465DEA">
      <w:pPr>
        <w:spacing w:line="276" w:lineRule="auto"/>
        <w:ind w:left="142" w:right="603"/>
        <w:jc w:val="both"/>
        <w:rPr>
          <w:lang w:val="pl-PL"/>
        </w:rPr>
      </w:pPr>
      <w:r>
        <w:rPr>
          <w:lang w:val="pl"/>
        </w:rPr>
        <w:t xml:space="preserve">W celu promocji gospodarki o obiegu zamkniętym, Henkel dąży do tego, aby </w:t>
      </w:r>
      <w:r>
        <w:rPr>
          <w:b/>
          <w:bCs/>
          <w:lang w:val="pl"/>
        </w:rPr>
        <w:t>w 2025 roku 100% używanych przez firmę opakowań nadawało się do recyklingu lub ponownego wykorzystania</w:t>
      </w:r>
      <w:r>
        <w:rPr>
          <w:lang w:val="pl"/>
        </w:rPr>
        <w:t>.</w:t>
      </w:r>
      <w:r>
        <w:rPr>
          <w:b/>
          <w:bCs/>
          <w:lang w:val="pl"/>
        </w:rPr>
        <w:t xml:space="preserve"> </w:t>
      </w:r>
      <w:r>
        <w:rPr>
          <w:lang w:val="pl"/>
        </w:rPr>
        <w:t xml:space="preserve">Oznacza to zwiększenie udziału tworzyw sztucznych pochodzących z recyklingu we wszystkich opakowaniach produktów konsumenckich do ponad 30%. Ponadto Henkel dąży do osiągnięcia </w:t>
      </w:r>
      <w:r>
        <w:rPr>
          <w:b/>
          <w:bCs/>
          <w:lang w:val="pl"/>
        </w:rPr>
        <w:t>do 2030</w:t>
      </w:r>
      <w:r>
        <w:rPr>
          <w:lang w:val="pl"/>
        </w:rPr>
        <w:t xml:space="preserve"> </w:t>
      </w:r>
      <w:r>
        <w:rPr>
          <w:b/>
          <w:bCs/>
          <w:lang w:val="pl"/>
        </w:rPr>
        <w:t xml:space="preserve">roku zamkniętego obiegu zużycia wody i odpadów produkcyjnych </w:t>
      </w:r>
      <w:r>
        <w:rPr>
          <w:lang w:val="pl"/>
        </w:rPr>
        <w:t xml:space="preserve">w swoich zakładach. Firma jest również na dobrej drodze do osiągnięcia celu na rok 2025, jakim jest </w:t>
      </w:r>
      <w:r>
        <w:rPr>
          <w:b/>
          <w:bCs/>
          <w:lang w:val="pl"/>
        </w:rPr>
        <w:t xml:space="preserve">zmniejszenie zużycia wody na tonę produktu o 35% </w:t>
      </w:r>
      <w:r>
        <w:rPr>
          <w:lang w:val="pl"/>
        </w:rPr>
        <w:t>(w porównaniu z rokiem bazowym 2010).</w:t>
      </w:r>
    </w:p>
    <w:p w14:paraId="0C483155" w14:textId="77777777" w:rsidR="00614FAF" w:rsidRPr="00465DEA" w:rsidRDefault="00614FAF" w:rsidP="00465DEA">
      <w:pPr>
        <w:pStyle w:val="Tekstpodstawowy"/>
        <w:spacing w:before="4"/>
        <w:ind w:left="142"/>
        <w:rPr>
          <w:sz w:val="25"/>
          <w:lang w:val="pl-PL"/>
        </w:rPr>
      </w:pPr>
    </w:p>
    <w:p w14:paraId="4899417A" w14:textId="77777777" w:rsidR="00614FAF" w:rsidRPr="00465DEA" w:rsidRDefault="00AE6D39" w:rsidP="00465DEA">
      <w:pPr>
        <w:pStyle w:val="Tekstpodstawowy"/>
        <w:spacing w:line="276" w:lineRule="auto"/>
        <w:ind w:left="142" w:right="603"/>
        <w:jc w:val="both"/>
        <w:rPr>
          <w:lang w:val="pl-PL"/>
        </w:rPr>
      </w:pPr>
      <w:r>
        <w:rPr>
          <w:lang w:val="pl"/>
        </w:rPr>
        <w:t>W przyszłości Henkel połączy takie tematy jak równość szans, edukacja i dobrobyt w ramach wymiaru „</w:t>
      </w:r>
      <w:r>
        <w:rPr>
          <w:b/>
          <w:bCs/>
          <w:lang w:val="pl"/>
        </w:rPr>
        <w:t>Rozwój społeczności</w:t>
      </w:r>
      <w:r>
        <w:rPr>
          <w:lang w:val="pl"/>
        </w:rPr>
        <w:t xml:space="preserve">”. Henkel postawił sobie za cel osiągnięcie </w:t>
      </w:r>
      <w:r>
        <w:rPr>
          <w:b/>
          <w:bCs/>
          <w:lang w:val="pl"/>
        </w:rPr>
        <w:t xml:space="preserve">parytetu płci </w:t>
      </w:r>
      <w:r>
        <w:rPr>
          <w:lang w:val="pl"/>
        </w:rPr>
        <w:t>na wszystkich szczeblach zarządzania w firmie do 2025 roku.</w:t>
      </w:r>
    </w:p>
    <w:p w14:paraId="2FECF80C" w14:textId="77777777" w:rsidR="006E1889" w:rsidRPr="00465DEA" w:rsidRDefault="006E1889" w:rsidP="00465DEA">
      <w:pPr>
        <w:pStyle w:val="Tekstpodstawowy"/>
        <w:spacing w:before="80"/>
        <w:ind w:left="142"/>
        <w:jc w:val="both"/>
        <w:rPr>
          <w:lang w:val="pl-PL"/>
        </w:rPr>
      </w:pPr>
    </w:p>
    <w:p w14:paraId="0480C189" w14:textId="3BD8DD04" w:rsidR="00614FAF" w:rsidRPr="0063564E" w:rsidRDefault="00AE6D39" w:rsidP="0063564E">
      <w:pPr>
        <w:pStyle w:val="Tekstpodstawowy"/>
        <w:spacing w:before="80"/>
        <w:ind w:left="142"/>
        <w:jc w:val="both"/>
        <w:rPr>
          <w:lang w:val="pl"/>
        </w:rPr>
      </w:pPr>
      <w:r>
        <w:rPr>
          <w:lang w:val="pl"/>
        </w:rPr>
        <w:t>Kluczowym wkładem trzeciego wymiaru – „</w:t>
      </w:r>
      <w:r>
        <w:rPr>
          <w:b/>
          <w:bCs/>
          <w:lang w:val="pl"/>
        </w:rPr>
        <w:t>Zaufany partner</w:t>
      </w:r>
      <w:r>
        <w:rPr>
          <w:lang w:val="pl"/>
        </w:rPr>
        <w:t>” – jest dążenie do osiągnięcia</w:t>
      </w:r>
      <w:r w:rsidR="0063564E">
        <w:rPr>
          <w:lang w:val="pl"/>
        </w:rPr>
        <w:t xml:space="preserve"> </w:t>
      </w:r>
      <w:r>
        <w:rPr>
          <w:b/>
          <w:bCs/>
          <w:lang w:val="pl"/>
        </w:rPr>
        <w:t xml:space="preserve">całkowitej transparentności w zakresie pozyskiwania oleju palmowego </w:t>
      </w:r>
      <w:r>
        <w:rPr>
          <w:lang w:val="pl"/>
        </w:rPr>
        <w:t>do 2025 r. oraz podjęcie zobowiązania, wraz ze wszystkimi partnerami biznesowymi, aby całość wykorzystywanego przez firmę oleju pozyskiwana była w sposób odpowiedzialny.</w:t>
      </w:r>
    </w:p>
    <w:p w14:paraId="5A8D4849" w14:textId="77777777" w:rsidR="00614FAF" w:rsidRPr="00465DEA" w:rsidRDefault="00614FAF" w:rsidP="00465DEA">
      <w:pPr>
        <w:pStyle w:val="Tekstpodstawowy"/>
        <w:spacing w:before="5"/>
        <w:ind w:left="142"/>
        <w:rPr>
          <w:sz w:val="25"/>
          <w:lang w:val="pl-PL"/>
        </w:rPr>
      </w:pPr>
    </w:p>
    <w:p w14:paraId="791AF61A" w14:textId="77777777" w:rsidR="00614FAF" w:rsidRPr="00465DEA" w:rsidRDefault="00AE6D39" w:rsidP="00465DEA">
      <w:pPr>
        <w:ind w:left="142"/>
        <w:jc w:val="both"/>
        <w:rPr>
          <w:i/>
          <w:lang w:val="pl-PL"/>
        </w:rPr>
      </w:pPr>
      <w:r>
        <w:rPr>
          <w:i/>
          <w:iCs/>
          <w:lang w:val="pl"/>
        </w:rPr>
        <w:t>Dalszy postęp w obszarze cyfryzacji</w:t>
      </w:r>
    </w:p>
    <w:p w14:paraId="1A603EA1" w14:textId="16086BDB" w:rsidR="00614FAF" w:rsidRPr="00465DEA" w:rsidRDefault="00AE6D39" w:rsidP="00465DEA">
      <w:pPr>
        <w:pStyle w:val="Tekstpodstawowy"/>
        <w:spacing w:before="124" w:line="276" w:lineRule="auto"/>
        <w:ind w:left="142" w:right="603"/>
        <w:jc w:val="both"/>
        <w:rPr>
          <w:lang w:val="pl-PL"/>
        </w:rPr>
      </w:pPr>
      <w:r>
        <w:rPr>
          <w:lang w:val="pl"/>
        </w:rPr>
        <w:t>Obok innowacji i zrównoważonego rozwoju, strategicznym priorytetem i źródłem przewagi konkurencyjnej zdefiniowanym przez</w:t>
      </w:r>
      <w:r w:rsidR="0084059E">
        <w:rPr>
          <w:lang w:val="pl"/>
        </w:rPr>
        <w:t xml:space="preserve"> firmę</w:t>
      </w:r>
      <w:r>
        <w:rPr>
          <w:lang w:val="pl"/>
        </w:rPr>
        <w:t xml:space="preserve"> Henkel jest </w:t>
      </w:r>
      <w:r>
        <w:rPr>
          <w:b/>
          <w:bCs/>
          <w:lang w:val="pl"/>
        </w:rPr>
        <w:t xml:space="preserve">cyfrowa transformacja, </w:t>
      </w:r>
      <w:r>
        <w:rPr>
          <w:lang w:val="pl"/>
        </w:rPr>
        <w:t xml:space="preserve">w której firma odnotowała w 2021 roku znaczący postęp. </w:t>
      </w:r>
      <w:r>
        <w:rPr>
          <w:b/>
          <w:bCs/>
          <w:lang w:val="pl"/>
        </w:rPr>
        <w:t xml:space="preserve">Sprzedaż w kanałach cyfrowych ponownie odnotowała </w:t>
      </w:r>
      <w:r w:rsidR="0084059E">
        <w:rPr>
          <w:b/>
          <w:bCs/>
          <w:lang w:val="pl"/>
        </w:rPr>
        <w:t xml:space="preserve">procentowo </w:t>
      </w:r>
      <w:r>
        <w:rPr>
          <w:b/>
          <w:bCs/>
          <w:lang w:val="pl"/>
        </w:rPr>
        <w:t xml:space="preserve">dwucyfrowy wzrost </w:t>
      </w:r>
      <w:r>
        <w:rPr>
          <w:lang w:val="pl"/>
        </w:rPr>
        <w:t xml:space="preserve">w ramach wszystkich trzech sektorów biznesowych. Udział sprzedaży w kanałach cyfrowych na poziomie całej Grupy wzrósł tym samym do ponad 18%. Jednostka odpowiedzialna za wdrożenie cyfrowego modelu biznesu Henkel dx wraz z trzema sektorami biznesowymi kontynuowała działania na rzecz transformacji cyfrowej firmy, otwierając pierwsze Centra Innowacji w Berlinie i Szanghaju. Opracowana wspólnie z Adobe zintegrowana platforma cyfrowego biznesu i handlu elektronicznego ma na celu przyspieszenie rozwoju innowacji i stworzenie nowych możliwości rozwoju dla </w:t>
      </w:r>
      <w:r w:rsidR="0084059E">
        <w:rPr>
          <w:lang w:val="pl"/>
        </w:rPr>
        <w:t xml:space="preserve">firmy </w:t>
      </w:r>
      <w:r>
        <w:rPr>
          <w:lang w:val="pl"/>
        </w:rPr>
        <w:t>Henkel.</w:t>
      </w:r>
    </w:p>
    <w:p w14:paraId="794F71A3" w14:textId="77777777" w:rsidR="00614FAF" w:rsidRPr="00465DEA" w:rsidRDefault="00614FAF" w:rsidP="00465DEA">
      <w:pPr>
        <w:pStyle w:val="Tekstpodstawowy"/>
        <w:spacing w:before="4"/>
        <w:ind w:left="142"/>
        <w:rPr>
          <w:sz w:val="34"/>
          <w:lang w:val="pl-PL"/>
        </w:rPr>
      </w:pPr>
    </w:p>
    <w:p w14:paraId="77C78188" w14:textId="77777777" w:rsidR="00614FAF" w:rsidRPr="00465DEA" w:rsidRDefault="00AE6D39" w:rsidP="00465DEA">
      <w:pPr>
        <w:ind w:left="142"/>
        <w:jc w:val="both"/>
        <w:rPr>
          <w:i/>
          <w:lang w:val="pl-PL"/>
        </w:rPr>
      </w:pPr>
      <w:r>
        <w:rPr>
          <w:i/>
          <w:iCs/>
          <w:lang w:val="pl"/>
        </w:rPr>
        <w:t xml:space="preserve">Rozszerzenie nowoczesnych modeli operacyjnych </w:t>
      </w:r>
    </w:p>
    <w:p w14:paraId="3BC14068" w14:textId="30EEDDEA" w:rsidR="00614FAF" w:rsidRPr="00465DEA" w:rsidRDefault="00AE6D39" w:rsidP="00465DEA">
      <w:pPr>
        <w:pStyle w:val="Tekstpodstawowy"/>
        <w:spacing w:before="164" w:line="276" w:lineRule="auto"/>
        <w:ind w:left="142" w:right="602"/>
        <w:jc w:val="both"/>
        <w:rPr>
          <w:lang w:val="pl-PL"/>
        </w:rPr>
      </w:pPr>
      <w:r>
        <w:rPr>
          <w:lang w:val="pl"/>
        </w:rPr>
        <w:t>Ważnym elementem ram strategicznych Henk</w:t>
      </w:r>
      <w:r w:rsidR="0084059E">
        <w:rPr>
          <w:lang w:val="pl"/>
        </w:rPr>
        <w:t>la</w:t>
      </w:r>
      <w:r>
        <w:rPr>
          <w:lang w:val="pl"/>
        </w:rPr>
        <w:t xml:space="preserve"> są efektywne, szybkie i </w:t>
      </w:r>
      <w:r>
        <w:rPr>
          <w:b/>
          <w:bCs/>
          <w:lang w:val="pl"/>
        </w:rPr>
        <w:t>nowoczesne modele operacyjne</w:t>
      </w:r>
      <w:r>
        <w:rPr>
          <w:lang w:val="pl"/>
        </w:rPr>
        <w:t>. Henkel kontynuuje zmiany zapoczątkowane w 2020 roku: nowa struktura obejmująca cztery piony biznesowe składające się z 11 strategicznych jednostek stała się już nierozerwalną częścią sektora Adhesive Technologies. W sektorach Laundry &amp; Home Care i Beauty Care kontynuowano wdrażanie zmian organizacyjnych mających na celu większą koncentrację na regionach i zbliżenie do klientów i konsumentów. Ponadto organizacja zakupów została ściślej dopasowana do poszczególnych sektorów biznesowych i rynków. Planowane połączenie sektorów Laundry &amp; Home Care i Beauty Care w jeden sektor biznesowy pod nazwą Henkel Consumer Brands również przyczyni się do dalszej optymalizacji struktur.</w:t>
      </w:r>
    </w:p>
    <w:p w14:paraId="7FD0B550" w14:textId="56C438A4" w:rsidR="00614FAF" w:rsidRDefault="00614FAF" w:rsidP="00465DEA">
      <w:pPr>
        <w:pStyle w:val="Tekstpodstawowy"/>
        <w:spacing w:before="5"/>
        <w:ind w:left="142"/>
        <w:rPr>
          <w:sz w:val="37"/>
          <w:lang w:val="pl-PL"/>
        </w:rPr>
      </w:pPr>
    </w:p>
    <w:p w14:paraId="40BDD53A" w14:textId="77777777" w:rsidR="0084059E" w:rsidRPr="00465DEA" w:rsidRDefault="0084059E" w:rsidP="00465DEA">
      <w:pPr>
        <w:pStyle w:val="Tekstpodstawowy"/>
        <w:spacing w:before="5"/>
        <w:ind w:left="142"/>
        <w:rPr>
          <w:sz w:val="37"/>
          <w:lang w:val="pl-PL"/>
        </w:rPr>
      </w:pPr>
    </w:p>
    <w:p w14:paraId="04C8AE9C" w14:textId="77777777" w:rsidR="00614FAF" w:rsidRPr="00465DEA" w:rsidRDefault="00AE6D39" w:rsidP="00465DEA">
      <w:pPr>
        <w:ind w:left="142"/>
        <w:jc w:val="both"/>
        <w:rPr>
          <w:i/>
          <w:lang w:val="pl-PL"/>
        </w:rPr>
      </w:pPr>
      <w:r>
        <w:rPr>
          <w:i/>
          <w:iCs/>
          <w:lang w:val="pl"/>
        </w:rPr>
        <w:t>Wzmocnienie kultury korporacyjnej</w:t>
      </w:r>
    </w:p>
    <w:p w14:paraId="21DF438E" w14:textId="37220AEA" w:rsidR="00614FAF" w:rsidRPr="00465DEA" w:rsidRDefault="00AE6D39" w:rsidP="00465DEA">
      <w:pPr>
        <w:pStyle w:val="Tekstpodstawowy"/>
        <w:spacing w:before="163" w:line="276" w:lineRule="auto"/>
        <w:ind w:left="142" w:right="603"/>
        <w:jc w:val="both"/>
        <w:rPr>
          <w:lang w:val="pl-PL"/>
        </w:rPr>
      </w:pPr>
      <w:r>
        <w:rPr>
          <w:lang w:val="pl"/>
        </w:rPr>
        <w:t xml:space="preserve">W ramach swojego programu strategicznego Henkel kontynuuje wzmacnianie kultury korporacyjnej. W 2020 roku Henkel zdefiniował nowy cel firmy „Pionierski duch dla dobra pokoleń”, wprowadzając go zarówno wewnątrz organizacji, jak i poza nią. Ten nowy </w:t>
      </w:r>
      <w:r>
        <w:rPr>
          <w:b/>
          <w:bCs/>
          <w:lang w:val="pl"/>
        </w:rPr>
        <w:t xml:space="preserve">cel </w:t>
      </w:r>
      <w:r>
        <w:rPr>
          <w:lang w:val="pl"/>
        </w:rPr>
        <w:t>to zasada przewodnia łącząca wszystkich pracowników Henk</w:t>
      </w:r>
      <w:r w:rsidR="0084059E">
        <w:rPr>
          <w:lang w:val="pl"/>
        </w:rPr>
        <w:t>la</w:t>
      </w:r>
      <w:r>
        <w:rPr>
          <w:lang w:val="pl"/>
        </w:rPr>
        <w:t>. Poprzez nowy dynamiczny wizerunek marki korporacyjnej, Henkel podkreśla swoje aspiracje do bycia pionierem w kreowaniu pozytywnych zmian na rynkach i w otoczeniu społecznym.</w:t>
      </w:r>
    </w:p>
    <w:p w14:paraId="0D2F70DC" w14:textId="77777777" w:rsidR="00614FAF" w:rsidRPr="00465DEA" w:rsidRDefault="00614FAF" w:rsidP="00465DEA">
      <w:pPr>
        <w:pStyle w:val="Tekstpodstawowy"/>
        <w:spacing w:before="5"/>
        <w:ind w:left="142"/>
        <w:rPr>
          <w:sz w:val="31"/>
          <w:lang w:val="pl-PL"/>
        </w:rPr>
      </w:pPr>
    </w:p>
    <w:p w14:paraId="3EEB1940" w14:textId="40BDB77B" w:rsidR="00614FAF" w:rsidRPr="00465DEA" w:rsidRDefault="00AE6D39" w:rsidP="00465DEA">
      <w:pPr>
        <w:pStyle w:val="Tekstpodstawowy"/>
        <w:spacing w:line="276" w:lineRule="auto"/>
        <w:ind w:left="142" w:right="603"/>
        <w:jc w:val="both"/>
        <w:rPr>
          <w:lang w:val="pl-PL"/>
        </w:rPr>
      </w:pPr>
      <w:r>
        <w:rPr>
          <w:lang w:val="pl"/>
        </w:rPr>
        <w:t>W celu promowania kultury korporacyjnej w 2021 roku wdrożono liczne szkolenia i oferty szkole</w:t>
      </w:r>
      <w:r w:rsidR="0084059E">
        <w:rPr>
          <w:lang w:val="pl"/>
        </w:rPr>
        <w:t>ń</w:t>
      </w:r>
      <w:r>
        <w:rPr>
          <w:lang w:val="pl"/>
        </w:rPr>
        <w:t xml:space="preserve"> </w:t>
      </w:r>
      <w:r w:rsidR="0084059E">
        <w:rPr>
          <w:lang w:val="pl"/>
        </w:rPr>
        <w:t>za poziomie zaawansowanym</w:t>
      </w:r>
      <w:r>
        <w:rPr>
          <w:lang w:val="pl"/>
        </w:rPr>
        <w:t xml:space="preserve">. Wprowadzono m.in. kompleksowy </w:t>
      </w:r>
      <w:r>
        <w:rPr>
          <w:b/>
          <w:bCs/>
          <w:lang w:val="pl"/>
        </w:rPr>
        <w:t xml:space="preserve">program informacji zwrotnej 360 stopni </w:t>
      </w:r>
      <w:r>
        <w:rPr>
          <w:lang w:val="pl"/>
        </w:rPr>
        <w:t>skierowany do</w:t>
      </w:r>
      <w:r>
        <w:rPr>
          <w:b/>
          <w:bCs/>
          <w:lang w:val="pl"/>
        </w:rPr>
        <w:t xml:space="preserve"> </w:t>
      </w:r>
      <w:r>
        <w:rPr>
          <w:lang w:val="pl"/>
        </w:rPr>
        <w:t>menedżerów wyższego szczebla. Henkel opracował również całościową koncepcję pod nazwą Smart Work (Inteligentna Praca), która w przyszłości będzie stanowić globalne ramy dla takich zagadnień jak praca mobilna, cyfrowe miejsce pracy czy zdrowie pracowników.</w:t>
      </w:r>
    </w:p>
    <w:p w14:paraId="5C34826B" w14:textId="77777777" w:rsidR="00614FAF" w:rsidRPr="00465DEA" w:rsidRDefault="00614FAF" w:rsidP="00465DEA">
      <w:pPr>
        <w:pStyle w:val="Tekstpodstawowy"/>
        <w:spacing w:before="5"/>
        <w:ind w:left="142"/>
        <w:rPr>
          <w:sz w:val="37"/>
          <w:lang w:val="pl-PL"/>
        </w:rPr>
      </w:pPr>
    </w:p>
    <w:p w14:paraId="657C185D" w14:textId="77777777" w:rsidR="00614FAF" w:rsidRPr="00465DEA" w:rsidRDefault="00AE6D39" w:rsidP="00465DEA">
      <w:pPr>
        <w:ind w:left="142"/>
        <w:jc w:val="both"/>
        <w:rPr>
          <w:b/>
          <w:lang w:val="pl-PL"/>
        </w:rPr>
      </w:pPr>
      <w:r>
        <w:rPr>
          <w:b/>
          <w:bCs/>
          <w:lang w:val="pl"/>
        </w:rPr>
        <w:t>Rozpoczęcie procesu integracji w ramach nowego sektora Consumer Brands</w:t>
      </w:r>
    </w:p>
    <w:p w14:paraId="64BF8B4A" w14:textId="77777777" w:rsidR="00614FAF" w:rsidRPr="00465DEA" w:rsidRDefault="00AE6D39" w:rsidP="00465DEA">
      <w:pPr>
        <w:pStyle w:val="Tekstpodstawowy"/>
        <w:spacing w:before="163" w:line="276" w:lineRule="auto"/>
        <w:ind w:left="142" w:right="602"/>
        <w:jc w:val="both"/>
        <w:rPr>
          <w:lang w:val="pl-PL"/>
        </w:rPr>
      </w:pPr>
      <w:r>
        <w:rPr>
          <w:lang w:val="pl"/>
        </w:rPr>
        <w:t xml:space="preserve">Pod koniec stycznia 2022 roku Henkel ogłosił rozpoczęcie kompleksowych działań otwierających kolejny etap w realizacji programu ukierunkowanego rozwoju. Firma zamierza połączyć dotychczasowe sektory biznesowe Laundry &amp; Home Care oraz Beauty Care w jeden nowy sektor, który będzie funkcjonował pod nazwą </w:t>
      </w:r>
      <w:r>
        <w:rPr>
          <w:b/>
          <w:bCs/>
          <w:lang w:val="pl"/>
        </w:rPr>
        <w:t>Henkel Consumer Brands.</w:t>
      </w:r>
      <w:r>
        <w:rPr>
          <w:lang w:val="pl"/>
        </w:rPr>
        <w:t xml:space="preserve"> W ramach nowo utworzonego sektora budowana będzie wspólna wieloproduktowa platforma łącząca pod jednym dachem cały segment produktów dla klientów indywidualnych (segment konsumencki), w tym wiele marek o statusie kultowym, takich jak Persil czy Schwarzkopf, oraz segment Hair Professional (produktów profesjonalnych przeznaczonych dla branży fryzjerskiej). Nowy sektor biznesowy generować będzie przychody ze sprzedaży rzędu 10 mld euro. Celem połączenia jest stymulowanie dalszego wzrostu i rentowności działalności w branży dóbr konsumenckich oraz całej firmy.</w:t>
      </w:r>
    </w:p>
    <w:p w14:paraId="234F781E" w14:textId="77777777" w:rsidR="00614FAF" w:rsidRPr="00465DEA" w:rsidRDefault="00614FAF" w:rsidP="00465DEA">
      <w:pPr>
        <w:pStyle w:val="Tekstpodstawowy"/>
        <w:spacing w:before="5"/>
        <w:ind w:left="142"/>
        <w:rPr>
          <w:sz w:val="31"/>
          <w:lang w:val="pl-PL"/>
        </w:rPr>
      </w:pPr>
    </w:p>
    <w:p w14:paraId="3ABFCF65" w14:textId="77777777" w:rsidR="00614FAF" w:rsidRPr="00465DEA" w:rsidRDefault="00AE6D39" w:rsidP="00465DEA">
      <w:pPr>
        <w:pStyle w:val="Tekstpodstawowy"/>
        <w:spacing w:line="276" w:lineRule="auto"/>
        <w:ind w:left="142" w:right="603"/>
        <w:jc w:val="both"/>
        <w:rPr>
          <w:lang w:val="pl-PL"/>
        </w:rPr>
      </w:pPr>
      <w:r>
        <w:rPr>
          <w:b/>
          <w:bCs/>
          <w:lang w:val="pl"/>
        </w:rPr>
        <w:t xml:space="preserve">Przygotowania do procesu integracji </w:t>
      </w:r>
      <w:r>
        <w:rPr>
          <w:lang w:val="pl"/>
        </w:rPr>
        <w:t>w ramach nowego sektora biznesowego już się rozpoczęły. Obejmują one wstępne, konstruktywne rozmowy z przedstawicielami pracowników. Określono również docelową strukturę organizacyjną, która będzie obejmować cztery regiony i dwa globalne segmenty biznesowe wspierane przez funkcje centralne, a informacja na ten temat została przekazana pracownikom firmy. Ponadto określono pierwszy poziom zarządzania podlegający odpowiedniemu członkowi Zarządu oraz ustalono organizację projektu w związku z planowanym połączeniem obu sektorów biznesowych.</w:t>
      </w:r>
    </w:p>
    <w:p w14:paraId="6B842DE1" w14:textId="77777777" w:rsidR="00614FAF" w:rsidRPr="00465DEA" w:rsidRDefault="00614FAF" w:rsidP="00465DEA">
      <w:pPr>
        <w:pStyle w:val="Tekstpodstawowy"/>
        <w:spacing w:before="3"/>
        <w:ind w:left="142"/>
        <w:rPr>
          <w:sz w:val="37"/>
          <w:lang w:val="pl-PL"/>
        </w:rPr>
      </w:pPr>
    </w:p>
    <w:p w14:paraId="48E108EC" w14:textId="77777777" w:rsidR="00614FAF" w:rsidRPr="00465DEA" w:rsidRDefault="00AE6D39" w:rsidP="00465DEA">
      <w:pPr>
        <w:pStyle w:val="Tekstpodstawowy"/>
        <w:spacing w:line="276" w:lineRule="auto"/>
        <w:ind w:left="142" w:right="603"/>
        <w:jc w:val="both"/>
        <w:rPr>
          <w:lang w:val="pl-PL"/>
        </w:rPr>
      </w:pPr>
      <w:r>
        <w:rPr>
          <w:lang w:val="pl"/>
        </w:rPr>
        <w:t>Podsumowując, prezes Carsten Knobel powiedział: – W 2021 roku poczyniliśmy dalsze postępy w realizacji naszego programu strategicznego i osiągnęliśmy ogólnie dobre wyniki biznesowe, mimo że nadal zmagaliśmy się z globalną pandemią, a także z bardzo napiętymi łańcuchami dostaw i wyjątkowo gwałtownym wzrostem cen surowców i usług logistycznych. Teraz patrzymy w przyszłość – na zadania, które stoją przed nami w 2022 roku i w latach następnych. Opieramy się na jasno wytyczonej strategii ukierunkowanego rozwoju oraz na silnym zespole wysoko zmotywowanych pracowników na całym świecie. Ufamy, że prowadzić nas będą nasze wspólne wartości, kultura korporacyjna i cele. Jestem głęboko przekonany, że osiągniemy nasze ambitne zamierzenia i z powodzeniem wdrożymy program ukierunkowanego rozwoju.</w:t>
      </w:r>
    </w:p>
    <w:p w14:paraId="7C202D0F" w14:textId="77777777" w:rsidR="00614FAF" w:rsidRPr="00465DEA" w:rsidRDefault="00614FAF" w:rsidP="00465DEA">
      <w:pPr>
        <w:spacing w:line="276" w:lineRule="auto"/>
        <w:ind w:left="142"/>
        <w:jc w:val="both"/>
        <w:rPr>
          <w:lang w:val="pl-PL"/>
        </w:rPr>
        <w:sectPr w:rsidR="00614FAF" w:rsidRPr="00465DEA" w:rsidSect="00465DEA">
          <w:footerReference w:type="default" r:id="rId8"/>
          <w:footerReference w:type="first" r:id="rId9"/>
          <w:pgSz w:w="11910" w:h="16840"/>
          <w:pgMar w:top="1417" w:right="1417" w:bottom="1417" w:left="1417" w:header="0" w:footer="909" w:gutter="0"/>
          <w:cols w:space="720"/>
          <w:titlePg/>
          <w:docGrid w:linePitch="299"/>
        </w:sectPr>
      </w:pPr>
    </w:p>
    <w:p w14:paraId="796D84CB" w14:textId="6B4D1A39" w:rsidR="00614FAF" w:rsidRPr="00465DEA" w:rsidRDefault="00AE6D39" w:rsidP="00465DEA">
      <w:pPr>
        <w:spacing w:before="80"/>
        <w:ind w:left="142"/>
        <w:jc w:val="both"/>
        <w:rPr>
          <w:b/>
          <w:sz w:val="18"/>
          <w:lang w:val="pl-PL"/>
        </w:rPr>
      </w:pPr>
      <w:r>
        <w:rPr>
          <w:b/>
          <w:bCs/>
          <w:sz w:val="18"/>
          <w:lang w:val="pl"/>
        </w:rPr>
        <w:t xml:space="preserve">O </w:t>
      </w:r>
      <w:r w:rsidR="006C0D91">
        <w:rPr>
          <w:b/>
          <w:bCs/>
          <w:sz w:val="18"/>
          <w:lang w:val="pl"/>
        </w:rPr>
        <w:t xml:space="preserve">firmie </w:t>
      </w:r>
      <w:r>
        <w:rPr>
          <w:b/>
          <w:bCs/>
          <w:sz w:val="18"/>
          <w:lang w:val="pl"/>
        </w:rPr>
        <w:t>Henkel</w:t>
      </w:r>
    </w:p>
    <w:p w14:paraId="174FD5CA" w14:textId="738403A9" w:rsidR="00614FAF" w:rsidRPr="00465DEA" w:rsidRDefault="00AE6D39" w:rsidP="006C0D91">
      <w:pPr>
        <w:spacing w:before="35" w:line="276" w:lineRule="auto"/>
        <w:ind w:left="142" w:right="603"/>
        <w:jc w:val="both"/>
        <w:rPr>
          <w:sz w:val="18"/>
          <w:lang w:val="pl-PL"/>
        </w:rPr>
      </w:pPr>
      <w:r>
        <w:rPr>
          <w:sz w:val="18"/>
          <w:lang w:val="pl"/>
        </w:rPr>
        <w:t>Henkel jest firmą działającą globalnie, posiadającą zrównoważony i zdywersyfikowany portfel produktów i usług. Dzięki silnym markom, innowacyjności i posiadanym technologiom, spółka zajmuje czołową pozycję w ramach wszystkich trzech sektorów biznesowych, zarówno w segmencie konsumentów indywidualnych, jak i klientów przemysłowych. Henkel Adhesive Technologies jest globalnym liderem rynku klejów budowlanych i konsumenckich oraz klejów i technologii dla przemysłu we wszystkich segmentach tej branży. W ramach sektorów biznesowych Laundry &amp; Home Care (środki piorące i czystości) oraz Beauty Care (kosmetyki) Henkel zajmuje czołowe miejsca na wielu rynkach i w wielu grupach asortymentowych na całym świecie.</w:t>
      </w:r>
      <w:r w:rsidR="00275B37">
        <w:rPr>
          <w:sz w:val="18"/>
          <w:lang w:val="pl"/>
        </w:rPr>
        <w:t xml:space="preserve"> </w:t>
      </w:r>
      <w:r>
        <w:rPr>
          <w:sz w:val="18"/>
          <w:lang w:val="pl"/>
        </w:rPr>
        <w:t>Firma została założona w 1876 roku i ma za sobą już ponad 140 lat pełnej sukcesów działalności.</w:t>
      </w:r>
      <w:r w:rsidR="00275B37">
        <w:rPr>
          <w:sz w:val="18"/>
          <w:lang w:val="pl"/>
        </w:rPr>
        <w:t xml:space="preserve"> </w:t>
      </w:r>
      <w:r>
        <w:rPr>
          <w:sz w:val="18"/>
          <w:lang w:val="pl"/>
        </w:rPr>
        <w:t>W 2021 roku Henkel osiągnął przychody ze sprzedaży na poziomie ponad 20 mld euro oraz skorygowany zysk z działalności operacyjnej w wysokości blisko 2,7 mld euro.</w:t>
      </w:r>
      <w:r w:rsidR="006C0D91">
        <w:rPr>
          <w:sz w:val="18"/>
          <w:lang w:val="pl"/>
        </w:rPr>
        <w:t xml:space="preserve"> </w:t>
      </w:r>
      <w:r w:rsidRPr="006C0D91">
        <w:rPr>
          <w:sz w:val="18"/>
          <w:lang w:val="pl"/>
        </w:rPr>
        <w:t xml:space="preserve">Firma zatrudnia na całym świecie ponad 52.000 pracowników, tworzących zaangażowany i zróżnicowany zespół, który łączy silna kultura korporacyjna oraz wspólny cel i system wartości. Jako uznany lider zrównoważonego rozwoju, Henkel zajmuje czołowe miejsca w wielu międzynarodowych indeksach i rankingach. Akcje uprzywilejowane spółki wchodzą w skład niemieckiego indeksu giełdowego DAX. Więcej informacji można znaleźć na stronie internetowej </w:t>
      </w:r>
      <w:hyperlink r:id="rId10">
        <w:r>
          <w:rPr>
            <w:color w:val="0000FF"/>
            <w:sz w:val="18"/>
            <w:u w:val="single"/>
            <w:lang w:val="pl"/>
          </w:rPr>
          <w:t>www.henkel.com</w:t>
        </w:r>
        <w:r>
          <w:rPr>
            <w:sz w:val="18"/>
            <w:lang w:val="pl"/>
          </w:rPr>
          <w:t>.</w:t>
        </w:r>
      </w:hyperlink>
    </w:p>
    <w:p w14:paraId="6CC95CDA" w14:textId="77777777" w:rsidR="00614FAF" w:rsidRPr="00465DEA" w:rsidRDefault="00614FAF" w:rsidP="00465DEA">
      <w:pPr>
        <w:pStyle w:val="Tekstpodstawowy"/>
        <w:spacing w:before="9"/>
        <w:ind w:left="142"/>
        <w:rPr>
          <w:sz w:val="24"/>
          <w:lang w:val="pl-PL"/>
        </w:rPr>
      </w:pPr>
    </w:p>
    <w:p w14:paraId="03FC196D" w14:textId="75195AA3" w:rsidR="00614FAF" w:rsidRPr="00465DEA" w:rsidRDefault="00AE6D39" w:rsidP="00465DEA">
      <w:pPr>
        <w:spacing w:before="100" w:line="276" w:lineRule="auto"/>
        <w:ind w:left="142" w:right="604"/>
        <w:jc w:val="both"/>
        <w:rPr>
          <w:sz w:val="14"/>
          <w:lang w:val="pl-PL"/>
        </w:rPr>
      </w:pPr>
      <w:r>
        <w:rPr>
          <w:sz w:val="14"/>
          <w:lang w:val="pl"/>
        </w:rPr>
        <w:t>Niniejszy dokument zawiera stwierdzenia dotyczące przyszłości sformułowane na podstawie aktualnych założeń i szacunków zarządu Henkel AG &amp; Co. KGaA.</w:t>
      </w:r>
      <w:r w:rsidR="00275B37">
        <w:rPr>
          <w:sz w:val="14"/>
          <w:lang w:val="pl"/>
        </w:rPr>
        <w:t xml:space="preserve"> </w:t>
      </w:r>
      <w:r>
        <w:rPr>
          <w:sz w:val="14"/>
          <w:lang w:val="pl"/>
        </w:rPr>
        <w:t>Stwierdzenia odnoszące się do przyszłości charakteryzują się użyciem słów takich, jak „oczekiwać”, „zamierzać”, „planować”, „przewidywać”, „uważać”, „szacować” i podobnych wyrażeń. Stwierdzeń dotyczących przyszłości nie należy traktować jako gwarancji, że określone założenia czy oczekiwania okażą się trafne. Faktyczne przyszłe wyniki spółki Henkel AG &amp; Co. KGaA i jej podmiotów powiązanych uzależnione są od szeregu czynników ryzyka i niepewności, w związku z czym mogą one istotnie odbiegać od wyników wskazanych w stwierdzeniach dotyczących przyszłości. Na wiele z tych czynników, np. przyszłą sytuację gospodarczą czy działania konkurencji i innych uczestników rynku, Henkel nie ma wpływu, a ich dokładne przewidzenie nie jest możliwe. Henkel nie zamierza, ani nie podejmuje się aktualizować stwierdzeń dotyczących przyszłości.</w:t>
      </w:r>
    </w:p>
    <w:p w14:paraId="79681262" w14:textId="77777777" w:rsidR="00614FAF" w:rsidRPr="00465DEA" w:rsidRDefault="00614FAF" w:rsidP="00465DEA">
      <w:pPr>
        <w:pStyle w:val="Tekstpodstawowy"/>
        <w:spacing w:before="1"/>
        <w:ind w:left="142"/>
        <w:rPr>
          <w:sz w:val="16"/>
          <w:lang w:val="pl-PL"/>
        </w:rPr>
      </w:pPr>
    </w:p>
    <w:p w14:paraId="289624C0" w14:textId="77777777" w:rsidR="00614FAF" w:rsidRPr="00465DEA" w:rsidRDefault="00AE6D39" w:rsidP="00465DEA">
      <w:pPr>
        <w:spacing w:line="276" w:lineRule="auto"/>
        <w:ind w:left="142" w:right="604"/>
        <w:jc w:val="both"/>
        <w:rPr>
          <w:sz w:val="14"/>
          <w:lang w:val="pl-PL"/>
        </w:rPr>
      </w:pPr>
      <w:r>
        <w:rPr>
          <w:sz w:val="14"/>
          <w:lang w:val="pl"/>
        </w:rPr>
        <w:t>Niniejszy dokument zawiera niezdefiniowane wyraźnie w obowiązujących zasadach sprawozdawczości finansowej dodatkowe wskaźniki finansowe, które stanowią lub mogą stanowić Alternatywne Pomiary Wyników (niebędące wskaźnikami przewidzianymi w ogólnie przyjętych zasadach rachunkowości). Takie dodatkowe wskaźniki finansowe nie powinny być analizowane w oderwaniu od wskaźników prezentujących aktywa netto, sytuację finansową lub wyniki działalności Henkel, które zostały przedstawione zgodnie z obowiązującymi zasadami sprawozdawczości finansowej w skonsolidowanym sprawozdaniu finansowym spółki, ani traktowane jako alternatywa dla tych wskaźników. Podobnie nazwane Alternatywne Pomiary Wyników podawane lub opisywane przez inne spółki mogą być obliczane w inny sposób.</w:t>
      </w:r>
    </w:p>
    <w:p w14:paraId="230CAA00" w14:textId="77777777" w:rsidR="00614FAF" w:rsidRPr="00465DEA" w:rsidRDefault="00614FAF" w:rsidP="00465DEA">
      <w:pPr>
        <w:pStyle w:val="Tekstpodstawowy"/>
        <w:spacing w:before="1"/>
        <w:ind w:left="142"/>
        <w:rPr>
          <w:sz w:val="16"/>
          <w:lang w:val="pl-PL"/>
        </w:rPr>
      </w:pPr>
    </w:p>
    <w:p w14:paraId="37E28A15" w14:textId="77777777" w:rsidR="00614FAF" w:rsidRPr="00465DEA" w:rsidRDefault="00AE6D39" w:rsidP="00465DEA">
      <w:pPr>
        <w:spacing w:line="276" w:lineRule="auto"/>
        <w:ind w:left="142" w:right="605"/>
        <w:jc w:val="both"/>
        <w:rPr>
          <w:sz w:val="14"/>
          <w:lang w:val="pl-PL"/>
        </w:rPr>
      </w:pPr>
      <w:r>
        <w:rPr>
          <w:sz w:val="14"/>
          <w:lang w:val="pl"/>
        </w:rPr>
        <w:t>Niniejszy dokument ma charakter wyłącznie informacyjny i nie stanowi porady inwestycyjnej ani oferty sprzedaży lub zaproszenia do składania ofert nabycia jakichkolwiek papierów wartościowych.</w:t>
      </w:r>
    </w:p>
    <w:p w14:paraId="08D8176E" w14:textId="77777777" w:rsidR="00614FAF" w:rsidRPr="00465DEA" w:rsidRDefault="00614FAF" w:rsidP="00465DEA">
      <w:pPr>
        <w:pStyle w:val="Tekstpodstawowy"/>
        <w:ind w:left="142"/>
        <w:rPr>
          <w:sz w:val="18"/>
          <w:lang w:val="pl-PL"/>
        </w:rPr>
      </w:pPr>
    </w:p>
    <w:p w14:paraId="1BCEDA6F" w14:textId="4D2EC5AF" w:rsidR="006C0D91" w:rsidRPr="006C0D91" w:rsidRDefault="006C0D91" w:rsidP="006C0D91">
      <w:pPr>
        <w:ind w:left="142"/>
        <w:rPr>
          <w:rFonts w:eastAsia="Times New Roman" w:cs="Times New Roman"/>
          <w:b/>
          <w:sz w:val="20"/>
          <w:szCs w:val="20"/>
          <w:lang w:val="pl-PL"/>
        </w:rPr>
      </w:pPr>
      <w:r w:rsidRPr="006C0D91">
        <w:rPr>
          <w:b/>
          <w:sz w:val="20"/>
          <w:szCs w:val="20"/>
          <w:lang w:val="pl-PL"/>
        </w:rPr>
        <w:t>Kontakt dla mediów:</w:t>
      </w:r>
    </w:p>
    <w:p w14:paraId="699E9728" w14:textId="77777777" w:rsidR="006C0D91" w:rsidRDefault="006C0D91" w:rsidP="006C0D91">
      <w:pPr>
        <w:ind w:left="142"/>
        <w:rPr>
          <w:sz w:val="18"/>
          <w:szCs w:val="18"/>
          <w:lang w:val="pl-PL"/>
        </w:rPr>
      </w:pPr>
      <w:r>
        <w:rPr>
          <w:sz w:val="18"/>
          <w:szCs w:val="18"/>
          <w:lang w:val="pl-PL"/>
        </w:rPr>
        <w:t>Dorota Strosznajder</w:t>
      </w:r>
      <w:r>
        <w:rPr>
          <w:sz w:val="18"/>
          <w:szCs w:val="18"/>
          <w:lang w:val="pl-PL"/>
        </w:rPr>
        <w:tab/>
      </w:r>
      <w:r>
        <w:rPr>
          <w:sz w:val="18"/>
          <w:szCs w:val="18"/>
          <w:lang w:val="pl-PL"/>
        </w:rPr>
        <w:tab/>
      </w:r>
      <w:r>
        <w:rPr>
          <w:sz w:val="18"/>
          <w:szCs w:val="18"/>
          <w:lang w:val="pl-PL"/>
        </w:rPr>
        <w:tab/>
      </w:r>
      <w:r>
        <w:rPr>
          <w:sz w:val="18"/>
          <w:szCs w:val="18"/>
          <w:lang w:val="pl-PL"/>
        </w:rPr>
        <w:tab/>
        <w:t xml:space="preserve">Magdalena Bryksa-Szymańczak </w:t>
      </w:r>
    </w:p>
    <w:p w14:paraId="0419DAA3" w14:textId="77777777" w:rsidR="006C0D91" w:rsidRDefault="006C0D91" w:rsidP="006C0D91">
      <w:pPr>
        <w:ind w:left="142"/>
        <w:rPr>
          <w:sz w:val="18"/>
          <w:szCs w:val="18"/>
        </w:rPr>
      </w:pPr>
      <w:r>
        <w:rPr>
          <w:sz w:val="18"/>
          <w:szCs w:val="18"/>
          <w:lang w:val="pl-PL"/>
        </w:rPr>
        <w:t>Henkel Polska Sp. z o.o.</w:t>
      </w:r>
      <w:r>
        <w:rPr>
          <w:sz w:val="18"/>
          <w:szCs w:val="18"/>
          <w:lang w:val="pl-PL"/>
        </w:rPr>
        <w:tab/>
      </w:r>
      <w:r>
        <w:rPr>
          <w:sz w:val="18"/>
          <w:szCs w:val="18"/>
          <w:lang w:val="pl-PL"/>
        </w:rPr>
        <w:tab/>
      </w:r>
      <w:r>
        <w:rPr>
          <w:sz w:val="18"/>
          <w:szCs w:val="18"/>
          <w:lang w:val="pl-PL"/>
        </w:rPr>
        <w:tab/>
      </w:r>
      <w:r>
        <w:rPr>
          <w:sz w:val="18"/>
          <w:szCs w:val="18"/>
          <w:lang w:val="pl-PL"/>
        </w:rPr>
        <w:tab/>
      </w:r>
      <w:r>
        <w:rPr>
          <w:sz w:val="18"/>
          <w:szCs w:val="18"/>
        </w:rPr>
        <w:t>Solski Communications</w:t>
      </w:r>
    </w:p>
    <w:p w14:paraId="6EE5516A" w14:textId="77777777" w:rsidR="006C0D91" w:rsidRDefault="006C0D91" w:rsidP="006C0D91">
      <w:pPr>
        <w:ind w:left="142"/>
        <w:rPr>
          <w:sz w:val="18"/>
          <w:szCs w:val="18"/>
          <w:lang w:val="en-GB"/>
        </w:rPr>
      </w:pPr>
      <w:r>
        <w:rPr>
          <w:sz w:val="18"/>
          <w:szCs w:val="18"/>
        </w:rPr>
        <w:t>tel: (022) 565 66 65</w:t>
      </w:r>
      <w:r>
        <w:rPr>
          <w:sz w:val="18"/>
          <w:szCs w:val="18"/>
        </w:rPr>
        <w:tab/>
      </w:r>
      <w:r>
        <w:rPr>
          <w:sz w:val="18"/>
          <w:szCs w:val="18"/>
        </w:rPr>
        <w:tab/>
      </w:r>
      <w:r>
        <w:rPr>
          <w:sz w:val="18"/>
          <w:szCs w:val="18"/>
        </w:rPr>
        <w:tab/>
      </w:r>
      <w:r>
        <w:rPr>
          <w:sz w:val="18"/>
          <w:szCs w:val="18"/>
        </w:rPr>
        <w:tab/>
        <w:t>tel: (022) 242 86 43</w:t>
      </w:r>
    </w:p>
    <w:p w14:paraId="6E71442B" w14:textId="77777777" w:rsidR="006C0D91" w:rsidRDefault="00DD6CDD" w:rsidP="006C0D91">
      <w:pPr>
        <w:ind w:left="142"/>
        <w:rPr>
          <w:sz w:val="18"/>
          <w:szCs w:val="18"/>
        </w:rPr>
      </w:pPr>
      <w:hyperlink r:id="rId11" w:history="1">
        <w:r w:rsidR="006C0D91">
          <w:rPr>
            <w:rStyle w:val="Hipercze"/>
          </w:rPr>
          <w:t>dorota.strosznajder@henkel.com</w:t>
        </w:r>
      </w:hyperlink>
      <w:r w:rsidR="006C0D91">
        <w:rPr>
          <w:sz w:val="18"/>
          <w:szCs w:val="18"/>
        </w:rPr>
        <w:tab/>
      </w:r>
      <w:r w:rsidR="006C0D91">
        <w:rPr>
          <w:sz w:val="18"/>
          <w:szCs w:val="18"/>
        </w:rPr>
        <w:tab/>
      </w:r>
      <w:r w:rsidR="006C0D91">
        <w:rPr>
          <w:sz w:val="18"/>
          <w:szCs w:val="18"/>
        </w:rPr>
        <w:tab/>
      </w:r>
      <w:hyperlink r:id="rId12" w:history="1">
        <w:r w:rsidR="006C0D91">
          <w:rPr>
            <w:rStyle w:val="Hipercze"/>
          </w:rPr>
          <w:t>mszymanczak@solskipr.pl</w:t>
        </w:r>
      </w:hyperlink>
      <w:r w:rsidR="006C0D91">
        <w:rPr>
          <w:sz w:val="18"/>
          <w:szCs w:val="18"/>
        </w:rPr>
        <w:t xml:space="preserve"> </w:t>
      </w:r>
    </w:p>
    <w:p w14:paraId="0A511EC9" w14:textId="77777777" w:rsidR="006C0D91" w:rsidRDefault="006C0D91" w:rsidP="006C0D91">
      <w:pPr>
        <w:spacing w:before="120" w:after="240"/>
        <w:rPr>
          <w:rStyle w:val="AboutandContactBody"/>
          <w:rFonts w:cs="Times New Roman"/>
          <w:szCs w:val="24"/>
        </w:rPr>
      </w:pPr>
    </w:p>
    <w:p w14:paraId="2F0BC589" w14:textId="77777777" w:rsidR="006C0D91" w:rsidRDefault="006C0D91">
      <w:pPr>
        <w:pStyle w:val="Tekstpodstawowy"/>
        <w:rPr>
          <w:sz w:val="20"/>
        </w:rPr>
      </w:pPr>
    </w:p>
    <w:p w14:paraId="0689FA26" w14:textId="77777777" w:rsidR="006C0D91" w:rsidRDefault="006C0D91">
      <w:pPr>
        <w:pStyle w:val="Tekstpodstawowy"/>
        <w:rPr>
          <w:sz w:val="20"/>
        </w:rPr>
      </w:pPr>
    </w:p>
    <w:p w14:paraId="329D0BF7" w14:textId="77777777" w:rsidR="006C0D91" w:rsidRDefault="006C0D91">
      <w:pPr>
        <w:pStyle w:val="Tekstpodstawowy"/>
        <w:rPr>
          <w:sz w:val="20"/>
        </w:rPr>
      </w:pPr>
    </w:p>
    <w:p w14:paraId="464CA0C8" w14:textId="77777777" w:rsidR="006C0D91" w:rsidRDefault="006C0D91">
      <w:pPr>
        <w:pStyle w:val="Tekstpodstawowy"/>
        <w:rPr>
          <w:sz w:val="20"/>
        </w:rPr>
      </w:pPr>
    </w:p>
    <w:p w14:paraId="77749734" w14:textId="77777777" w:rsidR="006C0D91" w:rsidRDefault="006C0D91">
      <w:pPr>
        <w:pStyle w:val="Tekstpodstawowy"/>
        <w:rPr>
          <w:sz w:val="20"/>
        </w:rPr>
      </w:pPr>
    </w:p>
    <w:p w14:paraId="0F5B31BE" w14:textId="77777777" w:rsidR="006C0D91" w:rsidRDefault="006C0D91">
      <w:pPr>
        <w:pStyle w:val="Tekstpodstawowy"/>
        <w:rPr>
          <w:sz w:val="20"/>
        </w:rPr>
      </w:pPr>
    </w:p>
    <w:p w14:paraId="33EB1ADE" w14:textId="2192D554" w:rsidR="00614FAF" w:rsidRDefault="00614FAF">
      <w:pPr>
        <w:pStyle w:val="Tekstpodstawowy"/>
        <w:rPr>
          <w:sz w:val="20"/>
        </w:rPr>
      </w:pPr>
    </w:p>
    <w:p w14:paraId="1A52F567" w14:textId="7B9D3DD1" w:rsidR="006C0D91" w:rsidRDefault="006C0D91">
      <w:pPr>
        <w:pStyle w:val="Tekstpodstawowy"/>
        <w:rPr>
          <w:sz w:val="20"/>
        </w:rPr>
      </w:pPr>
    </w:p>
    <w:p w14:paraId="5A596D1D" w14:textId="33BBEAD8" w:rsidR="006C0D91" w:rsidRDefault="006C0D91">
      <w:pPr>
        <w:pStyle w:val="Tekstpodstawowy"/>
        <w:rPr>
          <w:sz w:val="20"/>
        </w:rPr>
      </w:pPr>
    </w:p>
    <w:p w14:paraId="4B2D3D3B" w14:textId="77777777" w:rsidR="006C0D91" w:rsidRDefault="006C0D91">
      <w:pPr>
        <w:pStyle w:val="Tekstpodstawowy"/>
        <w:rPr>
          <w:sz w:val="20"/>
        </w:rPr>
      </w:pPr>
    </w:p>
    <w:p w14:paraId="5D729668" w14:textId="19183F52" w:rsidR="00614FAF" w:rsidRPr="00465DEA" w:rsidRDefault="00AE6D39">
      <w:pPr>
        <w:spacing w:before="175"/>
        <w:ind w:left="169"/>
        <w:rPr>
          <w:rFonts w:ascii="Calibri" w:hAnsi="Calibri"/>
          <w:b/>
          <w:sz w:val="33"/>
          <w:lang w:val="pl-PL"/>
        </w:rPr>
      </w:pPr>
      <w:r>
        <w:rPr>
          <w:rFonts w:ascii="Calibri" w:hAnsi="Calibri"/>
          <w:b/>
          <w:bCs/>
          <w:color w:val="E1000F"/>
          <w:sz w:val="33"/>
          <w:lang w:val="pl"/>
        </w:rPr>
        <w:t>Wybrane dane finansowe za czwarty kwartał i za okres styczeń–grudzień 2021 roku</w:t>
      </w:r>
    </w:p>
    <w:p w14:paraId="1000F2DE" w14:textId="77777777" w:rsidR="00614FAF" w:rsidRPr="00465DEA" w:rsidRDefault="00614FAF">
      <w:pPr>
        <w:pStyle w:val="Tekstpodstawowy"/>
        <w:rPr>
          <w:rFonts w:ascii="Calibri"/>
          <w:b/>
          <w:sz w:val="15"/>
          <w:lang w:val="pl-PL"/>
        </w:rPr>
      </w:pPr>
    </w:p>
    <w:tbl>
      <w:tblPr>
        <w:tblStyle w:val="TableNormal"/>
        <w:tblW w:w="10260" w:type="dxa"/>
        <w:tblInd w:w="-284" w:type="dxa"/>
        <w:tblBorders>
          <w:top w:val="single" w:sz="6" w:space="0" w:color="AFB4B9"/>
          <w:left w:val="single" w:sz="6" w:space="0" w:color="AFB4B9"/>
          <w:bottom w:val="single" w:sz="6" w:space="0" w:color="AFB4B9"/>
          <w:right w:val="single" w:sz="6" w:space="0" w:color="AFB4B9"/>
          <w:insideH w:val="single" w:sz="6" w:space="0" w:color="AFB4B9"/>
          <w:insideV w:val="single" w:sz="6" w:space="0" w:color="AFB4B9"/>
        </w:tblBorders>
        <w:tblLayout w:type="fixed"/>
        <w:tblLook w:val="01E0" w:firstRow="1" w:lastRow="1" w:firstColumn="1" w:lastColumn="1" w:noHBand="0" w:noVBand="0"/>
      </w:tblPr>
      <w:tblGrid>
        <w:gridCol w:w="4954"/>
        <w:gridCol w:w="1007"/>
        <w:gridCol w:w="1127"/>
        <w:gridCol w:w="1582"/>
        <w:gridCol w:w="7"/>
        <w:gridCol w:w="1576"/>
        <w:gridCol w:w="7"/>
      </w:tblGrid>
      <w:tr w:rsidR="00614FAF" w:rsidRPr="006E663E" w14:paraId="4C0C2A56" w14:textId="77777777" w:rsidTr="00C21762">
        <w:trPr>
          <w:gridAfter w:val="1"/>
          <w:wAfter w:w="7" w:type="dxa"/>
          <w:trHeight w:val="262"/>
        </w:trPr>
        <w:tc>
          <w:tcPr>
            <w:tcW w:w="7088" w:type="dxa"/>
            <w:gridSpan w:val="3"/>
            <w:tcBorders>
              <w:top w:val="nil"/>
              <w:left w:val="nil"/>
              <w:right w:val="single" w:sz="18" w:space="0" w:color="FFFFFF"/>
            </w:tcBorders>
          </w:tcPr>
          <w:p w14:paraId="0F71F562" w14:textId="77777777" w:rsidR="00614FAF" w:rsidRPr="00465DEA" w:rsidRDefault="00614FAF">
            <w:pPr>
              <w:pStyle w:val="TableParagraph"/>
              <w:spacing w:before="0"/>
              <w:jc w:val="left"/>
              <w:rPr>
                <w:rFonts w:ascii="Times New Roman"/>
                <w:sz w:val="18"/>
                <w:lang w:val="pl-PL"/>
              </w:rPr>
            </w:pPr>
          </w:p>
        </w:tc>
        <w:tc>
          <w:tcPr>
            <w:tcW w:w="1582" w:type="dxa"/>
            <w:tcBorders>
              <w:top w:val="nil"/>
              <w:left w:val="single" w:sz="18" w:space="0" w:color="FFFFFF"/>
              <w:right w:val="single" w:sz="18" w:space="0" w:color="FFFFFF"/>
            </w:tcBorders>
          </w:tcPr>
          <w:p w14:paraId="21DF7610" w14:textId="77777777" w:rsidR="00614FAF" w:rsidRPr="00465DEA" w:rsidRDefault="00614FAF">
            <w:pPr>
              <w:pStyle w:val="TableParagraph"/>
              <w:spacing w:before="0"/>
              <w:jc w:val="left"/>
              <w:rPr>
                <w:rFonts w:ascii="Times New Roman"/>
                <w:sz w:val="18"/>
                <w:lang w:val="pl-PL"/>
              </w:rPr>
            </w:pPr>
          </w:p>
        </w:tc>
        <w:tc>
          <w:tcPr>
            <w:tcW w:w="1583" w:type="dxa"/>
            <w:gridSpan w:val="2"/>
            <w:tcBorders>
              <w:top w:val="nil"/>
              <w:left w:val="single" w:sz="18" w:space="0" w:color="FFFFFF"/>
              <w:right w:val="nil"/>
            </w:tcBorders>
          </w:tcPr>
          <w:p w14:paraId="14C105E7" w14:textId="77777777" w:rsidR="00614FAF" w:rsidRPr="00465DEA" w:rsidRDefault="00614FAF">
            <w:pPr>
              <w:pStyle w:val="TableParagraph"/>
              <w:spacing w:before="0"/>
              <w:jc w:val="left"/>
              <w:rPr>
                <w:rFonts w:ascii="Times New Roman"/>
                <w:sz w:val="18"/>
                <w:lang w:val="pl-PL"/>
              </w:rPr>
            </w:pPr>
          </w:p>
        </w:tc>
      </w:tr>
      <w:tr w:rsidR="00614FAF" w14:paraId="4605047B" w14:textId="77777777" w:rsidTr="00C21762">
        <w:trPr>
          <w:gridAfter w:val="1"/>
          <w:wAfter w:w="7" w:type="dxa"/>
          <w:trHeight w:val="253"/>
        </w:trPr>
        <w:tc>
          <w:tcPr>
            <w:tcW w:w="4954" w:type="dxa"/>
            <w:vMerge w:val="restart"/>
            <w:tcBorders>
              <w:left w:val="nil"/>
              <w:right w:val="nil"/>
            </w:tcBorders>
          </w:tcPr>
          <w:p w14:paraId="09C100A9" w14:textId="77777777" w:rsidR="00614FAF" w:rsidRPr="00465DEA" w:rsidRDefault="00614FAF">
            <w:pPr>
              <w:pStyle w:val="TableParagraph"/>
              <w:spacing w:before="5"/>
              <w:jc w:val="left"/>
              <w:rPr>
                <w:b/>
                <w:lang w:val="pl-PL"/>
              </w:rPr>
            </w:pPr>
          </w:p>
          <w:p w14:paraId="4C42F796" w14:textId="0B0C0644" w:rsidR="00614FAF" w:rsidRDefault="00AE6D39">
            <w:pPr>
              <w:pStyle w:val="TableParagraph"/>
              <w:spacing w:before="0" w:line="229" w:lineRule="exact"/>
              <w:ind w:left="33"/>
              <w:jc w:val="left"/>
              <w:rPr>
                <w:b/>
                <w:sz w:val="20"/>
              </w:rPr>
            </w:pPr>
            <w:r>
              <w:rPr>
                <w:b/>
                <w:bCs/>
                <w:sz w:val="20"/>
                <w:lang w:val="pl"/>
              </w:rPr>
              <w:t>(ml</w:t>
            </w:r>
            <w:r w:rsidR="006C0D91">
              <w:rPr>
                <w:b/>
                <w:bCs/>
                <w:sz w:val="20"/>
                <w:lang w:val="pl"/>
              </w:rPr>
              <w:t>d</w:t>
            </w:r>
            <w:r>
              <w:rPr>
                <w:b/>
                <w:bCs/>
                <w:sz w:val="20"/>
                <w:lang w:val="pl"/>
              </w:rPr>
              <w:t xml:space="preserve"> EUR)</w:t>
            </w:r>
          </w:p>
        </w:tc>
        <w:tc>
          <w:tcPr>
            <w:tcW w:w="2134" w:type="dxa"/>
            <w:gridSpan w:val="2"/>
            <w:tcBorders>
              <w:left w:val="nil"/>
              <w:right w:val="single" w:sz="18" w:space="0" w:color="FFFFFF"/>
            </w:tcBorders>
          </w:tcPr>
          <w:p w14:paraId="40210511" w14:textId="77777777" w:rsidR="00614FAF" w:rsidRDefault="00AE6D39" w:rsidP="00275B37">
            <w:pPr>
              <w:pStyle w:val="TableParagraph"/>
              <w:spacing w:before="0" w:line="234" w:lineRule="exact"/>
              <w:ind w:left="22" w:right="17"/>
              <w:rPr>
                <w:b/>
                <w:sz w:val="20"/>
              </w:rPr>
            </w:pPr>
            <w:r>
              <w:rPr>
                <w:b/>
                <w:bCs/>
                <w:sz w:val="20"/>
                <w:lang w:val="pl"/>
              </w:rPr>
              <w:t>Przychody ze sprzedaży</w:t>
            </w:r>
          </w:p>
        </w:tc>
        <w:tc>
          <w:tcPr>
            <w:tcW w:w="1582" w:type="dxa"/>
            <w:tcBorders>
              <w:left w:val="single" w:sz="18" w:space="0" w:color="FFFFFF"/>
              <w:right w:val="single" w:sz="18" w:space="0" w:color="FFFFFF"/>
            </w:tcBorders>
          </w:tcPr>
          <w:p w14:paraId="4DCC3345" w14:textId="77777777" w:rsidR="00614FAF" w:rsidRDefault="00AE6D39">
            <w:pPr>
              <w:pStyle w:val="TableParagraph"/>
              <w:spacing w:before="5" w:line="229" w:lineRule="exact"/>
              <w:ind w:left="521" w:right="516"/>
              <w:rPr>
                <w:b/>
                <w:sz w:val="20"/>
              </w:rPr>
            </w:pPr>
            <w:r>
              <w:rPr>
                <w:b/>
                <w:bCs/>
                <w:sz w:val="20"/>
                <w:lang w:val="pl"/>
              </w:rPr>
              <w:t>EBIT</w:t>
            </w:r>
          </w:p>
        </w:tc>
        <w:tc>
          <w:tcPr>
            <w:tcW w:w="1583" w:type="dxa"/>
            <w:gridSpan w:val="2"/>
            <w:tcBorders>
              <w:left w:val="single" w:sz="18" w:space="0" w:color="FFFFFF"/>
              <w:right w:val="nil"/>
            </w:tcBorders>
          </w:tcPr>
          <w:p w14:paraId="2DD7AC98" w14:textId="77777777" w:rsidR="00614FAF" w:rsidRDefault="00AE6D39">
            <w:pPr>
              <w:pStyle w:val="TableParagraph"/>
              <w:spacing w:before="5" w:line="229" w:lineRule="exact"/>
              <w:ind w:left="265" w:right="259"/>
              <w:rPr>
                <w:b/>
                <w:sz w:val="20"/>
              </w:rPr>
            </w:pPr>
            <w:r>
              <w:rPr>
                <w:b/>
                <w:bCs/>
                <w:sz w:val="20"/>
                <w:lang w:val="pl"/>
              </w:rPr>
              <w:t>Marża EBIT</w:t>
            </w:r>
          </w:p>
        </w:tc>
      </w:tr>
      <w:tr w:rsidR="00614FAF" w14:paraId="0423DC34" w14:textId="77777777" w:rsidTr="00C21762">
        <w:trPr>
          <w:gridAfter w:val="1"/>
          <w:wAfter w:w="7" w:type="dxa"/>
          <w:trHeight w:val="253"/>
        </w:trPr>
        <w:tc>
          <w:tcPr>
            <w:tcW w:w="4954" w:type="dxa"/>
            <w:vMerge/>
            <w:tcBorders>
              <w:top w:val="nil"/>
              <w:left w:val="nil"/>
              <w:right w:val="nil"/>
            </w:tcBorders>
          </w:tcPr>
          <w:p w14:paraId="4989C48A" w14:textId="77777777" w:rsidR="00614FAF" w:rsidRDefault="00614FAF">
            <w:pPr>
              <w:rPr>
                <w:sz w:val="2"/>
                <w:szCs w:val="2"/>
              </w:rPr>
            </w:pPr>
          </w:p>
        </w:tc>
        <w:tc>
          <w:tcPr>
            <w:tcW w:w="1007" w:type="dxa"/>
            <w:tcBorders>
              <w:left w:val="nil"/>
              <w:right w:val="nil"/>
            </w:tcBorders>
          </w:tcPr>
          <w:p w14:paraId="4545C483" w14:textId="77777777" w:rsidR="00614FAF" w:rsidRDefault="00AE6D39">
            <w:pPr>
              <w:pStyle w:val="TableParagraph"/>
              <w:spacing w:before="5" w:line="229" w:lineRule="exact"/>
              <w:ind w:left="269" w:right="238"/>
              <w:rPr>
                <w:b/>
                <w:sz w:val="20"/>
              </w:rPr>
            </w:pPr>
            <w:r>
              <w:rPr>
                <w:b/>
                <w:bCs/>
                <w:sz w:val="20"/>
                <w:lang w:val="pl"/>
              </w:rPr>
              <w:t>IV kw</w:t>
            </w:r>
          </w:p>
        </w:tc>
        <w:tc>
          <w:tcPr>
            <w:tcW w:w="1127" w:type="dxa"/>
            <w:tcBorders>
              <w:left w:val="nil"/>
              <w:right w:val="single" w:sz="18" w:space="0" w:color="FFFFFF"/>
            </w:tcBorders>
          </w:tcPr>
          <w:p w14:paraId="2090C263" w14:textId="77777777" w:rsidR="00614FAF" w:rsidRDefault="00AE6D39" w:rsidP="00275B37">
            <w:pPr>
              <w:pStyle w:val="TableParagraph"/>
              <w:spacing w:before="5" w:line="229" w:lineRule="exact"/>
              <w:ind w:right="226"/>
              <w:rPr>
                <w:b/>
                <w:sz w:val="20"/>
              </w:rPr>
            </w:pPr>
            <w:r>
              <w:rPr>
                <w:b/>
                <w:bCs/>
                <w:sz w:val="20"/>
                <w:lang w:val="pl"/>
              </w:rPr>
              <w:t>sty-gru</w:t>
            </w:r>
          </w:p>
        </w:tc>
        <w:tc>
          <w:tcPr>
            <w:tcW w:w="1582" w:type="dxa"/>
            <w:tcBorders>
              <w:left w:val="single" w:sz="18" w:space="0" w:color="FFFFFF"/>
              <w:right w:val="single" w:sz="18" w:space="0" w:color="FFFFFF"/>
            </w:tcBorders>
          </w:tcPr>
          <w:p w14:paraId="6C7E1FE9" w14:textId="77777777" w:rsidR="00614FAF" w:rsidRDefault="00AE6D39" w:rsidP="00275B37">
            <w:pPr>
              <w:pStyle w:val="TableParagraph"/>
              <w:spacing w:before="5" w:line="229" w:lineRule="exact"/>
              <w:ind w:left="525" w:hanging="458"/>
              <w:rPr>
                <w:b/>
                <w:sz w:val="20"/>
              </w:rPr>
            </w:pPr>
            <w:r>
              <w:rPr>
                <w:b/>
                <w:bCs/>
                <w:sz w:val="20"/>
                <w:lang w:val="pl"/>
              </w:rPr>
              <w:t>sty-gru</w:t>
            </w:r>
          </w:p>
        </w:tc>
        <w:tc>
          <w:tcPr>
            <w:tcW w:w="1583" w:type="dxa"/>
            <w:gridSpan w:val="2"/>
            <w:tcBorders>
              <w:left w:val="single" w:sz="18" w:space="0" w:color="FFFFFF"/>
              <w:right w:val="nil"/>
            </w:tcBorders>
          </w:tcPr>
          <w:p w14:paraId="3D9B2694" w14:textId="77777777" w:rsidR="00614FAF" w:rsidRDefault="00AE6D39">
            <w:pPr>
              <w:pStyle w:val="TableParagraph"/>
              <w:spacing w:before="5" w:line="229" w:lineRule="exact"/>
              <w:ind w:left="265" w:right="258"/>
              <w:rPr>
                <w:b/>
                <w:sz w:val="20"/>
              </w:rPr>
            </w:pPr>
            <w:r>
              <w:rPr>
                <w:b/>
                <w:bCs/>
                <w:sz w:val="20"/>
                <w:lang w:val="pl"/>
              </w:rPr>
              <w:t>sty-gru</w:t>
            </w:r>
          </w:p>
        </w:tc>
      </w:tr>
      <w:tr w:rsidR="00614FAF" w14:paraId="3CB3F795" w14:textId="77777777" w:rsidTr="00C21762">
        <w:trPr>
          <w:gridAfter w:val="1"/>
          <w:wAfter w:w="7" w:type="dxa"/>
          <w:trHeight w:val="205"/>
        </w:trPr>
        <w:tc>
          <w:tcPr>
            <w:tcW w:w="7088" w:type="dxa"/>
            <w:gridSpan w:val="3"/>
            <w:tcBorders>
              <w:left w:val="nil"/>
              <w:right w:val="single" w:sz="18" w:space="0" w:color="FFFFFF"/>
            </w:tcBorders>
          </w:tcPr>
          <w:p w14:paraId="6EC36199" w14:textId="77777777" w:rsidR="00614FAF" w:rsidRDefault="00614FAF">
            <w:pPr>
              <w:pStyle w:val="TableParagraph"/>
              <w:spacing w:before="0"/>
              <w:jc w:val="left"/>
              <w:rPr>
                <w:rFonts w:ascii="Times New Roman"/>
                <w:sz w:val="14"/>
              </w:rPr>
            </w:pPr>
          </w:p>
        </w:tc>
        <w:tc>
          <w:tcPr>
            <w:tcW w:w="1582" w:type="dxa"/>
            <w:tcBorders>
              <w:left w:val="single" w:sz="18" w:space="0" w:color="FFFFFF"/>
              <w:right w:val="single" w:sz="18" w:space="0" w:color="FFFFFF"/>
            </w:tcBorders>
          </w:tcPr>
          <w:p w14:paraId="588418F3" w14:textId="77777777" w:rsidR="00614FAF" w:rsidRDefault="00614FAF">
            <w:pPr>
              <w:pStyle w:val="TableParagraph"/>
              <w:spacing w:before="0"/>
              <w:jc w:val="left"/>
              <w:rPr>
                <w:rFonts w:ascii="Times New Roman"/>
                <w:sz w:val="14"/>
              </w:rPr>
            </w:pPr>
          </w:p>
        </w:tc>
        <w:tc>
          <w:tcPr>
            <w:tcW w:w="1583" w:type="dxa"/>
            <w:gridSpan w:val="2"/>
            <w:tcBorders>
              <w:left w:val="single" w:sz="18" w:space="0" w:color="FFFFFF"/>
              <w:right w:val="nil"/>
            </w:tcBorders>
          </w:tcPr>
          <w:p w14:paraId="5EBE118B" w14:textId="77777777" w:rsidR="00614FAF" w:rsidRDefault="00614FAF">
            <w:pPr>
              <w:pStyle w:val="TableParagraph"/>
              <w:spacing w:before="0"/>
              <w:jc w:val="left"/>
              <w:rPr>
                <w:rFonts w:ascii="Times New Roman"/>
                <w:sz w:val="14"/>
              </w:rPr>
            </w:pPr>
          </w:p>
        </w:tc>
      </w:tr>
      <w:tr w:rsidR="00614FAF" w14:paraId="75072405" w14:textId="77777777" w:rsidTr="00C21762">
        <w:trPr>
          <w:gridAfter w:val="1"/>
          <w:wAfter w:w="7" w:type="dxa"/>
          <w:trHeight w:val="330"/>
        </w:trPr>
        <w:tc>
          <w:tcPr>
            <w:tcW w:w="7088" w:type="dxa"/>
            <w:gridSpan w:val="3"/>
            <w:tcBorders>
              <w:left w:val="nil"/>
              <w:right w:val="single" w:sz="18" w:space="0" w:color="FFFFFF"/>
            </w:tcBorders>
            <w:shd w:val="clear" w:color="auto" w:fill="E7E6E6"/>
          </w:tcPr>
          <w:p w14:paraId="5F2DF328" w14:textId="77777777" w:rsidR="00614FAF" w:rsidRDefault="00AE6D39">
            <w:pPr>
              <w:pStyle w:val="TableParagraph"/>
              <w:ind w:left="11"/>
              <w:jc w:val="left"/>
              <w:rPr>
                <w:b/>
                <w:sz w:val="20"/>
              </w:rPr>
            </w:pPr>
            <w:r>
              <w:rPr>
                <w:b/>
                <w:bCs/>
                <w:sz w:val="20"/>
                <w:lang w:val="pl"/>
              </w:rPr>
              <w:t>Adhesive Technologies</w:t>
            </w:r>
          </w:p>
        </w:tc>
        <w:tc>
          <w:tcPr>
            <w:tcW w:w="1582" w:type="dxa"/>
            <w:tcBorders>
              <w:left w:val="single" w:sz="18" w:space="0" w:color="FFFFFF"/>
              <w:right w:val="single" w:sz="18" w:space="0" w:color="FFFFFF"/>
            </w:tcBorders>
            <w:shd w:val="clear" w:color="auto" w:fill="E7E6E6"/>
          </w:tcPr>
          <w:p w14:paraId="00D6322E" w14:textId="77777777" w:rsidR="00614FAF" w:rsidRDefault="00614FAF">
            <w:pPr>
              <w:pStyle w:val="TableParagraph"/>
              <w:spacing w:before="0"/>
              <w:jc w:val="left"/>
              <w:rPr>
                <w:rFonts w:ascii="Times New Roman"/>
                <w:sz w:val="18"/>
              </w:rPr>
            </w:pPr>
          </w:p>
        </w:tc>
        <w:tc>
          <w:tcPr>
            <w:tcW w:w="1583" w:type="dxa"/>
            <w:gridSpan w:val="2"/>
            <w:tcBorders>
              <w:left w:val="single" w:sz="18" w:space="0" w:color="FFFFFF"/>
              <w:right w:val="nil"/>
            </w:tcBorders>
            <w:shd w:val="clear" w:color="auto" w:fill="E7E6E6"/>
          </w:tcPr>
          <w:p w14:paraId="344FD0B9" w14:textId="77777777" w:rsidR="00614FAF" w:rsidRDefault="00614FAF">
            <w:pPr>
              <w:pStyle w:val="TableParagraph"/>
              <w:spacing w:before="0"/>
              <w:jc w:val="left"/>
              <w:rPr>
                <w:rFonts w:ascii="Times New Roman"/>
                <w:sz w:val="18"/>
              </w:rPr>
            </w:pPr>
          </w:p>
        </w:tc>
      </w:tr>
      <w:tr w:rsidR="00614FAF" w14:paraId="3B1B0B45" w14:textId="77777777" w:rsidTr="00C21762">
        <w:trPr>
          <w:gridAfter w:val="1"/>
          <w:wAfter w:w="7" w:type="dxa"/>
          <w:trHeight w:val="330"/>
        </w:trPr>
        <w:tc>
          <w:tcPr>
            <w:tcW w:w="4954" w:type="dxa"/>
            <w:tcBorders>
              <w:left w:val="nil"/>
              <w:right w:val="nil"/>
            </w:tcBorders>
          </w:tcPr>
          <w:p w14:paraId="2DFDBEDA" w14:textId="77777777" w:rsidR="00614FAF" w:rsidRDefault="00AE6D39">
            <w:pPr>
              <w:pStyle w:val="TableParagraph"/>
              <w:ind w:left="33"/>
              <w:jc w:val="left"/>
              <w:rPr>
                <w:sz w:val="20"/>
              </w:rPr>
            </w:pPr>
            <w:r>
              <w:rPr>
                <w:sz w:val="20"/>
                <w:lang w:val="pl"/>
              </w:rPr>
              <w:t>2021</w:t>
            </w:r>
          </w:p>
        </w:tc>
        <w:tc>
          <w:tcPr>
            <w:tcW w:w="1007" w:type="dxa"/>
            <w:tcBorders>
              <w:left w:val="nil"/>
              <w:right w:val="nil"/>
            </w:tcBorders>
          </w:tcPr>
          <w:p w14:paraId="7A8F8A22" w14:textId="6C3FDB19" w:rsidR="00614FAF" w:rsidRDefault="00AE6D39">
            <w:pPr>
              <w:pStyle w:val="TableParagraph"/>
              <w:ind w:left="269" w:right="236"/>
              <w:rPr>
                <w:sz w:val="20"/>
              </w:rPr>
            </w:pPr>
            <w:r>
              <w:rPr>
                <w:sz w:val="20"/>
                <w:lang w:val="pl"/>
              </w:rPr>
              <w:t>2</w:t>
            </w:r>
            <w:r w:rsidR="00C95B8F">
              <w:rPr>
                <w:sz w:val="20"/>
                <w:lang w:val="pl"/>
              </w:rPr>
              <w:t>,</w:t>
            </w:r>
            <w:r>
              <w:rPr>
                <w:sz w:val="20"/>
                <w:lang w:val="pl"/>
              </w:rPr>
              <w:t>446</w:t>
            </w:r>
          </w:p>
        </w:tc>
        <w:tc>
          <w:tcPr>
            <w:tcW w:w="1127" w:type="dxa"/>
            <w:tcBorders>
              <w:left w:val="nil"/>
              <w:right w:val="nil"/>
            </w:tcBorders>
          </w:tcPr>
          <w:p w14:paraId="6FB32B7E" w14:textId="48DFD7C8" w:rsidR="00614FAF" w:rsidRDefault="00AE6D39">
            <w:pPr>
              <w:pStyle w:val="TableParagraph"/>
              <w:ind w:left="238" w:right="207"/>
              <w:rPr>
                <w:sz w:val="20"/>
              </w:rPr>
            </w:pPr>
            <w:r>
              <w:rPr>
                <w:sz w:val="20"/>
                <w:lang w:val="pl"/>
              </w:rPr>
              <w:t>9</w:t>
            </w:r>
            <w:r w:rsidR="00C95B8F">
              <w:rPr>
                <w:sz w:val="20"/>
                <w:lang w:val="pl"/>
              </w:rPr>
              <w:t>,</w:t>
            </w:r>
            <w:r>
              <w:rPr>
                <w:sz w:val="20"/>
                <w:lang w:val="pl"/>
              </w:rPr>
              <w:t>641</w:t>
            </w:r>
          </w:p>
        </w:tc>
        <w:tc>
          <w:tcPr>
            <w:tcW w:w="1582" w:type="dxa"/>
            <w:tcBorders>
              <w:left w:val="nil"/>
              <w:right w:val="single" w:sz="18" w:space="0" w:color="FFFFFF"/>
            </w:tcBorders>
          </w:tcPr>
          <w:p w14:paraId="47986567" w14:textId="6A3F9145" w:rsidR="00614FAF" w:rsidRDefault="00AE6D39">
            <w:pPr>
              <w:pStyle w:val="TableParagraph"/>
              <w:ind w:left="453" w:right="443"/>
              <w:rPr>
                <w:sz w:val="20"/>
              </w:rPr>
            </w:pPr>
            <w:r>
              <w:rPr>
                <w:sz w:val="20"/>
                <w:lang w:val="pl"/>
              </w:rPr>
              <w:t>1</w:t>
            </w:r>
            <w:r w:rsidR="00C21762">
              <w:rPr>
                <w:sz w:val="20"/>
                <w:lang w:val="pl"/>
              </w:rPr>
              <w:t>,</w:t>
            </w:r>
            <w:r>
              <w:rPr>
                <w:sz w:val="20"/>
                <w:lang w:val="pl"/>
              </w:rPr>
              <w:t>524</w:t>
            </w:r>
          </w:p>
        </w:tc>
        <w:tc>
          <w:tcPr>
            <w:tcW w:w="1583" w:type="dxa"/>
            <w:gridSpan w:val="2"/>
            <w:tcBorders>
              <w:left w:val="single" w:sz="18" w:space="0" w:color="FFFFFF"/>
              <w:right w:val="nil"/>
            </w:tcBorders>
          </w:tcPr>
          <w:p w14:paraId="3C76F829" w14:textId="77777777" w:rsidR="00614FAF" w:rsidRDefault="00AE6D39">
            <w:pPr>
              <w:pStyle w:val="TableParagraph"/>
              <w:ind w:left="265" w:right="256"/>
              <w:rPr>
                <w:sz w:val="20"/>
              </w:rPr>
            </w:pPr>
            <w:r>
              <w:rPr>
                <w:sz w:val="20"/>
                <w:lang w:val="pl"/>
              </w:rPr>
              <w:t>15,8%</w:t>
            </w:r>
          </w:p>
        </w:tc>
      </w:tr>
      <w:tr w:rsidR="00614FAF" w14:paraId="727C92DC" w14:textId="77777777" w:rsidTr="00C21762">
        <w:trPr>
          <w:gridAfter w:val="1"/>
          <w:wAfter w:w="7" w:type="dxa"/>
          <w:trHeight w:val="330"/>
        </w:trPr>
        <w:tc>
          <w:tcPr>
            <w:tcW w:w="4954" w:type="dxa"/>
            <w:tcBorders>
              <w:left w:val="nil"/>
              <w:right w:val="nil"/>
            </w:tcBorders>
          </w:tcPr>
          <w:p w14:paraId="178C2FC2" w14:textId="77777777" w:rsidR="00614FAF" w:rsidRDefault="00AE6D39">
            <w:pPr>
              <w:pStyle w:val="TableParagraph"/>
              <w:ind w:left="33"/>
              <w:jc w:val="left"/>
              <w:rPr>
                <w:sz w:val="20"/>
              </w:rPr>
            </w:pPr>
            <w:r>
              <w:rPr>
                <w:sz w:val="20"/>
                <w:lang w:val="pl"/>
              </w:rPr>
              <w:t>2020</w:t>
            </w:r>
          </w:p>
        </w:tc>
        <w:tc>
          <w:tcPr>
            <w:tcW w:w="1007" w:type="dxa"/>
            <w:tcBorders>
              <w:left w:val="nil"/>
              <w:right w:val="nil"/>
            </w:tcBorders>
          </w:tcPr>
          <w:p w14:paraId="7810E935" w14:textId="70540690" w:rsidR="00614FAF" w:rsidRDefault="00AE6D39">
            <w:pPr>
              <w:pStyle w:val="TableParagraph"/>
              <w:ind w:left="269" w:right="236"/>
              <w:rPr>
                <w:sz w:val="20"/>
              </w:rPr>
            </w:pPr>
            <w:r>
              <w:rPr>
                <w:sz w:val="20"/>
                <w:lang w:val="pl"/>
              </w:rPr>
              <w:t>2</w:t>
            </w:r>
            <w:r w:rsidR="00C95B8F">
              <w:rPr>
                <w:sz w:val="20"/>
                <w:lang w:val="pl"/>
              </w:rPr>
              <w:t>,</w:t>
            </w:r>
            <w:r>
              <w:rPr>
                <w:sz w:val="20"/>
                <w:lang w:val="pl"/>
              </w:rPr>
              <w:t>251</w:t>
            </w:r>
          </w:p>
        </w:tc>
        <w:tc>
          <w:tcPr>
            <w:tcW w:w="1127" w:type="dxa"/>
            <w:tcBorders>
              <w:left w:val="nil"/>
              <w:right w:val="nil"/>
            </w:tcBorders>
          </w:tcPr>
          <w:p w14:paraId="3BCF9E40" w14:textId="4AEA0C53" w:rsidR="00614FAF" w:rsidRDefault="00AE6D39">
            <w:pPr>
              <w:pStyle w:val="TableParagraph"/>
              <w:ind w:left="238" w:right="207"/>
              <w:rPr>
                <w:sz w:val="20"/>
              </w:rPr>
            </w:pPr>
            <w:r>
              <w:rPr>
                <w:sz w:val="20"/>
                <w:lang w:val="pl"/>
              </w:rPr>
              <w:t>8</w:t>
            </w:r>
            <w:r w:rsidR="00C95B8F">
              <w:rPr>
                <w:sz w:val="20"/>
                <w:lang w:val="pl"/>
              </w:rPr>
              <w:t>,</w:t>
            </w:r>
            <w:r>
              <w:rPr>
                <w:sz w:val="20"/>
                <w:lang w:val="pl"/>
              </w:rPr>
              <w:t>684</w:t>
            </w:r>
          </w:p>
        </w:tc>
        <w:tc>
          <w:tcPr>
            <w:tcW w:w="1582" w:type="dxa"/>
            <w:tcBorders>
              <w:left w:val="nil"/>
              <w:right w:val="single" w:sz="18" w:space="0" w:color="FFFFFF"/>
            </w:tcBorders>
          </w:tcPr>
          <w:p w14:paraId="26F6CACD" w14:textId="60463DFA" w:rsidR="00614FAF" w:rsidRDefault="00AE6D39">
            <w:pPr>
              <w:pStyle w:val="TableParagraph"/>
              <w:ind w:left="453" w:right="443"/>
              <w:rPr>
                <w:sz w:val="20"/>
              </w:rPr>
            </w:pPr>
            <w:r>
              <w:rPr>
                <w:sz w:val="20"/>
                <w:lang w:val="pl"/>
              </w:rPr>
              <w:t>1</w:t>
            </w:r>
            <w:r w:rsidR="00C21762">
              <w:rPr>
                <w:sz w:val="20"/>
                <w:lang w:val="pl"/>
              </w:rPr>
              <w:t>,</w:t>
            </w:r>
            <w:r>
              <w:rPr>
                <w:sz w:val="20"/>
                <w:lang w:val="pl"/>
              </w:rPr>
              <w:t>248</w:t>
            </w:r>
          </w:p>
        </w:tc>
        <w:tc>
          <w:tcPr>
            <w:tcW w:w="1583" w:type="dxa"/>
            <w:gridSpan w:val="2"/>
            <w:tcBorders>
              <w:left w:val="single" w:sz="18" w:space="0" w:color="FFFFFF"/>
              <w:right w:val="nil"/>
            </w:tcBorders>
          </w:tcPr>
          <w:p w14:paraId="64CEF43C" w14:textId="77777777" w:rsidR="00614FAF" w:rsidRDefault="00AE6D39">
            <w:pPr>
              <w:pStyle w:val="TableParagraph"/>
              <w:ind w:left="265" w:right="256"/>
              <w:rPr>
                <w:sz w:val="20"/>
              </w:rPr>
            </w:pPr>
            <w:r>
              <w:rPr>
                <w:sz w:val="20"/>
                <w:lang w:val="pl"/>
              </w:rPr>
              <w:t>14,4%</w:t>
            </w:r>
          </w:p>
        </w:tc>
      </w:tr>
      <w:tr w:rsidR="00614FAF" w14:paraId="293F3B0C" w14:textId="77777777" w:rsidTr="00C21762">
        <w:trPr>
          <w:gridAfter w:val="1"/>
          <w:wAfter w:w="7" w:type="dxa"/>
          <w:trHeight w:val="330"/>
        </w:trPr>
        <w:tc>
          <w:tcPr>
            <w:tcW w:w="4954" w:type="dxa"/>
            <w:tcBorders>
              <w:left w:val="nil"/>
              <w:right w:val="nil"/>
            </w:tcBorders>
          </w:tcPr>
          <w:p w14:paraId="301B05CC" w14:textId="77777777" w:rsidR="00614FAF" w:rsidRDefault="00AE6D39">
            <w:pPr>
              <w:pStyle w:val="TableParagraph"/>
              <w:ind w:left="33"/>
              <w:jc w:val="left"/>
              <w:rPr>
                <w:sz w:val="20"/>
              </w:rPr>
            </w:pPr>
            <w:r>
              <w:rPr>
                <w:sz w:val="20"/>
                <w:lang w:val="pl"/>
              </w:rPr>
              <w:t>wzrost w ujęciu organicznym</w:t>
            </w:r>
          </w:p>
        </w:tc>
        <w:tc>
          <w:tcPr>
            <w:tcW w:w="1007" w:type="dxa"/>
            <w:tcBorders>
              <w:left w:val="nil"/>
              <w:right w:val="nil"/>
            </w:tcBorders>
          </w:tcPr>
          <w:p w14:paraId="17BA30F6" w14:textId="77777777" w:rsidR="00614FAF" w:rsidRDefault="00AE6D39">
            <w:pPr>
              <w:pStyle w:val="TableParagraph"/>
              <w:ind w:left="269" w:right="239"/>
              <w:rPr>
                <w:sz w:val="20"/>
              </w:rPr>
            </w:pPr>
            <w:r>
              <w:rPr>
                <w:sz w:val="20"/>
                <w:lang w:val="pl"/>
              </w:rPr>
              <w:t>7,1%</w:t>
            </w:r>
          </w:p>
        </w:tc>
        <w:tc>
          <w:tcPr>
            <w:tcW w:w="1127" w:type="dxa"/>
            <w:tcBorders>
              <w:left w:val="nil"/>
              <w:right w:val="single" w:sz="18" w:space="0" w:color="FFFFFF"/>
            </w:tcBorders>
          </w:tcPr>
          <w:p w14:paraId="5CF51CA4" w14:textId="77777777" w:rsidR="00614FAF" w:rsidRDefault="00AE6D39">
            <w:pPr>
              <w:pStyle w:val="TableParagraph"/>
              <w:ind w:left="257" w:right="226"/>
              <w:rPr>
                <w:sz w:val="20"/>
              </w:rPr>
            </w:pPr>
            <w:r>
              <w:rPr>
                <w:sz w:val="20"/>
                <w:lang w:val="pl"/>
              </w:rPr>
              <w:t>13,4%</w:t>
            </w:r>
          </w:p>
        </w:tc>
        <w:tc>
          <w:tcPr>
            <w:tcW w:w="1582" w:type="dxa"/>
            <w:tcBorders>
              <w:left w:val="single" w:sz="18" w:space="0" w:color="FFFFFF"/>
              <w:right w:val="single" w:sz="18" w:space="0" w:color="FFFFFF"/>
            </w:tcBorders>
          </w:tcPr>
          <w:p w14:paraId="4258A029" w14:textId="77777777" w:rsidR="00614FAF" w:rsidRDefault="00AE6D39">
            <w:pPr>
              <w:pStyle w:val="TableParagraph"/>
              <w:ind w:left="6"/>
              <w:rPr>
                <w:sz w:val="20"/>
              </w:rPr>
            </w:pPr>
            <w:r>
              <w:rPr>
                <w:sz w:val="20"/>
                <w:lang w:val="pl"/>
              </w:rPr>
              <w:t>‐</w:t>
            </w:r>
          </w:p>
        </w:tc>
        <w:tc>
          <w:tcPr>
            <w:tcW w:w="1583" w:type="dxa"/>
            <w:gridSpan w:val="2"/>
            <w:tcBorders>
              <w:left w:val="single" w:sz="18" w:space="0" w:color="FFFFFF"/>
              <w:right w:val="nil"/>
            </w:tcBorders>
          </w:tcPr>
          <w:p w14:paraId="5D0523E7" w14:textId="77777777" w:rsidR="00614FAF" w:rsidRDefault="00AE6D39">
            <w:pPr>
              <w:pStyle w:val="TableParagraph"/>
              <w:ind w:left="4"/>
              <w:rPr>
                <w:sz w:val="20"/>
              </w:rPr>
            </w:pPr>
            <w:r>
              <w:rPr>
                <w:sz w:val="20"/>
                <w:lang w:val="pl"/>
              </w:rPr>
              <w:t>‐</w:t>
            </w:r>
          </w:p>
        </w:tc>
      </w:tr>
      <w:tr w:rsidR="00614FAF" w14:paraId="485DA2B9" w14:textId="77777777" w:rsidTr="00C21762">
        <w:trPr>
          <w:gridAfter w:val="1"/>
          <w:wAfter w:w="7" w:type="dxa"/>
          <w:trHeight w:val="330"/>
        </w:trPr>
        <w:tc>
          <w:tcPr>
            <w:tcW w:w="4954" w:type="dxa"/>
            <w:tcBorders>
              <w:left w:val="nil"/>
              <w:right w:val="nil"/>
            </w:tcBorders>
          </w:tcPr>
          <w:p w14:paraId="79C904F0" w14:textId="77777777" w:rsidR="00614FAF" w:rsidRDefault="00AE6D39">
            <w:pPr>
              <w:pStyle w:val="TableParagraph"/>
              <w:spacing w:before="62"/>
              <w:ind w:left="33"/>
              <w:jc w:val="left"/>
              <w:rPr>
                <w:sz w:val="20"/>
              </w:rPr>
            </w:pPr>
            <w:r>
              <w:rPr>
                <w:sz w:val="20"/>
                <w:lang w:val="pl"/>
              </w:rPr>
              <w:t xml:space="preserve">skorygowane dane za 2021 r. </w:t>
            </w:r>
            <w:r>
              <w:rPr>
                <w:sz w:val="20"/>
                <w:vertAlign w:val="superscript"/>
                <w:lang w:val="pl"/>
              </w:rPr>
              <w:t>1)</w:t>
            </w:r>
          </w:p>
        </w:tc>
        <w:tc>
          <w:tcPr>
            <w:tcW w:w="1007" w:type="dxa"/>
            <w:tcBorders>
              <w:left w:val="nil"/>
              <w:right w:val="nil"/>
            </w:tcBorders>
          </w:tcPr>
          <w:p w14:paraId="2FCF5344" w14:textId="77777777" w:rsidR="00614FAF" w:rsidRDefault="00AE6D39">
            <w:pPr>
              <w:pStyle w:val="TableParagraph"/>
              <w:ind w:left="29"/>
              <w:rPr>
                <w:sz w:val="20"/>
              </w:rPr>
            </w:pPr>
            <w:r>
              <w:rPr>
                <w:sz w:val="20"/>
                <w:lang w:val="pl"/>
              </w:rPr>
              <w:t>‐</w:t>
            </w:r>
          </w:p>
        </w:tc>
        <w:tc>
          <w:tcPr>
            <w:tcW w:w="1127" w:type="dxa"/>
            <w:tcBorders>
              <w:left w:val="nil"/>
              <w:right w:val="single" w:sz="18" w:space="0" w:color="FFFFFF"/>
            </w:tcBorders>
          </w:tcPr>
          <w:p w14:paraId="3FBA16B8" w14:textId="77777777" w:rsidR="00614FAF" w:rsidRDefault="00AE6D39">
            <w:pPr>
              <w:pStyle w:val="TableParagraph"/>
              <w:ind w:left="26"/>
              <w:rPr>
                <w:sz w:val="20"/>
              </w:rPr>
            </w:pPr>
            <w:r>
              <w:rPr>
                <w:sz w:val="20"/>
                <w:lang w:val="pl"/>
              </w:rPr>
              <w:t>‐</w:t>
            </w:r>
          </w:p>
        </w:tc>
        <w:tc>
          <w:tcPr>
            <w:tcW w:w="1582" w:type="dxa"/>
            <w:tcBorders>
              <w:left w:val="single" w:sz="18" w:space="0" w:color="FFFFFF"/>
              <w:right w:val="single" w:sz="18" w:space="0" w:color="FFFFFF"/>
            </w:tcBorders>
          </w:tcPr>
          <w:p w14:paraId="61066177" w14:textId="305CE749" w:rsidR="00614FAF" w:rsidRDefault="00AE6D39">
            <w:pPr>
              <w:pStyle w:val="TableParagraph"/>
              <w:ind w:left="525" w:right="516"/>
              <w:rPr>
                <w:sz w:val="20"/>
              </w:rPr>
            </w:pPr>
            <w:r>
              <w:rPr>
                <w:sz w:val="20"/>
                <w:lang w:val="pl"/>
              </w:rPr>
              <w:t>1</w:t>
            </w:r>
            <w:r w:rsidR="00C21762">
              <w:rPr>
                <w:sz w:val="20"/>
                <w:lang w:val="pl"/>
              </w:rPr>
              <w:t>,</w:t>
            </w:r>
            <w:r>
              <w:rPr>
                <w:sz w:val="20"/>
                <w:lang w:val="pl"/>
              </w:rPr>
              <w:t>561</w:t>
            </w:r>
          </w:p>
        </w:tc>
        <w:tc>
          <w:tcPr>
            <w:tcW w:w="1583" w:type="dxa"/>
            <w:gridSpan w:val="2"/>
            <w:tcBorders>
              <w:left w:val="single" w:sz="18" w:space="0" w:color="FFFFFF"/>
              <w:right w:val="nil"/>
            </w:tcBorders>
          </w:tcPr>
          <w:p w14:paraId="4CD5FD27" w14:textId="77777777" w:rsidR="00614FAF" w:rsidRDefault="00AE6D39">
            <w:pPr>
              <w:pStyle w:val="TableParagraph"/>
              <w:ind w:left="265" w:right="257"/>
              <w:rPr>
                <w:sz w:val="20"/>
              </w:rPr>
            </w:pPr>
            <w:r>
              <w:rPr>
                <w:sz w:val="20"/>
                <w:lang w:val="pl"/>
              </w:rPr>
              <w:t>16,2%</w:t>
            </w:r>
          </w:p>
        </w:tc>
      </w:tr>
      <w:tr w:rsidR="00614FAF" w14:paraId="704C1B59" w14:textId="77777777" w:rsidTr="00C21762">
        <w:trPr>
          <w:gridAfter w:val="1"/>
          <w:wAfter w:w="7" w:type="dxa"/>
          <w:trHeight w:val="325"/>
        </w:trPr>
        <w:tc>
          <w:tcPr>
            <w:tcW w:w="4954" w:type="dxa"/>
            <w:tcBorders>
              <w:left w:val="nil"/>
              <w:right w:val="nil"/>
            </w:tcBorders>
          </w:tcPr>
          <w:p w14:paraId="4B388014" w14:textId="77777777" w:rsidR="00614FAF" w:rsidRDefault="00AE6D39">
            <w:pPr>
              <w:pStyle w:val="TableParagraph"/>
              <w:spacing w:before="60"/>
              <w:ind w:left="33"/>
              <w:jc w:val="left"/>
              <w:rPr>
                <w:sz w:val="20"/>
              </w:rPr>
            </w:pPr>
            <w:r>
              <w:rPr>
                <w:sz w:val="20"/>
                <w:lang w:val="pl"/>
              </w:rPr>
              <w:t xml:space="preserve">skorygowane dane za 2020 r. </w:t>
            </w:r>
            <w:r>
              <w:rPr>
                <w:sz w:val="20"/>
                <w:vertAlign w:val="superscript"/>
                <w:lang w:val="pl"/>
              </w:rPr>
              <w:t>1)</w:t>
            </w:r>
          </w:p>
        </w:tc>
        <w:tc>
          <w:tcPr>
            <w:tcW w:w="1007" w:type="dxa"/>
            <w:tcBorders>
              <w:left w:val="nil"/>
              <w:right w:val="nil"/>
            </w:tcBorders>
          </w:tcPr>
          <w:p w14:paraId="5196562F" w14:textId="77777777" w:rsidR="00614FAF" w:rsidRDefault="00AE6D39">
            <w:pPr>
              <w:pStyle w:val="TableParagraph"/>
              <w:spacing w:before="41"/>
              <w:ind w:left="29"/>
              <w:rPr>
                <w:sz w:val="20"/>
              </w:rPr>
            </w:pPr>
            <w:r>
              <w:rPr>
                <w:sz w:val="20"/>
                <w:lang w:val="pl"/>
              </w:rPr>
              <w:t>‐</w:t>
            </w:r>
          </w:p>
        </w:tc>
        <w:tc>
          <w:tcPr>
            <w:tcW w:w="1127" w:type="dxa"/>
            <w:tcBorders>
              <w:left w:val="nil"/>
              <w:right w:val="single" w:sz="18" w:space="0" w:color="FFFFFF"/>
            </w:tcBorders>
          </w:tcPr>
          <w:p w14:paraId="0F751787" w14:textId="77777777" w:rsidR="00614FAF" w:rsidRDefault="00AE6D39">
            <w:pPr>
              <w:pStyle w:val="TableParagraph"/>
              <w:spacing w:before="41"/>
              <w:ind w:left="26"/>
              <w:rPr>
                <w:sz w:val="20"/>
              </w:rPr>
            </w:pPr>
            <w:r>
              <w:rPr>
                <w:sz w:val="20"/>
                <w:lang w:val="pl"/>
              </w:rPr>
              <w:t>‐</w:t>
            </w:r>
          </w:p>
        </w:tc>
        <w:tc>
          <w:tcPr>
            <w:tcW w:w="1582" w:type="dxa"/>
            <w:tcBorders>
              <w:left w:val="single" w:sz="18" w:space="0" w:color="FFFFFF"/>
              <w:right w:val="single" w:sz="18" w:space="0" w:color="FFFFFF"/>
            </w:tcBorders>
          </w:tcPr>
          <w:p w14:paraId="1A145057" w14:textId="19D96736" w:rsidR="00614FAF" w:rsidRDefault="00AE6D39">
            <w:pPr>
              <w:pStyle w:val="TableParagraph"/>
              <w:spacing w:before="41"/>
              <w:ind w:left="525" w:right="516"/>
              <w:rPr>
                <w:sz w:val="20"/>
              </w:rPr>
            </w:pPr>
            <w:r>
              <w:rPr>
                <w:sz w:val="20"/>
                <w:lang w:val="pl"/>
              </w:rPr>
              <w:t>1</w:t>
            </w:r>
            <w:r w:rsidR="00C21762">
              <w:rPr>
                <w:sz w:val="20"/>
                <w:lang w:val="pl"/>
              </w:rPr>
              <w:t>,</w:t>
            </w:r>
            <w:r>
              <w:rPr>
                <w:sz w:val="20"/>
                <w:lang w:val="pl"/>
              </w:rPr>
              <w:t>320</w:t>
            </w:r>
          </w:p>
        </w:tc>
        <w:tc>
          <w:tcPr>
            <w:tcW w:w="1583" w:type="dxa"/>
            <w:gridSpan w:val="2"/>
            <w:tcBorders>
              <w:left w:val="single" w:sz="18" w:space="0" w:color="FFFFFF"/>
              <w:right w:val="nil"/>
            </w:tcBorders>
          </w:tcPr>
          <w:p w14:paraId="185AD939" w14:textId="77777777" w:rsidR="00614FAF" w:rsidRDefault="00AE6D39">
            <w:pPr>
              <w:pStyle w:val="TableParagraph"/>
              <w:spacing w:before="41"/>
              <w:ind w:left="265" w:right="257"/>
              <w:rPr>
                <w:sz w:val="20"/>
              </w:rPr>
            </w:pPr>
            <w:r>
              <w:rPr>
                <w:sz w:val="20"/>
                <w:lang w:val="pl"/>
              </w:rPr>
              <w:t>15,2%</w:t>
            </w:r>
          </w:p>
        </w:tc>
      </w:tr>
      <w:tr w:rsidR="00614FAF" w14:paraId="1049FE2F" w14:textId="77777777" w:rsidTr="00C21762">
        <w:trPr>
          <w:gridAfter w:val="1"/>
          <w:wAfter w:w="7" w:type="dxa"/>
          <w:trHeight w:val="330"/>
        </w:trPr>
        <w:tc>
          <w:tcPr>
            <w:tcW w:w="7088" w:type="dxa"/>
            <w:gridSpan w:val="3"/>
            <w:tcBorders>
              <w:left w:val="nil"/>
              <w:right w:val="single" w:sz="18" w:space="0" w:color="FFFFFF"/>
            </w:tcBorders>
            <w:shd w:val="clear" w:color="auto" w:fill="E7E6E6"/>
          </w:tcPr>
          <w:p w14:paraId="32C215A7" w14:textId="77777777" w:rsidR="00614FAF" w:rsidRDefault="00AE6D39">
            <w:pPr>
              <w:pStyle w:val="TableParagraph"/>
              <w:ind w:left="11"/>
              <w:jc w:val="left"/>
              <w:rPr>
                <w:b/>
                <w:sz w:val="20"/>
              </w:rPr>
            </w:pPr>
            <w:r>
              <w:rPr>
                <w:b/>
                <w:bCs/>
                <w:sz w:val="20"/>
                <w:lang w:val="pl"/>
              </w:rPr>
              <w:t>Beauty Care</w:t>
            </w:r>
          </w:p>
        </w:tc>
        <w:tc>
          <w:tcPr>
            <w:tcW w:w="1582" w:type="dxa"/>
            <w:tcBorders>
              <w:left w:val="single" w:sz="18" w:space="0" w:color="FFFFFF"/>
              <w:right w:val="single" w:sz="18" w:space="0" w:color="FFFFFF"/>
            </w:tcBorders>
            <w:shd w:val="clear" w:color="auto" w:fill="E7E6E6"/>
          </w:tcPr>
          <w:p w14:paraId="5AC565EF" w14:textId="77777777" w:rsidR="00614FAF" w:rsidRDefault="00614FAF">
            <w:pPr>
              <w:pStyle w:val="TableParagraph"/>
              <w:spacing w:before="0"/>
              <w:jc w:val="left"/>
              <w:rPr>
                <w:rFonts w:ascii="Times New Roman"/>
                <w:sz w:val="18"/>
              </w:rPr>
            </w:pPr>
          </w:p>
        </w:tc>
        <w:tc>
          <w:tcPr>
            <w:tcW w:w="1583" w:type="dxa"/>
            <w:gridSpan w:val="2"/>
            <w:tcBorders>
              <w:left w:val="single" w:sz="18" w:space="0" w:color="FFFFFF"/>
              <w:right w:val="nil"/>
            </w:tcBorders>
            <w:shd w:val="clear" w:color="auto" w:fill="E7E6E6"/>
          </w:tcPr>
          <w:p w14:paraId="61E4597D" w14:textId="77777777" w:rsidR="00614FAF" w:rsidRDefault="00614FAF">
            <w:pPr>
              <w:pStyle w:val="TableParagraph"/>
              <w:spacing w:before="0"/>
              <w:jc w:val="left"/>
              <w:rPr>
                <w:rFonts w:ascii="Times New Roman"/>
                <w:sz w:val="18"/>
              </w:rPr>
            </w:pPr>
          </w:p>
        </w:tc>
      </w:tr>
      <w:tr w:rsidR="00614FAF" w14:paraId="5043DAED" w14:textId="77777777" w:rsidTr="00C21762">
        <w:trPr>
          <w:gridAfter w:val="1"/>
          <w:wAfter w:w="7" w:type="dxa"/>
          <w:trHeight w:val="330"/>
        </w:trPr>
        <w:tc>
          <w:tcPr>
            <w:tcW w:w="4954" w:type="dxa"/>
            <w:tcBorders>
              <w:left w:val="nil"/>
              <w:right w:val="nil"/>
            </w:tcBorders>
          </w:tcPr>
          <w:p w14:paraId="01A90886" w14:textId="77777777" w:rsidR="00614FAF" w:rsidRDefault="00AE6D39">
            <w:pPr>
              <w:pStyle w:val="TableParagraph"/>
              <w:ind w:left="33"/>
              <w:jc w:val="left"/>
              <w:rPr>
                <w:sz w:val="20"/>
              </w:rPr>
            </w:pPr>
            <w:r>
              <w:rPr>
                <w:sz w:val="20"/>
                <w:lang w:val="pl"/>
              </w:rPr>
              <w:t>2021</w:t>
            </w:r>
          </w:p>
        </w:tc>
        <w:tc>
          <w:tcPr>
            <w:tcW w:w="1007" w:type="dxa"/>
            <w:tcBorders>
              <w:left w:val="nil"/>
              <w:right w:val="nil"/>
            </w:tcBorders>
          </w:tcPr>
          <w:p w14:paraId="4CB8C00A" w14:textId="77777777" w:rsidR="00614FAF" w:rsidRDefault="00AE6D39">
            <w:pPr>
              <w:pStyle w:val="TableParagraph"/>
              <w:ind w:left="269" w:right="237"/>
              <w:rPr>
                <w:sz w:val="20"/>
              </w:rPr>
            </w:pPr>
            <w:r>
              <w:rPr>
                <w:sz w:val="20"/>
                <w:lang w:val="pl"/>
              </w:rPr>
              <w:t>905</w:t>
            </w:r>
          </w:p>
        </w:tc>
        <w:tc>
          <w:tcPr>
            <w:tcW w:w="1127" w:type="dxa"/>
            <w:tcBorders>
              <w:left w:val="nil"/>
              <w:right w:val="nil"/>
            </w:tcBorders>
          </w:tcPr>
          <w:p w14:paraId="66AC24C9" w14:textId="2D87E8E9" w:rsidR="00614FAF" w:rsidRDefault="00AE6D39">
            <w:pPr>
              <w:pStyle w:val="TableParagraph"/>
              <w:ind w:left="238" w:right="208"/>
              <w:rPr>
                <w:sz w:val="20"/>
              </w:rPr>
            </w:pPr>
            <w:r>
              <w:rPr>
                <w:sz w:val="20"/>
                <w:lang w:val="pl"/>
              </w:rPr>
              <w:t>3</w:t>
            </w:r>
            <w:r w:rsidR="00C95B8F">
              <w:rPr>
                <w:sz w:val="20"/>
                <w:lang w:val="pl"/>
              </w:rPr>
              <w:t>,</w:t>
            </w:r>
            <w:r>
              <w:rPr>
                <w:sz w:val="20"/>
                <w:lang w:val="pl"/>
              </w:rPr>
              <w:t>678</w:t>
            </w:r>
          </w:p>
        </w:tc>
        <w:tc>
          <w:tcPr>
            <w:tcW w:w="1582" w:type="dxa"/>
            <w:tcBorders>
              <w:left w:val="nil"/>
              <w:right w:val="single" w:sz="18" w:space="0" w:color="FFFFFF"/>
            </w:tcBorders>
          </w:tcPr>
          <w:p w14:paraId="750C2090" w14:textId="77777777" w:rsidR="00614FAF" w:rsidRDefault="00AE6D39">
            <w:pPr>
              <w:pStyle w:val="TableParagraph"/>
              <w:ind w:left="453" w:right="446"/>
              <w:rPr>
                <w:sz w:val="20"/>
              </w:rPr>
            </w:pPr>
            <w:r>
              <w:rPr>
                <w:sz w:val="20"/>
                <w:lang w:val="pl"/>
              </w:rPr>
              <w:t>77</w:t>
            </w:r>
          </w:p>
        </w:tc>
        <w:tc>
          <w:tcPr>
            <w:tcW w:w="1583" w:type="dxa"/>
            <w:gridSpan w:val="2"/>
            <w:tcBorders>
              <w:left w:val="single" w:sz="18" w:space="0" w:color="FFFFFF"/>
              <w:right w:val="nil"/>
            </w:tcBorders>
          </w:tcPr>
          <w:p w14:paraId="6D4A2394" w14:textId="77777777" w:rsidR="00614FAF" w:rsidRDefault="00AE6D39">
            <w:pPr>
              <w:pStyle w:val="TableParagraph"/>
              <w:ind w:left="265" w:right="259"/>
              <w:rPr>
                <w:sz w:val="20"/>
              </w:rPr>
            </w:pPr>
            <w:r>
              <w:rPr>
                <w:sz w:val="20"/>
                <w:lang w:val="pl"/>
              </w:rPr>
              <w:t>2,1%</w:t>
            </w:r>
          </w:p>
        </w:tc>
      </w:tr>
      <w:tr w:rsidR="00614FAF" w14:paraId="0B28DC70" w14:textId="77777777" w:rsidTr="00C21762">
        <w:trPr>
          <w:gridAfter w:val="1"/>
          <w:wAfter w:w="7" w:type="dxa"/>
          <w:trHeight w:val="330"/>
        </w:trPr>
        <w:tc>
          <w:tcPr>
            <w:tcW w:w="4954" w:type="dxa"/>
            <w:tcBorders>
              <w:left w:val="nil"/>
              <w:right w:val="nil"/>
            </w:tcBorders>
          </w:tcPr>
          <w:p w14:paraId="5632A12B" w14:textId="77777777" w:rsidR="00614FAF" w:rsidRDefault="00AE6D39">
            <w:pPr>
              <w:pStyle w:val="TableParagraph"/>
              <w:ind w:left="33"/>
              <w:jc w:val="left"/>
              <w:rPr>
                <w:sz w:val="20"/>
              </w:rPr>
            </w:pPr>
            <w:r>
              <w:rPr>
                <w:sz w:val="20"/>
                <w:lang w:val="pl"/>
              </w:rPr>
              <w:t>2020</w:t>
            </w:r>
          </w:p>
        </w:tc>
        <w:tc>
          <w:tcPr>
            <w:tcW w:w="1007" w:type="dxa"/>
            <w:tcBorders>
              <w:left w:val="nil"/>
              <w:right w:val="nil"/>
            </w:tcBorders>
          </w:tcPr>
          <w:p w14:paraId="6F5DDE1D" w14:textId="77777777" w:rsidR="00614FAF" w:rsidRDefault="00AE6D39">
            <w:pPr>
              <w:pStyle w:val="TableParagraph"/>
              <w:ind w:left="269" w:right="237"/>
              <w:rPr>
                <w:sz w:val="20"/>
              </w:rPr>
            </w:pPr>
            <w:r>
              <w:rPr>
                <w:sz w:val="20"/>
                <w:lang w:val="pl"/>
              </w:rPr>
              <w:t>934</w:t>
            </w:r>
          </w:p>
        </w:tc>
        <w:tc>
          <w:tcPr>
            <w:tcW w:w="1127" w:type="dxa"/>
            <w:tcBorders>
              <w:left w:val="nil"/>
              <w:right w:val="nil"/>
            </w:tcBorders>
          </w:tcPr>
          <w:p w14:paraId="7F1EE329" w14:textId="3C3C1482" w:rsidR="00614FAF" w:rsidRDefault="00AE6D39">
            <w:pPr>
              <w:pStyle w:val="TableParagraph"/>
              <w:ind w:left="238" w:right="208"/>
              <w:rPr>
                <w:sz w:val="20"/>
              </w:rPr>
            </w:pPr>
            <w:r>
              <w:rPr>
                <w:sz w:val="20"/>
                <w:lang w:val="pl"/>
              </w:rPr>
              <w:t>3</w:t>
            </w:r>
            <w:r w:rsidR="00C21762">
              <w:rPr>
                <w:sz w:val="20"/>
                <w:lang w:val="pl"/>
              </w:rPr>
              <w:t>,</w:t>
            </w:r>
            <w:r>
              <w:rPr>
                <w:sz w:val="20"/>
                <w:lang w:val="pl"/>
              </w:rPr>
              <w:t>752</w:t>
            </w:r>
          </w:p>
        </w:tc>
        <w:tc>
          <w:tcPr>
            <w:tcW w:w="1582" w:type="dxa"/>
            <w:tcBorders>
              <w:left w:val="nil"/>
              <w:right w:val="single" w:sz="18" w:space="0" w:color="FFFFFF"/>
            </w:tcBorders>
          </w:tcPr>
          <w:p w14:paraId="5EFD99FF" w14:textId="77777777" w:rsidR="00614FAF" w:rsidRDefault="00AE6D39">
            <w:pPr>
              <w:pStyle w:val="TableParagraph"/>
              <w:ind w:left="453" w:right="444"/>
              <w:rPr>
                <w:sz w:val="20"/>
              </w:rPr>
            </w:pPr>
            <w:r>
              <w:rPr>
                <w:sz w:val="20"/>
                <w:lang w:val="pl"/>
              </w:rPr>
              <w:t>246</w:t>
            </w:r>
          </w:p>
        </w:tc>
        <w:tc>
          <w:tcPr>
            <w:tcW w:w="1583" w:type="dxa"/>
            <w:gridSpan w:val="2"/>
            <w:tcBorders>
              <w:left w:val="single" w:sz="18" w:space="0" w:color="FFFFFF"/>
              <w:right w:val="nil"/>
            </w:tcBorders>
          </w:tcPr>
          <w:p w14:paraId="4209C073" w14:textId="77777777" w:rsidR="00614FAF" w:rsidRDefault="00AE6D39">
            <w:pPr>
              <w:pStyle w:val="TableParagraph"/>
              <w:ind w:left="265" w:right="259"/>
              <w:rPr>
                <w:sz w:val="20"/>
              </w:rPr>
            </w:pPr>
            <w:r>
              <w:rPr>
                <w:sz w:val="20"/>
                <w:lang w:val="pl"/>
              </w:rPr>
              <w:t>6,6%</w:t>
            </w:r>
          </w:p>
        </w:tc>
      </w:tr>
      <w:tr w:rsidR="00614FAF" w14:paraId="13D692BC" w14:textId="77777777" w:rsidTr="00C21762">
        <w:trPr>
          <w:gridAfter w:val="1"/>
          <w:wAfter w:w="7" w:type="dxa"/>
          <w:trHeight w:val="330"/>
        </w:trPr>
        <w:tc>
          <w:tcPr>
            <w:tcW w:w="4954" w:type="dxa"/>
            <w:tcBorders>
              <w:left w:val="nil"/>
              <w:right w:val="nil"/>
            </w:tcBorders>
          </w:tcPr>
          <w:p w14:paraId="399D744D" w14:textId="77777777" w:rsidR="00614FAF" w:rsidRDefault="00AE6D39">
            <w:pPr>
              <w:pStyle w:val="TableParagraph"/>
              <w:ind w:left="33"/>
              <w:jc w:val="left"/>
              <w:rPr>
                <w:sz w:val="20"/>
              </w:rPr>
            </w:pPr>
            <w:r>
              <w:rPr>
                <w:sz w:val="20"/>
                <w:lang w:val="pl"/>
              </w:rPr>
              <w:t>wzrost w ujęciu organicznym</w:t>
            </w:r>
          </w:p>
        </w:tc>
        <w:tc>
          <w:tcPr>
            <w:tcW w:w="1007" w:type="dxa"/>
            <w:tcBorders>
              <w:left w:val="nil"/>
              <w:right w:val="nil"/>
            </w:tcBorders>
          </w:tcPr>
          <w:p w14:paraId="68838FFA" w14:textId="77777777" w:rsidR="00614FAF" w:rsidRDefault="00AE6D39">
            <w:pPr>
              <w:pStyle w:val="TableParagraph"/>
              <w:ind w:left="269" w:right="239"/>
              <w:rPr>
                <w:sz w:val="20"/>
              </w:rPr>
            </w:pPr>
            <w:r>
              <w:rPr>
                <w:sz w:val="20"/>
                <w:lang w:val="pl"/>
              </w:rPr>
              <w:t>-1,4%</w:t>
            </w:r>
          </w:p>
        </w:tc>
        <w:tc>
          <w:tcPr>
            <w:tcW w:w="1127" w:type="dxa"/>
            <w:tcBorders>
              <w:left w:val="nil"/>
              <w:right w:val="single" w:sz="18" w:space="0" w:color="FFFFFF"/>
            </w:tcBorders>
          </w:tcPr>
          <w:p w14:paraId="1A375A24" w14:textId="77777777" w:rsidR="00614FAF" w:rsidRDefault="00AE6D39">
            <w:pPr>
              <w:pStyle w:val="TableParagraph"/>
              <w:ind w:left="254" w:right="226"/>
              <w:rPr>
                <w:sz w:val="20"/>
              </w:rPr>
            </w:pPr>
            <w:r>
              <w:rPr>
                <w:sz w:val="20"/>
                <w:lang w:val="pl"/>
              </w:rPr>
              <w:t>1,4%</w:t>
            </w:r>
          </w:p>
        </w:tc>
        <w:tc>
          <w:tcPr>
            <w:tcW w:w="1582" w:type="dxa"/>
            <w:tcBorders>
              <w:left w:val="single" w:sz="18" w:space="0" w:color="FFFFFF"/>
              <w:right w:val="single" w:sz="18" w:space="0" w:color="FFFFFF"/>
            </w:tcBorders>
          </w:tcPr>
          <w:p w14:paraId="5889D544" w14:textId="77777777" w:rsidR="00614FAF" w:rsidRDefault="00AE6D39">
            <w:pPr>
              <w:pStyle w:val="TableParagraph"/>
              <w:ind w:left="6"/>
              <w:rPr>
                <w:sz w:val="20"/>
              </w:rPr>
            </w:pPr>
            <w:r>
              <w:rPr>
                <w:sz w:val="20"/>
                <w:lang w:val="pl"/>
              </w:rPr>
              <w:t>‐</w:t>
            </w:r>
          </w:p>
        </w:tc>
        <w:tc>
          <w:tcPr>
            <w:tcW w:w="1583" w:type="dxa"/>
            <w:gridSpan w:val="2"/>
            <w:tcBorders>
              <w:left w:val="single" w:sz="18" w:space="0" w:color="FFFFFF"/>
              <w:right w:val="nil"/>
            </w:tcBorders>
          </w:tcPr>
          <w:p w14:paraId="3AC788C4" w14:textId="77777777" w:rsidR="00614FAF" w:rsidRDefault="00AE6D39">
            <w:pPr>
              <w:pStyle w:val="TableParagraph"/>
              <w:ind w:left="4"/>
              <w:rPr>
                <w:sz w:val="20"/>
              </w:rPr>
            </w:pPr>
            <w:r>
              <w:rPr>
                <w:sz w:val="20"/>
                <w:lang w:val="pl"/>
              </w:rPr>
              <w:t>‐</w:t>
            </w:r>
          </w:p>
        </w:tc>
      </w:tr>
      <w:tr w:rsidR="00614FAF" w14:paraId="0723BEB7" w14:textId="77777777" w:rsidTr="00C21762">
        <w:trPr>
          <w:gridAfter w:val="1"/>
          <w:wAfter w:w="7" w:type="dxa"/>
          <w:trHeight w:val="330"/>
        </w:trPr>
        <w:tc>
          <w:tcPr>
            <w:tcW w:w="4954" w:type="dxa"/>
            <w:tcBorders>
              <w:left w:val="nil"/>
              <w:right w:val="nil"/>
            </w:tcBorders>
          </w:tcPr>
          <w:p w14:paraId="29C7ED5F" w14:textId="77777777" w:rsidR="00614FAF" w:rsidRDefault="00AE6D39">
            <w:pPr>
              <w:pStyle w:val="TableParagraph"/>
              <w:spacing w:before="62"/>
              <w:ind w:left="33"/>
              <w:jc w:val="left"/>
              <w:rPr>
                <w:sz w:val="20"/>
              </w:rPr>
            </w:pPr>
            <w:r>
              <w:rPr>
                <w:sz w:val="20"/>
                <w:lang w:val="pl"/>
              </w:rPr>
              <w:t xml:space="preserve">skorygowane dane za 2021 r. </w:t>
            </w:r>
            <w:r>
              <w:rPr>
                <w:sz w:val="20"/>
                <w:vertAlign w:val="superscript"/>
                <w:lang w:val="pl"/>
              </w:rPr>
              <w:t>1)</w:t>
            </w:r>
          </w:p>
        </w:tc>
        <w:tc>
          <w:tcPr>
            <w:tcW w:w="1007" w:type="dxa"/>
            <w:tcBorders>
              <w:left w:val="nil"/>
              <w:right w:val="nil"/>
            </w:tcBorders>
          </w:tcPr>
          <w:p w14:paraId="75EA1C64" w14:textId="77777777" w:rsidR="00614FAF" w:rsidRDefault="00AE6D39">
            <w:pPr>
              <w:pStyle w:val="TableParagraph"/>
              <w:ind w:left="29"/>
              <w:rPr>
                <w:sz w:val="20"/>
              </w:rPr>
            </w:pPr>
            <w:r>
              <w:rPr>
                <w:sz w:val="20"/>
                <w:lang w:val="pl"/>
              </w:rPr>
              <w:t>‐</w:t>
            </w:r>
          </w:p>
        </w:tc>
        <w:tc>
          <w:tcPr>
            <w:tcW w:w="1127" w:type="dxa"/>
            <w:tcBorders>
              <w:left w:val="nil"/>
              <w:right w:val="single" w:sz="18" w:space="0" w:color="FFFFFF"/>
            </w:tcBorders>
          </w:tcPr>
          <w:p w14:paraId="31502216" w14:textId="77777777" w:rsidR="00614FAF" w:rsidRDefault="00AE6D39">
            <w:pPr>
              <w:pStyle w:val="TableParagraph"/>
              <w:ind w:left="26"/>
              <w:rPr>
                <w:sz w:val="20"/>
              </w:rPr>
            </w:pPr>
            <w:r>
              <w:rPr>
                <w:sz w:val="20"/>
                <w:lang w:val="pl"/>
              </w:rPr>
              <w:t>‐</w:t>
            </w:r>
          </w:p>
        </w:tc>
        <w:tc>
          <w:tcPr>
            <w:tcW w:w="1582" w:type="dxa"/>
            <w:tcBorders>
              <w:left w:val="single" w:sz="18" w:space="0" w:color="FFFFFF"/>
              <w:right w:val="single" w:sz="18" w:space="0" w:color="FFFFFF"/>
            </w:tcBorders>
          </w:tcPr>
          <w:p w14:paraId="6A388646" w14:textId="77777777" w:rsidR="00614FAF" w:rsidRDefault="00AE6D39">
            <w:pPr>
              <w:pStyle w:val="TableParagraph"/>
              <w:ind w:left="525" w:right="516"/>
              <w:rPr>
                <w:sz w:val="20"/>
              </w:rPr>
            </w:pPr>
            <w:r>
              <w:rPr>
                <w:sz w:val="20"/>
                <w:lang w:val="pl"/>
              </w:rPr>
              <w:t>351</w:t>
            </w:r>
          </w:p>
        </w:tc>
        <w:tc>
          <w:tcPr>
            <w:tcW w:w="1583" w:type="dxa"/>
            <w:gridSpan w:val="2"/>
            <w:tcBorders>
              <w:left w:val="single" w:sz="18" w:space="0" w:color="FFFFFF"/>
              <w:right w:val="nil"/>
            </w:tcBorders>
          </w:tcPr>
          <w:p w14:paraId="158414EE" w14:textId="77777777" w:rsidR="00614FAF" w:rsidRDefault="00AE6D39">
            <w:pPr>
              <w:pStyle w:val="TableParagraph"/>
              <w:ind w:left="264" w:right="259"/>
              <w:rPr>
                <w:sz w:val="20"/>
              </w:rPr>
            </w:pPr>
            <w:r>
              <w:rPr>
                <w:sz w:val="20"/>
                <w:lang w:val="pl"/>
              </w:rPr>
              <w:t>9,5%</w:t>
            </w:r>
          </w:p>
        </w:tc>
      </w:tr>
      <w:tr w:rsidR="00614FAF" w14:paraId="71EDE217" w14:textId="77777777" w:rsidTr="00C21762">
        <w:trPr>
          <w:gridAfter w:val="1"/>
          <w:wAfter w:w="7" w:type="dxa"/>
          <w:trHeight w:val="325"/>
        </w:trPr>
        <w:tc>
          <w:tcPr>
            <w:tcW w:w="4954" w:type="dxa"/>
            <w:tcBorders>
              <w:left w:val="nil"/>
              <w:right w:val="nil"/>
            </w:tcBorders>
          </w:tcPr>
          <w:p w14:paraId="01581434" w14:textId="77777777" w:rsidR="00614FAF" w:rsidRDefault="00AE6D39">
            <w:pPr>
              <w:pStyle w:val="TableParagraph"/>
              <w:spacing w:before="60"/>
              <w:ind w:left="33"/>
              <w:jc w:val="left"/>
              <w:rPr>
                <w:sz w:val="20"/>
              </w:rPr>
            </w:pPr>
            <w:r>
              <w:rPr>
                <w:sz w:val="20"/>
                <w:lang w:val="pl"/>
              </w:rPr>
              <w:t xml:space="preserve">skorygowane dane za 2020 r. </w:t>
            </w:r>
            <w:r>
              <w:rPr>
                <w:sz w:val="20"/>
                <w:vertAlign w:val="superscript"/>
                <w:lang w:val="pl"/>
              </w:rPr>
              <w:t>1)</w:t>
            </w:r>
          </w:p>
        </w:tc>
        <w:tc>
          <w:tcPr>
            <w:tcW w:w="1007" w:type="dxa"/>
            <w:tcBorders>
              <w:left w:val="nil"/>
              <w:right w:val="nil"/>
            </w:tcBorders>
          </w:tcPr>
          <w:p w14:paraId="2B0BB854" w14:textId="77777777" w:rsidR="00614FAF" w:rsidRDefault="00AE6D39">
            <w:pPr>
              <w:pStyle w:val="TableParagraph"/>
              <w:spacing w:before="41"/>
              <w:ind w:left="29"/>
              <w:rPr>
                <w:sz w:val="20"/>
              </w:rPr>
            </w:pPr>
            <w:r>
              <w:rPr>
                <w:sz w:val="20"/>
                <w:lang w:val="pl"/>
              </w:rPr>
              <w:t>‐</w:t>
            </w:r>
          </w:p>
        </w:tc>
        <w:tc>
          <w:tcPr>
            <w:tcW w:w="1127" w:type="dxa"/>
            <w:tcBorders>
              <w:left w:val="nil"/>
              <w:right w:val="single" w:sz="18" w:space="0" w:color="FFFFFF"/>
            </w:tcBorders>
          </w:tcPr>
          <w:p w14:paraId="7BAB3326" w14:textId="77777777" w:rsidR="00614FAF" w:rsidRDefault="00AE6D39">
            <w:pPr>
              <w:pStyle w:val="TableParagraph"/>
              <w:spacing w:before="41"/>
              <w:ind w:left="26"/>
              <w:rPr>
                <w:sz w:val="20"/>
              </w:rPr>
            </w:pPr>
            <w:r>
              <w:rPr>
                <w:sz w:val="20"/>
                <w:lang w:val="pl"/>
              </w:rPr>
              <w:t>‐</w:t>
            </w:r>
          </w:p>
        </w:tc>
        <w:tc>
          <w:tcPr>
            <w:tcW w:w="1582" w:type="dxa"/>
            <w:tcBorders>
              <w:left w:val="single" w:sz="18" w:space="0" w:color="FFFFFF"/>
              <w:right w:val="single" w:sz="18" w:space="0" w:color="FFFFFF"/>
            </w:tcBorders>
          </w:tcPr>
          <w:p w14:paraId="71D62CD4" w14:textId="77777777" w:rsidR="00614FAF" w:rsidRDefault="00AE6D39">
            <w:pPr>
              <w:pStyle w:val="TableParagraph"/>
              <w:spacing w:before="41"/>
              <w:ind w:left="525" w:right="516"/>
              <w:rPr>
                <w:sz w:val="20"/>
              </w:rPr>
            </w:pPr>
            <w:r>
              <w:rPr>
                <w:sz w:val="20"/>
                <w:lang w:val="pl"/>
              </w:rPr>
              <w:t>377</w:t>
            </w:r>
          </w:p>
        </w:tc>
        <w:tc>
          <w:tcPr>
            <w:tcW w:w="1583" w:type="dxa"/>
            <w:gridSpan w:val="2"/>
            <w:tcBorders>
              <w:left w:val="single" w:sz="18" w:space="0" w:color="FFFFFF"/>
              <w:right w:val="nil"/>
            </w:tcBorders>
          </w:tcPr>
          <w:p w14:paraId="4082B887" w14:textId="77777777" w:rsidR="00614FAF" w:rsidRDefault="00AE6D39">
            <w:pPr>
              <w:pStyle w:val="TableParagraph"/>
              <w:spacing w:before="41"/>
              <w:ind w:left="265" w:right="257"/>
              <w:rPr>
                <w:sz w:val="20"/>
              </w:rPr>
            </w:pPr>
            <w:r>
              <w:rPr>
                <w:sz w:val="20"/>
                <w:lang w:val="pl"/>
              </w:rPr>
              <w:t>10,0%</w:t>
            </w:r>
          </w:p>
        </w:tc>
      </w:tr>
      <w:tr w:rsidR="00614FAF" w14:paraId="3D354FDA" w14:textId="77777777" w:rsidTr="00C21762">
        <w:trPr>
          <w:gridAfter w:val="1"/>
          <w:wAfter w:w="7" w:type="dxa"/>
          <w:trHeight w:val="330"/>
        </w:trPr>
        <w:tc>
          <w:tcPr>
            <w:tcW w:w="7088" w:type="dxa"/>
            <w:gridSpan w:val="3"/>
            <w:tcBorders>
              <w:left w:val="nil"/>
              <w:right w:val="single" w:sz="18" w:space="0" w:color="FFFFFF"/>
            </w:tcBorders>
            <w:shd w:val="clear" w:color="auto" w:fill="E7E6E6"/>
          </w:tcPr>
          <w:p w14:paraId="4E077E65" w14:textId="77777777" w:rsidR="00614FAF" w:rsidRDefault="00AE6D39">
            <w:pPr>
              <w:pStyle w:val="TableParagraph"/>
              <w:ind w:left="11"/>
              <w:jc w:val="left"/>
              <w:rPr>
                <w:b/>
                <w:sz w:val="20"/>
              </w:rPr>
            </w:pPr>
            <w:r>
              <w:rPr>
                <w:b/>
                <w:bCs/>
                <w:sz w:val="20"/>
                <w:lang w:val="pl"/>
              </w:rPr>
              <w:t>Laundry &amp; Home Care</w:t>
            </w:r>
          </w:p>
        </w:tc>
        <w:tc>
          <w:tcPr>
            <w:tcW w:w="1582" w:type="dxa"/>
            <w:tcBorders>
              <w:left w:val="single" w:sz="18" w:space="0" w:color="FFFFFF"/>
              <w:right w:val="single" w:sz="18" w:space="0" w:color="FFFFFF"/>
            </w:tcBorders>
            <w:shd w:val="clear" w:color="auto" w:fill="E7E6E6"/>
          </w:tcPr>
          <w:p w14:paraId="1088D437" w14:textId="77777777" w:rsidR="00614FAF" w:rsidRDefault="00614FAF">
            <w:pPr>
              <w:pStyle w:val="TableParagraph"/>
              <w:spacing w:before="0"/>
              <w:jc w:val="left"/>
              <w:rPr>
                <w:rFonts w:ascii="Times New Roman"/>
                <w:sz w:val="18"/>
              </w:rPr>
            </w:pPr>
          </w:p>
        </w:tc>
        <w:tc>
          <w:tcPr>
            <w:tcW w:w="1583" w:type="dxa"/>
            <w:gridSpan w:val="2"/>
            <w:tcBorders>
              <w:left w:val="single" w:sz="18" w:space="0" w:color="FFFFFF"/>
              <w:right w:val="nil"/>
            </w:tcBorders>
            <w:shd w:val="clear" w:color="auto" w:fill="E7E6E6"/>
          </w:tcPr>
          <w:p w14:paraId="6C420E8E" w14:textId="77777777" w:rsidR="00614FAF" w:rsidRDefault="00614FAF">
            <w:pPr>
              <w:pStyle w:val="TableParagraph"/>
              <w:spacing w:before="0"/>
              <w:jc w:val="left"/>
              <w:rPr>
                <w:rFonts w:ascii="Times New Roman"/>
                <w:sz w:val="18"/>
              </w:rPr>
            </w:pPr>
          </w:p>
        </w:tc>
      </w:tr>
      <w:tr w:rsidR="00614FAF" w14:paraId="0F81F727" w14:textId="77777777" w:rsidTr="00C21762">
        <w:trPr>
          <w:gridAfter w:val="1"/>
          <w:wAfter w:w="7" w:type="dxa"/>
          <w:trHeight w:val="330"/>
        </w:trPr>
        <w:tc>
          <w:tcPr>
            <w:tcW w:w="4954" w:type="dxa"/>
            <w:tcBorders>
              <w:left w:val="nil"/>
              <w:right w:val="nil"/>
            </w:tcBorders>
          </w:tcPr>
          <w:p w14:paraId="4145382F" w14:textId="77777777" w:rsidR="00614FAF" w:rsidRDefault="00AE6D39">
            <w:pPr>
              <w:pStyle w:val="TableParagraph"/>
              <w:ind w:left="33"/>
              <w:jc w:val="left"/>
              <w:rPr>
                <w:sz w:val="20"/>
              </w:rPr>
            </w:pPr>
            <w:r>
              <w:rPr>
                <w:sz w:val="20"/>
                <w:lang w:val="pl"/>
              </w:rPr>
              <w:t>2021</w:t>
            </w:r>
          </w:p>
        </w:tc>
        <w:tc>
          <w:tcPr>
            <w:tcW w:w="1007" w:type="dxa"/>
            <w:tcBorders>
              <w:left w:val="nil"/>
              <w:right w:val="nil"/>
            </w:tcBorders>
          </w:tcPr>
          <w:p w14:paraId="178942AF" w14:textId="5658BBF5" w:rsidR="00614FAF" w:rsidRDefault="00AE6D39">
            <w:pPr>
              <w:pStyle w:val="TableParagraph"/>
              <w:ind w:left="269" w:right="236"/>
              <w:rPr>
                <w:sz w:val="20"/>
              </w:rPr>
            </w:pPr>
            <w:r>
              <w:rPr>
                <w:sz w:val="20"/>
                <w:lang w:val="pl"/>
              </w:rPr>
              <w:t>1</w:t>
            </w:r>
            <w:r w:rsidR="00C21762">
              <w:rPr>
                <w:sz w:val="20"/>
                <w:lang w:val="pl"/>
              </w:rPr>
              <w:t>,</w:t>
            </w:r>
            <w:r>
              <w:rPr>
                <w:sz w:val="20"/>
                <w:lang w:val="pl"/>
              </w:rPr>
              <w:t>650</w:t>
            </w:r>
          </w:p>
        </w:tc>
        <w:tc>
          <w:tcPr>
            <w:tcW w:w="1127" w:type="dxa"/>
            <w:tcBorders>
              <w:left w:val="nil"/>
              <w:right w:val="nil"/>
            </w:tcBorders>
          </w:tcPr>
          <w:p w14:paraId="07D004BA" w14:textId="00236830" w:rsidR="00614FAF" w:rsidRDefault="00AE6D39">
            <w:pPr>
              <w:pStyle w:val="TableParagraph"/>
              <w:ind w:left="238" w:right="207"/>
              <w:rPr>
                <w:sz w:val="20"/>
              </w:rPr>
            </w:pPr>
            <w:r>
              <w:rPr>
                <w:sz w:val="20"/>
                <w:lang w:val="pl"/>
              </w:rPr>
              <w:t>6</w:t>
            </w:r>
            <w:r w:rsidR="00C21762">
              <w:rPr>
                <w:sz w:val="20"/>
                <w:lang w:val="pl"/>
              </w:rPr>
              <w:t>,</w:t>
            </w:r>
            <w:r>
              <w:rPr>
                <w:sz w:val="20"/>
                <w:lang w:val="pl"/>
              </w:rPr>
              <w:t>605</w:t>
            </w:r>
          </w:p>
        </w:tc>
        <w:tc>
          <w:tcPr>
            <w:tcW w:w="1582" w:type="dxa"/>
            <w:tcBorders>
              <w:left w:val="nil"/>
              <w:right w:val="single" w:sz="18" w:space="0" w:color="FFFFFF"/>
            </w:tcBorders>
          </w:tcPr>
          <w:p w14:paraId="5251FC2E" w14:textId="77777777" w:rsidR="00614FAF" w:rsidRDefault="00AE6D39">
            <w:pPr>
              <w:pStyle w:val="TableParagraph"/>
              <w:ind w:left="453" w:right="443"/>
              <w:rPr>
                <w:sz w:val="20"/>
              </w:rPr>
            </w:pPr>
            <w:r>
              <w:rPr>
                <w:sz w:val="20"/>
                <w:lang w:val="pl"/>
              </w:rPr>
              <w:t>797</w:t>
            </w:r>
          </w:p>
        </w:tc>
        <w:tc>
          <w:tcPr>
            <w:tcW w:w="1583" w:type="dxa"/>
            <w:gridSpan w:val="2"/>
            <w:tcBorders>
              <w:left w:val="single" w:sz="18" w:space="0" w:color="FFFFFF"/>
              <w:right w:val="nil"/>
            </w:tcBorders>
          </w:tcPr>
          <w:p w14:paraId="2E445BC9" w14:textId="77777777" w:rsidR="00614FAF" w:rsidRDefault="00AE6D39">
            <w:pPr>
              <w:pStyle w:val="TableParagraph"/>
              <w:ind w:left="265" w:right="256"/>
              <w:rPr>
                <w:sz w:val="20"/>
              </w:rPr>
            </w:pPr>
            <w:r>
              <w:rPr>
                <w:sz w:val="20"/>
                <w:lang w:val="pl"/>
              </w:rPr>
              <w:t>12,1%</w:t>
            </w:r>
          </w:p>
        </w:tc>
      </w:tr>
      <w:tr w:rsidR="00614FAF" w14:paraId="04212A4A" w14:textId="77777777" w:rsidTr="00C21762">
        <w:trPr>
          <w:gridAfter w:val="1"/>
          <w:wAfter w:w="7" w:type="dxa"/>
          <w:trHeight w:val="330"/>
        </w:trPr>
        <w:tc>
          <w:tcPr>
            <w:tcW w:w="4954" w:type="dxa"/>
            <w:tcBorders>
              <w:left w:val="nil"/>
              <w:right w:val="nil"/>
            </w:tcBorders>
          </w:tcPr>
          <w:p w14:paraId="07F35170" w14:textId="77777777" w:rsidR="00614FAF" w:rsidRDefault="00AE6D39">
            <w:pPr>
              <w:pStyle w:val="TableParagraph"/>
              <w:ind w:left="33"/>
              <w:jc w:val="left"/>
              <w:rPr>
                <w:sz w:val="20"/>
              </w:rPr>
            </w:pPr>
            <w:r>
              <w:rPr>
                <w:sz w:val="20"/>
                <w:lang w:val="pl"/>
              </w:rPr>
              <w:t>2020</w:t>
            </w:r>
          </w:p>
        </w:tc>
        <w:tc>
          <w:tcPr>
            <w:tcW w:w="1007" w:type="dxa"/>
            <w:tcBorders>
              <w:left w:val="nil"/>
              <w:right w:val="nil"/>
            </w:tcBorders>
          </w:tcPr>
          <w:p w14:paraId="1C87E6FE" w14:textId="2A22F4D3" w:rsidR="00614FAF" w:rsidRDefault="00AE6D39">
            <w:pPr>
              <w:pStyle w:val="TableParagraph"/>
              <w:ind w:left="269" w:right="236"/>
              <w:rPr>
                <w:sz w:val="20"/>
              </w:rPr>
            </w:pPr>
            <w:r>
              <w:rPr>
                <w:sz w:val="20"/>
                <w:lang w:val="pl"/>
              </w:rPr>
              <w:t>1</w:t>
            </w:r>
            <w:r w:rsidR="00C21762">
              <w:rPr>
                <w:sz w:val="20"/>
                <w:lang w:val="pl"/>
              </w:rPr>
              <w:t>,</w:t>
            </w:r>
            <w:r>
              <w:rPr>
                <w:sz w:val="20"/>
                <w:lang w:val="pl"/>
              </w:rPr>
              <w:t>551</w:t>
            </w:r>
          </w:p>
        </w:tc>
        <w:tc>
          <w:tcPr>
            <w:tcW w:w="1127" w:type="dxa"/>
            <w:tcBorders>
              <w:left w:val="nil"/>
              <w:right w:val="nil"/>
            </w:tcBorders>
          </w:tcPr>
          <w:p w14:paraId="24B565AF" w14:textId="3BD68A31" w:rsidR="00614FAF" w:rsidRDefault="00AE6D39">
            <w:pPr>
              <w:pStyle w:val="TableParagraph"/>
              <w:ind w:left="238" w:right="207"/>
              <w:rPr>
                <w:sz w:val="20"/>
              </w:rPr>
            </w:pPr>
            <w:r>
              <w:rPr>
                <w:sz w:val="20"/>
                <w:lang w:val="pl"/>
              </w:rPr>
              <w:t>6</w:t>
            </w:r>
            <w:r w:rsidR="00C21762">
              <w:rPr>
                <w:sz w:val="20"/>
                <w:lang w:val="pl"/>
              </w:rPr>
              <w:t>,</w:t>
            </w:r>
            <w:r>
              <w:rPr>
                <w:sz w:val="20"/>
                <w:lang w:val="pl"/>
              </w:rPr>
              <w:t>704</w:t>
            </w:r>
          </w:p>
        </w:tc>
        <w:tc>
          <w:tcPr>
            <w:tcW w:w="1582" w:type="dxa"/>
            <w:tcBorders>
              <w:left w:val="nil"/>
              <w:right w:val="single" w:sz="18" w:space="0" w:color="FFFFFF"/>
            </w:tcBorders>
          </w:tcPr>
          <w:p w14:paraId="5E0AA205" w14:textId="77777777" w:rsidR="00614FAF" w:rsidRDefault="00AE6D39">
            <w:pPr>
              <w:pStyle w:val="TableParagraph"/>
              <w:ind w:left="453" w:right="443"/>
              <w:rPr>
                <w:sz w:val="20"/>
              </w:rPr>
            </w:pPr>
            <w:r>
              <w:rPr>
                <w:sz w:val="20"/>
                <w:lang w:val="pl"/>
              </w:rPr>
              <w:t>688</w:t>
            </w:r>
          </w:p>
        </w:tc>
        <w:tc>
          <w:tcPr>
            <w:tcW w:w="1583" w:type="dxa"/>
            <w:gridSpan w:val="2"/>
            <w:tcBorders>
              <w:left w:val="single" w:sz="18" w:space="0" w:color="FFFFFF"/>
              <w:right w:val="nil"/>
            </w:tcBorders>
          </w:tcPr>
          <w:p w14:paraId="58F6838A" w14:textId="77777777" w:rsidR="00614FAF" w:rsidRDefault="00AE6D39">
            <w:pPr>
              <w:pStyle w:val="TableParagraph"/>
              <w:ind w:left="265" w:right="256"/>
              <w:rPr>
                <w:sz w:val="20"/>
              </w:rPr>
            </w:pPr>
            <w:r>
              <w:rPr>
                <w:sz w:val="20"/>
                <w:lang w:val="pl"/>
              </w:rPr>
              <w:t>10,3%</w:t>
            </w:r>
          </w:p>
        </w:tc>
      </w:tr>
      <w:tr w:rsidR="00614FAF" w14:paraId="18D975B4" w14:textId="77777777" w:rsidTr="00C21762">
        <w:trPr>
          <w:gridAfter w:val="1"/>
          <w:wAfter w:w="7" w:type="dxa"/>
          <w:trHeight w:val="330"/>
        </w:trPr>
        <w:tc>
          <w:tcPr>
            <w:tcW w:w="4954" w:type="dxa"/>
            <w:tcBorders>
              <w:left w:val="nil"/>
              <w:right w:val="nil"/>
            </w:tcBorders>
          </w:tcPr>
          <w:p w14:paraId="0760149B" w14:textId="77777777" w:rsidR="00614FAF" w:rsidRDefault="00AE6D39">
            <w:pPr>
              <w:pStyle w:val="TableParagraph"/>
              <w:ind w:left="33"/>
              <w:jc w:val="left"/>
              <w:rPr>
                <w:sz w:val="20"/>
              </w:rPr>
            </w:pPr>
            <w:r>
              <w:rPr>
                <w:sz w:val="20"/>
                <w:lang w:val="pl"/>
              </w:rPr>
              <w:t>wzrost w ujęciu organicznym</w:t>
            </w:r>
          </w:p>
        </w:tc>
        <w:tc>
          <w:tcPr>
            <w:tcW w:w="1007" w:type="dxa"/>
            <w:tcBorders>
              <w:left w:val="nil"/>
              <w:right w:val="nil"/>
            </w:tcBorders>
          </w:tcPr>
          <w:p w14:paraId="0C0328DF" w14:textId="77777777" w:rsidR="00614FAF" w:rsidRDefault="00AE6D39">
            <w:pPr>
              <w:pStyle w:val="TableParagraph"/>
              <w:ind w:left="269" w:right="239"/>
              <w:rPr>
                <w:sz w:val="20"/>
              </w:rPr>
            </w:pPr>
            <w:r>
              <w:rPr>
                <w:sz w:val="20"/>
                <w:lang w:val="pl"/>
              </w:rPr>
              <w:t>5,9%</w:t>
            </w:r>
          </w:p>
        </w:tc>
        <w:tc>
          <w:tcPr>
            <w:tcW w:w="1127" w:type="dxa"/>
            <w:tcBorders>
              <w:left w:val="nil"/>
              <w:right w:val="single" w:sz="18" w:space="0" w:color="FFFFFF"/>
            </w:tcBorders>
          </w:tcPr>
          <w:p w14:paraId="7043AD14" w14:textId="77777777" w:rsidR="00614FAF" w:rsidRDefault="00AE6D39">
            <w:pPr>
              <w:pStyle w:val="TableParagraph"/>
              <w:ind w:left="254" w:right="226"/>
              <w:rPr>
                <w:sz w:val="20"/>
              </w:rPr>
            </w:pPr>
            <w:r>
              <w:rPr>
                <w:sz w:val="20"/>
                <w:lang w:val="pl"/>
              </w:rPr>
              <w:t>3,9%</w:t>
            </w:r>
          </w:p>
        </w:tc>
        <w:tc>
          <w:tcPr>
            <w:tcW w:w="1582" w:type="dxa"/>
            <w:tcBorders>
              <w:left w:val="single" w:sz="18" w:space="0" w:color="FFFFFF"/>
              <w:right w:val="single" w:sz="18" w:space="0" w:color="FFFFFF"/>
            </w:tcBorders>
          </w:tcPr>
          <w:p w14:paraId="6F53CFB3" w14:textId="77777777" w:rsidR="00614FAF" w:rsidRDefault="00AE6D39">
            <w:pPr>
              <w:pStyle w:val="TableParagraph"/>
              <w:ind w:left="6"/>
              <w:rPr>
                <w:sz w:val="20"/>
              </w:rPr>
            </w:pPr>
            <w:r>
              <w:rPr>
                <w:sz w:val="20"/>
                <w:lang w:val="pl"/>
              </w:rPr>
              <w:t>‐</w:t>
            </w:r>
          </w:p>
        </w:tc>
        <w:tc>
          <w:tcPr>
            <w:tcW w:w="1583" w:type="dxa"/>
            <w:gridSpan w:val="2"/>
            <w:tcBorders>
              <w:left w:val="single" w:sz="18" w:space="0" w:color="FFFFFF"/>
              <w:right w:val="nil"/>
            </w:tcBorders>
          </w:tcPr>
          <w:p w14:paraId="7D53F48B" w14:textId="77777777" w:rsidR="00614FAF" w:rsidRDefault="00AE6D39">
            <w:pPr>
              <w:pStyle w:val="TableParagraph"/>
              <w:ind w:left="4"/>
              <w:rPr>
                <w:sz w:val="20"/>
              </w:rPr>
            </w:pPr>
            <w:r>
              <w:rPr>
                <w:sz w:val="20"/>
                <w:lang w:val="pl"/>
              </w:rPr>
              <w:t>‐</w:t>
            </w:r>
          </w:p>
        </w:tc>
      </w:tr>
      <w:tr w:rsidR="00614FAF" w14:paraId="31489575" w14:textId="77777777" w:rsidTr="00C21762">
        <w:trPr>
          <w:gridAfter w:val="1"/>
          <w:wAfter w:w="7" w:type="dxa"/>
          <w:trHeight w:val="330"/>
        </w:trPr>
        <w:tc>
          <w:tcPr>
            <w:tcW w:w="4954" w:type="dxa"/>
            <w:tcBorders>
              <w:left w:val="nil"/>
              <w:right w:val="nil"/>
            </w:tcBorders>
          </w:tcPr>
          <w:p w14:paraId="698541F2" w14:textId="77777777" w:rsidR="00614FAF" w:rsidRDefault="00AE6D39">
            <w:pPr>
              <w:pStyle w:val="TableParagraph"/>
              <w:spacing w:before="62"/>
              <w:ind w:left="33"/>
              <w:jc w:val="left"/>
              <w:rPr>
                <w:sz w:val="20"/>
              </w:rPr>
            </w:pPr>
            <w:r>
              <w:rPr>
                <w:sz w:val="20"/>
                <w:lang w:val="pl"/>
              </w:rPr>
              <w:t xml:space="preserve">skorygowane dane za 2021 r. </w:t>
            </w:r>
            <w:r>
              <w:rPr>
                <w:sz w:val="20"/>
                <w:vertAlign w:val="superscript"/>
                <w:lang w:val="pl"/>
              </w:rPr>
              <w:t>1)</w:t>
            </w:r>
          </w:p>
        </w:tc>
        <w:tc>
          <w:tcPr>
            <w:tcW w:w="1007" w:type="dxa"/>
            <w:tcBorders>
              <w:left w:val="nil"/>
              <w:right w:val="nil"/>
            </w:tcBorders>
          </w:tcPr>
          <w:p w14:paraId="383FCCA9" w14:textId="77777777" w:rsidR="00614FAF" w:rsidRDefault="00AE6D39">
            <w:pPr>
              <w:pStyle w:val="TableParagraph"/>
              <w:ind w:left="29"/>
              <w:rPr>
                <w:sz w:val="20"/>
              </w:rPr>
            </w:pPr>
            <w:r>
              <w:rPr>
                <w:sz w:val="20"/>
                <w:lang w:val="pl"/>
              </w:rPr>
              <w:t>‐</w:t>
            </w:r>
          </w:p>
        </w:tc>
        <w:tc>
          <w:tcPr>
            <w:tcW w:w="1127" w:type="dxa"/>
            <w:tcBorders>
              <w:left w:val="nil"/>
              <w:right w:val="single" w:sz="18" w:space="0" w:color="FFFFFF"/>
            </w:tcBorders>
          </w:tcPr>
          <w:p w14:paraId="029B50E1" w14:textId="77777777" w:rsidR="00614FAF" w:rsidRDefault="00AE6D39">
            <w:pPr>
              <w:pStyle w:val="TableParagraph"/>
              <w:ind w:left="26"/>
              <w:rPr>
                <w:sz w:val="20"/>
              </w:rPr>
            </w:pPr>
            <w:r>
              <w:rPr>
                <w:sz w:val="20"/>
                <w:lang w:val="pl"/>
              </w:rPr>
              <w:t>‐</w:t>
            </w:r>
          </w:p>
        </w:tc>
        <w:tc>
          <w:tcPr>
            <w:tcW w:w="1582" w:type="dxa"/>
            <w:tcBorders>
              <w:left w:val="single" w:sz="18" w:space="0" w:color="FFFFFF"/>
              <w:right w:val="single" w:sz="18" w:space="0" w:color="FFFFFF"/>
            </w:tcBorders>
          </w:tcPr>
          <w:p w14:paraId="1B7A8748" w14:textId="77777777" w:rsidR="00614FAF" w:rsidRDefault="00AE6D39">
            <w:pPr>
              <w:pStyle w:val="TableParagraph"/>
              <w:ind w:left="525" w:right="516"/>
              <w:rPr>
                <w:sz w:val="20"/>
              </w:rPr>
            </w:pPr>
            <w:r>
              <w:rPr>
                <w:sz w:val="20"/>
                <w:lang w:val="pl"/>
              </w:rPr>
              <w:t>904</w:t>
            </w:r>
          </w:p>
        </w:tc>
        <w:tc>
          <w:tcPr>
            <w:tcW w:w="1583" w:type="dxa"/>
            <w:gridSpan w:val="2"/>
            <w:tcBorders>
              <w:left w:val="single" w:sz="18" w:space="0" w:color="FFFFFF"/>
              <w:right w:val="nil"/>
            </w:tcBorders>
          </w:tcPr>
          <w:p w14:paraId="46A489D5" w14:textId="77777777" w:rsidR="00614FAF" w:rsidRDefault="00AE6D39">
            <w:pPr>
              <w:pStyle w:val="TableParagraph"/>
              <w:ind w:left="265" w:right="257"/>
              <w:rPr>
                <w:sz w:val="20"/>
              </w:rPr>
            </w:pPr>
            <w:r>
              <w:rPr>
                <w:sz w:val="20"/>
                <w:lang w:val="pl"/>
              </w:rPr>
              <w:t>13,7%</w:t>
            </w:r>
          </w:p>
        </w:tc>
      </w:tr>
      <w:tr w:rsidR="00614FAF" w14:paraId="56065289" w14:textId="77777777" w:rsidTr="00C21762">
        <w:trPr>
          <w:gridAfter w:val="1"/>
          <w:wAfter w:w="7" w:type="dxa"/>
          <w:trHeight w:val="325"/>
        </w:trPr>
        <w:tc>
          <w:tcPr>
            <w:tcW w:w="4954" w:type="dxa"/>
            <w:tcBorders>
              <w:left w:val="nil"/>
              <w:right w:val="nil"/>
            </w:tcBorders>
          </w:tcPr>
          <w:p w14:paraId="489A849E" w14:textId="77777777" w:rsidR="00614FAF" w:rsidRDefault="00AE6D39">
            <w:pPr>
              <w:pStyle w:val="TableParagraph"/>
              <w:spacing w:before="60"/>
              <w:ind w:left="33"/>
              <w:jc w:val="left"/>
              <w:rPr>
                <w:sz w:val="20"/>
              </w:rPr>
            </w:pPr>
            <w:r>
              <w:rPr>
                <w:sz w:val="20"/>
                <w:lang w:val="pl"/>
              </w:rPr>
              <w:t xml:space="preserve">skorygowane dane za 2020 r. </w:t>
            </w:r>
            <w:r>
              <w:rPr>
                <w:sz w:val="20"/>
                <w:vertAlign w:val="superscript"/>
                <w:lang w:val="pl"/>
              </w:rPr>
              <w:t>1)</w:t>
            </w:r>
          </w:p>
        </w:tc>
        <w:tc>
          <w:tcPr>
            <w:tcW w:w="1007" w:type="dxa"/>
            <w:tcBorders>
              <w:left w:val="nil"/>
              <w:right w:val="nil"/>
            </w:tcBorders>
          </w:tcPr>
          <w:p w14:paraId="6ADE7671" w14:textId="77777777" w:rsidR="00614FAF" w:rsidRDefault="00AE6D39">
            <w:pPr>
              <w:pStyle w:val="TableParagraph"/>
              <w:spacing w:before="41"/>
              <w:ind w:left="29"/>
              <w:rPr>
                <w:sz w:val="20"/>
              </w:rPr>
            </w:pPr>
            <w:r>
              <w:rPr>
                <w:sz w:val="20"/>
                <w:lang w:val="pl"/>
              </w:rPr>
              <w:t>‐</w:t>
            </w:r>
          </w:p>
        </w:tc>
        <w:tc>
          <w:tcPr>
            <w:tcW w:w="1127" w:type="dxa"/>
            <w:tcBorders>
              <w:left w:val="nil"/>
              <w:right w:val="single" w:sz="18" w:space="0" w:color="FFFFFF"/>
            </w:tcBorders>
          </w:tcPr>
          <w:p w14:paraId="7372AD1B" w14:textId="77777777" w:rsidR="00614FAF" w:rsidRDefault="00AE6D39">
            <w:pPr>
              <w:pStyle w:val="TableParagraph"/>
              <w:spacing w:before="41"/>
              <w:ind w:left="26"/>
              <w:rPr>
                <w:sz w:val="20"/>
              </w:rPr>
            </w:pPr>
            <w:r>
              <w:rPr>
                <w:sz w:val="20"/>
                <w:lang w:val="pl"/>
              </w:rPr>
              <w:t>‐</w:t>
            </w:r>
          </w:p>
        </w:tc>
        <w:tc>
          <w:tcPr>
            <w:tcW w:w="1582" w:type="dxa"/>
            <w:tcBorders>
              <w:left w:val="single" w:sz="18" w:space="0" w:color="FFFFFF"/>
              <w:right w:val="single" w:sz="18" w:space="0" w:color="FFFFFF"/>
            </w:tcBorders>
          </w:tcPr>
          <w:p w14:paraId="1167DFEB" w14:textId="0707AB01" w:rsidR="00614FAF" w:rsidRDefault="00AE6D39">
            <w:pPr>
              <w:pStyle w:val="TableParagraph"/>
              <w:spacing w:before="41"/>
              <w:ind w:left="525" w:right="516"/>
              <w:rPr>
                <w:sz w:val="20"/>
              </w:rPr>
            </w:pPr>
            <w:r>
              <w:rPr>
                <w:sz w:val="20"/>
                <w:lang w:val="pl"/>
              </w:rPr>
              <w:t>1</w:t>
            </w:r>
            <w:r w:rsidR="00C21762">
              <w:rPr>
                <w:sz w:val="20"/>
                <w:lang w:val="pl"/>
              </w:rPr>
              <w:t>,</w:t>
            </w:r>
            <w:r>
              <w:rPr>
                <w:sz w:val="20"/>
                <w:lang w:val="pl"/>
              </w:rPr>
              <w:t>004</w:t>
            </w:r>
          </w:p>
        </w:tc>
        <w:tc>
          <w:tcPr>
            <w:tcW w:w="1583" w:type="dxa"/>
            <w:gridSpan w:val="2"/>
            <w:tcBorders>
              <w:left w:val="single" w:sz="18" w:space="0" w:color="FFFFFF"/>
              <w:right w:val="nil"/>
            </w:tcBorders>
          </w:tcPr>
          <w:p w14:paraId="5905FEA1" w14:textId="77777777" w:rsidR="00614FAF" w:rsidRDefault="00AE6D39">
            <w:pPr>
              <w:pStyle w:val="TableParagraph"/>
              <w:spacing w:before="41"/>
              <w:ind w:left="265" w:right="257"/>
              <w:rPr>
                <w:sz w:val="20"/>
              </w:rPr>
            </w:pPr>
            <w:r>
              <w:rPr>
                <w:sz w:val="20"/>
                <w:lang w:val="pl"/>
              </w:rPr>
              <w:t>15,0%</w:t>
            </w:r>
          </w:p>
        </w:tc>
      </w:tr>
      <w:tr w:rsidR="00614FAF" w14:paraId="3E7D0DF1" w14:textId="77777777" w:rsidTr="00C21762">
        <w:trPr>
          <w:gridAfter w:val="1"/>
          <w:wAfter w:w="7" w:type="dxa"/>
          <w:trHeight w:val="330"/>
        </w:trPr>
        <w:tc>
          <w:tcPr>
            <w:tcW w:w="7088" w:type="dxa"/>
            <w:gridSpan w:val="3"/>
            <w:tcBorders>
              <w:left w:val="nil"/>
              <w:right w:val="single" w:sz="18" w:space="0" w:color="FFFFFF"/>
            </w:tcBorders>
            <w:shd w:val="clear" w:color="auto" w:fill="E7E6E6"/>
          </w:tcPr>
          <w:p w14:paraId="4B9928C3" w14:textId="77777777" w:rsidR="00614FAF" w:rsidRDefault="00AE6D39">
            <w:pPr>
              <w:pStyle w:val="TableParagraph"/>
              <w:ind w:left="11"/>
              <w:jc w:val="left"/>
              <w:rPr>
                <w:b/>
                <w:sz w:val="20"/>
              </w:rPr>
            </w:pPr>
            <w:r>
              <w:rPr>
                <w:b/>
                <w:bCs/>
                <w:sz w:val="20"/>
                <w:lang w:val="pl"/>
              </w:rPr>
              <w:t>Henkel</w:t>
            </w:r>
          </w:p>
        </w:tc>
        <w:tc>
          <w:tcPr>
            <w:tcW w:w="1582" w:type="dxa"/>
            <w:tcBorders>
              <w:left w:val="single" w:sz="18" w:space="0" w:color="FFFFFF"/>
              <w:right w:val="single" w:sz="18" w:space="0" w:color="FFFFFF"/>
            </w:tcBorders>
            <w:shd w:val="clear" w:color="auto" w:fill="E7E6E6"/>
          </w:tcPr>
          <w:p w14:paraId="4DBD9642" w14:textId="77777777" w:rsidR="00614FAF" w:rsidRDefault="00614FAF">
            <w:pPr>
              <w:pStyle w:val="TableParagraph"/>
              <w:spacing w:before="0"/>
              <w:jc w:val="left"/>
              <w:rPr>
                <w:rFonts w:ascii="Times New Roman"/>
                <w:sz w:val="18"/>
              </w:rPr>
            </w:pPr>
          </w:p>
        </w:tc>
        <w:tc>
          <w:tcPr>
            <w:tcW w:w="1583" w:type="dxa"/>
            <w:gridSpan w:val="2"/>
            <w:tcBorders>
              <w:left w:val="single" w:sz="18" w:space="0" w:color="FFFFFF"/>
              <w:right w:val="nil"/>
            </w:tcBorders>
            <w:shd w:val="clear" w:color="auto" w:fill="E7E6E6"/>
          </w:tcPr>
          <w:p w14:paraId="7D3A3E82" w14:textId="77777777" w:rsidR="00614FAF" w:rsidRDefault="00614FAF">
            <w:pPr>
              <w:pStyle w:val="TableParagraph"/>
              <w:spacing w:before="0"/>
              <w:jc w:val="left"/>
              <w:rPr>
                <w:rFonts w:ascii="Times New Roman"/>
                <w:sz w:val="18"/>
              </w:rPr>
            </w:pPr>
          </w:p>
        </w:tc>
      </w:tr>
      <w:tr w:rsidR="00614FAF" w14:paraId="18AD6BAC" w14:textId="77777777" w:rsidTr="00C21762">
        <w:trPr>
          <w:gridAfter w:val="1"/>
          <w:wAfter w:w="7" w:type="dxa"/>
          <w:trHeight w:val="330"/>
        </w:trPr>
        <w:tc>
          <w:tcPr>
            <w:tcW w:w="4954" w:type="dxa"/>
            <w:tcBorders>
              <w:left w:val="nil"/>
              <w:right w:val="nil"/>
            </w:tcBorders>
          </w:tcPr>
          <w:p w14:paraId="5E8CB52F" w14:textId="77777777" w:rsidR="00614FAF" w:rsidRDefault="00AE6D39">
            <w:pPr>
              <w:pStyle w:val="TableParagraph"/>
              <w:ind w:left="33"/>
              <w:jc w:val="left"/>
              <w:rPr>
                <w:sz w:val="20"/>
              </w:rPr>
            </w:pPr>
            <w:r>
              <w:rPr>
                <w:sz w:val="20"/>
                <w:lang w:val="pl"/>
              </w:rPr>
              <w:t>2021</w:t>
            </w:r>
          </w:p>
        </w:tc>
        <w:tc>
          <w:tcPr>
            <w:tcW w:w="1007" w:type="dxa"/>
            <w:tcBorders>
              <w:left w:val="nil"/>
              <w:right w:val="nil"/>
            </w:tcBorders>
          </w:tcPr>
          <w:p w14:paraId="570FB5B9" w14:textId="45A5714B" w:rsidR="00614FAF" w:rsidRDefault="00AE6D39">
            <w:pPr>
              <w:pStyle w:val="TableParagraph"/>
              <w:ind w:left="269" w:right="236"/>
              <w:rPr>
                <w:sz w:val="20"/>
              </w:rPr>
            </w:pPr>
            <w:r>
              <w:rPr>
                <w:sz w:val="20"/>
                <w:lang w:val="pl"/>
              </w:rPr>
              <w:t>5</w:t>
            </w:r>
            <w:r w:rsidR="00C21762">
              <w:rPr>
                <w:sz w:val="20"/>
                <w:lang w:val="pl"/>
              </w:rPr>
              <w:t>,</w:t>
            </w:r>
            <w:r>
              <w:rPr>
                <w:sz w:val="20"/>
                <w:lang w:val="pl"/>
              </w:rPr>
              <w:t>047</w:t>
            </w:r>
          </w:p>
        </w:tc>
        <w:tc>
          <w:tcPr>
            <w:tcW w:w="1127" w:type="dxa"/>
            <w:tcBorders>
              <w:left w:val="nil"/>
              <w:right w:val="nil"/>
            </w:tcBorders>
          </w:tcPr>
          <w:p w14:paraId="10BB5865" w14:textId="7EBEC445" w:rsidR="00614FAF" w:rsidRDefault="00AE6D39">
            <w:pPr>
              <w:pStyle w:val="TableParagraph"/>
              <w:ind w:left="238" w:right="210"/>
              <w:rPr>
                <w:sz w:val="20"/>
              </w:rPr>
            </w:pPr>
            <w:r>
              <w:rPr>
                <w:sz w:val="20"/>
                <w:lang w:val="pl"/>
              </w:rPr>
              <w:t>20</w:t>
            </w:r>
            <w:r w:rsidR="00C21762">
              <w:rPr>
                <w:sz w:val="20"/>
                <w:lang w:val="pl"/>
              </w:rPr>
              <w:t>,</w:t>
            </w:r>
            <w:r>
              <w:rPr>
                <w:sz w:val="20"/>
                <w:lang w:val="pl"/>
              </w:rPr>
              <w:t xml:space="preserve"> 066</w:t>
            </w:r>
          </w:p>
        </w:tc>
        <w:tc>
          <w:tcPr>
            <w:tcW w:w="1582" w:type="dxa"/>
            <w:tcBorders>
              <w:left w:val="nil"/>
              <w:right w:val="single" w:sz="18" w:space="0" w:color="FFFFFF"/>
            </w:tcBorders>
          </w:tcPr>
          <w:p w14:paraId="7E3ADA87" w14:textId="14202E51" w:rsidR="00614FAF" w:rsidRDefault="00AE6D39">
            <w:pPr>
              <w:pStyle w:val="TableParagraph"/>
              <w:ind w:left="453" w:right="443"/>
              <w:rPr>
                <w:sz w:val="20"/>
              </w:rPr>
            </w:pPr>
            <w:r>
              <w:rPr>
                <w:sz w:val="20"/>
                <w:lang w:val="pl"/>
              </w:rPr>
              <w:t>2</w:t>
            </w:r>
            <w:r w:rsidR="00C21762">
              <w:rPr>
                <w:sz w:val="20"/>
                <w:lang w:val="pl"/>
              </w:rPr>
              <w:t>,</w:t>
            </w:r>
            <w:r>
              <w:rPr>
                <w:sz w:val="20"/>
                <w:lang w:val="pl"/>
              </w:rPr>
              <w:t>213</w:t>
            </w:r>
          </w:p>
        </w:tc>
        <w:tc>
          <w:tcPr>
            <w:tcW w:w="1583" w:type="dxa"/>
            <w:gridSpan w:val="2"/>
            <w:tcBorders>
              <w:left w:val="single" w:sz="18" w:space="0" w:color="FFFFFF"/>
              <w:right w:val="nil"/>
            </w:tcBorders>
          </w:tcPr>
          <w:p w14:paraId="32DE63F5" w14:textId="77777777" w:rsidR="00614FAF" w:rsidRDefault="00AE6D39">
            <w:pPr>
              <w:pStyle w:val="TableParagraph"/>
              <w:ind w:left="265" w:right="256"/>
              <w:rPr>
                <w:sz w:val="20"/>
              </w:rPr>
            </w:pPr>
            <w:r>
              <w:rPr>
                <w:sz w:val="20"/>
                <w:lang w:val="pl"/>
              </w:rPr>
              <w:t>11,0%</w:t>
            </w:r>
          </w:p>
        </w:tc>
      </w:tr>
      <w:tr w:rsidR="00614FAF" w14:paraId="7FE29243" w14:textId="77777777" w:rsidTr="00C21762">
        <w:trPr>
          <w:gridAfter w:val="1"/>
          <w:wAfter w:w="7" w:type="dxa"/>
          <w:trHeight w:val="330"/>
        </w:trPr>
        <w:tc>
          <w:tcPr>
            <w:tcW w:w="4954" w:type="dxa"/>
            <w:tcBorders>
              <w:left w:val="nil"/>
              <w:right w:val="nil"/>
            </w:tcBorders>
          </w:tcPr>
          <w:p w14:paraId="50086BC4" w14:textId="77777777" w:rsidR="00614FAF" w:rsidRDefault="00AE6D39">
            <w:pPr>
              <w:pStyle w:val="TableParagraph"/>
              <w:ind w:left="33"/>
              <w:jc w:val="left"/>
              <w:rPr>
                <w:sz w:val="20"/>
              </w:rPr>
            </w:pPr>
            <w:r>
              <w:rPr>
                <w:sz w:val="20"/>
                <w:lang w:val="pl"/>
              </w:rPr>
              <w:t>2020</w:t>
            </w:r>
          </w:p>
        </w:tc>
        <w:tc>
          <w:tcPr>
            <w:tcW w:w="1007" w:type="dxa"/>
            <w:tcBorders>
              <w:left w:val="nil"/>
              <w:right w:val="nil"/>
            </w:tcBorders>
          </w:tcPr>
          <w:p w14:paraId="6E1B2693" w14:textId="2992C5E6" w:rsidR="00614FAF" w:rsidRDefault="00AE6D39">
            <w:pPr>
              <w:pStyle w:val="TableParagraph"/>
              <w:ind w:left="269" w:right="236"/>
              <w:rPr>
                <w:sz w:val="20"/>
              </w:rPr>
            </w:pPr>
            <w:r>
              <w:rPr>
                <w:sz w:val="20"/>
                <w:lang w:val="pl"/>
              </w:rPr>
              <w:t>4</w:t>
            </w:r>
            <w:r w:rsidR="00C21762">
              <w:rPr>
                <w:sz w:val="20"/>
                <w:lang w:val="pl"/>
              </w:rPr>
              <w:t>,</w:t>
            </w:r>
            <w:r>
              <w:rPr>
                <w:sz w:val="20"/>
                <w:lang w:val="pl"/>
              </w:rPr>
              <w:t>765</w:t>
            </w:r>
          </w:p>
        </w:tc>
        <w:tc>
          <w:tcPr>
            <w:tcW w:w="1127" w:type="dxa"/>
            <w:tcBorders>
              <w:left w:val="nil"/>
              <w:right w:val="nil"/>
            </w:tcBorders>
          </w:tcPr>
          <w:p w14:paraId="22A3D695" w14:textId="6D905C9B" w:rsidR="00614FAF" w:rsidRDefault="00AE6D39">
            <w:pPr>
              <w:pStyle w:val="TableParagraph"/>
              <w:ind w:left="238" w:right="210"/>
              <w:rPr>
                <w:sz w:val="20"/>
              </w:rPr>
            </w:pPr>
            <w:r>
              <w:rPr>
                <w:sz w:val="20"/>
                <w:lang w:val="pl"/>
              </w:rPr>
              <w:t>19</w:t>
            </w:r>
            <w:r w:rsidR="00C21762">
              <w:rPr>
                <w:sz w:val="20"/>
                <w:lang w:val="pl"/>
              </w:rPr>
              <w:t>,</w:t>
            </w:r>
            <w:r>
              <w:rPr>
                <w:sz w:val="20"/>
                <w:lang w:val="pl"/>
              </w:rPr>
              <w:t>250</w:t>
            </w:r>
          </w:p>
        </w:tc>
        <w:tc>
          <w:tcPr>
            <w:tcW w:w="1582" w:type="dxa"/>
            <w:tcBorders>
              <w:left w:val="nil"/>
              <w:right w:val="single" w:sz="18" w:space="0" w:color="FFFFFF"/>
            </w:tcBorders>
          </w:tcPr>
          <w:p w14:paraId="026BCB4E" w14:textId="663874E9" w:rsidR="00614FAF" w:rsidRDefault="00AE6D39">
            <w:pPr>
              <w:pStyle w:val="TableParagraph"/>
              <w:ind w:left="453" w:right="443"/>
              <w:rPr>
                <w:sz w:val="20"/>
              </w:rPr>
            </w:pPr>
            <w:r>
              <w:rPr>
                <w:sz w:val="20"/>
                <w:lang w:val="pl"/>
              </w:rPr>
              <w:t>2</w:t>
            </w:r>
            <w:r w:rsidR="00C21762">
              <w:rPr>
                <w:sz w:val="20"/>
                <w:lang w:val="pl"/>
              </w:rPr>
              <w:t>,</w:t>
            </w:r>
            <w:r>
              <w:rPr>
                <w:sz w:val="20"/>
                <w:lang w:val="pl"/>
              </w:rPr>
              <w:t>019</w:t>
            </w:r>
          </w:p>
        </w:tc>
        <w:tc>
          <w:tcPr>
            <w:tcW w:w="1583" w:type="dxa"/>
            <w:gridSpan w:val="2"/>
            <w:tcBorders>
              <w:left w:val="single" w:sz="18" w:space="0" w:color="FFFFFF"/>
              <w:right w:val="nil"/>
            </w:tcBorders>
          </w:tcPr>
          <w:p w14:paraId="7C631326" w14:textId="77777777" w:rsidR="00614FAF" w:rsidRDefault="00AE6D39">
            <w:pPr>
              <w:pStyle w:val="TableParagraph"/>
              <w:ind w:left="265" w:right="256"/>
              <w:rPr>
                <w:sz w:val="20"/>
              </w:rPr>
            </w:pPr>
            <w:r>
              <w:rPr>
                <w:sz w:val="20"/>
                <w:lang w:val="pl"/>
              </w:rPr>
              <w:t>10,5%</w:t>
            </w:r>
          </w:p>
        </w:tc>
      </w:tr>
      <w:tr w:rsidR="00614FAF" w14:paraId="4BD3F2F8" w14:textId="77777777" w:rsidTr="00C21762">
        <w:trPr>
          <w:gridAfter w:val="1"/>
          <w:wAfter w:w="7" w:type="dxa"/>
          <w:trHeight w:val="330"/>
        </w:trPr>
        <w:tc>
          <w:tcPr>
            <w:tcW w:w="4954" w:type="dxa"/>
            <w:tcBorders>
              <w:left w:val="nil"/>
              <w:right w:val="nil"/>
            </w:tcBorders>
          </w:tcPr>
          <w:p w14:paraId="3212160B" w14:textId="77777777" w:rsidR="00614FAF" w:rsidRDefault="00AE6D39">
            <w:pPr>
              <w:pStyle w:val="TableParagraph"/>
              <w:ind w:left="33"/>
              <w:jc w:val="left"/>
              <w:rPr>
                <w:sz w:val="20"/>
              </w:rPr>
            </w:pPr>
            <w:r>
              <w:rPr>
                <w:sz w:val="20"/>
                <w:lang w:val="pl"/>
              </w:rPr>
              <w:t>wzrost w ujęciu organicznym</w:t>
            </w:r>
          </w:p>
        </w:tc>
        <w:tc>
          <w:tcPr>
            <w:tcW w:w="1007" w:type="dxa"/>
            <w:tcBorders>
              <w:left w:val="nil"/>
              <w:right w:val="nil"/>
            </w:tcBorders>
          </w:tcPr>
          <w:p w14:paraId="7AE467A7" w14:textId="77777777" w:rsidR="00614FAF" w:rsidRDefault="00AE6D39">
            <w:pPr>
              <w:pStyle w:val="TableParagraph"/>
              <w:ind w:left="269" w:right="239"/>
              <w:rPr>
                <w:sz w:val="20"/>
              </w:rPr>
            </w:pPr>
            <w:r>
              <w:rPr>
                <w:sz w:val="20"/>
                <w:lang w:val="pl"/>
              </w:rPr>
              <w:t>5,4%</w:t>
            </w:r>
          </w:p>
        </w:tc>
        <w:tc>
          <w:tcPr>
            <w:tcW w:w="1127" w:type="dxa"/>
            <w:tcBorders>
              <w:left w:val="nil"/>
              <w:right w:val="nil"/>
            </w:tcBorders>
          </w:tcPr>
          <w:p w14:paraId="276972B2" w14:textId="77777777" w:rsidR="00614FAF" w:rsidRDefault="00AE6D39">
            <w:pPr>
              <w:pStyle w:val="TableParagraph"/>
              <w:ind w:left="238" w:right="210"/>
              <w:rPr>
                <w:sz w:val="20"/>
              </w:rPr>
            </w:pPr>
            <w:r>
              <w:rPr>
                <w:sz w:val="20"/>
                <w:lang w:val="pl"/>
              </w:rPr>
              <w:t>7,8%</w:t>
            </w:r>
          </w:p>
        </w:tc>
        <w:tc>
          <w:tcPr>
            <w:tcW w:w="1582" w:type="dxa"/>
            <w:tcBorders>
              <w:left w:val="nil"/>
              <w:right w:val="single" w:sz="18" w:space="0" w:color="FFFFFF"/>
            </w:tcBorders>
          </w:tcPr>
          <w:p w14:paraId="1361E86A" w14:textId="77777777" w:rsidR="00614FAF" w:rsidRDefault="00AE6D39">
            <w:pPr>
              <w:pStyle w:val="TableParagraph"/>
              <w:ind w:left="6"/>
              <w:rPr>
                <w:sz w:val="20"/>
              </w:rPr>
            </w:pPr>
            <w:r>
              <w:rPr>
                <w:sz w:val="20"/>
                <w:lang w:val="pl"/>
              </w:rPr>
              <w:t>‐</w:t>
            </w:r>
          </w:p>
        </w:tc>
        <w:tc>
          <w:tcPr>
            <w:tcW w:w="1583" w:type="dxa"/>
            <w:gridSpan w:val="2"/>
            <w:tcBorders>
              <w:left w:val="single" w:sz="18" w:space="0" w:color="FFFFFF"/>
              <w:right w:val="nil"/>
            </w:tcBorders>
          </w:tcPr>
          <w:p w14:paraId="2E1DE481" w14:textId="77777777" w:rsidR="00614FAF" w:rsidRDefault="00AE6D39">
            <w:pPr>
              <w:pStyle w:val="TableParagraph"/>
              <w:ind w:left="4"/>
              <w:rPr>
                <w:sz w:val="20"/>
              </w:rPr>
            </w:pPr>
            <w:r>
              <w:rPr>
                <w:sz w:val="20"/>
                <w:lang w:val="pl"/>
              </w:rPr>
              <w:t>‐</w:t>
            </w:r>
          </w:p>
        </w:tc>
      </w:tr>
      <w:tr w:rsidR="00614FAF" w14:paraId="12C4BF52" w14:textId="77777777" w:rsidTr="00C21762">
        <w:trPr>
          <w:gridAfter w:val="1"/>
          <w:wAfter w:w="7" w:type="dxa"/>
          <w:trHeight w:val="330"/>
        </w:trPr>
        <w:tc>
          <w:tcPr>
            <w:tcW w:w="4954" w:type="dxa"/>
            <w:tcBorders>
              <w:left w:val="nil"/>
              <w:right w:val="nil"/>
            </w:tcBorders>
          </w:tcPr>
          <w:p w14:paraId="1D1CE039" w14:textId="77777777" w:rsidR="00614FAF" w:rsidRDefault="00AE6D39">
            <w:pPr>
              <w:pStyle w:val="TableParagraph"/>
              <w:spacing w:before="62"/>
              <w:ind w:left="33"/>
              <w:jc w:val="left"/>
              <w:rPr>
                <w:sz w:val="20"/>
              </w:rPr>
            </w:pPr>
            <w:r>
              <w:rPr>
                <w:sz w:val="20"/>
                <w:lang w:val="pl"/>
              </w:rPr>
              <w:t xml:space="preserve">skorygowane dane za 2021 r. </w:t>
            </w:r>
            <w:r>
              <w:rPr>
                <w:sz w:val="20"/>
                <w:vertAlign w:val="superscript"/>
                <w:lang w:val="pl"/>
              </w:rPr>
              <w:t>1)</w:t>
            </w:r>
          </w:p>
        </w:tc>
        <w:tc>
          <w:tcPr>
            <w:tcW w:w="1007" w:type="dxa"/>
            <w:tcBorders>
              <w:left w:val="nil"/>
              <w:right w:val="nil"/>
            </w:tcBorders>
          </w:tcPr>
          <w:p w14:paraId="77D2B329" w14:textId="77777777" w:rsidR="00614FAF" w:rsidRDefault="00AE6D39">
            <w:pPr>
              <w:pStyle w:val="TableParagraph"/>
              <w:ind w:left="29"/>
              <w:rPr>
                <w:sz w:val="20"/>
              </w:rPr>
            </w:pPr>
            <w:r>
              <w:rPr>
                <w:sz w:val="20"/>
                <w:lang w:val="pl"/>
              </w:rPr>
              <w:t>‐</w:t>
            </w:r>
          </w:p>
        </w:tc>
        <w:tc>
          <w:tcPr>
            <w:tcW w:w="1127" w:type="dxa"/>
            <w:tcBorders>
              <w:left w:val="nil"/>
              <w:right w:val="nil"/>
            </w:tcBorders>
          </w:tcPr>
          <w:p w14:paraId="69301E88" w14:textId="77777777" w:rsidR="00614FAF" w:rsidRDefault="00AE6D39">
            <w:pPr>
              <w:pStyle w:val="TableParagraph"/>
              <w:ind w:left="26"/>
              <w:rPr>
                <w:sz w:val="20"/>
              </w:rPr>
            </w:pPr>
            <w:r>
              <w:rPr>
                <w:sz w:val="20"/>
                <w:lang w:val="pl"/>
              </w:rPr>
              <w:t>‐</w:t>
            </w:r>
          </w:p>
        </w:tc>
        <w:tc>
          <w:tcPr>
            <w:tcW w:w="1582" w:type="dxa"/>
            <w:tcBorders>
              <w:left w:val="nil"/>
              <w:right w:val="single" w:sz="18" w:space="0" w:color="FFFFFF"/>
            </w:tcBorders>
          </w:tcPr>
          <w:p w14:paraId="7610444F" w14:textId="1EFACEDA" w:rsidR="00614FAF" w:rsidRDefault="00AE6D39">
            <w:pPr>
              <w:pStyle w:val="TableParagraph"/>
              <w:ind w:left="453" w:right="444"/>
              <w:rPr>
                <w:sz w:val="20"/>
              </w:rPr>
            </w:pPr>
            <w:r>
              <w:rPr>
                <w:sz w:val="20"/>
                <w:lang w:val="pl"/>
              </w:rPr>
              <w:t>2</w:t>
            </w:r>
            <w:r w:rsidR="00C21762">
              <w:rPr>
                <w:sz w:val="20"/>
                <w:lang w:val="pl"/>
              </w:rPr>
              <w:t>,</w:t>
            </w:r>
            <w:r>
              <w:rPr>
                <w:sz w:val="20"/>
                <w:lang w:val="pl"/>
              </w:rPr>
              <w:t>686</w:t>
            </w:r>
          </w:p>
        </w:tc>
        <w:tc>
          <w:tcPr>
            <w:tcW w:w="1583" w:type="dxa"/>
            <w:gridSpan w:val="2"/>
            <w:tcBorders>
              <w:left w:val="single" w:sz="18" w:space="0" w:color="FFFFFF"/>
              <w:right w:val="nil"/>
            </w:tcBorders>
          </w:tcPr>
          <w:p w14:paraId="69198308" w14:textId="77777777" w:rsidR="00614FAF" w:rsidRDefault="00AE6D39">
            <w:pPr>
              <w:pStyle w:val="TableParagraph"/>
              <w:ind w:left="265" w:right="257"/>
              <w:rPr>
                <w:sz w:val="20"/>
              </w:rPr>
            </w:pPr>
            <w:r>
              <w:rPr>
                <w:sz w:val="20"/>
                <w:lang w:val="pl"/>
              </w:rPr>
              <w:t>13,4%</w:t>
            </w:r>
          </w:p>
        </w:tc>
      </w:tr>
      <w:tr w:rsidR="00614FAF" w14:paraId="7A244E9B" w14:textId="77777777" w:rsidTr="00C21762">
        <w:trPr>
          <w:gridAfter w:val="1"/>
          <w:wAfter w:w="7" w:type="dxa"/>
          <w:trHeight w:val="330"/>
        </w:trPr>
        <w:tc>
          <w:tcPr>
            <w:tcW w:w="4954" w:type="dxa"/>
            <w:tcBorders>
              <w:left w:val="nil"/>
              <w:right w:val="nil"/>
            </w:tcBorders>
          </w:tcPr>
          <w:p w14:paraId="20EC7878" w14:textId="77777777" w:rsidR="00614FAF" w:rsidRDefault="00AE6D39">
            <w:pPr>
              <w:pStyle w:val="TableParagraph"/>
              <w:spacing w:before="62"/>
              <w:ind w:left="33"/>
              <w:jc w:val="left"/>
              <w:rPr>
                <w:sz w:val="20"/>
              </w:rPr>
            </w:pPr>
            <w:r>
              <w:rPr>
                <w:sz w:val="20"/>
                <w:lang w:val="pl"/>
              </w:rPr>
              <w:t xml:space="preserve">skorygowane dane za 2020 r. </w:t>
            </w:r>
            <w:r>
              <w:rPr>
                <w:sz w:val="20"/>
                <w:vertAlign w:val="superscript"/>
                <w:lang w:val="pl"/>
              </w:rPr>
              <w:t>1)</w:t>
            </w:r>
          </w:p>
        </w:tc>
        <w:tc>
          <w:tcPr>
            <w:tcW w:w="1007" w:type="dxa"/>
            <w:tcBorders>
              <w:left w:val="nil"/>
              <w:right w:val="nil"/>
            </w:tcBorders>
          </w:tcPr>
          <w:p w14:paraId="2AD6589B" w14:textId="77777777" w:rsidR="00614FAF" w:rsidRDefault="00AE6D39">
            <w:pPr>
              <w:pStyle w:val="TableParagraph"/>
              <w:ind w:left="29"/>
              <w:rPr>
                <w:sz w:val="20"/>
              </w:rPr>
            </w:pPr>
            <w:r>
              <w:rPr>
                <w:sz w:val="20"/>
                <w:lang w:val="pl"/>
              </w:rPr>
              <w:t>‐</w:t>
            </w:r>
          </w:p>
        </w:tc>
        <w:tc>
          <w:tcPr>
            <w:tcW w:w="1127" w:type="dxa"/>
            <w:tcBorders>
              <w:left w:val="nil"/>
              <w:right w:val="nil"/>
            </w:tcBorders>
          </w:tcPr>
          <w:p w14:paraId="7C11F0F2" w14:textId="77777777" w:rsidR="00614FAF" w:rsidRDefault="00AE6D39">
            <w:pPr>
              <w:pStyle w:val="TableParagraph"/>
              <w:ind w:left="26"/>
              <w:rPr>
                <w:sz w:val="20"/>
              </w:rPr>
            </w:pPr>
            <w:r>
              <w:rPr>
                <w:sz w:val="20"/>
                <w:lang w:val="pl"/>
              </w:rPr>
              <w:t>‐</w:t>
            </w:r>
          </w:p>
        </w:tc>
        <w:tc>
          <w:tcPr>
            <w:tcW w:w="1582" w:type="dxa"/>
            <w:tcBorders>
              <w:left w:val="nil"/>
              <w:right w:val="single" w:sz="18" w:space="0" w:color="FFFFFF"/>
            </w:tcBorders>
          </w:tcPr>
          <w:p w14:paraId="57556E6C" w14:textId="157A694E" w:rsidR="00614FAF" w:rsidRDefault="00AE6D39">
            <w:pPr>
              <w:pStyle w:val="TableParagraph"/>
              <w:ind w:left="453" w:right="444"/>
              <w:rPr>
                <w:sz w:val="20"/>
              </w:rPr>
            </w:pPr>
            <w:r>
              <w:rPr>
                <w:sz w:val="20"/>
                <w:lang w:val="pl"/>
              </w:rPr>
              <w:t>2</w:t>
            </w:r>
            <w:r w:rsidR="00C21762">
              <w:rPr>
                <w:sz w:val="20"/>
                <w:lang w:val="pl"/>
              </w:rPr>
              <w:t>,</w:t>
            </w:r>
            <w:r>
              <w:rPr>
                <w:sz w:val="20"/>
                <w:lang w:val="pl"/>
              </w:rPr>
              <w:t>579</w:t>
            </w:r>
          </w:p>
        </w:tc>
        <w:tc>
          <w:tcPr>
            <w:tcW w:w="1583" w:type="dxa"/>
            <w:gridSpan w:val="2"/>
            <w:tcBorders>
              <w:left w:val="single" w:sz="18" w:space="0" w:color="FFFFFF"/>
              <w:right w:val="nil"/>
            </w:tcBorders>
          </w:tcPr>
          <w:p w14:paraId="0379FE7A" w14:textId="77777777" w:rsidR="00614FAF" w:rsidRDefault="00AE6D39">
            <w:pPr>
              <w:pStyle w:val="TableParagraph"/>
              <w:ind w:left="265" w:right="257"/>
              <w:rPr>
                <w:sz w:val="20"/>
              </w:rPr>
            </w:pPr>
            <w:r>
              <w:rPr>
                <w:sz w:val="20"/>
                <w:lang w:val="pl"/>
              </w:rPr>
              <w:t>13,4%</w:t>
            </w:r>
          </w:p>
        </w:tc>
      </w:tr>
      <w:tr w:rsidR="00614FAF" w14:paraId="0B6A5722" w14:textId="77777777" w:rsidTr="00C21762">
        <w:trPr>
          <w:trHeight w:val="311"/>
        </w:trPr>
        <w:tc>
          <w:tcPr>
            <w:tcW w:w="8677" w:type="dxa"/>
            <w:gridSpan w:val="5"/>
            <w:tcBorders>
              <w:left w:val="nil"/>
              <w:right w:val="single" w:sz="18" w:space="0" w:color="FFFFFF"/>
            </w:tcBorders>
          </w:tcPr>
          <w:p w14:paraId="5DE88AAA" w14:textId="77777777" w:rsidR="00614FAF" w:rsidRDefault="00614FAF">
            <w:pPr>
              <w:pStyle w:val="TableParagraph"/>
              <w:spacing w:before="0"/>
              <w:jc w:val="left"/>
              <w:rPr>
                <w:rFonts w:ascii="Times New Roman"/>
                <w:sz w:val="18"/>
              </w:rPr>
            </w:pPr>
          </w:p>
        </w:tc>
        <w:tc>
          <w:tcPr>
            <w:tcW w:w="1583" w:type="dxa"/>
            <w:gridSpan w:val="2"/>
            <w:tcBorders>
              <w:left w:val="single" w:sz="18" w:space="0" w:color="FFFFFF"/>
              <w:right w:val="nil"/>
            </w:tcBorders>
            <w:vAlign w:val="center"/>
          </w:tcPr>
          <w:p w14:paraId="3D1C8D6D" w14:textId="77777777" w:rsidR="00614FAF" w:rsidRDefault="00614FAF" w:rsidP="00275B37">
            <w:pPr>
              <w:pStyle w:val="TableParagraph"/>
              <w:spacing w:before="0"/>
              <w:rPr>
                <w:rFonts w:ascii="Times New Roman"/>
                <w:sz w:val="18"/>
              </w:rPr>
            </w:pPr>
          </w:p>
        </w:tc>
      </w:tr>
      <w:tr w:rsidR="00614FAF" w14:paraId="3AA9E083" w14:textId="77777777" w:rsidTr="00C21762">
        <w:trPr>
          <w:gridAfter w:val="1"/>
          <w:wAfter w:w="7" w:type="dxa"/>
          <w:trHeight w:val="513"/>
        </w:trPr>
        <w:tc>
          <w:tcPr>
            <w:tcW w:w="4954" w:type="dxa"/>
            <w:tcBorders>
              <w:left w:val="nil"/>
              <w:right w:val="nil"/>
            </w:tcBorders>
          </w:tcPr>
          <w:p w14:paraId="099D603D" w14:textId="77777777" w:rsidR="00614FAF" w:rsidRDefault="00614FAF">
            <w:pPr>
              <w:pStyle w:val="TableParagraph"/>
              <w:spacing w:before="5"/>
              <w:jc w:val="left"/>
              <w:rPr>
                <w:b/>
                <w:sz w:val="20"/>
              </w:rPr>
            </w:pPr>
          </w:p>
          <w:p w14:paraId="7581B011" w14:textId="77777777" w:rsidR="00614FAF" w:rsidRDefault="00AE6D39">
            <w:pPr>
              <w:pStyle w:val="TableParagraph"/>
              <w:spacing w:before="0" w:line="243" w:lineRule="exact"/>
              <w:ind w:left="33"/>
              <w:jc w:val="left"/>
              <w:rPr>
                <w:b/>
                <w:sz w:val="20"/>
              </w:rPr>
            </w:pPr>
            <w:r>
              <w:rPr>
                <w:b/>
                <w:bCs/>
                <w:sz w:val="20"/>
                <w:lang w:val="pl"/>
              </w:rPr>
              <w:t>Henkel</w:t>
            </w:r>
          </w:p>
        </w:tc>
        <w:tc>
          <w:tcPr>
            <w:tcW w:w="1007" w:type="dxa"/>
            <w:tcBorders>
              <w:left w:val="nil"/>
              <w:right w:val="nil"/>
            </w:tcBorders>
          </w:tcPr>
          <w:p w14:paraId="0B4C66F4" w14:textId="77777777" w:rsidR="00614FAF" w:rsidRDefault="00AE6D39" w:rsidP="00275B37">
            <w:pPr>
              <w:pStyle w:val="TableParagraph"/>
              <w:spacing w:before="0" w:line="225" w:lineRule="exact"/>
              <w:ind w:left="147"/>
              <w:rPr>
                <w:b/>
                <w:sz w:val="20"/>
              </w:rPr>
            </w:pPr>
            <w:r>
              <w:rPr>
                <w:b/>
                <w:bCs/>
                <w:sz w:val="20"/>
                <w:lang w:val="pl"/>
              </w:rPr>
              <w:t>sty-gru</w:t>
            </w:r>
          </w:p>
          <w:p w14:paraId="0D164BFA" w14:textId="77777777" w:rsidR="00614FAF" w:rsidRDefault="00AE6D39" w:rsidP="00275B37">
            <w:pPr>
              <w:pStyle w:val="TableParagraph"/>
              <w:spacing w:before="24" w:line="243" w:lineRule="exact"/>
              <w:ind w:left="147"/>
              <w:rPr>
                <w:b/>
                <w:sz w:val="20"/>
              </w:rPr>
            </w:pPr>
            <w:r>
              <w:rPr>
                <w:b/>
                <w:bCs/>
                <w:sz w:val="20"/>
                <w:lang w:val="pl"/>
              </w:rPr>
              <w:t>2020</w:t>
            </w:r>
          </w:p>
        </w:tc>
        <w:tc>
          <w:tcPr>
            <w:tcW w:w="1127" w:type="dxa"/>
            <w:tcBorders>
              <w:left w:val="nil"/>
              <w:right w:val="nil"/>
            </w:tcBorders>
          </w:tcPr>
          <w:p w14:paraId="2B6D652D" w14:textId="77777777" w:rsidR="00614FAF" w:rsidRDefault="00AE6D39" w:rsidP="00275B37">
            <w:pPr>
              <w:pStyle w:val="TableParagraph"/>
              <w:spacing w:before="0" w:line="225" w:lineRule="exact"/>
              <w:ind w:left="147"/>
              <w:rPr>
                <w:b/>
                <w:sz w:val="20"/>
              </w:rPr>
            </w:pPr>
            <w:r>
              <w:rPr>
                <w:b/>
                <w:bCs/>
                <w:sz w:val="20"/>
                <w:lang w:val="pl"/>
              </w:rPr>
              <w:t>sty-gru</w:t>
            </w:r>
          </w:p>
          <w:p w14:paraId="1ECF4166" w14:textId="77777777" w:rsidR="00614FAF" w:rsidRDefault="00AE6D39" w:rsidP="00275B37">
            <w:pPr>
              <w:pStyle w:val="TableParagraph"/>
              <w:spacing w:before="24" w:line="243" w:lineRule="exact"/>
              <w:ind w:left="147"/>
              <w:rPr>
                <w:b/>
                <w:sz w:val="20"/>
              </w:rPr>
            </w:pPr>
            <w:r>
              <w:rPr>
                <w:b/>
                <w:bCs/>
                <w:sz w:val="20"/>
                <w:lang w:val="pl"/>
              </w:rPr>
              <w:t>2021</w:t>
            </w:r>
          </w:p>
        </w:tc>
        <w:tc>
          <w:tcPr>
            <w:tcW w:w="1582" w:type="dxa"/>
            <w:tcBorders>
              <w:left w:val="nil"/>
              <w:right w:val="single" w:sz="18" w:space="0" w:color="FFFFFF"/>
            </w:tcBorders>
            <w:vAlign w:val="center"/>
          </w:tcPr>
          <w:p w14:paraId="4DD26EEF" w14:textId="77777777" w:rsidR="00614FAF" w:rsidRDefault="00AE6D39" w:rsidP="00275B37">
            <w:pPr>
              <w:pStyle w:val="TableParagraph"/>
              <w:spacing w:before="0" w:line="243" w:lineRule="exact"/>
              <w:ind w:left="453" w:right="450"/>
              <w:rPr>
                <w:b/>
                <w:sz w:val="20"/>
              </w:rPr>
            </w:pPr>
            <w:r>
              <w:rPr>
                <w:b/>
                <w:bCs/>
                <w:sz w:val="20"/>
                <w:lang w:val="pl"/>
              </w:rPr>
              <w:t>Zmiana</w:t>
            </w:r>
          </w:p>
        </w:tc>
        <w:tc>
          <w:tcPr>
            <w:tcW w:w="1583" w:type="dxa"/>
            <w:gridSpan w:val="2"/>
            <w:tcBorders>
              <w:left w:val="single" w:sz="18" w:space="0" w:color="FFFFFF"/>
              <w:right w:val="nil"/>
            </w:tcBorders>
          </w:tcPr>
          <w:p w14:paraId="1CF69474" w14:textId="77777777" w:rsidR="00614FAF" w:rsidRDefault="00614FAF">
            <w:pPr>
              <w:pStyle w:val="TableParagraph"/>
              <w:spacing w:before="0"/>
              <w:jc w:val="left"/>
              <w:rPr>
                <w:rFonts w:ascii="Times New Roman"/>
                <w:sz w:val="18"/>
              </w:rPr>
            </w:pPr>
          </w:p>
        </w:tc>
      </w:tr>
      <w:tr w:rsidR="00614FAF" w14:paraId="19C4B6E3" w14:textId="77777777" w:rsidTr="00C21762">
        <w:trPr>
          <w:gridAfter w:val="1"/>
          <w:wAfter w:w="7" w:type="dxa"/>
          <w:trHeight w:val="253"/>
        </w:trPr>
        <w:tc>
          <w:tcPr>
            <w:tcW w:w="4954" w:type="dxa"/>
            <w:tcBorders>
              <w:left w:val="nil"/>
              <w:right w:val="nil"/>
            </w:tcBorders>
          </w:tcPr>
          <w:p w14:paraId="2216C82D" w14:textId="77777777" w:rsidR="00614FAF" w:rsidRPr="00465DEA" w:rsidRDefault="00AE6D39">
            <w:pPr>
              <w:pStyle w:val="TableParagraph"/>
              <w:spacing w:before="5" w:line="229" w:lineRule="exact"/>
              <w:ind w:left="33"/>
              <w:jc w:val="left"/>
              <w:rPr>
                <w:sz w:val="18"/>
                <w:lang w:val="pl-PL"/>
              </w:rPr>
            </w:pPr>
            <w:r>
              <w:rPr>
                <w:sz w:val="20"/>
                <w:lang w:val="pl"/>
              </w:rPr>
              <w:t xml:space="preserve">Zysk na akcję uprzywilejowaną </w:t>
            </w:r>
            <w:r>
              <w:rPr>
                <w:sz w:val="18"/>
                <w:lang w:val="pl"/>
              </w:rPr>
              <w:t>(EUR)</w:t>
            </w:r>
          </w:p>
        </w:tc>
        <w:tc>
          <w:tcPr>
            <w:tcW w:w="1007" w:type="dxa"/>
            <w:tcBorders>
              <w:left w:val="nil"/>
              <w:right w:val="nil"/>
            </w:tcBorders>
          </w:tcPr>
          <w:p w14:paraId="5F0A1DDE" w14:textId="77777777" w:rsidR="00614FAF" w:rsidRDefault="00AE6D39">
            <w:pPr>
              <w:pStyle w:val="TableParagraph"/>
              <w:spacing w:before="5" w:line="229" w:lineRule="exact"/>
              <w:ind w:left="269" w:right="239"/>
              <w:rPr>
                <w:sz w:val="20"/>
              </w:rPr>
            </w:pPr>
            <w:r>
              <w:rPr>
                <w:sz w:val="20"/>
                <w:lang w:val="pl"/>
              </w:rPr>
              <w:t>3,25</w:t>
            </w:r>
          </w:p>
        </w:tc>
        <w:tc>
          <w:tcPr>
            <w:tcW w:w="1127" w:type="dxa"/>
            <w:tcBorders>
              <w:left w:val="nil"/>
              <w:right w:val="nil"/>
            </w:tcBorders>
          </w:tcPr>
          <w:p w14:paraId="2228BE58" w14:textId="77777777" w:rsidR="00614FAF" w:rsidRDefault="00AE6D39">
            <w:pPr>
              <w:pStyle w:val="TableParagraph"/>
              <w:spacing w:before="5" w:line="229" w:lineRule="exact"/>
              <w:ind w:left="238" w:right="210"/>
              <w:rPr>
                <w:sz w:val="20"/>
              </w:rPr>
            </w:pPr>
            <w:r>
              <w:rPr>
                <w:sz w:val="20"/>
                <w:lang w:val="pl"/>
              </w:rPr>
              <w:t>3,78</w:t>
            </w:r>
          </w:p>
        </w:tc>
        <w:tc>
          <w:tcPr>
            <w:tcW w:w="1582" w:type="dxa"/>
            <w:tcBorders>
              <w:left w:val="nil"/>
              <w:right w:val="single" w:sz="18" w:space="0" w:color="FFFFFF"/>
            </w:tcBorders>
          </w:tcPr>
          <w:p w14:paraId="101AF0A4" w14:textId="77777777" w:rsidR="00614FAF" w:rsidRDefault="00AE6D39">
            <w:pPr>
              <w:pStyle w:val="TableParagraph"/>
              <w:spacing w:before="5" w:line="229" w:lineRule="exact"/>
              <w:ind w:left="453" w:right="443"/>
              <w:rPr>
                <w:sz w:val="20"/>
              </w:rPr>
            </w:pPr>
            <w:r>
              <w:rPr>
                <w:sz w:val="20"/>
                <w:lang w:val="pl"/>
              </w:rPr>
              <w:t>16,3%</w:t>
            </w:r>
          </w:p>
        </w:tc>
        <w:tc>
          <w:tcPr>
            <w:tcW w:w="1583" w:type="dxa"/>
            <w:gridSpan w:val="2"/>
            <w:tcBorders>
              <w:left w:val="single" w:sz="18" w:space="0" w:color="FFFFFF"/>
              <w:right w:val="nil"/>
            </w:tcBorders>
          </w:tcPr>
          <w:p w14:paraId="748E7FAB" w14:textId="77777777" w:rsidR="00614FAF" w:rsidRDefault="00614FAF">
            <w:pPr>
              <w:pStyle w:val="TableParagraph"/>
              <w:spacing w:before="0"/>
              <w:jc w:val="left"/>
              <w:rPr>
                <w:rFonts w:ascii="Times New Roman"/>
                <w:sz w:val="18"/>
              </w:rPr>
            </w:pPr>
          </w:p>
        </w:tc>
      </w:tr>
      <w:tr w:rsidR="00614FAF" w14:paraId="25CE349F" w14:textId="77777777" w:rsidTr="00C21762">
        <w:trPr>
          <w:gridAfter w:val="1"/>
          <w:wAfter w:w="7" w:type="dxa"/>
          <w:trHeight w:val="263"/>
        </w:trPr>
        <w:tc>
          <w:tcPr>
            <w:tcW w:w="4954" w:type="dxa"/>
            <w:tcBorders>
              <w:left w:val="nil"/>
              <w:right w:val="nil"/>
            </w:tcBorders>
          </w:tcPr>
          <w:p w14:paraId="2AA8EE5E" w14:textId="77777777" w:rsidR="00614FAF" w:rsidRPr="00465DEA" w:rsidRDefault="00AE6D39">
            <w:pPr>
              <w:pStyle w:val="TableParagraph"/>
              <w:spacing w:before="29" w:line="215" w:lineRule="exact"/>
              <w:ind w:left="33"/>
              <w:jc w:val="left"/>
              <w:rPr>
                <w:sz w:val="18"/>
                <w:lang w:val="pl-PL"/>
              </w:rPr>
            </w:pPr>
            <w:r>
              <w:rPr>
                <w:sz w:val="20"/>
                <w:lang w:val="pl"/>
              </w:rPr>
              <w:t>Skorygowany</w:t>
            </w:r>
            <w:r>
              <w:rPr>
                <w:sz w:val="20"/>
                <w:vertAlign w:val="superscript"/>
                <w:lang w:val="pl"/>
              </w:rPr>
              <w:t>1)</w:t>
            </w:r>
            <w:r>
              <w:rPr>
                <w:sz w:val="20"/>
                <w:lang w:val="pl"/>
              </w:rPr>
              <w:t xml:space="preserve"> zysk na akcję uprzywilejowaną </w:t>
            </w:r>
            <w:r>
              <w:rPr>
                <w:sz w:val="18"/>
                <w:lang w:val="pl"/>
              </w:rPr>
              <w:t>(EUR)</w:t>
            </w:r>
          </w:p>
        </w:tc>
        <w:tc>
          <w:tcPr>
            <w:tcW w:w="1007" w:type="dxa"/>
            <w:tcBorders>
              <w:left w:val="nil"/>
              <w:right w:val="nil"/>
            </w:tcBorders>
          </w:tcPr>
          <w:p w14:paraId="2DCD6610" w14:textId="77777777" w:rsidR="00614FAF" w:rsidRDefault="00AE6D39">
            <w:pPr>
              <w:pStyle w:val="TableParagraph"/>
              <w:spacing w:before="9" w:line="234" w:lineRule="exact"/>
              <w:ind w:left="269" w:right="239"/>
              <w:rPr>
                <w:sz w:val="20"/>
              </w:rPr>
            </w:pPr>
            <w:r>
              <w:rPr>
                <w:sz w:val="20"/>
                <w:lang w:val="pl"/>
              </w:rPr>
              <w:t>4,26</w:t>
            </w:r>
          </w:p>
        </w:tc>
        <w:tc>
          <w:tcPr>
            <w:tcW w:w="1127" w:type="dxa"/>
            <w:tcBorders>
              <w:left w:val="nil"/>
              <w:right w:val="nil"/>
            </w:tcBorders>
          </w:tcPr>
          <w:p w14:paraId="3BD14C74" w14:textId="77777777" w:rsidR="00614FAF" w:rsidRDefault="00AE6D39">
            <w:pPr>
              <w:pStyle w:val="TableParagraph"/>
              <w:spacing w:before="9" w:line="234" w:lineRule="exact"/>
              <w:ind w:left="238" w:right="210"/>
              <w:rPr>
                <w:sz w:val="20"/>
              </w:rPr>
            </w:pPr>
            <w:r>
              <w:rPr>
                <w:sz w:val="20"/>
                <w:lang w:val="pl"/>
              </w:rPr>
              <w:t>4,56</w:t>
            </w:r>
          </w:p>
        </w:tc>
        <w:tc>
          <w:tcPr>
            <w:tcW w:w="1582" w:type="dxa"/>
            <w:tcBorders>
              <w:left w:val="nil"/>
              <w:right w:val="single" w:sz="18" w:space="0" w:color="FFFFFF"/>
            </w:tcBorders>
          </w:tcPr>
          <w:p w14:paraId="676ED368" w14:textId="77777777" w:rsidR="00614FAF" w:rsidRDefault="00AE6D39">
            <w:pPr>
              <w:pStyle w:val="TableParagraph"/>
              <w:spacing w:before="9" w:line="234" w:lineRule="exact"/>
              <w:ind w:left="453" w:right="446"/>
              <w:rPr>
                <w:sz w:val="20"/>
              </w:rPr>
            </w:pPr>
            <w:r>
              <w:rPr>
                <w:sz w:val="20"/>
                <w:lang w:val="pl"/>
              </w:rPr>
              <w:t>7,0%</w:t>
            </w:r>
          </w:p>
        </w:tc>
        <w:tc>
          <w:tcPr>
            <w:tcW w:w="1583" w:type="dxa"/>
            <w:gridSpan w:val="2"/>
            <w:tcBorders>
              <w:left w:val="single" w:sz="18" w:space="0" w:color="FFFFFF"/>
              <w:right w:val="nil"/>
            </w:tcBorders>
          </w:tcPr>
          <w:p w14:paraId="21B131BF" w14:textId="77777777" w:rsidR="00614FAF" w:rsidRDefault="00614FAF">
            <w:pPr>
              <w:pStyle w:val="TableParagraph"/>
              <w:spacing w:before="0"/>
              <w:jc w:val="left"/>
              <w:rPr>
                <w:rFonts w:ascii="Times New Roman"/>
                <w:sz w:val="18"/>
              </w:rPr>
            </w:pPr>
          </w:p>
        </w:tc>
      </w:tr>
      <w:tr w:rsidR="00614FAF" w14:paraId="34B54005" w14:textId="77777777" w:rsidTr="00C21762">
        <w:trPr>
          <w:gridAfter w:val="1"/>
          <w:wAfter w:w="7" w:type="dxa"/>
          <w:trHeight w:val="263"/>
        </w:trPr>
        <w:tc>
          <w:tcPr>
            <w:tcW w:w="4954" w:type="dxa"/>
            <w:tcBorders>
              <w:left w:val="nil"/>
              <w:right w:val="nil"/>
            </w:tcBorders>
          </w:tcPr>
          <w:p w14:paraId="72C56F22" w14:textId="77777777" w:rsidR="00614FAF" w:rsidRDefault="00AE6D39">
            <w:pPr>
              <w:pStyle w:val="TableParagraph"/>
              <w:spacing w:before="9" w:line="234" w:lineRule="exact"/>
              <w:ind w:left="357"/>
              <w:jc w:val="left"/>
              <w:rPr>
                <w:sz w:val="20"/>
              </w:rPr>
            </w:pPr>
            <w:r>
              <w:rPr>
                <w:sz w:val="20"/>
                <w:lang w:val="pl"/>
              </w:rPr>
              <w:t>wg stałych kursów wymiany</w:t>
            </w:r>
          </w:p>
        </w:tc>
        <w:tc>
          <w:tcPr>
            <w:tcW w:w="1007" w:type="dxa"/>
            <w:tcBorders>
              <w:left w:val="nil"/>
              <w:right w:val="nil"/>
            </w:tcBorders>
          </w:tcPr>
          <w:p w14:paraId="1B454E1C" w14:textId="77777777" w:rsidR="00614FAF" w:rsidRDefault="00614FAF">
            <w:pPr>
              <w:pStyle w:val="TableParagraph"/>
              <w:spacing w:before="0"/>
              <w:jc w:val="left"/>
              <w:rPr>
                <w:rFonts w:ascii="Times New Roman"/>
                <w:sz w:val="18"/>
              </w:rPr>
            </w:pPr>
          </w:p>
        </w:tc>
        <w:tc>
          <w:tcPr>
            <w:tcW w:w="1127" w:type="dxa"/>
            <w:tcBorders>
              <w:left w:val="nil"/>
              <w:right w:val="nil"/>
            </w:tcBorders>
          </w:tcPr>
          <w:p w14:paraId="4CD24B3B" w14:textId="77777777" w:rsidR="00614FAF" w:rsidRDefault="00614FAF">
            <w:pPr>
              <w:pStyle w:val="TableParagraph"/>
              <w:spacing w:before="0"/>
              <w:jc w:val="left"/>
              <w:rPr>
                <w:rFonts w:ascii="Times New Roman"/>
                <w:sz w:val="18"/>
              </w:rPr>
            </w:pPr>
          </w:p>
        </w:tc>
        <w:tc>
          <w:tcPr>
            <w:tcW w:w="1582" w:type="dxa"/>
            <w:tcBorders>
              <w:left w:val="nil"/>
              <w:right w:val="single" w:sz="18" w:space="0" w:color="FFFFFF"/>
            </w:tcBorders>
          </w:tcPr>
          <w:p w14:paraId="3A9D0614" w14:textId="77777777" w:rsidR="00614FAF" w:rsidRDefault="00AE6D39">
            <w:pPr>
              <w:pStyle w:val="TableParagraph"/>
              <w:spacing w:before="9" w:line="234" w:lineRule="exact"/>
              <w:ind w:left="453" w:right="446"/>
              <w:rPr>
                <w:sz w:val="20"/>
              </w:rPr>
            </w:pPr>
            <w:r>
              <w:rPr>
                <w:sz w:val="20"/>
                <w:lang w:val="pl"/>
              </w:rPr>
              <w:t>9,2%</w:t>
            </w:r>
          </w:p>
        </w:tc>
        <w:tc>
          <w:tcPr>
            <w:tcW w:w="1583" w:type="dxa"/>
            <w:gridSpan w:val="2"/>
            <w:tcBorders>
              <w:left w:val="single" w:sz="18" w:space="0" w:color="FFFFFF"/>
              <w:right w:val="nil"/>
            </w:tcBorders>
          </w:tcPr>
          <w:p w14:paraId="34FEF978" w14:textId="77777777" w:rsidR="00614FAF" w:rsidRDefault="00614FAF">
            <w:pPr>
              <w:pStyle w:val="TableParagraph"/>
              <w:spacing w:before="0"/>
              <w:jc w:val="left"/>
              <w:rPr>
                <w:rFonts w:ascii="Times New Roman"/>
                <w:sz w:val="18"/>
              </w:rPr>
            </w:pPr>
          </w:p>
        </w:tc>
      </w:tr>
      <w:tr w:rsidR="00614FAF" w:rsidRPr="006E663E" w14:paraId="42C70DC5" w14:textId="77777777" w:rsidTr="00C21762">
        <w:trPr>
          <w:trHeight w:val="509"/>
        </w:trPr>
        <w:tc>
          <w:tcPr>
            <w:tcW w:w="8677" w:type="dxa"/>
            <w:gridSpan w:val="5"/>
            <w:tcBorders>
              <w:left w:val="nil"/>
              <w:bottom w:val="nil"/>
              <w:right w:val="single" w:sz="18" w:space="0" w:color="FFFFFF"/>
            </w:tcBorders>
          </w:tcPr>
          <w:p w14:paraId="2865C7F9" w14:textId="77777777" w:rsidR="00614FAF" w:rsidRPr="00465DEA" w:rsidRDefault="00AE6D39">
            <w:pPr>
              <w:pStyle w:val="TableParagraph"/>
              <w:spacing w:before="9"/>
              <w:ind w:left="-4"/>
              <w:jc w:val="left"/>
              <w:rPr>
                <w:sz w:val="12"/>
                <w:lang w:val="pl-PL"/>
              </w:rPr>
            </w:pPr>
            <w:r>
              <w:rPr>
                <w:sz w:val="12"/>
                <w:vertAlign w:val="superscript"/>
                <w:lang w:val="pl"/>
              </w:rPr>
              <w:t>1)</w:t>
            </w:r>
            <w:r>
              <w:rPr>
                <w:sz w:val="12"/>
                <w:lang w:val="pl"/>
              </w:rPr>
              <w:t xml:space="preserve"> Po uwzględnieniu kosztów i przychodów o charakterze jednorazowym oraz kosztów restrukturyzacji.</w:t>
            </w:r>
          </w:p>
          <w:p w14:paraId="63B57239" w14:textId="77777777" w:rsidR="00614FAF" w:rsidRPr="00465DEA" w:rsidRDefault="00614FAF">
            <w:pPr>
              <w:pStyle w:val="TableParagraph"/>
              <w:spacing w:before="8"/>
              <w:jc w:val="left"/>
              <w:rPr>
                <w:b/>
                <w:sz w:val="15"/>
                <w:lang w:val="pl-PL"/>
              </w:rPr>
            </w:pPr>
          </w:p>
          <w:p w14:paraId="42EBDB95" w14:textId="77777777" w:rsidR="00614FAF" w:rsidRPr="00465DEA" w:rsidRDefault="00AE6D39">
            <w:pPr>
              <w:pStyle w:val="TableParagraph"/>
              <w:spacing w:before="1" w:line="142" w:lineRule="exact"/>
              <w:ind w:left="1"/>
              <w:jc w:val="left"/>
              <w:rPr>
                <w:sz w:val="12"/>
                <w:lang w:val="pl-PL"/>
              </w:rPr>
            </w:pPr>
            <w:r>
              <w:rPr>
                <w:sz w:val="12"/>
                <w:lang w:val="pl"/>
              </w:rPr>
              <w:t>Henkel AG &amp; Co. KGaA, Relacje Inwestorskie</w:t>
            </w:r>
          </w:p>
        </w:tc>
        <w:tc>
          <w:tcPr>
            <w:tcW w:w="1583" w:type="dxa"/>
            <w:gridSpan w:val="2"/>
            <w:tcBorders>
              <w:left w:val="single" w:sz="18" w:space="0" w:color="FFFFFF"/>
              <w:bottom w:val="nil"/>
              <w:right w:val="nil"/>
            </w:tcBorders>
          </w:tcPr>
          <w:p w14:paraId="6D53CC07" w14:textId="77777777" w:rsidR="00614FAF" w:rsidRPr="00465DEA" w:rsidRDefault="00614FAF">
            <w:pPr>
              <w:pStyle w:val="TableParagraph"/>
              <w:spacing w:before="0"/>
              <w:jc w:val="left"/>
              <w:rPr>
                <w:rFonts w:ascii="Times New Roman"/>
                <w:sz w:val="18"/>
                <w:lang w:val="pl-PL"/>
              </w:rPr>
            </w:pPr>
          </w:p>
        </w:tc>
      </w:tr>
    </w:tbl>
    <w:p w14:paraId="696827B0" w14:textId="77777777" w:rsidR="003F45F9" w:rsidRPr="00465DEA" w:rsidRDefault="003F45F9">
      <w:pPr>
        <w:rPr>
          <w:lang w:val="pl-PL"/>
        </w:rPr>
      </w:pPr>
    </w:p>
    <w:sectPr w:rsidR="003F45F9" w:rsidRPr="00465DEA" w:rsidSect="00465DEA">
      <w:footerReference w:type="default" r:id="rId13"/>
      <w:pgSz w:w="11910" w:h="16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FE81" w14:textId="77777777" w:rsidR="00DD6CDD" w:rsidRDefault="00DD6CDD">
      <w:r>
        <w:separator/>
      </w:r>
    </w:p>
  </w:endnote>
  <w:endnote w:type="continuationSeparator" w:id="0">
    <w:p w14:paraId="0B95F969" w14:textId="77777777" w:rsidR="00DD6CDD" w:rsidRDefault="00DD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2712859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E44BC25" w14:textId="5273EC8A" w:rsidR="00465DEA" w:rsidRPr="00465DEA" w:rsidRDefault="00465DEA" w:rsidP="00465DEA">
            <w:pPr>
              <w:pStyle w:val="Stopka"/>
              <w:jc w:val="right"/>
              <w:rPr>
                <w:sz w:val="16"/>
                <w:lang w:val="pl-PL"/>
              </w:rPr>
            </w:pPr>
          </w:p>
          <w:p w14:paraId="4EEE9C02" w14:textId="77777777" w:rsidR="00465DEA" w:rsidRPr="00465DEA" w:rsidRDefault="00465DEA" w:rsidP="00FE15B3">
            <w:pPr>
              <w:pStyle w:val="Stopka"/>
              <w:jc w:val="right"/>
              <w:rPr>
                <w:sz w:val="18"/>
                <w:szCs w:val="18"/>
                <w:lang w:val="pl-PL"/>
              </w:rPr>
            </w:pPr>
          </w:p>
          <w:p w14:paraId="64DCD6CD" w14:textId="52402B31" w:rsidR="00FE15B3" w:rsidRPr="00465DEA" w:rsidRDefault="00FE15B3" w:rsidP="00FE15B3">
            <w:pPr>
              <w:pStyle w:val="Stopka"/>
              <w:jc w:val="right"/>
              <w:rPr>
                <w:sz w:val="18"/>
                <w:szCs w:val="18"/>
                <w:lang w:val="pl-PL"/>
              </w:rPr>
            </w:pPr>
            <w:r>
              <w:rPr>
                <w:sz w:val="18"/>
                <w:szCs w:val="18"/>
                <w:lang w:val="pl"/>
              </w:rPr>
              <w:t xml:space="preserve">Strona </w:t>
            </w:r>
            <w:r>
              <w:rPr>
                <w:sz w:val="18"/>
                <w:szCs w:val="18"/>
                <w:lang w:val="pl"/>
              </w:rPr>
              <w:fldChar w:fldCharType="begin"/>
            </w:r>
            <w:r>
              <w:rPr>
                <w:sz w:val="18"/>
                <w:szCs w:val="18"/>
                <w:lang w:val="pl"/>
              </w:rPr>
              <w:instrText>PAGE</w:instrText>
            </w:r>
            <w:r>
              <w:rPr>
                <w:sz w:val="18"/>
                <w:szCs w:val="18"/>
                <w:lang w:val="pl"/>
              </w:rPr>
              <w:fldChar w:fldCharType="separate"/>
            </w:r>
            <w:r>
              <w:rPr>
                <w:sz w:val="18"/>
                <w:szCs w:val="18"/>
                <w:lang w:val="pl"/>
              </w:rPr>
              <w:t>2</w:t>
            </w:r>
            <w:r>
              <w:rPr>
                <w:sz w:val="18"/>
                <w:szCs w:val="18"/>
                <w:lang w:val="pl"/>
              </w:rPr>
              <w:fldChar w:fldCharType="end"/>
            </w:r>
            <w:r>
              <w:rPr>
                <w:sz w:val="18"/>
                <w:szCs w:val="18"/>
                <w:lang w:val="pl"/>
              </w:rPr>
              <w:t xml:space="preserve"> z 1</w:t>
            </w:r>
            <w:r w:rsidR="00275B37">
              <w:rPr>
                <w:sz w:val="18"/>
                <w:szCs w:val="18"/>
                <w:lang w:val="pl"/>
              </w:rPr>
              <w:t>3</w:t>
            </w:r>
          </w:p>
        </w:sdtContent>
      </w:sdt>
    </w:sdtContent>
  </w:sdt>
  <w:p w14:paraId="34978F7F" w14:textId="77777777" w:rsidR="00465DEA" w:rsidRPr="00FE15B3" w:rsidRDefault="00465DEA" w:rsidP="00FE15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A342" w14:textId="77777777" w:rsidR="00465DEA" w:rsidRDefault="00465DEA" w:rsidP="00465DEA">
    <w:pPr>
      <w:pStyle w:val="Stopka"/>
      <w:jc w:val="right"/>
      <w:rPr>
        <w:sz w:val="18"/>
        <w:szCs w:val="18"/>
      </w:rPr>
    </w:pPr>
  </w:p>
  <w:p w14:paraId="502ED99E" w14:textId="77777777" w:rsidR="00465DEA" w:rsidRDefault="00465DEA" w:rsidP="00465DEA">
    <w:pPr>
      <w:pStyle w:val="Tekstpodstawowy"/>
      <w:rPr>
        <w:sz w:val="20"/>
      </w:rPr>
    </w:pPr>
    <w:r>
      <w:rPr>
        <w:noProof/>
        <w:sz w:val="20"/>
        <w:lang w:val="pl"/>
      </w:rPr>
      <w:drawing>
        <wp:inline distT="0" distB="0" distL="0" distR="0" wp14:anchorId="5487EBA9" wp14:editId="7D689213">
          <wp:extent cx="5670037" cy="330708"/>
          <wp:effectExtent l="0" t="0" r="0" b="0"/>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70037" cy="330708"/>
                  </a:xfrm>
                  <a:prstGeom prst="rect">
                    <a:avLst/>
                  </a:prstGeom>
                </pic:spPr>
              </pic:pic>
            </a:graphicData>
          </a:graphic>
        </wp:inline>
      </w:drawing>
    </w:r>
  </w:p>
  <w:p w14:paraId="305F568B" w14:textId="77777777" w:rsidR="00465DEA" w:rsidRPr="00465DEA" w:rsidRDefault="00465DEA" w:rsidP="00465DEA">
    <w:pPr>
      <w:spacing w:before="7"/>
      <w:ind w:left="935"/>
      <w:rPr>
        <w:sz w:val="16"/>
        <w:lang w:val="pl-PL"/>
      </w:rPr>
    </w:pPr>
    <w:r>
      <w:rPr>
        <w:sz w:val="16"/>
        <w:lang w:val="pl"/>
      </w:rPr>
      <w:t>* Po uwzględnieniu kosztów i przychodów o charakterze jednorazowym oraz kosztów restrukturyzacji.</w:t>
    </w:r>
  </w:p>
  <w:p w14:paraId="08780628" w14:textId="77777777" w:rsidR="00465DEA" w:rsidRPr="00465DEA" w:rsidRDefault="00465DEA" w:rsidP="00465DEA">
    <w:pPr>
      <w:pStyle w:val="Stopka"/>
      <w:jc w:val="right"/>
      <w:rPr>
        <w:sz w:val="18"/>
        <w:szCs w:val="18"/>
        <w:lang w:val="pl-PL"/>
      </w:rPr>
    </w:pPr>
    <w:r>
      <w:rPr>
        <w:sz w:val="18"/>
        <w:szCs w:val="18"/>
        <w:lang w:val="pl"/>
      </w:rPr>
      <w:t xml:space="preserve">Strona </w:t>
    </w:r>
    <w:r>
      <w:rPr>
        <w:sz w:val="18"/>
        <w:szCs w:val="18"/>
        <w:lang w:val="pl"/>
      </w:rPr>
      <w:fldChar w:fldCharType="begin"/>
    </w:r>
    <w:r>
      <w:rPr>
        <w:sz w:val="18"/>
        <w:szCs w:val="18"/>
        <w:lang w:val="pl"/>
      </w:rPr>
      <w:instrText>PAGE</w:instrText>
    </w:r>
    <w:r>
      <w:rPr>
        <w:sz w:val="18"/>
        <w:szCs w:val="18"/>
        <w:lang w:val="pl"/>
      </w:rPr>
      <w:fldChar w:fldCharType="separate"/>
    </w:r>
    <w:r>
      <w:rPr>
        <w:sz w:val="18"/>
        <w:szCs w:val="18"/>
        <w:lang w:val="pl"/>
      </w:rPr>
      <w:t>2</w:t>
    </w:r>
    <w:r>
      <w:rPr>
        <w:sz w:val="18"/>
        <w:szCs w:val="18"/>
        <w:lang w:val="pl"/>
      </w:rPr>
      <w:fldChar w:fldCharType="end"/>
    </w:r>
    <w:r>
      <w:rPr>
        <w:sz w:val="18"/>
        <w:szCs w:val="18"/>
        <w:lang w:val="pl"/>
      </w:rPr>
      <w:t xml:space="preserve"> z 10</w:t>
    </w:r>
  </w:p>
  <w:p w14:paraId="08EDBC41" w14:textId="77777777" w:rsidR="00465DEA" w:rsidRPr="00465DEA" w:rsidRDefault="00465DEA">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906B" w14:textId="77777777" w:rsidR="00614FAF" w:rsidRDefault="00614FAF">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0295" w14:textId="77777777" w:rsidR="00DD6CDD" w:rsidRDefault="00DD6CDD">
      <w:r>
        <w:separator/>
      </w:r>
    </w:p>
  </w:footnote>
  <w:footnote w:type="continuationSeparator" w:id="0">
    <w:p w14:paraId="3A2892BD" w14:textId="77777777" w:rsidR="00DD6CDD" w:rsidRDefault="00DD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2FF0"/>
    <w:multiLevelType w:val="hybridMultilevel"/>
    <w:tmpl w:val="752EDD06"/>
    <w:lvl w:ilvl="0" w:tplc="B07E6AAE">
      <w:numFmt w:val="bullet"/>
      <w:lvlText w:val="-"/>
      <w:lvlJc w:val="left"/>
      <w:pPr>
        <w:ind w:left="1511" w:hanging="360"/>
      </w:pPr>
      <w:rPr>
        <w:rFonts w:ascii="Arial" w:eastAsia="Arial" w:hAnsi="Arial" w:cs="Arial" w:hint="default"/>
        <w:b w:val="0"/>
        <w:bCs w:val="0"/>
        <w:i w:val="0"/>
        <w:iCs w:val="0"/>
        <w:color w:val="FF0000"/>
        <w:w w:val="99"/>
        <w:sz w:val="22"/>
        <w:szCs w:val="22"/>
      </w:rPr>
    </w:lvl>
    <w:lvl w:ilvl="1" w:tplc="2054BC36">
      <w:numFmt w:val="bullet"/>
      <w:lvlText w:val="•"/>
      <w:lvlJc w:val="left"/>
      <w:pPr>
        <w:ind w:left="2416" w:hanging="360"/>
      </w:pPr>
      <w:rPr>
        <w:rFonts w:hint="default"/>
      </w:rPr>
    </w:lvl>
    <w:lvl w:ilvl="2" w:tplc="F32EF456">
      <w:numFmt w:val="bullet"/>
      <w:lvlText w:val="•"/>
      <w:lvlJc w:val="left"/>
      <w:pPr>
        <w:ind w:left="3312" w:hanging="360"/>
      </w:pPr>
      <w:rPr>
        <w:rFonts w:hint="default"/>
      </w:rPr>
    </w:lvl>
    <w:lvl w:ilvl="3" w:tplc="228E149C">
      <w:numFmt w:val="bullet"/>
      <w:lvlText w:val="•"/>
      <w:lvlJc w:val="left"/>
      <w:pPr>
        <w:ind w:left="4209" w:hanging="360"/>
      </w:pPr>
      <w:rPr>
        <w:rFonts w:hint="default"/>
      </w:rPr>
    </w:lvl>
    <w:lvl w:ilvl="4" w:tplc="2570C5D6">
      <w:numFmt w:val="bullet"/>
      <w:lvlText w:val="•"/>
      <w:lvlJc w:val="left"/>
      <w:pPr>
        <w:ind w:left="5105" w:hanging="360"/>
      </w:pPr>
      <w:rPr>
        <w:rFonts w:hint="default"/>
      </w:rPr>
    </w:lvl>
    <w:lvl w:ilvl="5" w:tplc="49387D3A">
      <w:numFmt w:val="bullet"/>
      <w:lvlText w:val="•"/>
      <w:lvlJc w:val="left"/>
      <w:pPr>
        <w:ind w:left="6002" w:hanging="360"/>
      </w:pPr>
      <w:rPr>
        <w:rFonts w:hint="default"/>
      </w:rPr>
    </w:lvl>
    <w:lvl w:ilvl="6" w:tplc="82ECFDA8">
      <w:numFmt w:val="bullet"/>
      <w:lvlText w:val="•"/>
      <w:lvlJc w:val="left"/>
      <w:pPr>
        <w:ind w:left="6898" w:hanging="360"/>
      </w:pPr>
      <w:rPr>
        <w:rFonts w:hint="default"/>
      </w:rPr>
    </w:lvl>
    <w:lvl w:ilvl="7" w:tplc="A0401F76">
      <w:numFmt w:val="bullet"/>
      <w:lvlText w:val="•"/>
      <w:lvlJc w:val="left"/>
      <w:pPr>
        <w:ind w:left="7795" w:hanging="360"/>
      </w:pPr>
      <w:rPr>
        <w:rFonts w:hint="default"/>
      </w:rPr>
    </w:lvl>
    <w:lvl w:ilvl="8" w:tplc="79FADA3A">
      <w:numFmt w:val="bullet"/>
      <w:lvlText w:val="•"/>
      <w:lvlJc w:val="left"/>
      <w:pPr>
        <w:ind w:left="8691" w:hanging="360"/>
      </w:pPr>
      <w:rPr>
        <w:rFonts w:hint="default"/>
      </w:rPr>
    </w:lvl>
  </w:abstractNum>
  <w:abstractNum w:abstractNumId="1" w15:restartNumberingAfterBreak="0">
    <w:nsid w:val="4DBB3435"/>
    <w:multiLevelType w:val="hybridMultilevel"/>
    <w:tmpl w:val="247037A6"/>
    <w:lvl w:ilvl="0" w:tplc="29C00C86">
      <w:numFmt w:val="bullet"/>
      <w:lvlText w:val=""/>
      <w:lvlJc w:val="left"/>
      <w:pPr>
        <w:ind w:left="1148" w:hanging="358"/>
      </w:pPr>
      <w:rPr>
        <w:rFonts w:ascii="Wingdings" w:eastAsia="Wingdings" w:hAnsi="Wingdings" w:cs="Wingdings" w:hint="default"/>
        <w:b w:val="0"/>
        <w:bCs w:val="0"/>
        <w:i w:val="0"/>
        <w:iCs w:val="0"/>
        <w:color w:val="E1000F"/>
        <w:w w:val="99"/>
        <w:sz w:val="24"/>
        <w:szCs w:val="24"/>
      </w:rPr>
    </w:lvl>
    <w:lvl w:ilvl="1" w:tplc="E474D888">
      <w:numFmt w:val="bullet"/>
      <w:lvlText w:val="-"/>
      <w:lvlJc w:val="left"/>
      <w:pPr>
        <w:ind w:left="1871" w:hanging="360"/>
      </w:pPr>
      <w:rPr>
        <w:rFonts w:ascii="Arial" w:eastAsia="Arial" w:hAnsi="Arial" w:cs="Arial" w:hint="default"/>
        <w:b w:val="0"/>
        <w:bCs w:val="0"/>
        <w:i w:val="0"/>
        <w:iCs w:val="0"/>
        <w:color w:val="FF0000"/>
        <w:w w:val="99"/>
        <w:sz w:val="22"/>
        <w:szCs w:val="22"/>
      </w:rPr>
    </w:lvl>
    <w:lvl w:ilvl="2" w:tplc="72D6E074">
      <w:numFmt w:val="bullet"/>
      <w:lvlText w:val="•"/>
      <w:lvlJc w:val="left"/>
      <w:pPr>
        <w:ind w:left="2836" w:hanging="360"/>
      </w:pPr>
      <w:rPr>
        <w:rFonts w:hint="default"/>
      </w:rPr>
    </w:lvl>
    <w:lvl w:ilvl="3" w:tplc="45BCB330">
      <w:numFmt w:val="bullet"/>
      <w:lvlText w:val="•"/>
      <w:lvlJc w:val="left"/>
      <w:pPr>
        <w:ind w:left="3792" w:hanging="360"/>
      </w:pPr>
      <w:rPr>
        <w:rFonts w:hint="default"/>
      </w:rPr>
    </w:lvl>
    <w:lvl w:ilvl="4" w:tplc="B3FC644A">
      <w:numFmt w:val="bullet"/>
      <w:lvlText w:val="•"/>
      <w:lvlJc w:val="left"/>
      <w:pPr>
        <w:ind w:left="4748" w:hanging="360"/>
      </w:pPr>
      <w:rPr>
        <w:rFonts w:hint="default"/>
      </w:rPr>
    </w:lvl>
    <w:lvl w:ilvl="5" w:tplc="D0DAB98A">
      <w:numFmt w:val="bullet"/>
      <w:lvlText w:val="•"/>
      <w:lvlJc w:val="left"/>
      <w:pPr>
        <w:ind w:left="5704" w:hanging="360"/>
      </w:pPr>
      <w:rPr>
        <w:rFonts w:hint="default"/>
      </w:rPr>
    </w:lvl>
    <w:lvl w:ilvl="6" w:tplc="747ADE60">
      <w:numFmt w:val="bullet"/>
      <w:lvlText w:val="•"/>
      <w:lvlJc w:val="left"/>
      <w:pPr>
        <w:ind w:left="6660" w:hanging="360"/>
      </w:pPr>
      <w:rPr>
        <w:rFonts w:hint="default"/>
      </w:rPr>
    </w:lvl>
    <w:lvl w:ilvl="7" w:tplc="B14400D0">
      <w:numFmt w:val="bullet"/>
      <w:lvlText w:val="•"/>
      <w:lvlJc w:val="left"/>
      <w:pPr>
        <w:ind w:left="7616" w:hanging="360"/>
      </w:pPr>
      <w:rPr>
        <w:rFonts w:hint="default"/>
      </w:rPr>
    </w:lvl>
    <w:lvl w:ilvl="8" w:tplc="6EB4804C">
      <w:numFmt w:val="bullet"/>
      <w:lvlText w:val="•"/>
      <w:lvlJc w:val="left"/>
      <w:pPr>
        <w:ind w:left="857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AF"/>
    <w:rsid w:val="0011029F"/>
    <w:rsid w:val="00150224"/>
    <w:rsid w:val="001D5304"/>
    <w:rsid w:val="00275B37"/>
    <w:rsid w:val="002C7EF2"/>
    <w:rsid w:val="003F45F9"/>
    <w:rsid w:val="00420986"/>
    <w:rsid w:val="00465DEA"/>
    <w:rsid w:val="00475CF8"/>
    <w:rsid w:val="00614FAF"/>
    <w:rsid w:val="0063564E"/>
    <w:rsid w:val="006C0D91"/>
    <w:rsid w:val="006D67C6"/>
    <w:rsid w:val="006E1889"/>
    <w:rsid w:val="006E663E"/>
    <w:rsid w:val="00795D10"/>
    <w:rsid w:val="0084059E"/>
    <w:rsid w:val="008B4CDF"/>
    <w:rsid w:val="00A95824"/>
    <w:rsid w:val="00AE6D39"/>
    <w:rsid w:val="00C21762"/>
    <w:rsid w:val="00C95B8F"/>
    <w:rsid w:val="00DD6CDD"/>
    <w:rsid w:val="00FE15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09C1"/>
  <w15:docId w15:val="{1F0BA1EB-B852-4D45-97F2-5908B7F1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Segoe UI" w:eastAsia="Segoe UI" w:hAnsi="Segoe UI" w:cs="Segoe U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100"/>
      <w:ind w:right="605"/>
      <w:jc w:val="right"/>
    </w:pPr>
    <w:rPr>
      <w:b/>
      <w:bCs/>
      <w:sz w:val="40"/>
      <w:szCs w:val="40"/>
    </w:rPr>
  </w:style>
  <w:style w:type="paragraph" w:styleId="Akapitzlist">
    <w:name w:val="List Paragraph"/>
    <w:basedOn w:val="Normalny"/>
    <w:uiPriority w:val="1"/>
    <w:qFormat/>
    <w:pPr>
      <w:spacing w:before="124"/>
      <w:ind w:left="1871" w:hanging="361"/>
    </w:pPr>
  </w:style>
  <w:style w:type="paragraph" w:customStyle="1" w:styleId="TableParagraph">
    <w:name w:val="Table Paragraph"/>
    <w:basedOn w:val="Normalny"/>
    <w:uiPriority w:val="1"/>
    <w:qFormat/>
    <w:pPr>
      <w:spacing w:before="43"/>
      <w:jc w:val="center"/>
    </w:pPr>
    <w:rPr>
      <w:rFonts w:ascii="Calibri" w:eastAsia="Calibri" w:hAnsi="Calibri" w:cs="Calibri"/>
    </w:rPr>
  </w:style>
  <w:style w:type="paragraph" w:styleId="Nagwek">
    <w:name w:val="header"/>
    <w:basedOn w:val="Normalny"/>
    <w:link w:val="NagwekZnak"/>
    <w:uiPriority w:val="99"/>
    <w:unhideWhenUsed/>
    <w:rsid w:val="00FE15B3"/>
    <w:pPr>
      <w:tabs>
        <w:tab w:val="center" w:pos="4536"/>
        <w:tab w:val="right" w:pos="9072"/>
      </w:tabs>
    </w:pPr>
  </w:style>
  <w:style w:type="character" w:customStyle="1" w:styleId="NagwekZnak">
    <w:name w:val="Nagłówek Znak"/>
    <w:basedOn w:val="Domylnaczcionkaakapitu"/>
    <w:link w:val="Nagwek"/>
    <w:uiPriority w:val="99"/>
    <w:rsid w:val="00FE15B3"/>
    <w:rPr>
      <w:rFonts w:ascii="Segoe UI" w:eastAsia="Segoe UI" w:hAnsi="Segoe UI" w:cs="Segoe UI"/>
    </w:rPr>
  </w:style>
  <w:style w:type="paragraph" w:styleId="Stopka">
    <w:name w:val="footer"/>
    <w:basedOn w:val="Normalny"/>
    <w:link w:val="StopkaZnak"/>
    <w:uiPriority w:val="99"/>
    <w:unhideWhenUsed/>
    <w:rsid w:val="00FE15B3"/>
    <w:pPr>
      <w:tabs>
        <w:tab w:val="center" w:pos="4536"/>
        <w:tab w:val="right" w:pos="9072"/>
      </w:tabs>
    </w:pPr>
  </w:style>
  <w:style w:type="character" w:customStyle="1" w:styleId="StopkaZnak">
    <w:name w:val="Stopka Znak"/>
    <w:basedOn w:val="Domylnaczcionkaakapitu"/>
    <w:link w:val="Stopka"/>
    <w:uiPriority w:val="99"/>
    <w:rsid w:val="00FE15B3"/>
    <w:rPr>
      <w:rFonts w:ascii="Segoe UI" w:eastAsia="Segoe UI" w:hAnsi="Segoe UI" w:cs="Segoe UI"/>
    </w:rPr>
  </w:style>
  <w:style w:type="character" w:styleId="Hipercze">
    <w:name w:val="Hyperlink"/>
    <w:semiHidden/>
    <w:unhideWhenUsed/>
    <w:rsid w:val="006C0D91"/>
    <w:rPr>
      <w:rFonts w:ascii="Segoe UI" w:hAnsi="Segoe UI" w:cs="Segoe UI" w:hint="default"/>
      <w:color w:val="0000FF"/>
      <w:sz w:val="18"/>
      <w:szCs w:val="18"/>
      <w:u w:val="single"/>
    </w:rPr>
  </w:style>
  <w:style w:type="character" w:customStyle="1" w:styleId="AboutandContactBody">
    <w:name w:val="About and Contact Body"/>
    <w:basedOn w:val="Domylnaczcionkaakapitu"/>
    <w:rsid w:val="006C0D91"/>
    <w:rPr>
      <w:rFonts w:ascii="Segoe UI" w:hAnsi="Segoe UI" w:cs="Segoe UI"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8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szymanczak@solskip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rota.strosznajder@henke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enke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4318</Words>
  <Characters>25913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Microsoft Word - News Release_Henkel_Full Year_2021_EN.docx</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News Release_Henkel_Full Year_2021_EN.docx</dc:title>
  <dc:creator>klueppel</dc:creator>
  <cp:lastModifiedBy>Klaudia Mencina</cp:lastModifiedBy>
  <cp:revision>3</cp:revision>
  <dcterms:created xsi:type="dcterms:W3CDTF">2022-02-23T18:00:00Z</dcterms:created>
  <dcterms:modified xsi:type="dcterms:W3CDTF">2022-02-23T18:14:00Z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PScript5.dll Version 5.2.2</vt:lpwstr>
  </property>
  <property fmtid="{D5CDD505-2E9C-101B-9397-08002B2CF9AE}" pid="4" name="LastSaved">
    <vt:filetime>2022-02-23T00:00:00Z</vt:filetime>
  </property>
</Properties>
</file>