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FCF63E" w14:textId="77777777" w:rsidR="00273E5D" w:rsidRPr="001B5C96" w:rsidRDefault="00273E5D" w:rsidP="00273E5D">
      <w:pPr>
        <w:pStyle w:val="Predvolen"/>
        <w:tabs>
          <w:tab w:val="left" w:pos="7513"/>
          <w:tab w:val="right" w:pos="9086"/>
        </w:tabs>
        <w:spacing w:before="120" w:line="276" w:lineRule="auto"/>
        <w:ind w:right="552"/>
        <w:jc w:val="right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23. únor 2022</w:t>
      </w:r>
    </w:p>
    <w:p w14:paraId="5C7F8223" w14:textId="77777777" w:rsidR="00273E5D" w:rsidRPr="001B5C96" w:rsidRDefault="00273E5D" w:rsidP="00273E5D">
      <w:pPr>
        <w:pStyle w:val="Predvolen"/>
        <w:spacing w:before="560" w:after="36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Dobré výsledky a pokrok ve všech strategických prioritách v roce 2021</w:t>
      </w:r>
    </w:p>
    <w:p w14:paraId="22B05BD9" w14:textId="77777777" w:rsidR="00273E5D" w:rsidRPr="001B5C96" w:rsidRDefault="00273E5D" w:rsidP="00273E5D">
      <w:pPr>
        <w:pStyle w:val="Predvolen"/>
        <w:spacing w:before="0" w:line="276" w:lineRule="auto"/>
        <w:ind w:right="553"/>
        <w:rPr>
          <w:rFonts w:ascii="Helvetica" w:eastAsia="Helvetica" w:hAnsi="Helvetica" w:cs="Helvetica"/>
          <w:b/>
          <w:bCs/>
          <w:sz w:val="32"/>
          <w:szCs w:val="32"/>
          <w:lang w:val="cs-CZ"/>
        </w:rPr>
      </w:pPr>
      <w:r w:rsidRPr="001B5C96">
        <w:rPr>
          <w:rFonts w:ascii="Helvetica" w:hAnsi="Helvetica"/>
          <w:b/>
          <w:bCs/>
          <w:sz w:val="32"/>
          <w:szCs w:val="32"/>
          <w:lang w:val="cs-CZ"/>
        </w:rPr>
        <w:t xml:space="preserve">Společnost </w:t>
      </w:r>
      <w:proofErr w:type="spellStart"/>
      <w:r w:rsidRPr="001B5C96">
        <w:rPr>
          <w:rFonts w:ascii="Helvetica" w:hAnsi="Helvetica"/>
          <w:b/>
          <w:bCs/>
          <w:sz w:val="32"/>
          <w:szCs w:val="3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32"/>
          <w:szCs w:val="32"/>
          <w:lang w:val="cs-CZ"/>
        </w:rPr>
        <w:t xml:space="preserve"> zveřejnila výsledky hospodaření za rok 2021 a posouvá svoji agendu smysluplného růstu na vyšší úroveň</w:t>
      </w:r>
    </w:p>
    <w:p w14:paraId="62C05338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07457ED0" w14:textId="77777777" w:rsidR="00273E5D" w:rsidRDefault="00273E5D" w:rsidP="00273E5D">
      <w:pPr>
        <w:pStyle w:val="Predvolen"/>
        <w:numPr>
          <w:ilvl w:val="0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Dobré obchodní výsledky v náročném trhovém prostředí roku 2021:</w:t>
      </w:r>
    </w:p>
    <w:p w14:paraId="101EA185" w14:textId="77777777" w:rsidR="00273E5D" w:rsidRPr="00673B17" w:rsidRDefault="00273E5D" w:rsidP="00273E5D">
      <w:pPr>
        <w:pStyle w:val="Predvolen"/>
        <w:numPr>
          <w:ilvl w:val="1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673B17">
        <w:rPr>
          <w:rFonts w:ascii="Helvetica" w:hAnsi="Helvetica"/>
          <w:b/>
          <w:bCs/>
          <w:sz w:val="22"/>
          <w:szCs w:val="22"/>
          <w:lang w:val="cs-CZ"/>
        </w:rPr>
        <w:t>Obrat na úrovni skupiny dosáhl 20,1 mld. eur, organický růst +7,8 %</w:t>
      </w:r>
    </w:p>
    <w:p w14:paraId="02272863" w14:textId="77777777" w:rsidR="00273E5D" w:rsidRPr="001B5C96" w:rsidRDefault="00273E5D" w:rsidP="00273E5D">
      <w:pPr>
        <w:pStyle w:val="Predvolen"/>
        <w:numPr>
          <w:ilvl w:val="1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Provozní zisk* se zvýšil na 2,7 mld. eur, + 4,2 %</w:t>
      </w:r>
    </w:p>
    <w:p w14:paraId="334512DE" w14:textId="77777777" w:rsidR="00273E5D" w:rsidRPr="001B5C96" w:rsidRDefault="00273E5D" w:rsidP="00273E5D">
      <w:pPr>
        <w:pStyle w:val="Predvolen"/>
        <w:numPr>
          <w:ilvl w:val="1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Marže EBIT* na úrovni předchozího roku: 13,4 %</w:t>
      </w:r>
    </w:p>
    <w:p w14:paraId="7BF18B44" w14:textId="77777777" w:rsidR="00273E5D" w:rsidRPr="001B5C96" w:rsidRDefault="00273E5D" w:rsidP="00273E5D">
      <w:pPr>
        <w:pStyle w:val="Predvolen"/>
        <w:numPr>
          <w:ilvl w:val="1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Výnos na prioritní akcii (EPS)*: 4,56 eur, +9,2 % po úpravě o kurzové vlivy</w:t>
      </w:r>
    </w:p>
    <w:p w14:paraId="7C789E85" w14:textId="77777777" w:rsidR="00273E5D" w:rsidRPr="001B5C96" w:rsidRDefault="00273E5D" w:rsidP="00273E5D">
      <w:pPr>
        <w:pStyle w:val="Predvolen"/>
        <w:numPr>
          <w:ilvl w:val="1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Dobrý volný cash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flow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ve výši 1,5 mld. eur; čistá finanční pozice se významně zlepšila</w:t>
      </w:r>
    </w:p>
    <w:p w14:paraId="3A664708" w14:textId="77777777" w:rsidR="00273E5D" w:rsidRPr="001B5C96" w:rsidRDefault="00273E5D" w:rsidP="00273E5D">
      <w:pPr>
        <w:pStyle w:val="Predvolen"/>
        <w:numPr>
          <w:ilvl w:val="0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Navrhovaná výše dividendy na úrovni předchozího roku: 1,85 eur na prioritní akcii</w:t>
      </w:r>
    </w:p>
    <w:p w14:paraId="00BFDB59" w14:textId="77777777" w:rsidR="00273E5D" w:rsidRPr="001B5C96" w:rsidRDefault="00273E5D" w:rsidP="00273E5D">
      <w:pPr>
        <w:pStyle w:val="Predvolen"/>
        <w:numPr>
          <w:ilvl w:val="0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Výhled na rok 2022 a </w:t>
      </w:r>
      <w:proofErr w:type="gram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středně- až</w:t>
      </w:r>
      <w:proofErr w:type="gramEnd"/>
      <w:r w:rsidRPr="001B5C96">
        <w:rPr>
          <w:rFonts w:ascii="Helvetica" w:hAnsi="Helvetica"/>
          <w:b/>
          <w:bCs/>
          <w:sz w:val="22"/>
          <w:szCs w:val="22"/>
          <w:lang w:val="cs-CZ"/>
        </w:rPr>
        <w:t> dlouhodobé finanční cíle zůstávají nezměněné</w:t>
      </w:r>
    </w:p>
    <w:p w14:paraId="5B4E85D9" w14:textId="77777777" w:rsidR="00273E5D" w:rsidRPr="001B5C96" w:rsidRDefault="00273E5D" w:rsidP="00273E5D">
      <w:pPr>
        <w:pStyle w:val="Predvolen"/>
        <w:numPr>
          <w:ilvl w:val="0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Konzistentní implementace agendy smysluplného růstu od roku 2020</w:t>
      </w:r>
    </w:p>
    <w:p w14:paraId="6E71CF97" w14:textId="77777777" w:rsidR="00273E5D" w:rsidRPr="001B5C96" w:rsidRDefault="00273E5D" w:rsidP="00273E5D">
      <w:pPr>
        <w:pStyle w:val="Predvolen"/>
        <w:numPr>
          <w:ilvl w:val="0"/>
          <w:numId w:val="22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Klíčová opatření na posilnění strategické agendy růstu:</w:t>
      </w:r>
    </w:p>
    <w:p w14:paraId="1F35BF88" w14:textId="77777777" w:rsidR="00273E5D" w:rsidRPr="001B5C96" w:rsidRDefault="00273E5D" w:rsidP="00273E5D">
      <w:pPr>
        <w:pStyle w:val="Predvolen"/>
        <w:numPr>
          <w:ilvl w:val="0"/>
          <w:numId w:val="25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Začala integrace divizí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 a 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 do jedné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multiproduktové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platformy s obratem přibližně 10 mld. eur</w:t>
      </w:r>
    </w:p>
    <w:p w14:paraId="6C0178A1" w14:textId="77777777" w:rsidR="00273E5D" w:rsidRPr="001B5C96" w:rsidRDefault="00273E5D" w:rsidP="00273E5D">
      <w:pPr>
        <w:pStyle w:val="Predvolen"/>
        <w:numPr>
          <w:ilvl w:val="0"/>
          <w:numId w:val="25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Plánovaná další optimalizace portfolia v segmentu spotřebního zboží</w:t>
      </w:r>
    </w:p>
    <w:p w14:paraId="0F7DA97C" w14:textId="77777777" w:rsidR="00273E5D" w:rsidRPr="001B5C96" w:rsidRDefault="00273E5D" w:rsidP="00273E5D">
      <w:pPr>
        <w:pStyle w:val="Predvolen"/>
        <w:numPr>
          <w:ilvl w:val="0"/>
          <w:numId w:val="25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Spuštěný program zpětného odkupu akcií v objemu do 1 mld. eur</w:t>
      </w:r>
    </w:p>
    <w:p w14:paraId="62DBAA39" w14:textId="77777777" w:rsidR="00273E5D" w:rsidRPr="001B5C96" w:rsidRDefault="00273E5D" w:rsidP="00273E5D">
      <w:pPr>
        <w:pStyle w:val="Predvolen"/>
        <w:numPr>
          <w:ilvl w:val="0"/>
          <w:numId w:val="25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Fond rizikového kapitálu </w:t>
      </w:r>
      <w:r w:rsidRPr="001B5C96">
        <w:rPr>
          <w:rFonts w:ascii="Helvetica" w:hAnsi="Helvetica"/>
          <w:b/>
          <w:bCs/>
          <w:sz w:val="22"/>
          <w:szCs w:val="22"/>
          <w:u w:color="FF2600"/>
          <w:lang w:val="cs-CZ"/>
        </w:rPr>
        <w:t xml:space="preserve">Venture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u w:color="FF2600"/>
          <w:lang w:val="cs-CZ"/>
        </w:rPr>
        <w:t>Fund</w:t>
      </w:r>
      <w:proofErr w:type="spellEnd"/>
      <w:r w:rsidRPr="001B5C96">
        <w:rPr>
          <w:rFonts w:ascii="Helvetica" w:hAnsi="Helvetica"/>
          <w:b/>
          <w:bCs/>
          <w:sz w:val="22"/>
          <w:szCs w:val="22"/>
          <w:u w:color="FF2600"/>
          <w:lang w:val="cs-CZ"/>
        </w:rPr>
        <w:t xml:space="preserve"> II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s celkovým objemem 150 mil. eur</w:t>
      </w:r>
    </w:p>
    <w:p w14:paraId="201E450B" w14:textId="77777777" w:rsidR="00273E5D" w:rsidRPr="001B5C96" w:rsidRDefault="00273E5D" w:rsidP="00273E5D">
      <w:pPr>
        <w:pStyle w:val="Predvolen"/>
        <w:numPr>
          <w:ilvl w:val="0"/>
          <w:numId w:val="25"/>
        </w:numPr>
        <w:spacing w:before="0" w:after="80" w:line="276" w:lineRule="auto"/>
        <w:ind w:right="445"/>
        <w:rPr>
          <w:rFonts w:ascii="Helvetica" w:hAnsi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Nová strategie a ambice v oblasti udržitelnosti</w:t>
      </w:r>
    </w:p>
    <w:p w14:paraId="444B85E5" w14:textId="77777777" w:rsidR="00273E5D" w:rsidRPr="001B5C96" w:rsidRDefault="00273E5D" w:rsidP="00273E5D">
      <w:pPr>
        <w:pStyle w:val="Predvolen"/>
        <w:spacing w:before="0" w:after="80" w:line="276" w:lineRule="auto"/>
        <w:ind w:right="445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205C864C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lastRenderedPageBreak/>
        <w:t xml:space="preserve">Düsseldorf – </w:t>
      </w:r>
      <w:r w:rsidRPr="00746ADC">
        <w:rPr>
          <w:rFonts w:ascii="Helvetica" w:hAnsi="Helvetica"/>
          <w:b/>
          <w:bCs/>
          <w:i/>
          <w:iCs/>
          <w:sz w:val="22"/>
          <w:szCs w:val="22"/>
          <w:lang w:val="cs-CZ"/>
        </w:rPr>
        <w:t>„Celkově jsme v roce 2021 dosáhli dobrých hospodářských výsledků a konzistentně jsme dělali pokroky v implementaci naší strategické agendy. A to i přes velmi náročné trhové podmínky s bezprecedentním narušením globálních dodavatelských řetězců, nedostatkem klíčových surovin a celkově výrazně rostoucími cenami,“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řekl předseda představenstva společnosti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Carsten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Knobel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>.</w:t>
      </w:r>
    </w:p>
    <w:p w14:paraId="1898DEDD" w14:textId="77777777" w:rsidR="00273E5D" w:rsidRPr="001B5C96" w:rsidRDefault="00273E5D" w:rsidP="00273E5D">
      <w:pPr>
        <w:pStyle w:val="Predvolen"/>
        <w:spacing w:before="0" w:line="20" w:lineRule="exact"/>
        <w:ind w:right="553"/>
        <w:rPr>
          <w:rFonts w:ascii="Helvetica" w:eastAsia="Helvetica" w:hAnsi="Helvetica" w:cs="Helvetica"/>
          <w:color w:val="FFFFFF"/>
          <w:sz w:val="4"/>
          <w:szCs w:val="4"/>
          <w:u w:color="FFFFFF"/>
          <w:lang w:val="cs-CZ"/>
        </w:rPr>
      </w:pPr>
    </w:p>
    <w:p w14:paraId="3BAA822D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1750D38A" w14:textId="77777777" w:rsidR="00273E5D" w:rsidRPr="00C30627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i/>
          <w:iCs/>
          <w:sz w:val="22"/>
          <w:szCs w:val="22"/>
          <w:lang w:val="cs-CZ"/>
        </w:rPr>
      </w:pPr>
      <w:r w:rsidRPr="00C30627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„Zaznamenali jsme organický růst ve všech obchodních divizích, udrželi jsme marži na stabilní úrovni a dosáhli jsme velmi silného růstu výnosů na prioritní akcii. Je to výsledek úsilí celého našeho globálního týmu </w:t>
      </w:r>
      <w:proofErr w:type="spellStart"/>
      <w:r w:rsidRPr="00C30627">
        <w:rPr>
          <w:rFonts w:ascii="Helvetica" w:hAnsi="Helvetica"/>
          <w:b/>
          <w:bCs/>
          <w:i/>
          <w:iCs/>
          <w:sz w:val="22"/>
          <w:szCs w:val="22"/>
          <w:lang w:val="cs-CZ"/>
        </w:rPr>
        <w:t>Henkel</w:t>
      </w:r>
      <w:proofErr w:type="spellEnd"/>
      <w:r w:rsidRPr="00C30627">
        <w:rPr>
          <w:rFonts w:ascii="Helvetica" w:hAnsi="Helvetica"/>
          <w:b/>
          <w:bCs/>
          <w:i/>
          <w:iCs/>
          <w:sz w:val="22"/>
          <w:szCs w:val="22"/>
          <w:lang w:val="cs-CZ"/>
        </w:rPr>
        <w:t>. I v takové náročné době se nám společně dařilo dělat pokroky v naší agendě smysluplného růstu. Rád bych poděkoval všem zaměstnancům za jejich výjimečné pracovní nasazení. Především těm, kteří udržovali v chodu naši produkci a kritické obchodní procesy přímo ve výrobních provozovnách.“</w:t>
      </w:r>
    </w:p>
    <w:p w14:paraId="12D00AC9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523A7698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Společnost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dosáhla ve finančním roce 2021 organického obratu v hodnotě přibližně 20,1 mld. eur, což ve srovnání s rokem 2020 představuje organický růst obratu ve výši 7,8 %. Zvláště pozitivní vliv mělo výrazné oživení poptávky v průmyslovém segmentu a v segmentu profesionální vlasové kosmetiky. Ve srovnání s předchozím rokem 2020, kdy byla poptávka po hygienických a čistících produktech a barvách na vlasy zvlášť vysoká, zatím co poptávka po stylingových př</w:t>
      </w:r>
      <w:r>
        <w:rPr>
          <w:rFonts w:ascii="Helvetica" w:hAnsi="Helvetica"/>
          <w:b/>
          <w:bCs/>
          <w:sz w:val="22"/>
          <w:szCs w:val="22"/>
          <w:lang w:val="cs-CZ"/>
        </w:rPr>
        <w:t>í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pravcích byla méně výrazná, v segmentu spotřebního zboží se poptávka v mnoha kategoriích normalizovala. Zároveň ovšem výrazné zvýšení cen vstupních surovin a logistiky spolu s kurzovými vlivy negativně zasáhli naši ziskovost ve finančním roce 2021. Díky výraznému zvýšení objemu prodeje, úspěšnému zvýšení cen, aktivnímu řízení nákladů a pokračujícím strukturálním změnám dokázala společnost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více než kompenzovat jejich vliv na své výnosy. Upravený provozní zisk se zvýšil o 4,2 % na 2,7 mld. eur. Upravená výnosnost prodeje představovala 13,4 % ve srovnání s předchozím rokem a upravený výnos na prioritní akcii se zvýšil na 4,56 eura. Tento vývoj představuje výrazné zlepšení na úrovni 9,2 % při konstantních kurzových sazbách.</w:t>
      </w:r>
    </w:p>
    <w:p w14:paraId="27E47A30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03305C88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Vzhledem k uvedeným výsledkům společnost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na blížícím se výročním valném shromáždění navrhne svým akcionářům stabilní dividendu ve výši 1,85 eura na prioritní akcii a 1,83 eura na kmenovou akcii. Navrhovaná výše se rovná podílu vyplácených dividend na úrovni 40,5 %, což je mírně nad cílovým rozsahem 30 až 40 % upraveného čistého zisku po odpočítání menšinových podílů. Společnost vyplácí stabilně dividendy od vypuknutí pandemie onemocnění COVID-19.</w:t>
      </w:r>
    </w:p>
    <w:p w14:paraId="715A7FC1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37E411B7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Kromě toho společnost koncem ledna 2022 oznámila zahájení programu odkupu akcií v objemu do 1 mld. eur, s jehož implementací začala v únoru.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plánuje odkoupit prioritní akcie v celkovém objemu až 800 mil. eur a kmenové akcie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lastRenderedPageBreak/>
        <w:t>v celkovém objemu do 200 mil. eur. Odkupování akcií by mělo probíhat až do 31. března 2023.</w:t>
      </w:r>
    </w:p>
    <w:p w14:paraId="43887AF6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65E21545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„Neustále pokračujeme v implementaci naší strategické agendy a v mnohých klíčových oblastech jsme dosáhli velmi výrazného pokroku. V jiných oblastech ovšem stále vidíme potřebu přijímat další opatření. Proto se nyní snažíme posunout naši agendu smysluplného růstu na další úroveň: koncem ledna jsme oznámili sloučení obchodních divizí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Laundry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&amp;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Home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Care a 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Beauty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Care do jedné obchodní divize pod názvem „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Henkel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Consumer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Brands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“. Cílem je vybudovat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multiproduktovou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platformu s obratem kolem 10 miliard eur, která nám poskytne širší základ pro ještě konzistentnější optimalizaci našeho portfolia směrem k vyššímu růstu a maržím. Tyto plány se odrážejí i v našich </w:t>
      </w:r>
      <w:proofErr w:type="gram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středně- až</w:t>
      </w:r>
      <w:proofErr w:type="gram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dlouhodobých finančních ambicích,“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řekl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Carsten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Knobel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. </w:t>
      </w:r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„Kromě toho, náš nový fond rizikového kapitálu Venture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Fund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II v objemu 150 mil. eur a náš nový rámec 2030+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Sustainability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</w:t>
      </w:r>
      <w:proofErr w:type="spellStart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>Ambition</w:t>
      </w:r>
      <w:proofErr w:type="spellEnd"/>
      <w:r w:rsidRPr="009E1049">
        <w:rPr>
          <w:rFonts w:ascii="Helvetica" w:hAnsi="Helvetica"/>
          <w:b/>
          <w:bCs/>
          <w:i/>
          <w:iCs/>
          <w:sz w:val="22"/>
          <w:szCs w:val="22"/>
          <w:lang w:val="cs-CZ"/>
        </w:rPr>
        <w:t xml:space="preserve"> Framework přinášejí důležitý stimul v oblasti inovací a udržitelnosti. A nový otevřený a dynamický vzhled naší korporátní značky posilňuje naši misi.“</w:t>
      </w:r>
    </w:p>
    <w:p w14:paraId="2D56D31B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76ED80E1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Obrat a výnosy skupiny za finanční rok 2021</w:t>
      </w:r>
    </w:p>
    <w:p w14:paraId="10764249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Obrat</w:t>
      </w:r>
      <w:r w:rsidRPr="001B5C96">
        <w:rPr>
          <w:rFonts w:ascii="Helvetica" w:hAnsi="Helvetica"/>
          <w:sz w:val="22"/>
          <w:szCs w:val="22"/>
          <w:lang w:val="cs-CZ"/>
        </w:rPr>
        <w:t xml:space="preserve"> skupiny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ve finančním roce 2021 dosáhl 20 066 mil. eur, což představuje nominální růst na úrovni 4,2 % a výrazný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organický růst obratu</w:t>
      </w:r>
      <w:r w:rsidRPr="001B5C96">
        <w:rPr>
          <w:rFonts w:ascii="Helvetica" w:hAnsi="Helvetica"/>
          <w:sz w:val="22"/>
          <w:szCs w:val="22"/>
          <w:lang w:val="cs-CZ"/>
        </w:rPr>
        <w:t xml:space="preserve"> ve výši 7,8 %. Akvizice a odprodeje měli na obrat mírně negativní vliv na úrovni -0,1 %. Kurzový vývoj měl na obrat negativní vliv ve výši -3,5 %.</w:t>
      </w:r>
    </w:p>
    <w:p w14:paraId="23D99874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6DBA5AE0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Obchodní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1B5C96">
        <w:rPr>
          <w:rFonts w:ascii="Helvetica" w:hAnsi="Helvetica"/>
          <w:sz w:val="22"/>
          <w:szCs w:val="22"/>
          <w:lang w:val="cs-CZ"/>
        </w:rPr>
        <w:t xml:space="preserve"> zaznamenala dvouciferný organický růst obratu na úrovni 13,4 %, kterého hlavním zdrojem bylo výrazné oživení průmyslové poptávky ve srovnání s obdobím předchozího roku, jež bylo těžce poznačené pandemií onemocnění COVID-19. Obrat obchodní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1B5C96">
        <w:rPr>
          <w:rFonts w:ascii="Helvetica" w:hAnsi="Helvetica"/>
          <w:sz w:val="22"/>
          <w:szCs w:val="22"/>
          <w:lang w:val="cs-CZ"/>
        </w:rPr>
        <w:t xml:space="preserve"> organicky narostl o 1,4 %. Pozitivní vliv mělo oživení v segmentu profesionální vlasové kosmetiky, zatím co segment spotřebního zboží byl ovlivněn zejména normalizováním poptávky v kategorii tělové kosmetiky a zaznamenal pokles. Obchodní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1B5C96">
        <w:rPr>
          <w:rFonts w:ascii="Helvetica" w:hAnsi="Helvetica"/>
          <w:sz w:val="22"/>
          <w:szCs w:val="22"/>
          <w:lang w:val="cs-CZ"/>
        </w:rPr>
        <w:t xml:space="preserve"> dosáhla silného organického růstu obratu na úrovni 3,9 % díky silným výsledkům jak v kategorii pracích prostředků, tak v kategorii čistících přípravků pro domácnost.</w:t>
      </w:r>
    </w:p>
    <w:p w14:paraId="213D412F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45FA5AA7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Rozvíjející se trhy</w:t>
      </w:r>
      <w:r w:rsidRPr="001B5C96">
        <w:rPr>
          <w:rFonts w:ascii="Helvetica" w:hAnsi="Helvetica"/>
          <w:sz w:val="22"/>
          <w:szCs w:val="22"/>
          <w:lang w:val="cs-CZ"/>
        </w:rPr>
        <w:t xml:space="preserve"> zaznamenali dvouciferný organický růst obratu ve výši 15</w:t>
      </w:r>
      <w:r>
        <w:rPr>
          <w:rFonts w:ascii="Helvetica" w:hAnsi="Helvetica"/>
          <w:sz w:val="22"/>
          <w:szCs w:val="22"/>
          <w:lang w:val="cs-CZ"/>
        </w:rPr>
        <w:t>,</w:t>
      </w:r>
      <w:r w:rsidRPr="001B5C96">
        <w:rPr>
          <w:rFonts w:ascii="Helvetica" w:hAnsi="Helvetica"/>
          <w:sz w:val="22"/>
          <w:szCs w:val="22"/>
          <w:lang w:val="cs-CZ"/>
        </w:rPr>
        <w:t xml:space="preserve">4 %, organický obrat na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vyspělých trzích</w:t>
      </w:r>
      <w:r w:rsidRPr="001B5C96">
        <w:rPr>
          <w:rFonts w:ascii="Helvetica" w:hAnsi="Helvetica"/>
          <w:sz w:val="22"/>
          <w:szCs w:val="22"/>
          <w:lang w:val="cs-CZ"/>
        </w:rPr>
        <w:t xml:space="preserve"> dosáhl 2,5 %.</w:t>
      </w:r>
    </w:p>
    <w:p w14:paraId="30748373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00E390E6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Upravený provozní zisk (upravený zisk EBIT)</w:t>
      </w:r>
      <w:r w:rsidRPr="001B5C96">
        <w:rPr>
          <w:rFonts w:ascii="Helvetica" w:hAnsi="Helvetica"/>
          <w:sz w:val="22"/>
          <w:szCs w:val="22"/>
          <w:lang w:val="cs-CZ"/>
        </w:rPr>
        <w:t xml:space="preserve"> dosáhl v roce 2021 hodnoty 2 686 mil. eur ve srovnání s 2 579 mil. eur ve finančním roce 2020, tedy se zvýšil o 4,2 %.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Upravená výnosnost prodeje (upravená marže EBIT)</w:t>
      </w:r>
      <w:r w:rsidRPr="001B5C96">
        <w:rPr>
          <w:rFonts w:ascii="Helvetica" w:hAnsi="Helvetica"/>
          <w:sz w:val="22"/>
          <w:szCs w:val="22"/>
          <w:lang w:val="cs-CZ"/>
        </w:rPr>
        <w:t xml:space="preserve"> dosáhla úrovně předchozího roku ve výši 13,4 %.</w:t>
      </w:r>
    </w:p>
    <w:p w14:paraId="353A6AEC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1D24AF63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lastRenderedPageBreak/>
        <w:t>Upravený výnos na prioritní akcii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zvýšil o 7,0 % na hodnotu 4,56 eura (předchozí rok: 4,26 eura). Upravený výnos na prioritní akcii se při konstantních kurzových sazbách zvýšil o 9,2 %.</w:t>
      </w:r>
    </w:p>
    <w:p w14:paraId="23692B2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14A9C350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Čistý provozní kapitál </w:t>
      </w:r>
      <w:r w:rsidRPr="001B5C96">
        <w:rPr>
          <w:rFonts w:ascii="Helvetica" w:hAnsi="Helvetica"/>
          <w:sz w:val="22"/>
          <w:szCs w:val="22"/>
          <w:lang w:val="cs-CZ"/>
        </w:rPr>
        <w:t>se zvýšil na 2,2 %, tedy o 1,5 procentuálního bodu ve srovnání s mimořádně nízkou hodnotou 0,7 % v předchozím roce. Znamená to, že čistý provozní kapitál se vrací na normálnější úrovně. Ve srovnání s předkrizovou úrovní z roku 2019 se zlepšil o 1,7 %.</w:t>
      </w:r>
    </w:p>
    <w:p w14:paraId="4FB6961C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AA9A1A7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Volný cash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flow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r w:rsidRPr="001B5C96">
        <w:rPr>
          <w:rFonts w:ascii="Helvetica" w:hAnsi="Helvetica"/>
          <w:sz w:val="22"/>
          <w:szCs w:val="22"/>
          <w:lang w:val="cs-CZ"/>
        </w:rPr>
        <w:t xml:space="preserve">v celkové výši 1 478 mil. eur byl nižší než v předchozím roce (2020: 2 340 mil. eur), ve kterém došlo k jeho výraznému nárůstu způsobenému neobvykle ostrým poklesem čistého provozního kapitálu v rámci cash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flow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z provozních činností.</w:t>
      </w:r>
    </w:p>
    <w:p w14:paraId="48AB4DFF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6EDC10A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Čistá finanční pozice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výrazně zlepšila zejména díky dobrému volnému cash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flow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. K 31. prosinci 2021 představovala čistá finanční pozice -292 mil. eur (31. prosinec 2020: -888 mil. eur).</w:t>
      </w:r>
    </w:p>
    <w:p w14:paraId="0B785295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204C552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Výsledky obchodních divizí za finanční rok 2021</w:t>
      </w:r>
    </w:p>
    <w:p w14:paraId="2C128E31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Obrat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Technologies</w:t>
      </w:r>
      <w:r w:rsidRPr="001B5C96">
        <w:rPr>
          <w:rFonts w:ascii="Helvetica" w:hAnsi="Helvetica"/>
          <w:sz w:val="22"/>
          <w:szCs w:val="22"/>
          <w:lang w:val="cs-CZ"/>
        </w:rPr>
        <w:t xml:space="preserve"> za finanční rok 2021 byl nominálně o 11,0 % vyšší a dosáhl 9 641 mil. eur.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Organicky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zvýšil o 13,4 %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. </w:t>
      </w:r>
      <w:r w:rsidRPr="001B5C96">
        <w:rPr>
          <w:rFonts w:ascii="Helvetica" w:hAnsi="Helvetica"/>
          <w:sz w:val="22"/>
          <w:szCs w:val="22"/>
          <w:lang w:val="cs-CZ"/>
        </w:rPr>
        <w:t xml:space="preserve">Důvodem tohoto růstu byli výrazně vyšší objemy prodeje i stabilní růst cen během celého roku. V prvním pololetí byl růst charakterizován rozsáhlým oživením objemu průmyslové poptávky ve srovnání s předchozím rokem, který byl silně zasažen pandemií onemocnění COVID-19. Ve druhém pololetí mělo na organický růst obratu pozitivní vliv další zvyšování objemu prodeje a postupně rostoucí ceny.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Upravený provozní zisk</w:t>
      </w:r>
      <w:r w:rsidRPr="001B5C96">
        <w:rPr>
          <w:rFonts w:ascii="Helvetica" w:hAnsi="Helvetica"/>
          <w:sz w:val="22"/>
          <w:szCs w:val="22"/>
          <w:lang w:val="cs-CZ"/>
        </w:rPr>
        <w:t xml:space="preserve"> ve výši 1 561 mil. eur byl výrazně vyšší než v předchozím roce (1 320 mil. eur).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Upravená výnosnost prodeje </w:t>
      </w:r>
      <w:r w:rsidRPr="001B5C96">
        <w:rPr>
          <w:rFonts w:ascii="Helvetica" w:hAnsi="Helvetica"/>
          <w:sz w:val="22"/>
          <w:szCs w:val="22"/>
          <w:lang w:val="cs-CZ"/>
        </w:rPr>
        <w:t>se zvýšila o 100 bazických bodů a dosáhla úrovně 16,2 %, k čemuž přispěl zejména dvouciferný růst obratu.</w:t>
      </w:r>
    </w:p>
    <w:p w14:paraId="5EE5B881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DE40A60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Obrat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v roce 2021 nominálně snížil o 2,0 % na hodnotu 3 678 mil. eur, přičemž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organicky</w:t>
      </w:r>
      <w:r w:rsidRPr="001B5C96">
        <w:rPr>
          <w:rFonts w:ascii="Helvetica" w:hAnsi="Helvetica"/>
          <w:sz w:val="22"/>
          <w:szCs w:val="22"/>
          <w:lang w:val="cs-CZ"/>
        </w:rPr>
        <w:t xml:space="preserve"> narostl o 1,4 %. Důvodem byl rozdílný vývoj v jednotlivých segmentech. Zatím co oživení v segmentu profesionální vlasové kosmetiky mělo pozitivní vliv, segment spotřebního zboží byl ovlivněn zejména normalizováním poptávky v kategorii tělové kosmetiky a zaznamenal pokles.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Upravený provozní zisk</w:t>
      </w:r>
      <w:r w:rsidRPr="001B5C96">
        <w:rPr>
          <w:rFonts w:ascii="Helvetica" w:hAnsi="Helvetica"/>
          <w:sz w:val="22"/>
          <w:szCs w:val="22"/>
          <w:lang w:val="cs-CZ"/>
        </w:rPr>
        <w:t xml:space="preserve"> dosáhl 351 mil. eur (předchozí rok: 377 mil. eur).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Upravená výnosnost prodeje </w:t>
      </w:r>
      <w:r w:rsidRPr="001B5C96">
        <w:rPr>
          <w:rFonts w:ascii="Helvetica" w:hAnsi="Helvetica"/>
          <w:sz w:val="22"/>
          <w:szCs w:val="22"/>
          <w:lang w:val="cs-CZ"/>
        </w:rPr>
        <w:t>klesla na 9,5 % (předchozí rok: 10 %). Důvodem byly kromě jiného vyšší investice do marketingu a reklamy a výrazně vyšší ceny surovin.</w:t>
      </w:r>
    </w:p>
    <w:p w14:paraId="206ED2BA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5696F8D8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Obrat obchodní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v roce 2021 nominálně snížil o 1,5 % na hodnotu 6 605 mil. eur,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organicky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zvýšil o 3,9 %.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Upravený provozní zisk</w:t>
      </w:r>
      <w:r w:rsidRPr="001B5C96">
        <w:rPr>
          <w:rFonts w:ascii="Helvetica" w:hAnsi="Helvetica"/>
          <w:sz w:val="22"/>
          <w:szCs w:val="22"/>
          <w:lang w:val="cs-CZ"/>
        </w:rPr>
        <w:t xml:space="preserve"> ve výši 904 mil. eur zaostal za úrovní předchozího roku (1 004 mil. eur). Především z důvodu výrazně vyšších cen surovin a logistiky zaznamenala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upravená výnosnost prodeje propad</w:t>
      </w:r>
      <w:r w:rsidRPr="001B5C96">
        <w:rPr>
          <w:rFonts w:ascii="Helvetica" w:hAnsi="Helvetica"/>
          <w:sz w:val="22"/>
          <w:szCs w:val="22"/>
          <w:lang w:val="cs-CZ"/>
        </w:rPr>
        <w:t xml:space="preserve"> o 130 bazických bodů na úroveň 13,7 %.</w:t>
      </w:r>
    </w:p>
    <w:p w14:paraId="78D5570C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B796CBC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lastRenderedPageBreak/>
        <w:t>Výhled na rok 2022</w:t>
      </w:r>
    </w:p>
    <w:p w14:paraId="6C4D280F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Výhled na rok 2022, jež byl zveřejněn koncem ledna, zůstává nezměněný. Vzhledem k vysoké trhové nejistotě a volatilitě a vlivu dalšího výrazného zvyšování nákladů na suroviny a logistiku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předpokládá organický růst obratu v rozsahu 2 až 4 % a upravenou výnosnost prodeje (marže EBIT) mezi 11,5 a 13,5 %. Upravený výnos na prioritní akcii (EPS) ve finančním roce 2022 by se měl na úrovni skupiny pohybovat v rozpětí od -15 do +5 % (při konstantních kurzových sazbách).</w:t>
      </w:r>
    </w:p>
    <w:p w14:paraId="6706B764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07B65F8F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Agenda smysluplného růstu: dobrý pokrok v implementaci</w:t>
      </w:r>
    </w:p>
    <w:p w14:paraId="7A7C9776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Počátkem března 2020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představila svoji agendu zaměřenou na růst v následujících letech, na jejíž dosažení vypracovala jasný strategický rámec. Klíčovými prvky tohoto strategického rámce jsou úspěšné portfolio, jednoznačná konkurenční výhoda v oblastech inovací, udržitelnosti a digitalizace, jakož i provozní modely připravené na budoucnost, které mají pevnou oporu v silné firemní kultuře.</w:t>
      </w:r>
    </w:p>
    <w:p w14:paraId="18CB71A5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4FD39072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Řízení portfolia postupuje podle plánu</w:t>
      </w:r>
    </w:p>
    <w:p w14:paraId="02594686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 rámci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aktivního řízení portfolia</w:t>
      </w:r>
      <w:r w:rsidRPr="001B5C96">
        <w:rPr>
          <w:rFonts w:ascii="Helvetica" w:hAnsi="Helvetica"/>
          <w:sz w:val="22"/>
          <w:szCs w:val="22"/>
          <w:lang w:val="cs-CZ"/>
        </w:rPr>
        <w:t xml:space="preserve"> si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počátkem roku 2020 stanovila za cíl prodat nebo zrušit značky a podnikatelské aktivity s obratem v objemu kolem 0,5 mld. eur do konce roku 2021.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se do konce roku 2021 podařilo podle plánu podepsat smlouvy o odprodeji, dokončit odprodej anebo zastavit podnikatelské činnosti s celkovým ročním obratem v objemu kolem 0,5 mld. eur. Většina těchto opatření se týkala portfolia produktů divizí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a 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Care, například prodej značek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Right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Guard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a Dry Idea.</w:t>
      </w:r>
    </w:p>
    <w:p w14:paraId="35F345BE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50C7534E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Kromě toho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 roce 2021 strategicky posílila své portfolio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akvizicí</w:t>
      </w:r>
      <w:r w:rsidRPr="001B5C96">
        <w:rPr>
          <w:rFonts w:ascii="Helvetica" w:hAnsi="Helvetica"/>
          <w:sz w:val="22"/>
          <w:szCs w:val="22"/>
          <w:lang w:val="cs-CZ"/>
        </w:rPr>
        <w:t xml:space="preserve">, které v budoucnu slibuje vysoký růst. V rámci obchodní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posílila své postavení na francouzském trhu akvizicí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Swania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. Její portfolio zahrnuje velmi atraktivní a profitabilní trhové segmenty a doplňuje portfolio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o osvědčené a inovativní značky jako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Maison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Verte a YOU. </w:t>
      </w:r>
    </w:p>
    <w:p w14:paraId="09D3BA8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1AA82CD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Počátkem února 2022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dále posílila své produktové portfolio akvizicí divize profesionální vlasové kosmetiky společnosti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Shiseido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na asijsko-pacifických trzích. Transakce zahrnuje prémiové produkty profesionální vlasové kosmetiky s obratem více než 100 mil. eur za finanční rok 2021. Svojí expanzí na asijsko-pacifických trzích se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stane jedním z předních trhových hráčů v tomto vysoce dynamickém regionu s atraktivním potenciálem budoucího růstu.</w:t>
      </w:r>
    </w:p>
    <w:p w14:paraId="40CD968A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Na posilnění své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konkurenceschopnosti</w:t>
      </w:r>
      <w:r w:rsidRPr="001B5C96">
        <w:rPr>
          <w:rFonts w:ascii="Helvetica" w:hAnsi="Helvetica"/>
          <w:sz w:val="22"/>
          <w:szCs w:val="22"/>
          <w:lang w:val="cs-CZ"/>
        </w:rPr>
        <w:t xml:space="preserve"> a odlišení se od konkurence se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zaměřila také na další zrychlování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inovací</w:t>
      </w:r>
      <w:r w:rsidRPr="001B5C96">
        <w:rPr>
          <w:rFonts w:ascii="Helvetica" w:hAnsi="Helvetica"/>
          <w:sz w:val="22"/>
          <w:szCs w:val="22"/>
          <w:lang w:val="cs-CZ"/>
        </w:rPr>
        <w:t xml:space="preserve">, podporu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udržitelnosti </w:t>
      </w:r>
      <w:r w:rsidRPr="001B5C96">
        <w:rPr>
          <w:rFonts w:ascii="Helvetica" w:hAnsi="Helvetica"/>
          <w:sz w:val="22"/>
          <w:szCs w:val="22"/>
          <w:lang w:val="cs-CZ"/>
        </w:rPr>
        <w:t>a tvorbu vyšší přidané hodnoty pro své zákazníky a spotřebitele prostřednictvím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digitalizace.</w:t>
      </w:r>
    </w:p>
    <w:p w14:paraId="2A1502D4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031A3891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Úspěšný start inovací</w:t>
      </w:r>
    </w:p>
    <w:p w14:paraId="1FF8B2F9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lastRenderedPageBreak/>
        <w:t xml:space="preserve">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pokračovala v 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úspěšném prosazování a zavádění inovací</w:t>
      </w:r>
      <w:r w:rsidRPr="001B5C96">
        <w:rPr>
          <w:rFonts w:ascii="Helvetica" w:hAnsi="Helvetica"/>
          <w:sz w:val="22"/>
          <w:szCs w:val="22"/>
          <w:lang w:val="cs-CZ"/>
        </w:rPr>
        <w:t xml:space="preserve"> také ve finančním roce 2021, k čemu kromě jiných přispěli i firemní inkubátory a inovační týmy, jež byly v minulém roce zřízeny v rámci obchodních divizí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a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and 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Care.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Technologies otevřela v Düsseldorfu nové globální inovační centrum, do kterého společnost investovala přibližně 130 mil. eur. Práce začaly i na výstavbě dalšího špičkového inovačního centra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Technologies v Šanghaji.</w:t>
      </w:r>
    </w:p>
    <w:p w14:paraId="22F6B8F4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6E221F7C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 roce 2021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na trh opět úspěšně zavedla mnohé inovace a přiměřeně je podpořila potřebnými investicemi.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Technologies </w:t>
      </w:r>
      <w:r w:rsidRPr="001B5C96">
        <w:rPr>
          <w:rFonts w:ascii="Helvetica" w:hAnsi="Helvetica"/>
          <w:sz w:val="22"/>
          <w:szCs w:val="22"/>
          <w:lang w:val="cs-CZ"/>
        </w:rPr>
        <w:t>například vyvinula a zavedla řešení pro automobilový průmysl v podobě udržitelných lepících a spojovacích technologií, které podporují teplotní rozptyl. Kromě toho její inovativní technologie umožňují vývoj udržitelných obalových řešení.</w:t>
      </w:r>
    </w:p>
    <w:p w14:paraId="2E1ED6C1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70216395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 </w:t>
      </w:r>
      <w:r w:rsidRPr="001B5C96">
        <w:rPr>
          <w:rFonts w:ascii="Helvetica" w:hAnsi="Helvetica"/>
          <w:sz w:val="22"/>
          <w:szCs w:val="22"/>
          <w:lang w:val="cs-CZ"/>
        </w:rPr>
        <w:t xml:space="preserve">zahájila rozsáhlý trhový restart vlasových stylingových přípravků značky Taft a barev na vlasy Igora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Royal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a další úspěšné inovace zavedla také v segmentu výrobků pro péči o vlasy. Kromě toho rozšířila sortiment udržitelné značky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Nature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Box o nové produkty v pevné formě a balení s náhradní náplní. </w:t>
      </w:r>
    </w:p>
    <w:p w14:paraId="4BF6312E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3EC99AD6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Care</w:t>
      </w:r>
      <w:r w:rsidRPr="001B5C96">
        <w:rPr>
          <w:rFonts w:ascii="Helvetica" w:hAnsi="Helvetica"/>
          <w:sz w:val="22"/>
          <w:szCs w:val="22"/>
          <w:lang w:val="cs-CZ"/>
        </w:rPr>
        <w:t xml:space="preserve"> představila inovované čistící kapsle v rámci všech cenových segmentů, které jsou dostupné pod různými značkami včetně značky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Perwoll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. V maloobchodních prodejnách v některých evropských zemích se začaly prodávat udržitelné ekologické prací tablety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Persil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Eco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Power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Bars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. Mezi inovativní produkty v kategorii čistících prostředků </w:t>
      </w:r>
      <w:proofErr w:type="gramStart"/>
      <w:r w:rsidRPr="001B5C96">
        <w:rPr>
          <w:rFonts w:ascii="Helvetica" w:hAnsi="Helvetica"/>
          <w:sz w:val="22"/>
          <w:szCs w:val="22"/>
          <w:lang w:val="cs-CZ"/>
        </w:rPr>
        <w:t>patří</w:t>
      </w:r>
      <w:proofErr w:type="gramEnd"/>
      <w:r w:rsidRPr="001B5C96">
        <w:rPr>
          <w:rFonts w:ascii="Helvetica" w:hAnsi="Helvetica"/>
          <w:sz w:val="22"/>
          <w:szCs w:val="22"/>
          <w:lang w:val="cs-CZ"/>
        </w:rPr>
        <w:t xml:space="preserve"> kapsle „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Somat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Excellence“.</w:t>
      </w:r>
    </w:p>
    <w:p w14:paraId="5745D783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D699947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také založila nový investiční fond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Venture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Fund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II </w:t>
      </w:r>
      <w:r w:rsidRPr="001B5C96">
        <w:rPr>
          <w:rFonts w:ascii="Helvetica" w:hAnsi="Helvetica"/>
          <w:sz w:val="22"/>
          <w:szCs w:val="22"/>
          <w:lang w:val="cs-CZ"/>
        </w:rPr>
        <w:t>v objemu 150 mil. eur, jehož cílem je investovat do inovativních a nových byznys modelů prostřednictvím startupů a fondů rizikového kapitálu.</w:t>
      </w:r>
    </w:p>
    <w:p w14:paraId="472A06B8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</w:p>
    <w:p w14:paraId="32509716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Výrazný pokrok v oblasti udržitelnosti</w:t>
      </w:r>
    </w:p>
    <w:p w14:paraId="58C10374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 rámci své strategické agendy se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zaměřuje na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udržitelnost</w:t>
      </w:r>
      <w:r w:rsidRPr="001B5C96">
        <w:rPr>
          <w:rFonts w:ascii="Helvetica" w:hAnsi="Helvetica"/>
          <w:sz w:val="22"/>
          <w:szCs w:val="22"/>
          <w:lang w:val="cs-CZ"/>
        </w:rPr>
        <w:t>, čímž se chce jednoznačně odlišit od svých konkurentů, generovat smysluplný růst a vytvářet přidanou hodnotu pro své akcionáře. V roce 2021 se jí v této oblasti podařilo dosáhnout výrazného pokroku; například:</w:t>
      </w:r>
    </w:p>
    <w:p w14:paraId="7FAE5885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5E86EF49" w14:textId="77777777" w:rsidR="00273E5D" w:rsidRPr="001B5C96" w:rsidRDefault="00273E5D" w:rsidP="00273E5D">
      <w:pPr>
        <w:pStyle w:val="Predvolen"/>
        <w:numPr>
          <w:ilvl w:val="0"/>
          <w:numId w:val="23"/>
        </w:numPr>
        <w:spacing w:before="0" w:line="276" w:lineRule="auto"/>
        <w:ind w:right="553"/>
        <w:jc w:val="both"/>
        <w:rPr>
          <w:rFonts w:ascii="Helvetica" w:hAnsi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Ve srovnání s výchozím rokem 2010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 roce 2021 snížila emise CO</w:t>
      </w:r>
      <w:r w:rsidRPr="001B5C96">
        <w:rPr>
          <w:rFonts w:ascii="Helvetica" w:hAnsi="Helvetica"/>
          <w:sz w:val="22"/>
          <w:szCs w:val="22"/>
          <w:vertAlign w:val="subscript"/>
          <w:lang w:val="cs-CZ"/>
        </w:rPr>
        <w:t>2</w:t>
      </w:r>
      <w:r w:rsidRPr="001B5C96">
        <w:rPr>
          <w:rFonts w:ascii="Helvetica" w:hAnsi="Helvetica"/>
          <w:sz w:val="22"/>
          <w:szCs w:val="22"/>
          <w:lang w:val="cs-CZ"/>
        </w:rPr>
        <w:t xml:space="preserve"> ve své výrobě o 50 % a o více než třetinu zvýšila podíl zelené elektrické energie.</w:t>
      </w:r>
    </w:p>
    <w:p w14:paraId="79969EDB" w14:textId="77777777" w:rsidR="00273E5D" w:rsidRPr="001B5C96" w:rsidRDefault="00273E5D" w:rsidP="00273E5D">
      <w:pPr>
        <w:pStyle w:val="Predvolen"/>
        <w:numPr>
          <w:ilvl w:val="0"/>
          <w:numId w:val="23"/>
        </w:numPr>
        <w:spacing w:before="0" w:line="276" w:lineRule="auto"/>
        <w:ind w:right="553"/>
        <w:jc w:val="both"/>
        <w:rPr>
          <w:rFonts w:ascii="Helvetica" w:hAnsi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Do konce roku 2021 se jí ve 21 zemích podařilo přejít na výrobu, která využívá 100 % elektrické energie z obnovitelných zdrojů.</w:t>
      </w:r>
    </w:p>
    <w:p w14:paraId="22592182" w14:textId="77777777" w:rsidR="00273E5D" w:rsidRPr="001B5C96" w:rsidRDefault="00273E5D" w:rsidP="00273E5D">
      <w:pPr>
        <w:pStyle w:val="Predvolen"/>
        <w:numPr>
          <w:ilvl w:val="0"/>
          <w:numId w:val="23"/>
        </w:numPr>
        <w:spacing w:before="0" w:line="276" w:lineRule="auto"/>
        <w:ind w:right="553"/>
        <w:jc w:val="both"/>
        <w:rPr>
          <w:rFonts w:ascii="Helvetica" w:hAnsi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lastRenderedPageBreak/>
        <w:t>Podíl recyklovatelných nebo opětovně použitelných obalů se zvýšil na 86 %. Cílem je dosáhnout 100% podílu takových obalů do roku 2025.</w:t>
      </w:r>
    </w:p>
    <w:p w14:paraId="50674C12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5DE3232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 oblasti udržitelných financí dokázala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opět poskytnout důležité impulzy, například představením „rámce udržitelného financování“, </w:t>
      </w:r>
      <w:r>
        <w:rPr>
          <w:rFonts w:ascii="Helvetica" w:hAnsi="Helvetica"/>
          <w:sz w:val="22"/>
          <w:szCs w:val="22"/>
          <w:lang w:val="cs-CZ"/>
        </w:rPr>
        <w:t xml:space="preserve">který umožňuje </w:t>
      </w:r>
      <w:r w:rsidRPr="001B5C96">
        <w:rPr>
          <w:rFonts w:ascii="Helvetica" w:hAnsi="Helvetica"/>
          <w:sz w:val="22"/>
          <w:szCs w:val="22"/>
          <w:lang w:val="cs-CZ"/>
        </w:rPr>
        <w:t xml:space="preserve">v budoucnu investovat do udržitelných dluhopisů. V roce 2021 se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stala první společností ve svém odvětví, která vydala eurové dluhopisy s úrokem navázaným na splnění konkrétních cílů v oblasti udržitelnosti. Společnost loni vydala udržitelné dluhopisy v celkovém objemu více než 700 mil. eur.</w:t>
      </w:r>
    </w:p>
    <w:p w14:paraId="583871F8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08790DB7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Nová strategie a ambice v oblasti udržitelnosti </w:t>
      </w:r>
      <w:r>
        <w:rPr>
          <w:rFonts w:ascii="Helvetica" w:hAnsi="Helvetica"/>
          <w:b/>
          <w:bCs/>
          <w:sz w:val="22"/>
          <w:szCs w:val="22"/>
          <w:lang w:val="cs-CZ"/>
        </w:rPr>
        <w:t>jsou známy</w:t>
      </w:r>
    </w:p>
    <w:p w14:paraId="270FD80F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 odezvě na rostoucí důležitost udržitelného řízení a zvyšující se očekávání zákazníků a veřejnosti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posílila svoji dlouhodobou strategii v oblasti udržitelnosti zavedením nového rámce pod názvem „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2030+</w:t>
      </w:r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Sustainability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Ambition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Framework</w:t>
      </w:r>
      <w:r w:rsidRPr="001B5C96">
        <w:rPr>
          <w:rFonts w:ascii="Helvetica" w:hAnsi="Helvetica"/>
          <w:sz w:val="22"/>
          <w:szCs w:val="22"/>
          <w:lang w:val="cs-CZ"/>
        </w:rPr>
        <w:t>“. K existujícím cílům přibyli nové dlouhodobé ambiciózní cíle, jež si společnost vytyčila ve třech tematických oblastech: „Regenerující planeta“ (</w:t>
      </w:r>
      <w:proofErr w:type="spellStart"/>
      <w:r w:rsidRPr="001B5C96">
        <w:rPr>
          <w:rFonts w:ascii="Helvetica" w:hAnsi="Helvetica"/>
          <w:i/>
          <w:iCs/>
          <w:sz w:val="22"/>
          <w:szCs w:val="22"/>
          <w:lang w:val="cs-CZ"/>
        </w:rPr>
        <w:t>Regenerative</w:t>
      </w:r>
      <w:proofErr w:type="spellEnd"/>
      <w:r w:rsidRPr="001B5C96">
        <w:rPr>
          <w:rFonts w:ascii="Helvetica" w:hAnsi="Helvetica"/>
          <w:i/>
          <w:iCs/>
          <w:sz w:val="22"/>
          <w:szCs w:val="22"/>
          <w:lang w:val="cs-CZ"/>
        </w:rPr>
        <w:t xml:space="preserve"> Planet</w:t>
      </w:r>
      <w:r w:rsidRPr="001B5C96">
        <w:rPr>
          <w:rFonts w:ascii="Helvetica" w:hAnsi="Helvetica"/>
          <w:sz w:val="22"/>
          <w:szCs w:val="22"/>
          <w:lang w:val="cs-CZ"/>
        </w:rPr>
        <w:t>), „Prosperující komunity“ (</w:t>
      </w:r>
      <w:proofErr w:type="spellStart"/>
      <w:r w:rsidRPr="001B5C96">
        <w:rPr>
          <w:rFonts w:ascii="Helvetica" w:hAnsi="Helvetica"/>
          <w:i/>
          <w:iCs/>
          <w:sz w:val="22"/>
          <w:szCs w:val="22"/>
          <w:lang w:val="cs-CZ"/>
        </w:rPr>
        <w:t>Thriving</w:t>
      </w:r>
      <w:proofErr w:type="spellEnd"/>
      <w:r w:rsidRPr="001B5C96">
        <w:rPr>
          <w:rFonts w:ascii="Helvetica" w:hAnsi="Helvetica"/>
          <w:i/>
          <w:i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i/>
          <w:iCs/>
          <w:sz w:val="22"/>
          <w:szCs w:val="22"/>
          <w:lang w:val="cs-CZ"/>
        </w:rPr>
        <w:t>Communities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) a „Důvěryhodný partner“ (</w:t>
      </w:r>
      <w:proofErr w:type="spellStart"/>
      <w:r w:rsidRPr="001B5C96">
        <w:rPr>
          <w:rFonts w:ascii="Helvetica" w:hAnsi="Helvetica"/>
          <w:i/>
          <w:iCs/>
          <w:sz w:val="22"/>
          <w:szCs w:val="22"/>
          <w:lang w:val="cs-CZ"/>
        </w:rPr>
        <w:t>Trusted</w:t>
      </w:r>
      <w:proofErr w:type="spellEnd"/>
      <w:r w:rsidRPr="001B5C96">
        <w:rPr>
          <w:rFonts w:ascii="Helvetica" w:hAnsi="Helvetica"/>
          <w:i/>
          <w:iCs/>
          <w:sz w:val="22"/>
          <w:szCs w:val="22"/>
          <w:lang w:val="cs-CZ"/>
        </w:rPr>
        <w:t xml:space="preserve"> partner</w:t>
      </w:r>
      <w:r w:rsidRPr="001B5C96">
        <w:rPr>
          <w:rFonts w:ascii="Helvetica" w:hAnsi="Helvetica"/>
          <w:sz w:val="22"/>
          <w:szCs w:val="22"/>
          <w:lang w:val="cs-CZ"/>
        </w:rPr>
        <w:t>).</w:t>
      </w:r>
    </w:p>
    <w:p w14:paraId="25E0823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30F0CF8D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Tematická oblast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„Regenerující planeta“</w:t>
      </w:r>
      <w:r w:rsidRPr="001B5C96">
        <w:rPr>
          <w:rFonts w:ascii="Helvetica" w:hAnsi="Helvetica"/>
          <w:sz w:val="22"/>
          <w:szCs w:val="22"/>
          <w:lang w:val="cs-CZ"/>
        </w:rPr>
        <w:t xml:space="preserve"> se zaměřuje na tak důležitá témata jako klimatické změny, oběhové hospodářství a přírodní zdroje.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Společnost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se nyní usiluje o dosažení klimaticky pozitivního provozu do roku </w:t>
      </w:r>
      <w:proofErr w:type="gramStart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2030 </w:t>
      </w:r>
      <w:r w:rsidRPr="001B5C96">
        <w:rPr>
          <w:rFonts w:ascii="Helvetica" w:hAnsi="Helvetica"/>
          <w:sz w:val="22"/>
          <w:szCs w:val="22"/>
          <w:lang w:val="cs-CZ"/>
        </w:rPr>
        <w:t>– o</w:t>
      </w:r>
      <w:proofErr w:type="gramEnd"/>
      <w:r w:rsidRPr="001B5C96">
        <w:rPr>
          <w:rFonts w:ascii="Helvetica" w:hAnsi="Helvetica"/>
          <w:sz w:val="22"/>
          <w:szCs w:val="22"/>
          <w:lang w:val="cs-CZ"/>
        </w:rPr>
        <w:t xml:space="preserve"> deset let dříve, než původně plánovala – a v souladu s iniciativou Science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Based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Targets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nastoupila na cestu nulových emisí v případě emisí rozsahu 3 (od zdroje po prodej). Aby toho dosáhla,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100 % elektrické energie, kterou společnost pořizuje, bude do roku 2030 pocházet z obnovitelných zdrojů.</w:t>
      </w:r>
    </w:p>
    <w:p w14:paraId="21571DF4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2624E94B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Na podporu oběhového hospodářství si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vytyčila cíl, podle něhož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100 % jejích obalových materiálů bude do roku 2025 recyklovatelných nebo opětovně použitelných. </w:t>
      </w:r>
      <w:r w:rsidRPr="001B5C96">
        <w:rPr>
          <w:rFonts w:ascii="Helvetica" w:hAnsi="Helvetica"/>
          <w:sz w:val="22"/>
          <w:szCs w:val="22"/>
          <w:lang w:val="cs-CZ"/>
        </w:rPr>
        <w:t xml:space="preserve">V rámci tohoto cíle chce společnost zvýšit podíl recyklovaných plastů ve všech obalech svých spotřebních výrobků na více než 30 %. Kromě toho chce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do roku 2030 </w:t>
      </w:r>
      <w:r w:rsidRPr="001B5C96">
        <w:rPr>
          <w:rFonts w:ascii="Helvetica" w:hAnsi="Helvetica"/>
          <w:sz w:val="22"/>
          <w:szCs w:val="22"/>
          <w:lang w:val="cs-CZ"/>
        </w:rPr>
        <w:t xml:space="preserve">ve svých výrobních provozovnách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dosáhnout oběhového využívání vody a produkce odpadových</w:t>
      </w:r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materiálů.</w:t>
      </w:r>
      <w:r w:rsidRPr="001B5C96">
        <w:rPr>
          <w:rFonts w:ascii="Helvetica" w:hAnsi="Helvetica"/>
          <w:sz w:val="22"/>
          <w:szCs w:val="22"/>
          <w:lang w:val="cs-CZ"/>
        </w:rPr>
        <w:t xml:space="preserve"> Společnost je také na dobré cestě při plnění svého cíle pro rok 2025, což je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snížení spotřeby vody na tunu produkce o 35 %</w:t>
      </w:r>
      <w:r w:rsidRPr="001B5C96">
        <w:rPr>
          <w:rFonts w:ascii="Helvetica" w:hAnsi="Helvetica"/>
          <w:sz w:val="22"/>
          <w:szCs w:val="22"/>
          <w:lang w:val="cs-CZ"/>
        </w:rPr>
        <w:t xml:space="preserve"> (ve srovnání s výchozím rokem 2010).</w:t>
      </w:r>
    </w:p>
    <w:p w14:paraId="711698F1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0AF64652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V rámci tematické oblasti „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Prosperující komunity“ </w:t>
      </w:r>
      <w:r w:rsidRPr="002C0CA9">
        <w:rPr>
          <w:rFonts w:ascii="Helvetica" w:hAnsi="Helvetica"/>
          <w:sz w:val="22"/>
          <w:szCs w:val="22"/>
          <w:lang w:val="cs-CZ"/>
        </w:rPr>
        <w:t>se</w:t>
      </w:r>
      <w:r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r w:rsidRPr="001B5C96">
        <w:rPr>
          <w:rFonts w:ascii="Helvetica" w:hAnsi="Helvetica"/>
          <w:sz w:val="22"/>
          <w:szCs w:val="22"/>
          <w:lang w:val="cs-CZ"/>
        </w:rPr>
        <w:t xml:space="preserve">společnost plánuje v budoucnu zaměřovat na podporu rovnosti příležitostí, vzdělávání a společenský blahobyt. Společnost si dala za cíl dosáhnout do roku 2025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rodové rovnosti </w:t>
      </w:r>
      <w:r w:rsidRPr="001B5C96">
        <w:rPr>
          <w:rFonts w:ascii="Helvetica" w:hAnsi="Helvetica"/>
          <w:sz w:val="22"/>
          <w:szCs w:val="22"/>
          <w:lang w:val="cs-CZ"/>
        </w:rPr>
        <w:t>na všech úrovních řízení.</w:t>
      </w:r>
    </w:p>
    <w:p w14:paraId="24F47981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>Klíčovým prvkem tematické oblasti „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Důvěryhodný partner</w:t>
      </w:r>
      <w:r w:rsidRPr="001B5C96">
        <w:rPr>
          <w:rFonts w:ascii="Helvetica" w:hAnsi="Helvetica"/>
          <w:sz w:val="22"/>
          <w:szCs w:val="22"/>
          <w:lang w:val="cs-CZ"/>
        </w:rPr>
        <w:t xml:space="preserve">“ je dosáhnout do roku 2025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stoprocentní transparentnosti při obstarání palmového oleje </w:t>
      </w:r>
      <w:r w:rsidRPr="001B5C96">
        <w:rPr>
          <w:rFonts w:ascii="Helvetica" w:hAnsi="Helvetica"/>
          <w:sz w:val="22"/>
          <w:szCs w:val="22"/>
          <w:lang w:val="cs-CZ"/>
        </w:rPr>
        <w:t>a závazek jeho 100</w:t>
      </w:r>
      <w:r>
        <w:rPr>
          <w:rFonts w:ascii="Helvetica" w:hAnsi="Helvetica"/>
          <w:sz w:val="22"/>
          <w:szCs w:val="22"/>
          <w:lang w:val="cs-CZ"/>
        </w:rPr>
        <w:t> </w:t>
      </w:r>
      <w:r w:rsidRPr="001B5C96">
        <w:rPr>
          <w:rFonts w:ascii="Helvetica" w:hAnsi="Helvetica"/>
          <w:sz w:val="22"/>
          <w:szCs w:val="22"/>
          <w:lang w:val="cs-CZ"/>
        </w:rPr>
        <w:t>% zodpovědného získávání ve spolupráci se všemi obchodními partnery.</w:t>
      </w:r>
    </w:p>
    <w:p w14:paraId="51E608CD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00EC907F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Pokračující digitalizace</w:t>
      </w:r>
    </w:p>
    <w:p w14:paraId="0E6FFA75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Vedle inovací a udržitelnosti je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digitalizace </w:t>
      </w:r>
      <w:r w:rsidRPr="001B5C96">
        <w:rPr>
          <w:rFonts w:ascii="Helvetica" w:hAnsi="Helvetica"/>
          <w:sz w:val="22"/>
          <w:szCs w:val="22"/>
          <w:lang w:val="cs-CZ"/>
        </w:rPr>
        <w:t xml:space="preserve">další strategickou prioritou, jež si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stanovila na posílení své konkurenceschopnosti v roce 2021.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Obrat prostřednictvím digitálních kanálů znovu zaznamenal dvouciferný procentuální růst </w:t>
      </w:r>
      <w:r w:rsidRPr="001B5C96">
        <w:rPr>
          <w:rFonts w:ascii="Helvetica" w:hAnsi="Helvetica"/>
          <w:sz w:val="22"/>
          <w:szCs w:val="22"/>
          <w:lang w:val="cs-CZ"/>
        </w:rPr>
        <w:t xml:space="preserve">v rámci všech tří obchodních divizí, přičemž jeho podíl na obratu na úrovni skupiny se zvýšil na více než 18 %. Digitální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dx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a tři obchodní divize pokračovaly v digitální transformaci společnosti a otevřely první inovační centra v Berlíně a Šanghaji. Záměrem integrované platformy pro digitální podnikání a elektronický obchod, vyvinuté ve spolupráci se společností Adobe, je zrychlit inovace a vytvářet nové příležitosti pro další růst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.</w:t>
      </w:r>
    </w:p>
    <w:p w14:paraId="78E81552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</w:p>
    <w:p w14:paraId="7A86E6AE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Posílení provozních modelů připravených na budoucnost</w:t>
      </w:r>
    </w:p>
    <w:p w14:paraId="244C9B6C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Důležitými prvky strategického rámce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jsou štíhlé a rychlé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provozní modely připravené na budoucnost</w:t>
      </w:r>
      <w:r w:rsidRPr="001B5C96">
        <w:rPr>
          <w:rFonts w:ascii="Helvetica" w:hAnsi="Helvetica"/>
          <w:sz w:val="22"/>
          <w:szCs w:val="22"/>
          <w:lang w:val="cs-CZ"/>
        </w:rPr>
        <w:t xml:space="preserve">. Společnost dále rozšířila změny zavedené v roce 2020: v rámci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Adhesive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Technologies je již pevně etablovaná nová struktura se čtyřmi obchodními sekcemi, které se skládají z 11 strategických obchodních jednotek. V obchodních divizích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a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pokračovaly organizační změny, jejichž cílem je posílit regionální zaměření a přiblížit společnost k zákazníkům a spotřebitelům. Kromě toho došlo k další harmonizaci nákupu s jednotlivými obchodními jednotkami a trhy. Také plánované sloučení divizí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a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do jedné divize pod názvem „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Consumer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Brands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“ přispěje k další optimalizaci podnikových struktur.</w:t>
      </w:r>
    </w:p>
    <w:p w14:paraId="29F33B9A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734253B7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i/>
          <w:iCs/>
          <w:sz w:val="22"/>
          <w:szCs w:val="22"/>
          <w:lang w:val="cs-CZ"/>
        </w:rPr>
        <w:t>Posílení podnikové kultury</w:t>
      </w:r>
    </w:p>
    <w:p w14:paraId="52928C57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pokračuje v posilňování podnikové kultury v rámci své strategické agendy. V roce 2020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vytvořila nový celopodnikový cíl a představila jej interní i externí veřejnosti pod názvem „Průkopníci v centru dění pro blaho generací“, který představuje ústřední vedoucí princip sjednocující všechny zaměstnance společnosti. Nový dynamický vizuál korporátní značky podtrhuje ambici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stát se průkopníkem ve snaze o pozitivní vývoj na trzích a v sociálním prostředí.</w:t>
      </w:r>
    </w:p>
    <w:p w14:paraId="5B1EBEFE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45920ADD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K posílení firemní kultury zorganizovala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 roce 2021 mnoho školení a pokročilých kurzů včetně komplexního </w:t>
      </w:r>
      <w:r w:rsidRPr="001B5C96">
        <w:rPr>
          <w:rFonts w:ascii="Helvetica" w:hAnsi="Helvetica"/>
          <w:b/>
          <w:bCs/>
          <w:sz w:val="22"/>
          <w:szCs w:val="22"/>
          <w:lang w:val="cs-CZ"/>
        </w:rPr>
        <w:t>programu zpětné vazby</w:t>
      </w:r>
      <w:r w:rsidRPr="001B5C96">
        <w:rPr>
          <w:rFonts w:ascii="Helvetica" w:hAnsi="Helvetica"/>
          <w:sz w:val="22"/>
          <w:szCs w:val="22"/>
          <w:lang w:val="cs-CZ"/>
        </w:rPr>
        <w:t xml:space="preserve"> pro vedoucí pracovníky. Vypracovala také holistický koncept s názvem „Smart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Work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“, jež v budoucnu poskytne globální rámec pro taková témata jako mobilní práce, digitální pracoviště anebo zdraví zaměstnanců.</w:t>
      </w:r>
    </w:p>
    <w:p w14:paraId="0EB78C0A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3284279C" w14:textId="77777777" w:rsidR="00273E5D" w:rsidRPr="001B5C96" w:rsidRDefault="00273E5D" w:rsidP="00273E5D">
      <w:pPr>
        <w:pStyle w:val="Predvolen"/>
        <w:spacing w:before="0" w:after="120" w:line="276" w:lineRule="auto"/>
        <w:ind w:right="553"/>
        <w:jc w:val="both"/>
        <w:rPr>
          <w:rFonts w:ascii="Helvetica" w:eastAsia="Helvetica" w:hAnsi="Helvetica" w:cs="Helvetica"/>
          <w:b/>
          <w:bCs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Začal proces integrace nové divize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</w:p>
    <w:p w14:paraId="12F06C8F" w14:textId="77777777" w:rsidR="00273E5D" w:rsidRPr="001B5C96" w:rsidRDefault="00273E5D" w:rsidP="00273E5D">
      <w:pPr>
        <w:pStyle w:val="Predvolen"/>
        <w:spacing w:before="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Na konci ledna 2022 společnost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představila komplexní opatření, nimiž chce posunout implementaci agendy smysluplného růstu na vyšší úroveň. V rámci nich </w:t>
      </w:r>
      <w:r w:rsidRPr="001B5C96">
        <w:rPr>
          <w:rFonts w:ascii="Helvetica" w:hAnsi="Helvetica"/>
          <w:sz w:val="22"/>
          <w:szCs w:val="22"/>
          <w:lang w:val="cs-CZ"/>
        </w:rPr>
        <w:lastRenderedPageBreak/>
        <w:t xml:space="preserve">plánuje sloučit své divize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Laundry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&amp;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Home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a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Beauty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Care do nové obchodní divize: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Consumer</w:t>
      </w:r>
      <w:proofErr w:type="spellEnd"/>
      <w:r w:rsidRPr="001B5C96">
        <w:rPr>
          <w:rFonts w:ascii="Helvetica" w:hAnsi="Helvetica"/>
          <w:b/>
          <w:bCs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b/>
          <w:bCs/>
          <w:sz w:val="22"/>
          <w:szCs w:val="22"/>
          <w:lang w:val="cs-CZ"/>
        </w:rPr>
        <w:t>Brands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. Nová obchodní divize </w:t>
      </w:r>
      <w:proofErr w:type="gramStart"/>
      <w:r w:rsidRPr="001B5C96">
        <w:rPr>
          <w:rFonts w:ascii="Helvetica" w:hAnsi="Helvetica"/>
          <w:sz w:val="22"/>
          <w:szCs w:val="22"/>
          <w:lang w:val="cs-CZ"/>
        </w:rPr>
        <w:t>vytvoří</w:t>
      </w:r>
      <w:proofErr w:type="gramEnd"/>
      <w:r w:rsidRPr="001B5C96">
        <w:rPr>
          <w:rFonts w:ascii="Helvetica" w:hAnsi="Helvetica"/>
          <w:sz w:val="22"/>
          <w:szCs w:val="22"/>
          <w:lang w:val="cs-CZ"/>
        </w:rPr>
        <w:t xml:space="preserve"> jednotnou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multiproduktovou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platformu pro celé portfolio spotřebních produktů společnosti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Henkel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včetně mnoha ikonických značek jako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Persil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a 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Schwarzkopf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>, jakož i profesionálních vlasových výrobků. Předpokládaný obrat nové obchodní divize je přibližně 10 mld. eur. Sloučení by mělo přinést růst a vyšší ziskovost divize spotřebního zboží a celé společnosti.</w:t>
      </w:r>
    </w:p>
    <w:p w14:paraId="2C81581B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791DD973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  <w:r w:rsidRPr="001B5C96">
        <w:rPr>
          <w:rFonts w:ascii="Helvetica" w:hAnsi="Helvetica"/>
          <w:b/>
          <w:bCs/>
          <w:sz w:val="22"/>
          <w:szCs w:val="22"/>
          <w:lang w:val="cs-CZ"/>
        </w:rPr>
        <w:t>Přípravy integračního procesu</w:t>
      </w:r>
      <w:r w:rsidRPr="001B5C96">
        <w:rPr>
          <w:rFonts w:ascii="Helvetica" w:hAnsi="Helvetica"/>
          <w:sz w:val="22"/>
          <w:szCs w:val="22"/>
          <w:lang w:val="cs-CZ"/>
        </w:rPr>
        <w:t xml:space="preserve"> nové obchodní divize už začaly. Jejich součástí jsou také úvodní konstruktivní jednání se zástupci zaměstnanců. Také byla definovaná a interně komunikovaná organizační struktura budoucí obchodní divize – se čtyřmi regiony a dvěma globálními obchodními segmenty podpořenými centrálními funkcemi. Kromě toho byla určena první řídící úroveň pod dohledem zodpovědného člena představenstva a pro účely plánovaného sloučení dvou obchodních divizí byla vytvořena projektová organizace.</w:t>
      </w:r>
    </w:p>
    <w:p w14:paraId="092C0239" w14:textId="77777777" w:rsidR="00273E5D" w:rsidRPr="001B5C96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sz w:val="22"/>
          <w:szCs w:val="22"/>
          <w:lang w:val="cs-CZ"/>
        </w:rPr>
      </w:pPr>
    </w:p>
    <w:p w14:paraId="785DF87B" w14:textId="77777777" w:rsidR="00273E5D" w:rsidRPr="00AA45E9" w:rsidRDefault="00273E5D" w:rsidP="00273E5D">
      <w:pPr>
        <w:pStyle w:val="Predvolen"/>
        <w:spacing w:before="0" w:after="80" w:line="276" w:lineRule="auto"/>
        <w:ind w:right="553"/>
        <w:jc w:val="both"/>
        <w:rPr>
          <w:rFonts w:ascii="Helvetica" w:eastAsia="Helvetica" w:hAnsi="Helvetica" w:cs="Helvetica"/>
          <w:i/>
          <w:iCs/>
          <w:sz w:val="22"/>
          <w:szCs w:val="22"/>
          <w:lang w:val="cs-CZ"/>
        </w:rPr>
      </w:pPr>
      <w:r w:rsidRPr="001B5C96">
        <w:rPr>
          <w:rFonts w:ascii="Helvetica" w:hAnsi="Helvetica"/>
          <w:sz w:val="22"/>
          <w:szCs w:val="22"/>
          <w:lang w:val="cs-CZ"/>
        </w:rPr>
        <w:t xml:space="preserve">Jak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zhrnul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Carsten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 </w:t>
      </w:r>
      <w:proofErr w:type="spellStart"/>
      <w:r w:rsidRPr="001B5C96">
        <w:rPr>
          <w:rFonts w:ascii="Helvetica" w:hAnsi="Helvetica"/>
          <w:sz w:val="22"/>
          <w:szCs w:val="22"/>
          <w:lang w:val="cs-CZ"/>
        </w:rPr>
        <w:t>Knobel</w:t>
      </w:r>
      <w:proofErr w:type="spellEnd"/>
      <w:r w:rsidRPr="001B5C96">
        <w:rPr>
          <w:rFonts w:ascii="Helvetica" w:hAnsi="Helvetica"/>
          <w:sz w:val="22"/>
          <w:szCs w:val="22"/>
          <w:lang w:val="cs-CZ"/>
        </w:rPr>
        <w:t xml:space="preserve">: </w:t>
      </w:r>
      <w:r w:rsidRPr="00AA45E9">
        <w:rPr>
          <w:rFonts w:ascii="Helvetica" w:hAnsi="Helvetica"/>
          <w:i/>
          <w:iCs/>
          <w:sz w:val="22"/>
          <w:szCs w:val="22"/>
          <w:lang w:val="cs-CZ"/>
        </w:rPr>
        <w:t>„V roce 2021 jsme udělali další pokrok v implementaci naší strategické agendy a celkově jsme dosáhli dobrých obchodních výsledků. A to i přes přetrvávající vliv globální pandemie, napjaté dodavatelsko-odběratelské vztahy a mimořádně ostré zvýšení cen surovin a logistických služeb. Nyní hledíme vpřed – na úkoly, které na nás čekají v roce 2022 a v následujících letech. Stavíme na jasné strategii, jež přinese smysluplný růst, a na silném týmu sestaveném z vysoce motivovaných zaměstnanců na celém světě. Věříme našim společným hodnotám, naší kultuře a našemu poslání, jež nás vedou kupředu. Jsem hluboce přesvědčen, že své ambiciózní cíle naplníme a úspěšně zrealizujeme naši agendu smysluplného růstu.“</w:t>
      </w:r>
    </w:p>
    <w:p w14:paraId="02378361" w14:textId="77777777" w:rsidR="00175951" w:rsidRPr="004748C1" w:rsidRDefault="00175951" w:rsidP="007F6C90">
      <w:pPr>
        <w:spacing w:line="240" w:lineRule="auto"/>
        <w:jc w:val="left"/>
        <w:rPr>
          <w:rStyle w:val="AboutandContactHeadline"/>
          <w:lang w:val="sk-SK"/>
        </w:rPr>
      </w:pPr>
    </w:p>
    <w:p w14:paraId="712244D8" w14:textId="77777777" w:rsidR="005062C1" w:rsidRPr="00E808F8" w:rsidRDefault="005062C1" w:rsidP="005062C1">
      <w:pPr>
        <w:spacing w:line="280" w:lineRule="auto"/>
        <w:rPr>
          <w:sz w:val="24"/>
          <w:lang w:val="cs-CZ"/>
        </w:rPr>
      </w:pPr>
      <w:r w:rsidRPr="00E808F8">
        <w:rPr>
          <w:b/>
          <w:bCs/>
          <w:sz w:val="24"/>
          <w:lang w:val="cs-CZ"/>
        </w:rPr>
        <w:t xml:space="preserve">O společnosti </w:t>
      </w:r>
      <w:proofErr w:type="spellStart"/>
      <w:r w:rsidRPr="00E808F8">
        <w:rPr>
          <w:b/>
          <w:bCs/>
          <w:sz w:val="24"/>
          <w:lang w:val="cs-CZ"/>
        </w:rPr>
        <w:t>Henkel</w:t>
      </w:r>
      <w:proofErr w:type="spellEnd"/>
    </w:p>
    <w:p w14:paraId="4AB80C27" w14:textId="77777777" w:rsidR="005062C1" w:rsidRPr="00E808F8" w:rsidRDefault="005062C1" w:rsidP="005062C1">
      <w:pPr>
        <w:spacing w:line="240" w:lineRule="auto"/>
        <w:rPr>
          <w:sz w:val="18"/>
          <w:szCs w:val="18"/>
          <w:lang w:val="cs-CZ"/>
        </w:rPr>
      </w:pPr>
      <w:r w:rsidRPr="00E808F8">
        <w:rPr>
          <w:sz w:val="18"/>
          <w:szCs w:val="18"/>
          <w:lang w:val="cs-CZ"/>
        </w:rPr>
        <w:t xml:space="preserve">Společnost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působí celosvětově s vyrovnaným a diverzifikovaným </w:t>
      </w:r>
      <w:proofErr w:type="spellStart"/>
      <w:r w:rsidRPr="00E808F8">
        <w:rPr>
          <w:sz w:val="18"/>
          <w:szCs w:val="18"/>
          <w:lang w:val="cs-CZ"/>
        </w:rPr>
        <w:t>portfóliem</w:t>
      </w:r>
      <w:proofErr w:type="spellEnd"/>
      <w:r w:rsidRPr="00E808F8">
        <w:rPr>
          <w:sz w:val="18"/>
          <w:szCs w:val="18"/>
          <w:lang w:val="cs-CZ"/>
        </w:rPr>
        <w:t xml:space="preserve"> produktů. Díky silným značkám, inovacím a technologiím má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vedoucí postavení na trhu jak ve spotřebitelských, tak v průmyslových odvětvích. V oblasti lepidel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divize </w:t>
      </w:r>
      <w:proofErr w:type="spellStart"/>
      <w:r w:rsidRPr="00E808F8">
        <w:rPr>
          <w:sz w:val="18"/>
          <w:szCs w:val="18"/>
          <w:lang w:val="cs-CZ"/>
        </w:rPr>
        <w:t>Adhesive</w:t>
      </w:r>
      <w:proofErr w:type="spellEnd"/>
      <w:r w:rsidRPr="00E808F8">
        <w:rPr>
          <w:sz w:val="18"/>
          <w:szCs w:val="18"/>
          <w:lang w:val="cs-CZ"/>
        </w:rPr>
        <w:t xml:space="preserve"> Technologies celosvětovým lídrem na trhu v rámci všech průmyslových segmentů. V oblastech </w:t>
      </w:r>
      <w:proofErr w:type="spellStart"/>
      <w:r w:rsidRPr="00E808F8">
        <w:rPr>
          <w:sz w:val="18"/>
          <w:szCs w:val="18"/>
          <w:lang w:val="cs-CZ"/>
        </w:rPr>
        <w:t>Laundry</w:t>
      </w:r>
      <w:proofErr w:type="spellEnd"/>
      <w:r w:rsidRPr="00E808F8">
        <w:rPr>
          <w:sz w:val="18"/>
          <w:szCs w:val="18"/>
          <w:lang w:val="cs-CZ"/>
        </w:rPr>
        <w:t xml:space="preserve"> &amp; </w:t>
      </w:r>
      <w:proofErr w:type="spellStart"/>
      <w:r w:rsidRPr="00E808F8">
        <w:rPr>
          <w:sz w:val="18"/>
          <w:szCs w:val="18"/>
          <w:lang w:val="cs-CZ"/>
        </w:rPr>
        <w:t>Home</w:t>
      </w:r>
      <w:proofErr w:type="spellEnd"/>
      <w:r w:rsidRPr="00E808F8">
        <w:rPr>
          <w:sz w:val="18"/>
          <w:szCs w:val="18"/>
          <w:lang w:val="cs-CZ"/>
        </w:rPr>
        <w:t xml:space="preserve"> Care a </w:t>
      </w:r>
      <w:proofErr w:type="spellStart"/>
      <w:r w:rsidRPr="00E808F8">
        <w:rPr>
          <w:sz w:val="18"/>
          <w:szCs w:val="18"/>
          <w:lang w:val="cs-CZ"/>
        </w:rPr>
        <w:t>Beauty</w:t>
      </w:r>
      <w:proofErr w:type="spellEnd"/>
      <w:r w:rsidRPr="00E808F8">
        <w:rPr>
          <w:sz w:val="18"/>
          <w:szCs w:val="18"/>
          <w:lang w:val="cs-CZ"/>
        </w:rPr>
        <w:t xml:space="preserve"> Care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na vedoucích pozicích na více trzích a v kategoriích ve světě. Společnost byla založena v roce 1876 a má za sebou více než 140 úspěšných let. V roce 2020 dosáhla obratu ve výši 19 mld. eur a upraveného provozního zisku přibližně ve výši 2,6 mld. eur.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zaměstnává 53 000 lidí po celém světě, kteří spolu </w:t>
      </w:r>
      <w:proofErr w:type="gramStart"/>
      <w:r w:rsidRPr="00E808F8">
        <w:rPr>
          <w:sz w:val="18"/>
          <w:szCs w:val="18"/>
          <w:lang w:val="cs-CZ"/>
        </w:rPr>
        <w:t>tvoří</w:t>
      </w:r>
      <w:proofErr w:type="gramEnd"/>
      <w:r w:rsidRPr="00E808F8">
        <w:rPr>
          <w:sz w:val="18"/>
          <w:szCs w:val="18"/>
          <w:lang w:val="cs-CZ"/>
        </w:rPr>
        <w:t xml:space="preserve"> zanícený a velmi různorodý tým, který spojuje silná firemní kultura a společný zájem tvořit trvale udržitelné hodnoty a který sdílí společné hodnoty. Jako uznávaný lídr v oblasti udržitelnosti je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na předních příčkách mnoha mezinárodních indexů a hodnocení. Prioritní akcie společnosti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jsou kótovány na německém akciovém indexu DAX. Více informací naleznete na stránce </w:t>
      </w:r>
      <w:hyperlink r:id="rId11" w:history="1">
        <w:r w:rsidRPr="00E808F8">
          <w:rPr>
            <w:rStyle w:val="Hyperlink0"/>
            <w:lang w:val="cs-CZ"/>
          </w:rPr>
          <w:t>www.henkel.com</w:t>
        </w:r>
      </w:hyperlink>
      <w:r w:rsidRPr="00E808F8">
        <w:rPr>
          <w:sz w:val="18"/>
          <w:szCs w:val="18"/>
          <w:lang w:val="cs-CZ"/>
        </w:rPr>
        <w:t>.</w:t>
      </w:r>
    </w:p>
    <w:p w14:paraId="11B70D69" w14:textId="77777777" w:rsidR="005062C1" w:rsidRPr="00E808F8" w:rsidRDefault="005062C1" w:rsidP="005062C1">
      <w:pPr>
        <w:spacing w:line="280" w:lineRule="auto"/>
        <w:rPr>
          <w:sz w:val="24"/>
          <w:lang w:val="cs-CZ"/>
        </w:rPr>
      </w:pPr>
    </w:p>
    <w:p w14:paraId="368A356F" w14:textId="77777777" w:rsidR="005062C1" w:rsidRPr="00E808F8" w:rsidRDefault="005062C1" w:rsidP="005062C1">
      <w:pPr>
        <w:spacing w:line="278" w:lineRule="auto"/>
        <w:rPr>
          <w:rStyle w:val="AboutandContactHeadline"/>
          <w:lang w:val="cs-CZ"/>
        </w:rPr>
      </w:pPr>
      <w:r w:rsidRPr="00E808F8">
        <w:rPr>
          <w:rStyle w:val="AboutandContactHeadline"/>
          <w:lang w:val="cs-CZ"/>
        </w:rPr>
        <w:t xml:space="preserve">O společnosti </w:t>
      </w:r>
      <w:proofErr w:type="spellStart"/>
      <w:r w:rsidRPr="00E808F8">
        <w:rPr>
          <w:rStyle w:val="AboutandContactHeadline"/>
          <w:lang w:val="cs-CZ"/>
        </w:rPr>
        <w:t>Henkel</w:t>
      </w:r>
      <w:proofErr w:type="spellEnd"/>
      <w:r w:rsidRPr="00E808F8">
        <w:rPr>
          <w:rStyle w:val="AboutandContactHeadline"/>
          <w:lang w:val="cs-CZ"/>
        </w:rPr>
        <w:t xml:space="preserve"> Slovensko</w:t>
      </w:r>
    </w:p>
    <w:p w14:paraId="6F30B751" w14:textId="77777777" w:rsidR="005062C1" w:rsidRPr="00E808F8" w:rsidRDefault="005062C1" w:rsidP="005062C1">
      <w:pPr>
        <w:spacing w:line="240" w:lineRule="auto"/>
        <w:rPr>
          <w:sz w:val="18"/>
          <w:szCs w:val="18"/>
          <w:lang w:val="cs-CZ"/>
        </w:rPr>
      </w:pPr>
      <w:r w:rsidRPr="00E808F8">
        <w:rPr>
          <w:sz w:val="18"/>
          <w:szCs w:val="18"/>
          <w:lang w:val="cs-CZ"/>
        </w:rPr>
        <w:t xml:space="preserve">Na Slovensku působí </w:t>
      </w:r>
      <w:proofErr w:type="spellStart"/>
      <w:r w:rsidRPr="00E808F8">
        <w:rPr>
          <w:sz w:val="18"/>
          <w:szCs w:val="18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ve všech třech strategických oblastech již od roku 1991 a zároveň je HENKEL SLOVENSKO spol. s r. o. působištěm největší expertní pobočky </w:t>
      </w:r>
      <w:proofErr w:type="spellStart"/>
      <w:r w:rsidRPr="00E808F8">
        <w:rPr>
          <w:sz w:val="18"/>
          <w:szCs w:val="18"/>
          <w:lang w:val="cs-CZ"/>
        </w:rPr>
        <w:t>Global</w:t>
      </w:r>
      <w:proofErr w:type="spellEnd"/>
      <w:r w:rsidRPr="00E808F8">
        <w:rPr>
          <w:sz w:val="18"/>
          <w:szCs w:val="18"/>
          <w:lang w:val="cs-CZ"/>
        </w:rPr>
        <w:t xml:space="preserve"> Business </w:t>
      </w:r>
      <w:proofErr w:type="spellStart"/>
      <w:r w:rsidRPr="00E808F8">
        <w:rPr>
          <w:sz w:val="18"/>
          <w:szCs w:val="18"/>
          <w:lang w:val="cs-CZ"/>
        </w:rPr>
        <w:t>Solutions</w:t>
      </w:r>
      <w:proofErr w:type="spellEnd"/>
      <w:r w:rsidRPr="00E808F8">
        <w:rPr>
          <w:sz w:val="18"/>
          <w:szCs w:val="18"/>
          <w:vertAlign w:val="superscript"/>
          <w:lang w:val="cs-CZ"/>
        </w:rPr>
        <w:t>+</w:t>
      </w:r>
      <w:r w:rsidRPr="00E808F8">
        <w:rPr>
          <w:sz w:val="18"/>
          <w:szCs w:val="18"/>
          <w:lang w:val="cs-CZ"/>
        </w:rPr>
        <w:t xml:space="preserve"> </w:t>
      </w:r>
      <w:r w:rsidRPr="00E808F8">
        <w:rPr>
          <w:sz w:val="18"/>
          <w:szCs w:val="18"/>
          <w:shd w:val="clear" w:color="auto" w:fill="FFFFFF"/>
          <w:lang w:val="cs-CZ"/>
        </w:rPr>
        <w:t xml:space="preserve">společnosti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Henkel</w:t>
      </w:r>
      <w:proofErr w:type="spellEnd"/>
      <w:r w:rsidRPr="00E808F8">
        <w:rPr>
          <w:sz w:val="18"/>
          <w:szCs w:val="18"/>
          <w:lang w:val="cs-CZ"/>
        </w:rPr>
        <w:t xml:space="preserve"> celosvětově.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Global</w:t>
      </w:r>
      <w:proofErr w:type="spellEnd"/>
      <w:r w:rsidRPr="00E808F8">
        <w:rPr>
          <w:sz w:val="18"/>
          <w:szCs w:val="18"/>
          <w:shd w:val="clear" w:color="auto" w:fill="FFFFFF"/>
          <w:lang w:val="cs-CZ"/>
        </w:rPr>
        <w:t xml:space="preserve"> Business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Solutions</w:t>
      </w:r>
      <w:proofErr w:type="spellEnd"/>
      <w:r w:rsidRPr="00E808F8">
        <w:rPr>
          <w:sz w:val="18"/>
          <w:szCs w:val="18"/>
          <w:shd w:val="clear" w:color="auto" w:fill="FFFFFF"/>
          <w:vertAlign w:val="superscript"/>
          <w:lang w:val="cs-CZ"/>
        </w:rPr>
        <w:t>+</w:t>
      </w:r>
      <w:r w:rsidRPr="00E808F8">
        <w:rPr>
          <w:sz w:val="18"/>
          <w:szCs w:val="18"/>
          <w:shd w:val="clear" w:color="auto" w:fill="FFFFFF"/>
          <w:lang w:val="cs-CZ"/>
        </w:rPr>
        <w:t> Bratislava ‏(GBS</w:t>
      </w:r>
      <w:r w:rsidRPr="00E808F8">
        <w:rPr>
          <w:sz w:val="18"/>
          <w:szCs w:val="18"/>
          <w:shd w:val="clear" w:color="auto" w:fill="FFFFFF"/>
          <w:vertAlign w:val="superscript"/>
          <w:lang w:val="cs-CZ"/>
        </w:rPr>
        <w:t>+</w:t>
      </w:r>
      <w:r w:rsidRPr="00E808F8">
        <w:rPr>
          <w:sz w:val="18"/>
          <w:szCs w:val="18"/>
          <w:shd w:val="clear" w:color="auto" w:fill="FFFFFF"/>
          <w:lang w:val="cs-CZ"/>
        </w:rPr>
        <w:t xml:space="preserve"> Bratislava) </w:t>
      </w:r>
      <w:proofErr w:type="gramStart"/>
      <w:r w:rsidRPr="00E808F8">
        <w:rPr>
          <w:sz w:val="18"/>
          <w:szCs w:val="18"/>
          <w:shd w:val="clear" w:color="auto" w:fill="FFFFFF"/>
          <w:lang w:val="cs-CZ"/>
        </w:rPr>
        <w:t>patří</w:t>
      </w:r>
      <w:proofErr w:type="gramEnd"/>
      <w:r w:rsidRPr="00E808F8">
        <w:rPr>
          <w:sz w:val="18"/>
          <w:szCs w:val="18"/>
          <w:shd w:val="clear" w:color="auto" w:fill="FFFFFF"/>
          <w:lang w:val="cs-CZ"/>
        </w:rPr>
        <w:t xml:space="preserve"> od svého založení v roce 2006 k důležité součásti společnosti </w:t>
      </w:r>
      <w:proofErr w:type="spellStart"/>
      <w:r w:rsidRPr="00E808F8">
        <w:rPr>
          <w:sz w:val="18"/>
          <w:szCs w:val="18"/>
          <w:shd w:val="clear" w:color="auto" w:fill="FFFFFF"/>
          <w:lang w:val="cs-CZ"/>
        </w:rPr>
        <w:t>Henkel</w:t>
      </w:r>
      <w:proofErr w:type="spellEnd"/>
      <w:r w:rsidRPr="00E808F8">
        <w:rPr>
          <w:sz w:val="18"/>
          <w:szCs w:val="18"/>
          <w:shd w:val="clear" w:color="auto" w:fill="FFFFFF"/>
          <w:lang w:val="cs-CZ"/>
        </w:rPr>
        <w:t xml:space="preserve"> zabezpečující služby v Evropě a globálně ve více než 30 jazycích. </w:t>
      </w:r>
      <w:r w:rsidRPr="00E808F8">
        <w:rPr>
          <w:sz w:val="18"/>
          <w:szCs w:val="18"/>
          <w:lang w:val="cs-CZ"/>
        </w:rPr>
        <w:t>HENKEL SLOVENSKO spol. s r. o. prodává přes 50 značek a dnes zaměstnává, spolu s GBS</w:t>
      </w:r>
      <w:r w:rsidRPr="00E808F8">
        <w:rPr>
          <w:sz w:val="18"/>
          <w:szCs w:val="18"/>
          <w:vertAlign w:val="superscript"/>
          <w:lang w:val="cs-CZ"/>
        </w:rPr>
        <w:t>+</w:t>
      </w:r>
      <w:r w:rsidRPr="00E808F8">
        <w:rPr>
          <w:sz w:val="18"/>
          <w:szCs w:val="18"/>
          <w:lang w:val="cs-CZ"/>
        </w:rPr>
        <w:t xml:space="preserve"> Bratislava, přes 1 800 pracovníků. Více informací naleznete na stránce </w:t>
      </w:r>
      <w:hyperlink r:id="rId12" w:history="1">
        <w:r w:rsidRPr="00E808F8">
          <w:rPr>
            <w:rStyle w:val="Hyperlink0"/>
            <w:lang w:val="cs-CZ"/>
          </w:rPr>
          <w:t>www.henkel.sk</w:t>
        </w:r>
      </w:hyperlink>
      <w:r w:rsidRPr="00E808F8">
        <w:rPr>
          <w:sz w:val="18"/>
          <w:szCs w:val="18"/>
          <w:lang w:val="cs-CZ"/>
        </w:rPr>
        <w:t>.</w:t>
      </w:r>
    </w:p>
    <w:p w14:paraId="3AF59005" w14:textId="77777777" w:rsidR="005062C1" w:rsidRPr="00E808F8" w:rsidRDefault="005062C1" w:rsidP="005062C1">
      <w:pPr>
        <w:spacing w:line="278" w:lineRule="auto"/>
        <w:rPr>
          <w:sz w:val="18"/>
          <w:szCs w:val="18"/>
          <w:lang w:val="cs-CZ"/>
        </w:rPr>
      </w:pPr>
    </w:p>
    <w:p w14:paraId="79A2D160" w14:textId="77777777" w:rsidR="005062C1" w:rsidRPr="00E808F8" w:rsidRDefault="005062C1" w:rsidP="005062C1">
      <w:pPr>
        <w:spacing w:line="280" w:lineRule="auto"/>
        <w:rPr>
          <w:sz w:val="24"/>
          <w:lang w:val="cs-CZ"/>
        </w:rPr>
      </w:pPr>
    </w:p>
    <w:p w14:paraId="76474D9A" w14:textId="77777777" w:rsidR="005062C1" w:rsidRPr="00E808F8" w:rsidRDefault="005062C1" w:rsidP="005062C1">
      <w:pPr>
        <w:spacing w:line="240" w:lineRule="auto"/>
        <w:rPr>
          <w:sz w:val="24"/>
          <w:lang w:val="cs-CZ"/>
        </w:rPr>
      </w:pPr>
    </w:p>
    <w:p w14:paraId="2879055B" w14:textId="77777777" w:rsidR="005062C1" w:rsidRPr="00E808F8" w:rsidRDefault="005062C1" w:rsidP="005062C1">
      <w:pPr>
        <w:spacing w:line="240" w:lineRule="auto"/>
        <w:rPr>
          <w:b/>
          <w:bCs/>
          <w:sz w:val="24"/>
          <w:lang w:val="cs-CZ"/>
        </w:rPr>
      </w:pPr>
    </w:p>
    <w:p w14:paraId="45CF4A00" w14:textId="77777777" w:rsidR="005062C1" w:rsidRPr="00E808F8" w:rsidRDefault="005062C1" w:rsidP="005062C1">
      <w:pPr>
        <w:spacing w:line="240" w:lineRule="auto"/>
        <w:rPr>
          <w:b/>
          <w:bCs/>
          <w:sz w:val="24"/>
          <w:lang w:val="cs-CZ"/>
        </w:rPr>
      </w:pPr>
    </w:p>
    <w:p w14:paraId="3C56C8F4" w14:textId="77777777" w:rsidR="005062C1" w:rsidRPr="00E808F8" w:rsidRDefault="005062C1" w:rsidP="005062C1">
      <w:pPr>
        <w:spacing w:line="240" w:lineRule="auto"/>
        <w:rPr>
          <w:b/>
          <w:bCs/>
          <w:sz w:val="24"/>
          <w:lang w:val="cs-CZ"/>
        </w:rPr>
      </w:pPr>
      <w:r w:rsidRPr="00E808F8">
        <w:rPr>
          <w:b/>
          <w:bCs/>
          <w:sz w:val="24"/>
          <w:lang w:val="cs-CZ"/>
        </w:rPr>
        <w:t>Kontakt</w:t>
      </w:r>
    </w:p>
    <w:p w14:paraId="68680225" w14:textId="77777777" w:rsidR="005062C1" w:rsidRPr="00E808F8" w:rsidRDefault="005062C1" w:rsidP="005062C1">
      <w:pPr>
        <w:spacing w:line="240" w:lineRule="auto"/>
        <w:rPr>
          <w:sz w:val="24"/>
          <w:lang w:val="cs-CZ"/>
        </w:rPr>
      </w:pPr>
      <w:r w:rsidRPr="00E808F8">
        <w:rPr>
          <w:sz w:val="24"/>
          <w:lang w:val="cs-CZ"/>
        </w:rPr>
        <w:t xml:space="preserve">Zuzana </w:t>
      </w:r>
      <w:proofErr w:type="spellStart"/>
      <w:r w:rsidRPr="00E808F8">
        <w:rPr>
          <w:sz w:val="24"/>
          <w:lang w:val="cs-CZ"/>
        </w:rPr>
        <w:t>Kaňuchová</w:t>
      </w:r>
      <w:proofErr w:type="spellEnd"/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</w:p>
    <w:p w14:paraId="7927268C" w14:textId="77777777" w:rsidR="005062C1" w:rsidRPr="00E808F8" w:rsidRDefault="005062C1" w:rsidP="005062C1">
      <w:pPr>
        <w:spacing w:line="240" w:lineRule="auto"/>
        <w:rPr>
          <w:sz w:val="24"/>
          <w:lang w:val="cs-CZ"/>
        </w:rPr>
      </w:pPr>
      <w:r w:rsidRPr="00E808F8">
        <w:rPr>
          <w:sz w:val="24"/>
          <w:lang w:val="cs-CZ"/>
        </w:rPr>
        <w:t>Ředitelka korporátní komunikace</w:t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</w:p>
    <w:p w14:paraId="6DFEB248" w14:textId="77777777" w:rsidR="005062C1" w:rsidRPr="00E808F8" w:rsidRDefault="005062C1" w:rsidP="005062C1">
      <w:pPr>
        <w:tabs>
          <w:tab w:val="left" w:pos="1080"/>
          <w:tab w:val="left" w:pos="4500"/>
        </w:tabs>
        <w:spacing w:line="240" w:lineRule="auto"/>
        <w:rPr>
          <w:sz w:val="24"/>
          <w:lang w:val="cs-CZ"/>
        </w:rPr>
      </w:pPr>
    </w:p>
    <w:p w14:paraId="5F0A63DF" w14:textId="77777777" w:rsidR="005062C1" w:rsidRPr="00E808F8" w:rsidRDefault="005062C1" w:rsidP="005062C1">
      <w:pPr>
        <w:tabs>
          <w:tab w:val="left" w:pos="1080"/>
          <w:tab w:val="left" w:pos="4500"/>
        </w:tabs>
        <w:spacing w:line="240" w:lineRule="auto"/>
        <w:rPr>
          <w:sz w:val="24"/>
          <w:lang w:val="cs-CZ"/>
        </w:rPr>
      </w:pPr>
      <w:r w:rsidRPr="00E808F8">
        <w:rPr>
          <w:sz w:val="24"/>
          <w:lang w:val="cs-CZ"/>
        </w:rPr>
        <w:t>Telefon: +421 917 160 597</w:t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  <w:r w:rsidRPr="00E808F8">
        <w:rPr>
          <w:sz w:val="24"/>
          <w:lang w:val="cs-CZ"/>
        </w:rPr>
        <w:tab/>
      </w:r>
    </w:p>
    <w:p w14:paraId="121A4D26" w14:textId="2CA65B9F" w:rsidR="00C50C62" w:rsidRPr="004748C1" w:rsidRDefault="005062C1" w:rsidP="005062C1">
      <w:pPr>
        <w:spacing w:line="280" w:lineRule="auto"/>
        <w:rPr>
          <w:rFonts w:asciiTheme="minorHAnsi" w:hAnsiTheme="minorHAnsi" w:cstheme="minorHAnsi"/>
          <w:sz w:val="24"/>
          <w:lang w:val="sk-SK"/>
        </w:rPr>
      </w:pPr>
      <w:r w:rsidRPr="00E808F8">
        <w:rPr>
          <w:sz w:val="24"/>
          <w:lang w:val="cs-CZ"/>
        </w:rPr>
        <w:t>E-mail:</w:t>
      </w:r>
      <w:r w:rsidRPr="00E808F8">
        <w:rPr>
          <w:sz w:val="24"/>
          <w:lang w:val="cs-CZ"/>
        </w:rPr>
        <w:tab/>
        <w:t xml:space="preserve">  </w:t>
      </w:r>
      <w:hyperlink r:id="rId13" w:history="1">
        <w:r w:rsidRPr="00E808F8">
          <w:rPr>
            <w:rStyle w:val="Hyperlink1"/>
            <w:lang w:val="cs-CZ"/>
          </w:rPr>
          <w:t>zuzana.kanuchova@henkel.com</w:t>
        </w:r>
      </w:hyperlink>
      <w:r w:rsidRPr="00E808F8">
        <w:rPr>
          <w:sz w:val="24"/>
          <w:lang w:val="cs-CZ"/>
        </w:rPr>
        <w:tab/>
      </w:r>
    </w:p>
    <w:sectPr w:rsidR="00C50C62" w:rsidRPr="004748C1" w:rsidSect="00DC2465">
      <w:headerReference w:type="even" r:id="rId14"/>
      <w:footerReference w:type="default" r:id="rId15"/>
      <w:headerReference w:type="first" r:id="rId16"/>
      <w:footerReference w:type="first" r:id="rId17"/>
      <w:pgSz w:w="11907" w:h="16840" w:code="9"/>
      <w:pgMar w:top="1944" w:right="1411" w:bottom="1987" w:left="1411" w:header="1253" w:footer="9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A1D359" w14:textId="77777777" w:rsidR="006D7030" w:rsidRDefault="006D7030">
      <w:r>
        <w:separator/>
      </w:r>
    </w:p>
  </w:endnote>
  <w:endnote w:type="continuationSeparator" w:id="0">
    <w:p w14:paraId="334730BE" w14:textId="77777777" w:rsidR="006D7030" w:rsidRDefault="006D7030">
      <w:r>
        <w:continuationSeparator/>
      </w:r>
    </w:p>
  </w:endnote>
  <w:endnote w:type="continuationNotice" w:id="1">
    <w:p w14:paraId="39810EB0" w14:textId="77777777" w:rsidR="006D7030" w:rsidRDefault="006D7030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E455D0" w14:textId="77777777" w:rsidR="00CF6F33" w:rsidRPr="00112A28" w:rsidRDefault="00112A28" w:rsidP="00112A28">
    <w:pPr>
      <w:pStyle w:val="Pta"/>
      <w:tabs>
        <w:tab w:val="clear" w:pos="7083"/>
        <w:tab w:val="clear" w:pos="8640"/>
        <w:tab w:val="right" w:pos="9071"/>
      </w:tabs>
      <w:jc w:val="both"/>
    </w:pPr>
    <w:r w:rsidRPr="00BF6E82">
      <w:t>Henkel AG &amp; Co. KGaA</w:t>
    </w:r>
    <w:r>
      <w:tab/>
    </w:r>
    <w:r w:rsidR="00B63C6C">
      <w:t>Strana</w:t>
    </w:r>
    <w:r w:rsidRPr="00BF6E82">
      <w:t xml:space="preserve"> </w:t>
    </w:r>
    <w:r w:rsidRPr="00BF6E82">
      <w:fldChar w:fldCharType="begin"/>
    </w:r>
    <w:r w:rsidRPr="00BF6E82">
      <w:instrText xml:space="preserve"> PAGE  \* Arabic  \* MERGEFORMAT </w:instrText>
    </w:r>
    <w:r w:rsidRPr="00BF6E82">
      <w:fldChar w:fldCharType="separate"/>
    </w:r>
    <w:r w:rsidR="00AD749D">
      <w:t>4</w:t>
    </w:r>
    <w:r w:rsidRPr="00BF6E82">
      <w:fldChar w:fldCharType="end"/>
    </w:r>
    <w:r w:rsidRPr="00BF6E82">
      <w:t>/</w:t>
    </w:r>
    <w:fldSimple w:instr=" NUMPAGES  \* Arabic  \* MERGEFORMAT ">
      <w:r w:rsidR="00AD749D">
        <w:t>4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6DB69" w14:textId="12E87325" w:rsidR="00DB5D40" w:rsidRDefault="009242D9" w:rsidP="00DB5D40">
    <w:pPr>
      <w:pStyle w:val="Pta"/>
      <w:jc w:val="distribute"/>
      <w:rPr>
        <w:b/>
      </w:rPr>
    </w:pPr>
    <w:r>
      <w:drawing>
        <wp:inline distT="0" distB="0" distL="0" distR="0" wp14:anchorId="71572E60" wp14:editId="6C0EAE93">
          <wp:extent cx="5768975" cy="360045"/>
          <wp:effectExtent l="0" t="0" r="3175" b="1905"/>
          <wp:docPr id="1" name="Obrázo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768975" cy="3600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DB5D40">
      <w:rPr>
        <w:b/>
      </w:rPr>
      <w:t xml:space="preserve">      </w:t>
    </w:r>
  </w:p>
  <w:p w14:paraId="7DAC3790" w14:textId="77777777" w:rsidR="00CF6F33" w:rsidRPr="00992A11" w:rsidRDefault="00302D10" w:rsidP="00992A11">
    <w:pPr>
      <w:pStyle w:val="Pta"/>
    </w:pPr>
    <w:r>
      <w:t>Strana</w:t>
    </w:r>
    <w:r w:rsidR="00CF6F33" w:rsidRPr="00992A11">
      <w:t xml:space="preserve"> 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PAGE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1</w:t>
    </w:r>
    <w:r w:rsidR="00CF6F33" w:rsidRPr="00992A11">
      <w:fldChar w:fldCharType="end"/>
    </w:r>
    <w:r w:rsidR="00CF6F33" w:rsidRPr="00992A11">
      <w:t>/</w:t>
    </w:r>
    <w:r w:rsidR="00CF6F33" w:rsidRPr="00992A11">
      <w:fldChar w:fldCharType="begin"/>
    </w:r>
    <w:r w:rsidR="00CF6F33" w:rsidRPr="00992A11">
      <w:instrText xml:space="preserve"> </w:instrText>
    </w:r>
    <w:r w:rsidR="00262C05" w:rsidRPr="00992A11">
      <w:instrText>NUMPAGES</w:instrText>
    </w:r>
    <w:r w:rsidR="00CF6F33" w:rsidRPr="00992A11">
      <w:instrText xml:space="preserve">  \* Arabic  \* MERGEFORMAT </w:instrText>
    </w:r>
    <w:r w:rsidR="00CF6F33" w:rsidRPr="00992A11">
      <w:fldChar w:fldCharType="separate"/>
    </w:r>
    <w:r w:rsidR="00AD749D">
      <w:t>4</w:t>
    </w:r>
    <w:r w:rsidR="00CF6F33" w:rsidRPr="00992A11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046EC2" w14:textId="77777777" w:rsidR="006D7030" w:rsidRDefault="006D7030">
      <w:bookmarkStart w:id="0" w:name="_Hlk47541104"/>
      <w:bookmarkEnd w:id="0"/>
      <w:r>
        <w:separator/>
      </w:r>
    </w:p>
  </w:footnote>
  <w:footnote w:type="continuationSeparator" w:id="0">
    <w:p w14:paraId="3DEC9C08" w14:textId="77777777" w:rsidR="006D7030" w:rsidRDefault="006D7030">
      <w:r>
        <w:continuationSeparator/>
      </w:r>
    </w:p>
  </w:footnote>
  <w:footnote w:type="continuationNotice" w:id="1">
    <w:p w14:paraId="35719AE8" w14:textId="77777777" w:rsidR="006D7030" w:rsidRDefault="006D7030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C2504" w14:textId="77777777" w:rsidR="00112A28" w:rsidRDefault="00112A28" w:rsidP="00112A28">
    <w:pPr>
      <w:pStyle w:val="Hlavika"/>
      <w:jc w:val="both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C7719" w14:textId="7782F052" w:rsidR="00CF6F33" w:rsidRPr="00962C60" w:rsidRDefault="0009087E" w:rsidP="00EB46D9">
    <w:pPr>
      <w:pStyle w:val="Hlavika"/>
      <w:rPr>
        <w:lang w:val="sk-SK"/>
      </w:rPr>
    </w:pPr>
    <w:r>
      <w:rPr>
        <w:noProof/>
        <w:lang w:val="sk-SK"/>
      </w:rPr>
      <w:drawing>
        <wp:anchor distT="0" distB="0" distL="114300" distR="114300" simplePos="0" relativeHeight="251658240" behindDoc="0" locked="0" layoutInCell="1" allowOverlap="1" wp14:anchorId="7A8AE461" wp14:editId="037A9D37">
          <wp:simplePos x="0" y="0"/>
          <wp:positionH relativeFrom="margin">
            <wp:posOffset>4590364</wp:posOffset>
          </wp:positionH>
          <wp:positionV relativeFrom="margin">
            <wp:posOffset>-1185266</wp:posOffset>
          </wp:positionV>
          <wp:extent cx="1166495" cy="789305"/>
          <wp:effectExtent l="0" t="0" r="0" b="0"/>
          <wp:wrapNone/>
          <wp:docPr id="3" name="Obrázok 3" descr="HENKEL_Logo_Red_sRG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5" descr="HENKEL_Logo_Red_sRG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6495" cy="7893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2C60">
      <w:rPr>
        <w:lang w:val="sk-SK"/>
      </w:rPr>
      <w:t>Tlačová správa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E1865"/>
    <w:multiLevelType w:val="hybridMultilevel"/>
    <w:tmpl w:val="4A063B9A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07CF4270"/>
    <w:multiLevelType w:val="hybridMultilevel"/>
    <w:tmpl w:val="12EC31FA"/>
    <w:lvl w:ilvl="0" w:tplc="785A8864">
      <w:start w:val="1"/>
      <w:numFmt w:val="bullet"/>
      <w:pStyle w:val="NumBullet"/>
      <w:lvlText w:val="•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color w:val="E1000F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350BF"/>
    <w:multiLevelType w:val="hybridMultilevel"/>
    <w:tmpl w:val="CD5603E0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43B4CC7"/>
    <w:multiLevelType w:val="hybridMultilevel"/>
    <w:tmpl w:val="672A33CC"/>
    <w:lvl w:ilvl="0" w:tplc="AFD2915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10B585C"/>
    <w:multiLevelType w:val="hybridMultilevel"/>
    <w:tmpl w:val="70D4F3A4"/>
    <w:lvl w:ilvl="0" w:tplc="68061C8C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 w15:restartNumberingAfterBreak="0">
    <w:nsid w:val="252B0E1F"/>
    <w:multiLevelType w:val="hybridMultilevel"/>
    <w:tmpl w:val="D1BA6B2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D37E6E"/>
    <w:multiLevelType w:val="hybridMultilevel"/>
    <w:tmpl w:val="E654ABC4"/>
    <w:lvl w:ilvl="0" w:tplc="AFD29158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5A79CE"/>
    <w:multiLevelType w:val="hybridMultilevel"/>
    <w:tmpl w:val="4BA688A2"/>
    <w:styleLink w:val="Pomlka"/>
    <w:lvl w:ilvl="0" w:tplc="234A5914">
      <w:start w:val="1"/>
      <w:numFmt w:val="bullet"/>
      <w:suff w:val="nothing"/>
      <w:lvlText w:val="♣"/>
      <w:lvlJc w:val="left"/>
      <w:pPr>
        <w:ind w:left="357" w:hanging="357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1" w:tplc="CC1AB1C2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DF88E3BA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3" w:tplc="DEAE4E74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4" w:tplc="23F26954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5" w:tplc="3326AB76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6" w:tplc="6BAE4BFE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7" w:tplc="BCCA0A46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8" w:tplc="98B28976">
      <w:start w:val="1"/>
      <w:numFmt w:val="bullet"/>
      <w:lvlText w:val="-"/>
      <w:lvlJc w:val="left"/>
      <w:pPr>
        <w:tabs>
          <w:tab w:val="num" w:pos="842"/>
        </w:tabs>
        <w:ind w:left="360" w:firstLine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</w:abstractNum>
  <w:abstractNum w:abstractNumId="8" w15:restartNumberingAfterBreak="0">
    <w:nsid w:val="392F7BF4"/>
    <w:multiLevelType w:val="hybridMultilevel"/>
    <w:tmpl w:val="5A1E9B6E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F4B6752"/>
    <w:multiLevelType w:val="hybridMultilevel"/>
    <w:tmpl w:val="1DAEF754"/>
    <w:lvl w:ilvl="0" w:tplc="36002C28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E1000F"/>
        <w:sz w:val="24"/>
      </w:rPr>
    </w:lvl>
    <w:lvl w:ilvl="1" w:tplc="645A6B9C">
      <w:numFmt w:val="bullet"/>
      <w:lvlText w:val="-"/>
      <w:lvlJc w:val="left"/>
      <w:pPr>
        <w:ind w:left="1080" w:hanging="360"/>
      </w:pPr>
      <w:rPr>
        <w:rFonts w:ascii="Arial" w:hAnsi="Arial" w:hint="default"/>
        <w:color w:val="FF0000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0C5131F"/>
    <w:multiLevelType w:val="hybridMultilevel"/>
    <w:tmpl w:val="8F8421BE"/>
    <w:lvl w:ilvl="0" w:tplc="04070005">
      <w:start w:val="1"/>
      <w:numFmt w:val="bullet"/>
      <w:lvlText w:val=""/>
      <w:lvlJc w:val="left"/>
      <w:pPr>
        <w:ind w:left="1004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4BC21F6"/>
    <w:multiLevelType w:val="hybridMultilevel"/>
    <w:tmpl w:val="4A88A59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AFD29158">
      <w:start w:val="1"/>
      <w:numFmt w:val="bullet"/>
      <w:lvlText w:val="-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FF2600"/>
        <w:spacing w:val="0"/>
        <w:w w:val="100"/>
        <w:kern w:val="0"/>
        <w:position w:val="0"/>
        <w:sz w:val="26"/>
        <w:szCs w:val="26"/>
        <w:highlight w:val="none"/>
        <w:vertAlign w:val="baseline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73D3C74"/>
    <w:multiLevelType w:val="hybridMultilevel"/>
    <w:tmpl w:val="F4AAD272"/>
    <w:lvl w:ilvl="0" w:tplc="0809000F">
      <w:start w:val="1"/>
      <w:numFmt w:val="decimal"/>
      <w:lvlText w:val="%1."/>
      <w:lvlJc w:val="left"/>
      <w:pPr>
        <w:ind w:left="643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363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083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03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23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243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4963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683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03" w:hanging="180"/>
      </w:pPr>
      <w:rPr>
        <w:rFonts w:cs="Times New Roman"/>
      </w:rPr>
    </w:lvl>
  </w:abstractNum>
  <w:abstractNum w:abstractNumId="13" w15:restartNumberingAfterBreak="0">
    <w:nsid w:val="491C0505"/>
    <w:multiLevelType w:val="hybridMultilevel"/>
    <w:tmpl w:val="672C7FDA"/>
    <w:lvl w:ilvl="0" w:tplc="91E8FC00">
      <w:numFmt w:val="bullet"/>
      <w:lvlText w:val="•"/>
      <w:lvlJc w:val="left"/>
      <w:pPr>
        <w:ind w:left="643" w:hanging="360"/>
      </w:pPr>
      <w:rPr>
        <w:rFonts w:ascii="Century Gothic" w:eastAsia="Times New Roman" w:hAnsi="Century Gothic" w:hint="default"/>
      </w:rPr>
    </w:lvl>
    <w:lvl w:ilvl="1" w:tplc="08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4" w15:restartNumberingAfterBreak="0">
    <w:nsid w:val="4DE93186"/>
    <w:multiLevelType w:val="hybridMultilevel"/>
    <w:tmpl w:val="801E8DA2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50F16D29"/>
    <w:multiLevelType w:val="hybridMultilevel"/>
    <w:tmpl w:val="FD1CCA86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9B0C97"/>
    <w:multiLevelType w:val="hybridMultilevel"/>
    <w:tmpl w:val="DCD2F366"/>
    <w:lvl w:ilvl="0" w:tplc="53A0857E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89532E"/>
    <w:multiLevelType w:val="hybridMultilevel"/>
    <w:tmpl w:val="357663A0"/>
    <w:lvl w:ilvl="0" w:tplc="5FB28F00">
      <w:start w:val="1"/>
      <w:numFmt w:val="bullet"/>
      <w:lvlText w:val=""/>
      <w:lvlJc w:val="left"/>
      <w:pPr>
        <w:ind w:left="786" w:hanging="360"/>
      </w:pPr>
      <w:rPr>
        <w:rFonts w:ascii="Wingdings" w:hAnsi="Wingdings" w:hint="default"/>
        <w:sz w:val="24"/>
      </w:rPr>
    </w:lvl>
    <w:lvl w:ilvl="1" w:tplc="0407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A92773"/>
    <w:multiLevelType w:val="hybridMultilevel"/>
    <w:tmpl w:val="52AE5424"/>
    <w:lvl w:ilvl="0" w:tplc="36002C28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E1000F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D91A2E"/>
    <w:multiLevelType w:val="hybridMultilevel"/>
    <w:tmpl w:val="4BA688A2"/>
    <w:numStyleLink w:val="Pomlka"/>
  </w:abstractNum>
  <w:abstractNum w:abstractNumId="20" w15:restartNumberingAfterBreak="0">
    <w:nsid w:val="7D521557"/>
    <w:multiLevelType w:val="hybridMultilevel"/>
    <w:tmpl w:val="B6A45C4C"/>
    <w:lvl w:ilvl="0" w:tplc="645A6B9C">
      <w:numFmt w:val="bullet"/>
      <w:lvlText w:val="-"/>
      <w:lvlJc w:val="left"/>
      <w:pPr>
        <w:ind w:left="1440" w:hanging="360"/>
      </w:pPr>
      <w:rPr>
        <w:rFonts w:ascii="Arial" w:hAnsi="Arial" w:hint="default"/>
        <w:color w:val="FF0000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17"/>
  </w:num>
  <w:num w:numId="4">
    <w:abstractNumId w:val="10"/>
  </w:num>
  <w:num w:numId="5">
    <w:abstractNumId w:val="4"/>
  </w:num>
  <w:num w:numId="6">
    <w:abstractNumId w:val="16"/>
  </w:num>
  <w:num w:numId="7">
    <w:abstractNumId w:val="13"/>
  </w:num>
  <w:num w:numId="8">
    <w:abstractNumId w:val="12"/>
  </w:num>
  <w:num w:numId="9">
    <w:abstractNumId w:val="9"/>
  </w:num>
  <w:num w:numId="10">
    <w:abstractNumId w:val="14"/>
  </w:num>
  <w:num w:numId="11">
    <w:abstractNumId w:val="18"/>
  </w:num>
  <w:num w:numId="12">
    <w:abstractNumId w:val="5"/>
  </w:num>
  <w:num w:numId="13">
    <w:abstractNumId w:val="15"/>
  </w:num>
  <w:num w:numId="14">
    <w:abstractNumId w:val="8"/>
  </w:num>
  <w:num w:numId="15">
    <w:abstractNumId w:val="2"/>
  </w:num>
  <w:num w:numId="16">
    <w:abstractNumId w:val="7"/>
  </w:num>
  <w:num w:numId="17">
    <w:abstractNumId w:val="19"/>
  </w:num>
  <w:num w:numId="18">
    <w:abstractNumId w:val="19"/>
    <w:lvlOverride w:ilvl="0">
      <w:lvl w:ilvl="0" w:tplc="645A6B9C">
        <w:start w:val="1"/>
        <w:numFmt w:val="bullet"/>
        <w:suff w:val="nothing"/>
        <w:lvlText w:val="♣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FD29158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F2A9A6A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44783DE4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2C60D22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3F49D76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21C4C382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77EA6FA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08094F2">
        <w:start w:val="1"/>
        <w:numFmt w:val="bullet"/>
        <w:lvlText w:val="-"/>
        <w:lvlJc w:val="left"/>
        <w:pPr>
          <w:ind w:left="122" w:hanging="122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19">
    <w:abstractNumId w:val="19"/>
    <w:lvlOverride w:ilvl="0">
      <w:lvl w:ilvl="0" w:tplc="645A6B9C">
        <w:start w:val="1"/>
        <w:numFmt w:val="bullet"/>
        <w:suff w:val="nothing"/>
        <w:lvlText w:val="♣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FD29158">
        <w:start w:val="1"/>
        <w:numFmt w:val="bullet"/>
        <w:lvlText w:val="-"/>
        <w:lvlJc w:val="left"/>
        <w:pPr>
          <w:tabs>
            <w:tab w:val="num" w:pos="865"/>
          </w:tabs>
          <w:ind w:left="406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F2A9A6A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44783DE4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2C60D22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3F49D76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21C4C382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77EA6FA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08094F2">
        <w:start w:val="1"/>
        <w:numFmt w:val="bullet"/>
        <w:lvlText w:val="-"/>
        <w:lvlJc w:val="left"/>
        <w:pPr>
          <w:tabs>
            <w:tab w:val="num" w:pos="819"/>
          </w:tabs>
          <w:ind w:left="360" w:firstLine="33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0">
    <w:abstractNumId w:val="19"/>
    <w:lvlOverride w:ilvl="0">
      <w:lvl w:ilvl="0" w:tplc="645A6B9C">
        <w:start w:val="1"/>
        <w:numFmt w:val="bullet"/>
        <w:suff w:val="nothing"/>
        <w:lvlText w:val="♣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FD29158">
        <w:start w:val="1"/>
        <w:numFmt w:val="bullet"/>
        <w:lvlText w:val="-"/>
        <w:lvlJc w:val="left"/>
        <w:pPr>
          <w:tabs>
            <w:tab w:val="num" w:pos="888"/>
          </w:tabs>
          <w:ind w:left="406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F2A9A6A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44783DE4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2C60D22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3F49D76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21C4C382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77EA6FA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08094F2">
        <w:start w:val="1"/>
        <w:numFmt w:val="bullet"/>
        <w:lvlText w:val="-"/>
        <w:lvlJc w:val="left"/>
        <w:pPr>
          <w:tabs>
            <w:tab w:val="num" w:pos="842"/>
          </w:tabs>
          <w:ind w:left="360" w:firstLine="36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1">
    <w:abstractNumId w:val="19"/>
    <w:lvlOverride w:ilvl="0">
      <w:lvl w:ilvl="0" w:tplc="645A6B9C">
        <w:start w:val="1"/>
        <w:numFmt w:val="bullet"/>
        <w:suff w:val="nothing"/>
        <w:lvlText w:val="♣"/>
        <w:lvlJc w:val="left"/>
        <w:pPr>
          <w:ind w:left="357" w:hanging="357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1">
      <w:lvl w:ilvl="1" w:tplc="AFD29158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2">
      <w:lvl w:ilvl="2" w:tplc="3F2A9A6A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3">
      <w:lvl w:ilvl="3" w:tplc="44783DE4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4">
      <w:lvl w:ilvl="4" w:tplc="B2C60D22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5">
      <w:lvl w:ilvl="5" w:tplc="33F49D76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6">
      <w:lvl w:ilvl="6" w:tplc="21C4C382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7">
      <w:lvl w:ilvl="7" w:tplc="D77EA6FA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  <w:lvlOverride w:ilvl="8">
      <w:lvl w:ilvl="8" w:tplc="508094F2">
        <w:start w:val="1"/>
        <w:numFmt w:val="bullet"/>
        <w:lvlText w:val="-"/>
        <w:lvlJc w:val="left"/>
        <w:pPr>
          <w:tabs>
            <w:tab w:val="num" w:pos="482"/>
          </w:tabs>
          <w:ind w:left="360" w:firstLine="0"/>
        </w:pPr>
        <w:rPr>
          <w:rFonts w:ascii="Arial" w:eastAsia="Arial" w:hAnsi="Arial" w:cs="Arial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FF2600"/>
          <w:spacing w:val="0"/>
          <w:w w:val="100"/>
          <w:kern w:val="0"/>
          <w:position w:val="0"/>
          <w:sz w:val="26"/>
          <w:szCs w:val="26"/>
          <w:highlight w:val="none"/>
          <w:vertAlign w:val="baseline"/>
        </w:rPr>
      </w:lvl>
    </w:lvlOverride>
  </w:num>
  <w:num w:numId="22">
    <w:abstractNumId w:val="11"/>
  </w:num>
  <w:num w:numId="23">
    <w:abstractNumId w:val="6"/>
  </w:num>
  <w:num w:numId="24">
    <w:abstractNumId w:val="20"/>
  </w:num>
  <w:num w:numId="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451C"/>
    <w:rsid w:val="00000839"/>
    <w:rsid w:val="00002AA4"/>
    <w:rsid w:val="00005267"/>
    <w:rsid w:val="00006346"/>
    <w:rsid w:val="00021C67"/>
    <w:rsid w:val="00026AFB"/>
    <w:rsid w:val="000273F2"/>
    <w:rsid w:val="00027C76"/>
    <w:rsid w:val="00030557"/>
    <w:rsid w:val="00030F51"/>
    <w:rsid w:val="0003481C"/>
    <w:rsid w:val="00035A84"/>
    <w:rsid w:val="00036D95"/>
    <w:rsid w:val="00040CC9"/>
    <w:rsid w:val="00046DD5"/>
    <w:rsid w:val="00051B60"/>
    <w:rsid w:val="00051E86"/>
    <w:rsid w:val="000573F2"/>
    <w:rsid w:val="000575F9"/>
    <w:rsid w:val="0005760C"/>
    <w:rsid w:val="000618FC"/>
    <w:rsid w:val="00063D2E"/>
    <w:rsid w:val="00067071"/>
    <w:rsid w:val="00070C3B"/>
    <w:rsid w:val="00080D10"/>
    <w:rsid w:val="0008357F"/>
    <w:rsid w:val="00084D35"/>
    <w:rsid w:val="00090796"/>
    <w:rsid w:val="0009087E"/>
    <w:rsid w:val="00097CF3"/>
    <w:rsid w:val="000B695A"/>
    <w:rsid w:val="000C1075"/>
    <w:rsid w:val="000C210A"/>
    <w:rsid w:val="000C56DD"/>
    <w:rsid w:val="000D1672"/>
    <w:rsid w:val="000D1983"/>
    <w:rsid w:val="000D537B"/>
    <w:rsid w:val="000E2F62"/>
    <w:rsid w:val="000E33CB"/>
    <w:rsid w:val="000E38DE"/>
    <w:rsid w:val="000E38ED"/>
    <w:rsid w:val="000E7F24"/>
    <w:rsid w:val="000F03BE"/>
    <w:rsid w:val="000F1757"/>
    <w:rsid w:val="000F225B"/>
    <w:rsid w:val="000F4DB3"/>
    <w:rsid w:val="000F7FAF"/>
    <w:rsid w:val="00105975"/>
    <w:rsid w:val="00111F4D"/>
    <w:rsid w:val="00112A28"/>
    <w:rsid w:val="00115230"/>
    <w:rsid w:val="00115B5F"/>
    <w:rsid w:val="001162B4"/>
    <w:rsid w:val="001169E0"/>
    <w:rsid w:val="0012194B"/>
    <w:rsid w:val="00122CBC"/>
    <w:rsid w:val="00126D4A"/>
    <w:rsid w:val="00132DA9"/>
    <w:rsid w:val="0013305B"/>
    <w:rsid w:val="00133B99"/>
    <w:rsid w:val="00143B20"/>
    <w:rsid w:val="001442D3"/>
    <w:rsid w:val="001443BD"/>
    <w:rsid w:val="001577E9"/>
    <w:rsid w:val="0016138C"/>
    <w:rsid w:val="001614BF"/>
    <w:rsid w:val="001731CE"/>
    <w:rsid w:val="00175951"/>
    <w:rsid w:val="001813F3"/>
    <w:rsid w:val="00183245"/>
    <w:rsid w:val="001A59E3"/>
    <w:rsid w:val="001A6EF7"/>
    <w:rsid w:val="001B2D0C"/>
    <w:rsid w:val="001B743B"/>
    <w:rsid w:val="001B7C20"/>
    <w:rsid w:val="001C0B32"/>
    <w:rsid w:val="001C4BE1"/>
    <w:rsid w:val="001D7568"/>
    <w:rsid w:val="001D7ADF"/>
    <w:rsid w:val="001E0A38"/>
    <w:rsid w:val="001E0F71"/>
    <w:rsid w:val="001E6D05"/>
    <w:rsid w:val="001E7C28"/>
    <w:rsid w:val="001F1BDF"/>
    <w:rsid w:val="001F3344"/>
    <w:rsid w:val="001F7110"/>
    <w:rsid w:val="001F7E96"/>
    <w:rsid w:val="00202284"/>
    <w:rsid w:val="00203B9E"/>
    <w:rsid w:val="00206C15"/>
    <w:rsid w:val="00212488"/>
    <w:rsid w:val="00214EA2"/>
    <w:rsid w:val="00220628"/>
    <w:rsid w:val="00225F4C"/>
    <w:rsid w:val="002304D2"/>
    <w:rsid w:val="00232AFF"/>
    <w:rsid w:val="00234ABD"/>
    <w:rsid w:val="00236E2A"/>
    <w:rsid w:val="00237F62"/>
    <w:rsid w:val="0024586A"/>
    <w:rsid w:val="00246020"/>
    <w:rsid w:val="00252443"/>
    <w:rsid w:val="00256F0C"/>
    <w:rsid w:val="002619DA"/>
    <w:rsid w:val="00262C05"/>
    <w:rsid w:val="00263D3E"/>
    <w:rsid w:val="00273E5D"/>
    <w:rsid w:val="002762C3"/>
    <w:rsid w:val="002814DA"/>
    <w:rsid w:val="00281D14"/>
    <w:rsid w:val="00282C13"/>
    <w:rsid w:val="0028371F"/>
    <w:rsid w:val="00293113"/>
    <w:rsid w:val="00295E5E"/>
    <w:rsid w:val="002A0DF7"/>
    <w:rsid w:val="002A2975"/>
    <w:rsid w:val="002A4EF2"/>
    <w:rsid w:val="002A60E0"/>
    <w:rsid w:val="002A7C62"/>
    <w:rsid w:val="002B0810"/>
    <w:rsid w:val="002B5578"/>
    <w:rsid w:val="002C0FD5"/>
    <w:rsid w:val="002C252E"/>
    <w:rsid w:val="002C6773"/>
    <w:rsid w:val="002D01B0"/>
    <w:rsid w:val="002D1E11"/>
    <w:rsid w:val="002D2A3D"/>
    <w:rsid w:val="002E0B17"/>
    <w:rsid w:val="002E1DAB"/>
    <w:rsid w:val="002E4FFB"/>
    <w:rsid w:val="002E7DED"/>
    <w:rsid w:val="002F23B0"/>
    <w:rsid w:val="002F666E"/>
    <w:rsid w:val="002F7E11"/>
    <w:rsid w:val="00301A73"/>
    <w:rsid w:val="00302D10"/>
    <w:rsid w:val="00304087"/>
    <w:rsid w:val="00310ACD"/>
    <w:rsid w:val="003116E8"/>
    <w:rsid w:val="0031379F"/>
    <w:rsid w:val="00314264"/>
    <w:rsid w:val="00317C01"/>
    <w:rsid w:val="00320A26"/>
    <w:rsid w:val="00321344"/>
    <w:rsid w:val="00322DAD"/>
    <w:rsid w:val="00323AB5"/>
    <w:rsid w:val="0033451C"/>
    <w:rsid w:val="00336854"/>
    <w:rsid w:val="0034015C"/>
    <w:rsid w:val="003405F1"/>
    <w:rsid w:val="003442F4"/>
    <w:rsid w:val="003463FE"/>
    <w:rsid w:val="00347FE7"/>
    <w:rsid w:val="00353705"/>
    <w:rsid w:val="003562E8"/>
    <w:rsid w:val="0036357D"/>
    <w:rsid w:val="003649BC"/>
    <w:rsid w:val="00365E44"/>
    <w:rsid w:val="00367AA1"/>
    <w:rsid w:val="00372E36"/>
    <w:rsid w:val="00376EE9"/>
    <w:rsid w:val="00377CBB"/>
    <w:rsid w:val="00380D56"/>
    <w:rsid w:val="00386336"/>
    <w:rsid w:val="003877B6"/>
    <w:rsid w:val="00393887"/>
    <w:rsid w:val="00393BFE"/>
    <w:rsid w:val="00394C6B"/>
    <w:rsid w:val="003A0597"/>
    <w:rsid w:val="003A1116"/>
    <w:rsid w:val="003A46CF"/>
    <w:rsid w:val="003A4E62"/>
    <w:rsid w:val="003B1069"/>
    <w:rsid w:val="003B390A"/>
    <w:rsid w:val="003B4C4C"/>
    <w:rsid w:val="003C04FE"/>
    <w:rsid w:val="003C0A9E"/>
    <w:rsid w:val="003C15DE"/>
    <w:rsid w:val="003C4EB2"/>
    <w:rsid w:val="003D128E"/>
    <w:rsid w:val="003D24DD"/>
    <w:rsid w:val="003E2CEF"/>
    <w:rsid w:val="003E5F59"/>
    <w:rsid w:val="003F1AF3"/>
    <w:rsid w:val="003F4D8D"/>
    <w:rsid w:val="003F5B99"/>
    <w:rsid w:val="004041C9"/>
    <w:rsid w:val="004074DB"/>
    <w:rsid w:val="00421AF1"/>
    <w:rsid w:val="004313E7"/>
    <w:rsid w:val="0043545B"/>
    <w:rsid w:val="00441325"/>
    <w:rsid w:val="004429CB"/>
    <w:rsid w:val="0044763B"/>
    <w:rsid w:val="004545EA"/>
    <w:rsid w:val="004629B3"/>
    <w:rsid w:val="0046376E"/>
    <w:rsid w:val="0046690F"/>
    <w:rsid w:val="00472640"/>
    <w:rsid w:val="00472FEC"/>
    <w:rsid w:val="004748C1"/>
    <w:rsid w:val="00475702"/>
    <w:rsid w:val="00485CB6"/>
    <w:rsid w:val="00490A03"/>
    <w:rsid w:val="00493327"/>
    <w:rsid w:val="00494402"/>
    <w:rsid w:val="00494DBE"/>
    <w:rsid w:val="00495CE6"/>
    <w:rsid w:val="004968A1"/>
    <w:rsid w:val="0049738E"/>
    <w:rsid w:val="004A323C"/>
    <w:rsid w:val="004B2B84"/>
    <w:rsid w:val="004B54E8"/>
    <w:rsid w:val="004C1DCD"/>
    <w:rsid w:val="004C4FEB"/>
    <w:rsid w:val="004C6B79"/>
    <w:rsid w:val="004C6DF6"/>
    <w:rsid w:val="004D059B"/>
    <w:rsid w:val="004D4CB6"/>
    <w:rsid w:val="004E3341"/>
    <w:rsid w:val="004E67B7"/>
    <w:rsid w:val="004F10C1"/>
    <w:rsid w:val="00502E62"/>
    <w:rsid w:val="005062C1"/>
    <w:rsid w:val="00506767"/>
    <w:rsid w:val="00506B8A"/>
    <w:rsid w:val="005118BD"/>
    <w:rsid w:val="005170AC"/>
    <w:rsid w:val="0052212B"/>
    <w:rsid w:val="00530799"/>
    <w:rsid w:val="00534B46"/>
    <w:rsid w:val="00540358"/>
    <w:rsid w:val="00540D47"/>
    <w:rsid w:val="00541575"/>
    <w:rsid w:val="005449BB"/>
    <w:rsid w:val="00550864"/>
    <w:rsid w:val="005521F5"/>
    <w:rsid w:val="0055571E"/>
    <w:rsid w:val="00556F67"/>
    <w:rsid w:val="00565EBE"/>
    <w:rsid w:val="00575350"/>
    <w:rsid w:val="005833F0"/>
    <w:rsid w:val="005854C8"/>
    <w:rsid w:val="0058684E"/>
    <w:rsid w:val="00586CAF"/>
    <w:rsid w:val="005873E9"/>
    <w:rsid w:val="0058794F"/>
    <w:rsid w:val="00591180"/>
    <w:rsid w:val="00591B38"/>
    <w:rsid w:val="0059722C"/>
    <w:rsid w:val="00597D07"/>
    <w:rsid w:val="005A3846"/>
    <w:rsid w:val="005A3C34"/>
    <w:rsid w:val="005B1CBB"/>
    <w:rsid w:val="005B4868"/>
    <w:rsid w:val="005B6A58"/>
    <w:rsid w:val="005C51CB"/>
    <w:rsid w:val="005C7112"/>
    <w:rsid w:val="005D0561"/>
    <w:rsid w:val="005D0AD9"/>
    <w:rsid w:val="005D22F6"/>
    <w:rsid w:val="005E0C30"/>
    <w:rsid w:val="005E2CC2"/>
    <w:rsid w:val="005E69D9"/>
    <w:rsid w:val="005F27F4"/>
    <w:rsid w:val="005F3239"/>
    <w:rsid w:val="005F5FC5"/>
    <w:rsid w:val="005F6567"/>
    <w:rsid w:val="00605BFE"/>
    <w:rsid w:val="00607256"/>
    <w:rsid w:val="006141A6"/>
    <w:rsid w:val="006144B1"/>
    <w:rsid w:val="00617A6D"/>
    <w:rsid w:val="006209A6"/>
    <w:rsid w:val="006262AD"/>
    <w:rsid w:val="006335F1"/>
    <w:rsid w:val="006345B6"/>
    <w:rsid w:val="00635712"/>
    <w:rsid w:val="006402B4"/>
    <w:rsid w:val="006403F3"/>
    <w:rsid w:val="00643D8A"/>
    <w:rsid w:val="00644595"/>
    <w:rsid w:val="00652229"/>
    <w:rsid w:val="00652793"/>
    <w:rsid w:val="00652E4F"/>
    <w:rsid w:val="006626CA"/>
    <w:rsid w:val="00663487"/>
    <w:rsid w:val="00663B1A"/>
    <w:rsid w:val="00672382"/>
    <w:rsid w:val="00673CB0"/>
    <w:rsid w:val="006758AD"/>
    <w:rsid w:val="00677A30"/>
    <w:rsid w:val="00681F20"/>
    <w:rsid w:val="00682643"/>
    <w:rsid w:val="00682EB9"/>
    <w:rsid w:val="0068441A"/>
    <w:rsid w:val="00690B19"/>
    <w:rsid w:val="006A0A3C"/>
    <w:rsid w:val="006A4FFF"/>
    <w:rsid w:val="006A79F0"/>
    <w:rsid w:val="006B06C1"/>
    <w:rsid w:val="006B21C0"/>
    <w:rsid w:val="006B4030"/>
    <w:rsid w:val="006B47EE"/>
    <w:rsid w:val="006B499F"/>
    <w:rsid w:val="006C3C4A"/>
    <w:rsid w:val="006D1AFF"/>
    <w:rsid w:val="006D4996"/>
    <w:rsid w:val="006D54AB"/>
    <w:rsid w:val="006D7030"/>
    <w:rsid w:val="006E1BAF"/>
    <w:rsid w:val="006E3006"/>
    <w:rsid w:val="006E5032"/>
    <w:rsid w:val="006E5BDA"/>
    <w:rsid w:val="006F0FC7"/>
    <w:rsid w:val="006F39A9"/>
    <w:rsid w:val="006F5D05"/>
    <w:rsid w:val="006F670F"/>
    <w:rsid w:val="00703272"/>
    <w:rsid w:val="0070733C"/>
    <w:rsid w:val="00710715"/>
    <w:rsid w:val="00710C5D"/>
    <w:rsid w:val="00713381"/>
    <w:rsid w:val="0071348C"/>
    <w:rsid w:val="00717273"/>
    <w:rsid w:val="00720FD4"/>
    <w:rsid w:val="00724AF2"/>
    <w:rsid w:val="00726216"/>
    <w:rsid w:val="0073096C"/>
    <w:rsid w:val="00732587"/>
    <w:rsid w:val="00742398"/>
    <w:rsid w:val="007507B5"/>
    <w:rsid w:val="0075091D"/>
    <w:rsid w:val="00753A24"/>
    <w:rsid w:val="007551E7"/>
    <w:rsid w:val="007630AF"/>
    <w:rsid w:val="00764F93"/>
    <w:rsid w:val="007718FE"/>
    <w:rsid w:val="00772188"/>
    <w:rsid w:val="00773F91"/>
    <w:rsid w:val="00774B90"/>
    <w:rsid w:val="007808C1"/>
    <w:rsid w:val="007813D0"/>
    <w:rsid w:val="00785993"/>
    <w:rsid w:val="007866E2"/>
    <w:rsid w:val="00786BA3"/>
    <w:rsid w:val="0079202F"/>
    <w:rsid w:val="00795AF2"/>
    <w:rsid w:val="0079786F"/>
    <w:rsid w:val="007A25C7"/>
    <w:rsid w:val="007A2AAD"/>
    <w:rsid w:val="007A4432"/>
    <w:rsid w:val="007A784E"/>
    <w:rsid w:val="007B1358"/>
    <w:rsid w:val="007B499C"/>
    <w:rsid w:val="007B4D4B"/>
    <w:rsid w:val="007C50BB"/>
    <w:rsid w:val="007C68F4"/>
    <w:rsid w:val="007D2A02"/>
    <w:rsid w:val="007E36BD"/>
    <w:rsid w:val="007E53D6"/>
    <w:rsid w:val="007E6EA1"/>
    <w:rsid w:val="007F0F63"/>
    <w:rsid w:val="007F2B1E"/>
    <w:rsid w:val="007F2D93"/>
    <w:rsid w:val="007F62B4"/>
    <w:rsid w:val="007F6C90"/>
    <w:rsid w:val="008013EE"/>
    <w:rsid w:val="00801517"/>
    <w:rsid w:val="00817AE8"/>
    <w:rsid w:val="00817DE8"/>
    <w:rsid w:val="008229F5"/>
    <w:rsid w:val="0082699A"/>
    <w:rsid w:val="00833C65"/>
    <w:rsid w:val="00833CEB"/>
    <w:rsid w:val="00835A45"/>
    <w:rsid w:val="008367DF"/>
    <w:rsid w:val="008372D2"/>
    <w:rsid w:val="008377BC"/>
    <w:rsid w:val="00844C17"/>
    <w:rsid w:val="0084769D"/>
    <w:rsid w:val="00847726"/>
    <w:rsid w:val="0084790A"/>
    <w:rsid w:val="00852511"/>
    <w:rsid w:val="008527B0"/>
    <w:rsid w:val="008614F1"/>
    <w:rsid w:val="008639B3"/>
    <w:rsid w:val="00863C1A"/>
    <w:rsid w:val="00866171"/>
    <w:rsid w:val="00867276"/>
    <w:rsid w:val="0087142D"/>
    <w:rsid w:val="00871553"/>
    <w:rsid w:val="00873956"/>
    <w:rsid w:val="00880E72"/>
    <w:rsid w:val="008825EE"/>
    <w:rsid w:val="0088596E"/>
    <w:rsid w:val="008954A0"/>
    <w:rsid w:val="0089796A"/>
    <w:rsid w:val="008A2375"/>
    <w:rsid w:val="008A6920"/>
    <w:rsid w:val="008A6965"/>
    <w:rsid w:val="008C39BA"/>
    <w:rsid w:val="008C42F5"/>
    <w:rsid w:val="008C4BF9"/>
    <w:rsid w:val="008C74E8"/>
    <w:rsid w:val="008D76C5"/>
    <w:rsid w:val="008E0AFA"/>
    <w:rsid w:val="008E3909"/>
    <w:rsid w:val="008E58D7"/>
    <w:rsid w:val="008E5A1D"/>
    <w:rsid w:val="008E75D3"/>
    <w:rsid w:val="008F125E"/>
    <w:rsid w:val="008F4D2F"/>
    <w:rsid w:val="00906292"/>
    <w:rsid w:val="00917162"/>
    <w:rsid w:val="0092140A"/>
    <w:rsid w:val="009242D9"/>
    <w:rsid w:val="009251CC"/>
    <w:rsid w:val="00926FF4"/>
    <w:rsid w:val="0092714E"/>
    <w:rsid w:val="00927230"/>
    <w:rsid w:val="00930EC9"/>
    <w:rsid w:val="00942002"/>
    <w:rsid w:val="00942D97"/>
    <w:rsid w:val="0094424E"/>
    <w:rsid w:val="00945889"/>
    <w:rsid w:val="0094704B"/>
    <w:rsid w:val="00947885"/>
    <w:rsid w:val="00952168"/>
    <w:rsid w:val="009527FE"/>
    <w:rsid w:val="00962C60"/>
    <w:rsid w:val="009739A0"/>
    <w:rsid w:val="00974F84"/>
    <w:rsid w:val="009767C7"/>
    <w:rsid w:val="00980630"/>
    <w:rsid w:val="00982CDC"/>
    <w:rsid w:val="0098579A"/>
    <w:rsid w:val="00986275"/>
    <w:rsid w:val="0099195A"/>
    <w:rsid w:val="00992A11"/>
    <w:rsid w:val="00994681"/>
    <w:rsid w:val="0099486A"/>
    <w:rsid w:val="009A0E26"/>
    <w:rsid w:val="009A16EC"/>
    <w:rsid w:val="009A2C68"/>
    <w:rsid w:val="009B1AC4"/>
    <w:rsid w:val="009B29B7"/>
    <w:rsid w:val="009B3B37"/>
    <w:rsid w:val="009B7D1F"/>
    <w:rsid w:val="009C088E"/>
    <w:rsid w:val="009C4A7F"/>
    <w:rsid w:val="009C4D35"/>
    <w:rsid w:val="009D1522"/>
    <w:rsid w:val="009D6C7C"/>
    <w:rsid w:val="009D7252"/>
    <w:rsid w:val="009D792E"/>
    <w:rsid w:val="009E5EB4"/>
    <w:rsid w:val="009F06DE"/>
    <w:rsid w:val="00A02D13"/>
    <w:rsid w:val="00A03188"/>
    <w:rsid w:val="00A03E83"/>
    <w:rsid w:val="00A044D6"/>
    <w:rsid w:val="00A04ADB"/>
    <w:rsid w:val="00A0542F"/>
    <w:rsid w:val="00A05CDF"/>
    <w:rsid w:val="00A05F55"/>
    <w:rsid w:val="00A06937"/>
    <w:rsid w:val="00A11E0F"/>
    <w:rsid w:val="00A1390E"/>
    <w:rsid w:val="00A26CB6"/>
    <w:rsid w:val="00A32F82"/>
    <w:rsid w:val="00A32F8B"/>
    <w:rsid w:val="00A3756F"/>
    <w:rsid w:val="00A42D6F"/>
    <w:rsid w:val="00A44BBC"/>
    <w:rsid w:val="00A45A62"/>
    <w:rsid w:val="00A517EF"/>
    <w:rsid w:val="00A54AC5"/>
    <w:rsid w:val="00A55DC3"/>
    <w:rsid w:val="00A56D41"/>
    <w:rsid w:val="00A61353"/>
    <w:rsid w:val="00A61626"/>
    <w:rsid w:val="00A66650"/>
    <w:rsid w:val="00A66DB1"/>
    <w:rsid w:val="00A67A92"/>
    <w:rsid w:val="00A713FB"/>
    <w:rsid w:val="00A765E5"/>
    <w:rsid w:val="00A76D57"/>
    <w:rsid w:val="00A87870"/>
    <w:rsid w:val="00A91A70"/>
    <w:rsid w:val="00AA01F3"/>
    <w:rsid w:val="00AA1B85"/>
    <w:rsid w:val="00AB0A03"/>
    <w:rsid w:val="00AB1CB6"/>
    <w:rsid w:val="00AB1D9A"/>
    <w:rsid w:val="00AD01B0"/>
    <w:rsid w:val="00AD44FE"/>
    <w:rsid w:val="00AD749D"/>
    <w:rsid w:val="00AE3ABD"/>
    <w:rsid w:val="00AE464C"/>
    <w:rsid w:val="00AE49F1"/>
    <w:rsid w:val="00AF3869"/>
    <w:rsid w:val="00AF7ECE"/>
    <w:rsid w:val="00B05CCA"/>
    <w:rsid w:val="00B14271"/>
    <w:rsid w:val="00B16270"/>
    <w:rsid w:val="00B2685D"/>
    <w:rsid w:val="00B30351"/>
    <w:rsid w:val="00B33C2A"/>
    <w:rsid w:val="00B368BD"/>
    <w:rsid w:val="00B4095C"/>
    <w:rsid w:val="00B422EC"/>
    <w:rsid w:val="00B63C6C"/>
    <w:rsid w:val="00B6597F"/>
    <w:rsid w:val="00B714B6"/>
    <w:rsid w:val="00B726D4"/>
    <w:rsid w:val="00B774D7"/>
    <w:rsid w:val="00B8214F"/>
    <w:rsid w:val="00B82A39"/>
    <w:rsid w:val="00B86A4F"/>
    <w:rsid w:val="00B86F4F"/>
    <w:rsid w:val="00B87B93"/>
    <w:rsid w:val="00B93035"/>
    <w:rsid w:val="00B93A93"/>
    <w:rsid w:val="00B94639"/>
    <w:rsid w:val="00B958E8"/>
    <w:rsid w:val="00B9775D"/>
    <w:rsid w:val="00B97E4A"/>
    <w:rsid w:val="00BA09B2"/>
    <w:rsid w:val="00BA2B7F"/>
    <w:rsid w:val="00BA5B46"/>
    <w:rsid w:val="00BA6EA6"/>
    <w:rsid w:val="00BC0995"/>
    <w:rsid w:val="00BC2FE3"/>
    <w:rsid w:val="00BE5D38"/>
    <w:rsid w:val="00BE793A"/>
    <w:rsid w:val="00BE7B92"/>
    <w:rsid w:val="00BF2B82"/>
    <w:rsid w:val="00BF432A"/>
    <w:rsid w:val="00BF6E82"/>
    <w:rsid w:val="00C0209A"/>
    <w:rsid w:val="00C060C7"/>
    <w:rsid w:val="00C24C17"/>
    <w:rsid w:val="00C24D5E"/>
    <w:rsid w:val="00C278C5"/>
    <w:rsid w:val="00C34B18"/>
    <w:rsid w:val="00C3758F"/>
    <w:rsid w:val="00C40B88"/>
    <w:rsid w:val="00C43223"/>
    <w:rsid w:val="00C47D87"/>
    <w:rsid w:val="00C50A63"/>
    <w:rsid w:val="00C50C62"/>
    <w:rsid w:val="00C51B88"/>
    <w:rsid w:val="00C5219F"/>
    <w:rsid w:val="00C5376E"/>
    <w:rsid w:val="00C565D4"/>
    <w:rsid w:val="00C570AB"/>
    <w:rsid w:val="00C62701"/>
    <w:rsid w:val="00C634BF"/>
    <w:rsid w:val="00C743A7"/>
    <w:rsid w:val="00C808A6"/>
    <w:rsid w:val="00C934E4"/>
    <w:rsid w:val="00C97091"/>
    <w:rsid w:val="00C97260"/>
    <w:rsid w:val="00CA03A9"/>
    <w:rsid w:val="00CA047F"/>
    <w:rsid w:val="00CA2001"/>
    <w:rsid w:val="00CA523B"/>
    <w:rsid w:val="00CB5B6C"/>
    <w:rsid w:val="00CB6F95"/>
    <w:rsid w:val="00CC052E"/>
    <w:rsid w:val="00CC29A9"/>
    <w:rsid w:val="00CC39A8"/>
    <w:rsid w:val="00CC447D"/>
    <w:rsid w:val="00CD140C"/>
    <w:rsid w:val="00CD16BE"/>
    <w:rsid w:val="00CD1FB9"/>
    <w:rsid w:val="00CD4616"/>
    <w:rsid w:val="00CD56AF"/>
    <w:rsid w:val="00CE0734"/>
    <w:rsid w:val="00CE33D5"/>
    <w:rsid w:val="00CE6A6E"/>
    <w:rsid w:val="00CF16DC"/>
    <w:rsid w:val="00CF5D37"/>
    <w:rsid w:val="00CF6F33"/>
    <w:rsid w:val="00D0140A"/>
    <w:rsid w:val="00D015B7"/>
    <w:rsid w:val="00D02248"/>
    <w:rsid w:val="00D063B8"/>
    <w:rsid w:val="00D06825"/>
    <w:rsid w:val="00D162B6"/>
    <w:rsid w:val="00D17E3B"/>
    <w:rsid w:val="00D23C09"/>
    <w:rsid w:val="00D23CED"/>
    <w:rsid w:val="00D24BD2"/>
    <w:rsid w:val="00D2573D"/>
    <w:rsid w:val="00D260A2"/>
    <w:rsid w:val="00D2795D"/>
    <w:rsid w:val="00D30CC6"/>
    <w:rsid w:val="00D3260C"/>
    <w:rsid w:val="00D34224"/>
    <w:rsid w:val="00D35790"/>
    <w:rsid w:val="00D4014A"/>
    <w:rsid w:val="00D40AD9"/>
    <w:rsid w:val="00D44221"/>
    <w:rsid w:val="00D476DF"/>
    <w:rsid w:val="00D5051D"/>
    <w:rsid w:val="00D5182B"/>
    <w:rsid w:val="00D53112"/>
    <w:rsid w:val="00D5437A"/>
    <w:rsid w:val="00D5653B"/>
    <w:rsid w:val="00D61492"/>
    <w:rsid w:val="00D61781"/>
    <w:rsid w:val="00D62EF1"/>
    <w:rsid w:val="00D6309D"/>
    <w:rsid w:val="00D644CA"/>
    <w:rsid w:val="00D66FC2"/>
    <w:rsid w:val="00D74231"/>
    <w:rsid w:val="00D76C7E"/>
    <w:rsid w:val="00D771DE"/>
    <w:rsid w:val="00D776A4"/>
    <w:rsid w:val="00D7776D"/>
    <w:rsid w:val="00D8406F"/>
    <w:rsid w:val="00D91F92"/>
    <w:rsid w:val="00D9293F"/>
    <w:rsid w:val="00D93598"/>
    <w:rsid w:val="00D93651"/>
    <w:rsid w:val="00D952F4"/>
    <w:rsid w:val="00DA1086"/>
    <w:rsid w:val="00DA1E18"/>
    <w:rsid w:val="00DA2009"/>
    <w:rsid w:val="00DA2EB3"/>
    <w:rsid w:val="00DB05B1"/>
    <w:rsid w:val="00DB5A79"/>
    <w:rsid w:val="00DB5D40"/>
    <w:rsid w:val="00DB6D3A"/>
    <w:rsid w:val="00DC2465"/>
    <w:rsid w:val="00DC5427"/>
    <w:rsid w:val="00DD512E"/>
    <w:rsid w:val="00DE1177"/>
    <w:rsid w:val="00DE2CEA"/>
    <w:rsid w:val="00DE6A3C"/>
    <w:rsid w:val="00DE74F4"/>
    <w:rsid w:val="00DE7F97"/>
    <w:rsid w:val="00DF1010"/>
    <w:rsid w:val="00DF5AEA"/>
    <w:rsid w:val="00DF63F6"/>
    <w:rsid w:val="00E02DD0"/>
    <w:rsid w:val="00E06A2E"/>
    <w:rsid w:val="00E07340"/>
    <w:rsid w:val="00E13747"/>
    <w:rsid w:val="00E16061"/>
    <w:rsid w:val="00E25AEA"/>
    <w:rsid w:val="00E26B34"/>
    <w:rsid w:val="00E26F8D"/>
    <w:rsid w:val="00E30DEF"/>
    <w:rsid w:val="00E30ED2"/>
    <w:rsid w:val="00E31276"/>
    <w:rsid w:val="00E31C3C"/>
    <w:rsid w:val="00E32EC0"/>
    <w:rsid w:val="00E34A0B"/>
    <w:rsid w:val="00E37F70"/>
    <w:rsid w:val="00E446C1"/>
    <w:rsid w:val="00E55B7F"/>
    <w:rsid w:val="00E57867"/>
    <w:rsid w:val="00E758B9"/>
    <w:rsid w:val="00E85569"/>
    <w:rsid w:val="00E856AF"/>
    <w:rsid w:val="00E86B83"/>
    <w:rsid w:val="00E87C64"/>
    <w:rsid w:val="00E91C2F"/>
    <w:rsid w:val="00E92B4E"/>
    <w:rsid w:val="00E93A01"/>
    <w:rsid w:val="00E93FF8"/>
    <w:rsid w:val="00E9582F"/>
    <w:rsid w:val="00E96EAF"/>
    <w:rsid w:val="00E97504"/>
    <w:rsid w:val="00EA1752"/>
    <w:rsid w:val="00EA5A89"/>
    <w:rsid w:val="00EA5BDB"/>
    <w:rsid w:val="00EA5F8C"/>
    <w:rsid w:val="00EA751E"/>
    <w:rsid w:val="00EB440D"/>
    <w:rsid w:val="00EB46D9"/>
    <w:rsid w:val="00EB4A71"/>
    <w:rsid w:val="00EB778E"/>
    <w:rsid w:val="00EC142D"/>
    <w:rsid w:val="00EC17A8"/>
    <w:rsid w:val="00EC1E16"/>
    <w:rsid w:val="00EC254A"/>
    <w:rsid w:val="00EC528C"/>
    <w:rsid w:val="00ED0024"/>
    <w:rsid w:val="00ED0F85"/>
    <w:rsid w:val="00ED2B5C"/>
    <w:rsid w:val="00ED3269"/>
    <w:rsid w:val="00ED6649"/>
    <w:rsid w:val="00EE1A8C"/>
    <w:rsid w:val="00EE4643"/>
    <w:rsid w:val="00EE64AD"/>
    <w:rsid w:val="00EF1330"/>
    <w:rsid w:val="00EF15FF"/>
    <w:rsid w:val="00EF570A"/>
    <w:rsid w:val="00EF7111"/>
    <w:rsid w:val="00EF7D1A"/>
    <w:rsid w:val="00F0448F"/>
    <w:rsid w:val="00F0716C"/>
    <w:rsid w:val="00F14097"/>
    <w:rsid w:val="00F22014"/>
    <w:rsid w:val="00F26849"/>
    <w:rsid w:val="00F270E9"/>
    <w:rsid w:val="00F275C0"/>
    <w:rsid w:val="00F346B6"/>
    <w:rsid w:val="00F36145"/>
    <w:rsid w:val="00F36E15"/>
    <w:rsid w:val="00F37BDD"/>
    <w:rsid w:val="00F4089B"/>
    <w:rsid w:val="00F41503"/>
    <w:rsid w:val="00F466C8"/>
    <w:rsid w:val="00F469A9"/>
    <w:rsid w:val="00F50B46"/>
    <w:rsid w:val="00F50D1F"/>
    <w:rsid w:val="00F51909"/>
    <w:rsid w:val="00F565D0"/>
    <w:rsid w:val="00F635FC"/>
    <w:rsid w:val="00F63D03"/>
    <w:rsid w:val="00F65E2F"/>
    <w:rsid w:val="00F65EC2"/>
    <w:rsid w:val="00F67DF1"/>
    <w:rsid w:val="00F7502E"/>
    <w:rsid w:val="00F8309B"/>
    <w:rsid w:val="00F833C9"/>
    <w:rsid w:val="00F85671"/>
    <w:rsid w:val="00F90064"/>
    <w:rsid w:val="00F96AFD"/>
    <w:rsid w:val="00FA1398"/>
    <w:rsid w:val="00FA1F73"/>
    <w:rsid w:val="00FA2E19"/>
    <w:rsid w:val="00FA697F"/>
    <w:rsid w:val="00FB5521"/>
    <w:rsid w:val="00FB610D"/>
    <w:rsid w:val="00FC4477"/>
    <w:rsid w:val="00FC46FB"/>
    <w:rsid w:val="00FD2BD3"/>
    <w:rsid w:val="00FD4CCA"/>
    <w:rsid w:val="00FE2A9E"/>
    <w:rsid w:val="00FE3773"/>
    <w:rsid w:val="00FE7D17"/>
    <w:rsid w:val="00FF1FEE"/>
    <w:rsid w:val="00FF4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E497938"/>
  <w14:defaultImageDpi w14:val="0"/>
  <w15:docId w15:val="{54FDCA7C-BD6C-4903-9777-C643AD819E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egoe UI" w:eastAsia="Times New Roman" w:hAnsi="Segoe UI" w:cs="Segoe UI"/>
        <w:sz w:val="18"/>
        <w:szCs w:val="18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HTML Preformatted" w:semiHidden="1" w:unhideWhenUsed="1"/>
    <w:lsdException w:name="HTML Samp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 w:qFormat="1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1" w:qFormat="1"/>
    <w:lsdException w:name="Medium Shading 2 Accent 1" w:uiPriority="60"/>
    <w:lsdException w:name="Medium List 1 Accent 1" w:uiPriority="61"/>
    <w:lsdException w:name="Revision" w:semiHidden="1" w:uiPriority="62" w:unhideWhenUsed="1"/>
    <w:lsdException w:name="List Paragraph" w:uiPriority="34" w:qFormat="1"/>
    <w:lsdException w:name="Quote" w:uiPriority="64" w:qFormat="1"/>
    <w:lsdException w:name="Intense Quote" w:uiPriority="65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 w:qFormat="1"/>
    <w:lsdException w:name="Colorful Grid Accent 1" w:uiPriority="73" w:qFormat="1"/>
    <w:lsdException w:name="Light Shading Accent 2" w:uiPriority="60" w:qFormat="1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99"/>
    <w:lsdException w:name="Medium Grid 1 Accent 2" w:uiPriority="34" w:qFormat="1"/>
    <w:lsdException w:name="Medium Grid 2 Accent 2" w:uiPriority="29" w:qFormat="1"/>
    <w:lsdException w:name="Medium Grid 3 Accent 2" w:uiPriority="30" w:qFormat="1"/>
    <w:lsdException w:name="Dark List Accent 2" w:uiPriority="66"/>
    <w:lsdException w:name="Colorful Shading Accent 2" w:uiPriority="67"/>
    <w:lsdException w:name="Colorful List Accent 2" w:uiPriority="68"/>
    <w:lsdException w:name="Colorful Grid Accent 2" w:uiPriority="69"/>
    <w:lsdException w:name="Light Shading Accent 3" w:uiPriority="70"/>
    <w:lsdException w:name="Light List Accent 3" w:uiPriority="71"/>
    <w:lsdException w:name="Light Grid Accent 3" w:uiPriority="72"/>
    <w:lsdException w:name="Medium Shading 1 Accent 3" w:uiPriority="73"/>
    <w:lsdException w:name="Medium Shading 2 Accent 3" w:uiPriority="60"/>
    <w:lsdException w:name="Medium List 1 Accent 3" w:uiPriority="61"/>
    <w:lsdException w:name="Medium List 2 Accent 3" w:uiPriority="62"/>
    <w:lsdException w:name="Medium Grid 1 Accent 3" w:uiPriority="63"/>
    <w:lsdException w:name="Medium Grid 2 Accent 3" w:uiPriority="64"/>
    <w:lsdException w:name="Medium Grid 3 Accent 3" w:uiPriority="65"/>
    <w:lsdException w:name="Dark List Accent 3" w:uiPriority="66"/>
    <w:lsdException w:name="Colorful Shading Accent 3" w:uiPriority="67"/>
    <w:lsdException w:name="Colorful List Accent 3" w:uiPriority="68"/>
    <w:lsdException w:name="Colorful Grid Accent 3" w:uiPriority="69"/>
    <w:lsdException w:name="Light Shading Accent 4" w:uiPriority="70"/>
    <w:lsdException w:name="Light List Accent 4" w:uiPriority="71"/>
    <w:lsdException w:name="Light Grid Accent 4" w:uiPriority="72"/>
    <w:lsdException w:name="Medium Shading 1 Accent 4" w:uiPriority="73"/>
    <w:lsdException w:name="Medium Shading 2 Accent 4" w:uiPriority="60"/>
    <w:lsdException w:name="Medium List 1 Accent 4" w:uiPriority="61"/>
    <w:lsdException w:name="Medium List 2 Accent 4" w:uiPriority="62"/>
    <w:lsdException w:name="Medium Grid 1 Accent 4" w:uiPriority="63"/>
    <w:lsdException w:name="Medium Grid 2 Accent 4" w:uiPriority="64"/>
    <w:lsdException w:name="Medium Grid 3 Accent 4" w:uiPriority="65"/>
    <w:lsdException w:name="Dark List Accent 4" w:uiPriority="66"/>
    <w:lsdException w:name="Colorful Shading Accent 4" w:uiPriority="67"/>
    <w:lsdException w:name="Colorful List Accent 4" w:uiPriority="68"/>
    <w:lsdException w:name="Colorful Grid Accent 4" w:uiPriority="69"/>
    <w:lsdException w:name="Light Shading Accent 5" w:uiPriority="70"/>
    <w:lsdException w:name="Light List Accent 5" w:uiPriority="71"/>
    <w:lsdException w:name="Light Grid Accent 5" w:uiPriority="72"/>
    <w:lsdException w:name="Medium Shading 1 Accent 5" w:uiPriority="73"/>
    <w:lsdException w:name="Medium Shading 2 Accent 5" w:uiPriority="60"/>
    <w:lsdException w:name="Medium List 1 Accent 5" w:uiPriority="61"/>
    <w:lsdException w:name="Medium List 2 Accent 5" w:uiPriority="62"/>
    <w:lsdException w:name="Medium Grid 1 Accent 5" w:uiPriority="63"/>
    <w:lsdException w:name="Medium Grid 2 Accent 5" w:uiPriority="64"/>
    <w:lsdException w:name="Medium Grid 3 Accent 5" w:uiPriority="65"/>
    <w:lsdException w:name="Dark List Accent 5" w:uiPriority="66"/>
    <w:lsdException w:name="Colorful Shading Accent 5" w:uiPriority="67"/>
    <w:lsdException w:name="Colorful List Accent 5" w:uiPriority="68"/>
    <w:lsdException w:name="Colorful Grid Accent 5" w:uiPriority="69"/>
    <w:lsdException w:name="Light Shading Accent 6" w:uiPriority="70"/>
    <w:lsdException w:name="Light List Accent 6" w:uiPriority="71"/>
    <w:lsdException w:name="Light Grid Accent 6" w:uiPriority="72"/>
    <w:lsdException w:name="Medium Shading 1 Accent 6" w:uiPriority="73"/>
    <w:lsdException w:name="Medium Shading 2 Accent 6" w:uiPriority="60"/>
    <w:lsdException w:name="Medium List 1 Accent 6" w:uiPriority="61"/>
    <w:lsdException w:name="Medium List 2 Accent 6" w:uiPriority="62"/>
    <w:lsdException w:name="Medium Grid 1 Accent 6" w:uiPriority="63"/>
    <w:lsdException w:name="Medium Grid 2 Accent 6" w:uiPriority="64"/>
    <w:lsdException w:name="Medium Grid 3 Accent 6" w:uiPriority="65"/>
    <w:lsdException w:name="Dark List Accent 6" w:uiPriority="66"/>
    <w:lsdException w:name="Colorful Shading Accent 6" w:uiPriority="67"/>
    <w:lsdException w:name="Colorful List Accent 6" w:uiPriority="68"/>
    <w:lsdException w:name="Colorful Grid Accent 6" w:uiPriority="69"/>
    <w:lsdException w:name="Subtle Emphasis" w:uiPriority="70" w:qFormat="1"/>
    <w:lsdException w:name="Intense Emphasis" w:uiPriority="71" w:qFormat="1"/>
    <w:lsdException w:name="Subtle Reference" w:uiPriority="72" w:qFormat="1"/>
    <w:lsdException w:name="Intense Reference" w:uiPriority="73" w:qFormat="1"/>
    <w:lsdException w:name="Book Title" w:uiPriority="60" w:qFormat="1"/>
    <w:lsdException w:name="Bibliography" w:semiHidden="1" w:uiPriority="61" w:unhideWhenUsed="1"/>
    <w:lsdException w:name="TOC Heading" w:semiHidden="1" w:uiPriority="62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y">
    <w:name w:val="Normal"/>
    <w:qFormat/>
    <w:rsid w:val="002A2975"/>
    <w:pPr>
      <w:spacing w:line="276" w:lineRule="auto"/>
      <w:jc w:val="both"/>
    </w:pPr>
    <w:rPr>
      <w:rFonts w:cs="Times New Roman"/>
      <w:sz w:val="22"/>
      <w:szCs w:val="24"/>
    </w:rPr>
  </w:style>
  <w:style w:type="paragraph" w:styleId="Nadpis1">
    <w:name w:val="heading 1"/>
    <w:basedOn w:val="Normlny"/>
    <w:next w:val="Normlny"/>
    <w:link w:val="Nadpis1Char"/>
    <w:uiPriority w:val="99"/>
    <w:qFormat/>
    <w:pPr>
      <w:keepNext/>
      <w:spacing w:line="420" w:lineRule="atLeast"/>
      <w:outlineLvl w:val="0"/>
    </w:pPr>
    <w:rPr>
      <w:rFonts w:cs="Arial"/>
      <w:b/>
      <w:bCs/>
      <w:kern w:val="32"/>
      <w:sz w:val="36"/>
      <w:szCs w:val="32"/>
    </w:rPr>
  </w:style>
  <w:style w:type="paragraph" w:styleId="Nadpis2">
    <w:name w:val="heading 2"/>
    <w:basedOn w:val="Normlny"/>
    <w:next w:val="Normlny"/>
    <w:link w:val="Nadpis2Char"/>
    <w:uiPriority w:val="9"/>
    <w:qFormat/>
    <w:pPr>
      <w:keepNext/>
      <w:outlineLvl w:val="1"/>
    </w:pPr>
    <w:rPr>
      <w:rFonts w:cs="Arial"/>
      <w:bCs/>
      <w:iCs/>
      <w:color w:val="E1000F"/>
      <w:szCs w:val="28"/>
    </w:rPr>
  </w:style>
  <w:style w:type="paragraph" w:styleId="Nadpis3">
    <w:name w:val="heading 3"/>
    <w:basedOn w:val="Nadpis2"/>
    <w:next w:val="Normlny"/>
    <w:link w:val="Nadpis3Char"/>
    <w:uiPriority w:val="9"/>
    <w:qFormat/>
    <w:pPr>
      <w:outlineLvl w:val="2"/>
    </w:pPr>
    <w:rPr>
      <w:color w:val="auto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9"/>
    <w:locked/>
    <w:rsid w:val="00B422EC"/>
    <w:rPr>
      <w:rFonts w:ascii="Arial" w:hAnsi="Arial" w:cs="Times New Roman"/>
      <w:b/>
      <w:kern w:val="32"/>
      <w:sz w:val="32"/>
      <w:lang w:val="de-DE" w:eastAsia="x-none"/>
    </w:rPr>
  </w:style>
  <w:style w:type="character" w:customStyle="1" w:styleId="Nadpis2Char">
    <w:name w:val="Nadpis 2 Char"/>
    <w:basedOn w:val="Predvolenpsmoodseku"/>
    <w:link w:val="Nadpis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Nadpis3Char">
    <w:name w:val="Nadpis 3 Char"/>
    <w:basedOn w:val="Predvolenpsmoodseku"/>
    <w:link w:val="Nadpis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paragraph" w:styleId="Pta">
    <w:name w:val="footer"/>
    <w:basedOn w:val="Normlny"/>
    <w:link w:val="PtaChar"/>
    <w:uiPriority w:val="99"/>
    <w:rsid w:val="00992A11"/>
    <w:pPr>
      <w:tabs>
        <w:tab w:val="right" w:pos="7083"/>
        <w:tab w:val="right" w:pos="8640"/>
      </w:tabs>
      <w:spacing w:line="180" w:lineRule="atLeast"/>
      <w:jc w:val="right"/>
    </w:pPr>
    <w:rPr>
      <w:bCs/>
      <w:noProof/>
      <w:sz w:val="12"/>
    </w:rPr>
  </w:style>
  <w:style w:type="character" w:customStyle="1" w:styleId="PtaChar">
    <w:name w:val="Päta Char"/>
    <w:basedOn w:val="Predvolenpsmoodseku"/>
    <w:link w:val="Pta"/>
    <w:uiPriority w:val="99"/>
    <w:locked/>
    <w:rsid w:val="00992A11"/>
    <w:rPr>
      <w:rFonts w:ascii="Segoe UI" w:hAnsi="Segoe UI" w:cs="Times New Roman"/>
      <w:noProof/>
      <w:sz w:val="24"/>
      <w:lang w:val="de-DE"/>
    </w:rPr>
  </w:style>
  <w:style w:type="paragraph" w:styleId="Hlavika">
    <w:name w:val="header"/>
    <w:basedOn w:val="Normlny"/>
    <w:link w:val="HlavikaChar"/>
    <w:uiPriority w:val="99"/>
    <w:rsid w:val="00C3758F"/>
    <w:pPr>
      <w:tabs>
        <w:tab w:val="left" w:pos="2607"/>
        <w:tab w:val="center" w:pos="4320"/>
        <w:tab w:val="right" w:pos="9356"/>
      </w:tabs>
      <w:spacing w:before="1440" w:line="100" w:lineRule="atLeast"/>
      <w:jc w:val="right"/>
    </w:pPr>
    <w:rPr>
      <w:rFonts w:cs="Segoe UI"/>
      <w:b/>
      <w:bCs/>
      <w:color w:val="3E3C3C"/>
      <w:sz w:val="40"/>
      <w:szCs w:val="40"/>
    </w:rPr>
  </w:style>
  <w:style w:type="character" w:customStyle="1" w:styleId="HlavikaChar">
    <w:name w:val="Hlavička Char"/>
    <w:basedOn w:val="Predvolenpsmoodseku"/>
    <w:link w:val="Hlavika"/>
    <w:uiPriority w:val="99"/>
    <w:semiHidden/>
    <w:locked/>
    <w:rPr>
      <w:rFonts w:cs="Times New Roman"/>
      <w:sz w:val="24"/>
      <w:szCs w:val="24"/>
    </w:rPr>
  </w:style>
  <w:style w:type="paragraph" w:customStyle="1" w:styleId="Intro">
    <w:name w:val="Intro"/>
    <w:basedOn w:val="Normlny"/>
    <w:pPr>
      <w:spacing w:after="300"/>
    </w:pPr>
    <w:rPr>
      <w:color w:val="415055"/>
      <w:sz w:val="24"/>
    </w:rPr>
  </w:style>
  <w:style w:type="paragraph" w:customStyle="1" w:styleId="NumBullet">
    <w:name w:val="Num_Bullet"/>
    <w:basedOn w:val="Normlny"/>
    <w:pPr>
      <w:numPr>
        <w:numId w:val="1"/>
      </w:numPr>
      <w:tabs>
        <w:tab w:val="left" w:pos="357"/>
      </w:tabs>
      <w:ind w:left="357" w:hanging="357"/>
    </w:pPr>
  </w:style>
  <w:style w:type="paragraph" w:customStyle="1" w:styleId="Page1Name">
    <w:name w:val="Page1_Name"/>
    <w:basedOn w:val="Normlny"/>
    <w:pPr>
      <w:spacing w:after="420" w:line="360" w:lineRule="atLeast"/>
    </w:pPr>
    <w:rPr>
      <w:b/>
      <w:sz w:val="30"/>
    </w:rPr>
  </w:style>
  <w:style w:type="paragraph" w:customStyle="1" w:styleId="Page1Title">
    <w:name w:val="Page1_Title"/>
    <w:basedOn w:val="Normlny"/>
    <w:pPr>
      <w:spacing w:line="228" w:lineRule="auto"/>
    </w:pPr>
    <w:rPr>
      <w:color w:val="E1000F"/>
      <w:sz w:val="90"/>
    </w:rPr>
  </w:style>
  <w:style w:type="paragraph" w:customStyle="1" w:styleId="Page1Author">
    <w:name w:val="Page1_Author"/>
    <w:basedOn w:val="Page1Name"/>
    <w:pPr>
      <w:spacing w:before="240" w:after="0"/>
    </w:pPr>
    <w:rPr>
      <w:b w:val="0"/>
      <w:bCs/>
    </w:rPr>
  </w:style>
  <w:style w:type="table" w:styleId="Mriekatabuky">
    <w:name w:val="Table Grid"/>
    <w:basedOn w:val="Normlnatabuka"/>
    <w:uiPriority w:val="59"/>
    <w:pPr>
      <w:spacing w:line="260" w:lineRule="atLeast"/>
    </w:pPr>
    <w:rPr>
      <w:rFonts w:cs="Times New Roman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Info">
    <w:name w:val="Info"/>
    <w:basedOn w:val="Normlny"/>
    <w:link w:val="InfoZchn"/>
    <w:pPr>
      <w:spacing w:line="240" w:lineRule="atLeast"/>
    </w:pPr>
    <w:rPr>
      <w:sz w:val="13"/>
    </w:rPr>
  </w:style>
  <w:style w:type="character" w:customStyle="1" w:styleId="InfoZchn">
    <w:name w:val="Info Zchn"/>
    <w:link w:val="Info"/>
    <w:locked/>
    <w:rPr>
      <w:rFonts w:ascii="Arial" w:hAnsi="Arial"/>
      <w:sz w:val="24"/>
      <w:lang w:val="de-DE" w:eastAsia="en-US"/>
    </w:rPr>
  </w:style>
  <w:style w:type="paragraph" w:customStyle="1" w:styleId="Standard12pt">
    <w:name w:val="Standard_12pt"/>
    <w:basedOn w:val="Normlny"/>
    <w:pPr>
      <w:spacing w:line="300" w:lineRule="atLeast"/>
    </w:pPr>
    <w:rPr>
      <w:sz w:val="24"/>
    </w:rPr>
  </w:style>
  <w:style w:type="character" w:styleId="Hypertextovprepojenie">
    <w:name w:val="Hyperlink"/>
    <w:basedOn w:val="Predvolenpsmoodseku"/>
    <w:rsid w:val="00336854"/>
    <w:rPr>
      <w:rFonts w:ascii="Segoe UI" w:hAnsi="Segoe UI" w:cs="Times New Roman"/>
      <w:color w:val="0000FF"/>
      <w:sz w:val="18"/>
      <w:u w:val="single"/>
    </w:rPr>
  </w:style>
  <w:style w:type="paragraph" w:customStyle="1" w:styleId="MittleresRaster1-Akzent21">
    <w:name w:val="Mittleres Raster 1 - Akzent 21"/>
    <w:basedOn w:val="Normlny"/>
    <w:uiPriority w:val="34"/>
    <w:qFormat/>
    <w:rsid w:val="00B422EC"/>
    <w:pPr>
      <w:ind w:left="720"/>
    </w:pPr>
  </w:style>
  <w:style w:type="paragraph" w:styleId="Textbubliny">
    <w:name w:val="Balloon Text"/>
    <w:basedOn w:val="Normlny"/>
    <w:link w:val="TextbublinyChar"/>
    <w:uiPriority w:val="99"/>
    <w:rsid w:val="00336854"/>
    <w:pPr>
      <w:spacing w:line="240" w:lineRule="auto"/>
    </w:pPr>
    <w:rPr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locked/>
    <w:rsid w:val="00336854"/>
    <w:rPr>
      <w:rFonts w:ascii="Segoe UI" w:hAnsi="Segoe UI" w:cs="Times New Roman"/>
      <w:sz w:val="18"/>
      <w:lang w:val="de-DE" w:eastAsia="x-none"/>
    </w:rPr>
  </w:style>
  <w:style w:type="character" w:styleId="Nevyrieenzmienka">
    <w:name w:val="Unresolved Mention"/>
    <w:basedOn w:val="Predvolenpsmoodseku"/>
    <w:uiPriority w:val="99"/>
    <w:semiHidden/>
    <w:unhideWhenUsed/>
    <w:rsid w:val="000C210A"/>
    <w:rPr>
      <w:rFonts w:cs="Times New Roman"/>
      <w:color w:val="605E5C"/>
      <w:shd w:val="clear" w:color="auto" w:fill="E1DFDD"/>
    </w:rPr>
  </w:style>
  <w:style w:type="paragraph" w:customStyle="1" w:styleId="MittlereListe2-Akzent21">
    <w:name w:val="Mittlere Liste 2 - Akzent 21"/>
    <w:hidden/>
    <w:uiPriority w:val="99"/>
    <w:semiHidden/>
    <w:rsid w:val="002E0B17"/>
    <w:rPr>
      <w:rFonts w:ascii="Arial" w:hAnsi="Arial" w:cs="Times New Roman"/>
      <w:szCs w:val="24"/>
      <w:lang w:val="de-DE"/>
    </w:rPr>
  </w:style>
  <w:style w:type="paragraph" w:customStyle="1" w:styleId="Style12ptJustifiedLinespacing15lines">
    <w:name w:val="Style 12 pt Justified Line spacing:  1.5 lines"/>
    <w:basedOn w:val="Normlny"/>
    <w:rsid w:val="00974F84"/>
    <w:rPr>
      <w:szCs w:val="20"/>
    </w:rPr>
  </w:style>
  <w:style w:type="paragraph" w:customStyle="1" w:styleId="Style12ptJustifiedLinespacing15lines1">
    <w:name w:val="Style 12 pt Justified Line spacing:  1.5 lines1"/>
    <w:basedOn w:val="Normlny"/>
    <w:rsid w:val="00974F84"/>
    <w:pPr>
      <w:spacing w:before="120"/>
    </w:pPr>
    <w:rPr>
      <w:szCs w:val="20"/>
    </w:rPr>
  </w:style>
  <w:style w:type="character" w:customStyle="1" w:styleId="Headline">
    <w:name w:val="Headline"/>
    <w:basedOn w:val="Predvolenpsmoodseku"/>
    <w:rsid w:val="00A3756F"/>
    <w:rPr>
      <w:rFonts w:cs="Times New Roman"/>
      <w:b/>
      <w:bCs/>
      <w:sz w:val="32"/>
    </w:rPr>
  </w:style>
  <w:style w:type="paragraph" w:customStyle="1" w:styleId="MonthDayYear">
    <w:name w:val="Month Day Year"/>
    <w:basedOn w:val="Normlny"/>
    <w:rsid w:val="00643D8A"/>
    <w:pPr>
      <w:spacing w:before="120"/>
      <w:ind w:right="-1"/>
      <w:jc w:val="right"/>
    </w:pPr>
    <w:rPr>
      <w:szCs w:val="20"/>
    </w:rPr>
  </w:style>
  <w:style w:type="paragraph" w:customStyle="1" w:styleId="Topline">
    <w:name w:val="Topline"/>
    <w:basedOn w:val="Normlny"/>
    <w:qFormat/>
    <w:rsid w:val="00472FEC"/>
    <w:pPr>
      <w:spacing w:before="560" w:after="560"/>
    </w:pPr>
    <w:rPr>
      <w:rFonts w:cs="Segoe UI"/>
      <w:szCs w:val="22"/>
    </w:rPr>
  </w:style>
  <w:style w:type="character" w:customStyle="1" w:styleId="AboutandContactBody">
    <w:name w:val="About and Contact Body"/>
    <w:basedOn w:val="Predvolenpsmoodseku"/>
    <w:rsid w:val="00336854"/>
    <w:rPr>
      <w:rFonts w:ascii="Segoe UI" w:hAnsi="Segoe UI" w:cs="Times New Roman"/>
      <w:sz w:val="18"/>
    </w:rPr>
  </w:style>
  <w:style w:type="character" w:customStyle="1" w:styleId="AboutandContactHeadline">
    <w:name w:val="About and Contact Headline"/>
    <w:basedOn w:val="Predvolenpsmoodseku"/>
    <w:rsid w:val="00336854"/>
    <w:rPr>
      <w:rFonts w:ascii="Segoe UI" w:hAnsi="Segoe UI" w:cs="Times New Roman"/>
      <w:b/>
      <w:bCs/>
      <w:sz w:val="18"/>
    </w:rPr>
  </w:style>
  <w:style w:type="paragraph" w:styleId="Textpoznmkypodiarou">
    <w:name w:val="footnote text"/>
    <w:basedOn w:val="Normlny"/>
    <w:link w:val="TextpoznmkypodiarouChar"/>
    <w:uiPriority w:val="99"/>
    <w:rsid w:val="004074DB"/>
    <w:pPr>
      <w:spacing w:line="260" w:lineRule="atLeast"/>
      <w:jc w:val="left"/>
    </w:pPr>
    <w:rPr>
      <w:rFonts w:ascii="Arial" w:hAnsi="Arial"/>
      <w:sz w:val="20"/>
      <w:szCs w:val="20"/>
      <w:lang w:val="de-DE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locked/>
    <w:rsid w:val="004074DB"/>
    <w:rPr>
      <w:rFonts w:ascii="Arial" w:hAnsi="Arial" w:cs="Times New Roman"/>
      <w:sz w:val="20"/>
      <w:szCs w:val="20"/>
      <w:lang w:val="de-DE" w:eastAsia="x-none"/>
    </w:rPr>
  </w:style>
  <w:style w:type="character" w:styleId="Odkaznapoznmkupodiarou">
    <w:name w:val="footnote reference"/>
    <w:basedOn w:val="Predvolenpsmoodseku"/>
    <w:uiPriority w:val="99"/>
    <w:rsid w:val="004074DB"/>
    <w:rPr>
      <w:rFonts w:cs="Times New Roman"/>
      <w:vertAlign w:val="superscript"/>
    </w:rPr>
  </w:style>
  <w:style w:type="character" w:styleId="Odkaznakomentr">
    <w:name w:val="annotation reference"/>
    <w:basedOn w:val="Predvolenpsmoodseku"/>
    <w:rsid w:val="005854C8"/>
    <w:rPr>
      <w:sz w:val="16"/>
      <w:szCs w:val="16"/>
    </w:rPr>
  </w:style>
  <w:style w:type="paragraph" w:styleId="Textkomentra">
    <w:name w:val="annotation text"/>
    <w:basedOn w:val="Normlny"/>
    <w:link w:val="TextkomentraChar"/>
    <w:rsid w:val="005854C8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rsid w:val="005854C8"/>
    <w:rPr>
      <w:rFonts w:cs="Times New Roman"/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rsid w:val="005854C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rsid w:val="005854C8"/>
    <w:rPr>
      <w:rFonts w:cs="Times New Roman"/>
      <w:b/>
      <w:bCs/>
      <w:sz w:val="20"/>
      <w:szCs w:val="20"/>
    </w:rPr>
  </w:style>
  <w:style w:type="paragraph" w:customStyle="1" w:styleId="p1">
    <w:name w:val="p1"/>
    <w:basedOn w:val="Normlny"/>
    <w:rsid w:val="00927230"/>
    <w:pPr>
      <w:spacing w:line="240" w:lineRule="auto"/>
      <w:jc w:val="left"/>
    </w:pPr>
    <w:rPr>
      <w:rFonts w:ascii="Helvetica" w:hAnsi="Helvetica"/>
      <w:sz w:val="18"/>
      <w:szCs w:val="18"/>
    </w:rPr>
  </w:style>
  <w:style w:type="character" w:styleId="PouitHypertextovPrepojenie">
    <w:name w:val="FollowedHyperlink"/>
    <w:basedOn w:val="Predvolenpsmoodseku"/>
    <w:rsid w:val="005C51CB"/>
    <w:rPr>
      <w:color w:val="954F72" w:themeColor="followedHyperlink"/>
      <w:u w:val="single"/>
    </w:rPr>
  </w:style>
  <w:style w:type="paragraph" w:styleId="Normlnywebov">
    <w:name w:val="Normal (Web)"/>
    <w:basedOn w:val="Normlny"/>
    <w:uiPriority w:val="99"/>
    <w:unhideWhenUsed/>
    <w:rsid w:val="004C6DF6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lang w:val="sk-SK" w:eastAsia="sk-SK"/>
    </w:rPr>
  </w:style>
  <w:style w:type="character" w:styleId="Vrazn">
    <w:name w:val="Strong"/>
    <w:basedOn w:val="Predvolenpsmoodseku"/>
    <w:uiPriority w:val="22"/>
    <w:qFormat/>
    <w:rsid w:val="004C6DF6"/>
    <w:rPr>
      <w:b/>
      <w:bCs/>
    </w:rPr>
  </w:style>
  <w:style w:type="paragraph" w:styleId="Odsekzoznamu">
    <w:name w:val="List Paragraph"/>
    <w:basedOn w:val="Normlny"/>
    <w:link w:val="OdsekzoznamuChar"/>
    <w:uiPriority w:val="34"/>
    <w:qFormat/>
    <w:rsid w:val="00D776A4"/>
    <w:pPr>
      <w:ind w:left="720"/>
      <w:contextualSpacing/>
    </w:pPr>
  </w:style>
  <w:style w:type="paragraph" w:styleId="Zkladntext">
    <w:name w:val="Body Text"/>
    <w:basedOn w:val="Normlny"/>
    <w:link w:val="ZkladntextChar"/>
    <w:uiPriority w:val="1"/>
    <w:qFormat/>
    <w:rsid w:val="00D0140A"/>
    <w:pPr>
      <w:widowControl w:val="0"/>
      <w:autoSpaceDE w:val="0"/>
      <w:autoSpaceDN w:val="0"/>
      <w:spacing w:line="240" w:lineRule="auto"/>
      <w:jc w:val="left"/>
    </w:pPr>
    <w:rPr>
      <w:rFonts w:ascii="Calibri" w:eastAsia="Calibri" w:hAnsi="Calibri" w:cs="Calibri"/>
      <w:sz w:val="24"/>
      <w:lang w:val="de-DE"/>
    </w:rPr>
  </w:style>
  <w:style w:type="character" w:customStyle="1" w:styleId="ZkladntextChar">
    <w:name w:val="Základný text Char"/>
    <w:basedOn w:val="Predvolenpsmoodseku"/>
    <w:link w:val="Zkladntext"/>
    <w:uiPriority w:val="1"/>
    <w:rsid w:val="00D0140A"/>
    <w:rPr>
      <w:rFonts w:ascii="Calibri" w:eastAsia="Calibri" w:hAnsi="Calibri" w:cs="Calibri"/>
      <w:sz w:val="24"/>
      <w:szCs w:val="24"/>
      <w:lang w:val="de-DE"/>
    </w:rPr>
  </w:style>
  <w:style w:type="character" w:customStyle="1" w:styleId="OdsekzoznamuChar">
    <w:name w:val="Odsek zoznamu Char"/>
    <w:basedOn w:val="Predvolenpsmoodseku"/>
    <w:link w:val="Odsekzoznamu"/>
    <w:uiPriority w:val="34"/>
    <w:locked/>
    <w:rsid w:val="00393BFE"/>
    <w:rPr>
      <w:rFonts w:cs="Times New Roman"/>
      <w:sz w:val="22"/>
      <w:szCs w:val="24"/>
    </w:rPr>
  </w:style>
  <w:style w:type="table" w:customStyle="1" w:styleId="TableNormal">
    <w:name w:val="Table Normal"/>
    <w:rsid w:val="00273E5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val="sk-SK" w:eastAsia="sk-SK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Hlavikaapta">
    <w:name w:val="Hlavička a päta"/>
    <w:rsid w:val="00273E5D"/>
    <w:pPr>
      <w:pBdr>
        <w:top w:val="nil"/>
        <w:left w:val="nil"/>
        <w:bottom w:val="nil"/>
        <w:right w:val="nil"/>
        <w:between w:val="nil"/>
        <w:bar w:val="nil"/>
      </w:pBdr>
      <w:tabs>
        <w:tab w:val="right" w:pos="9020"/>
      </w:tabs>
    </w:pPr>
    <w:rPr>
      <w:rFonts w:ascii="Helvetica Neue" w:eastAsia="Arial Unicode MS" w:hAnsi="Helvetica Neue" w:cs="Arial Unicode MS"/>
      <w:color w:val="000000"/>
      <w:sz w:val="24"/>
      <w:szCs w:val="24"/>
      <w:bdr w:val="nil"/>
      <w:lang w:val="sk-SK" w:eastAsia="sk-SK"/>
      <w14:textOutline w14:w="0" w14:cap="flat" w14:cmpd="sng" w14:algn="ctr">
        <w14:noFill/>
        <w14:prstDash w14:val="solid"/>
        <w14:bevel/>
      </w14:textOutline>
    </w:rPr>
  </w:style>
  <w:style w:type="paragraph" w:customStyle="1" w:styleId="Predvolen">
    <w:name w:val="Predvolené"/>
    <w:rsid w:val="00273E5D"/>
    <w:pPr>
      <w:pBdr>
        <w:top w:val="nil"/>
        <w:left w:val="nil"/>
        <w:bottom w:val="nil"/>
        <w:right w:val="nil"/>
        <w:between w:val="nil"/>
        <w:bar w:val="nil"/>
      </w:pBdr>
      <w:spacing w:before="160"/>
    </w:pPr>
    <w:rPr>
      <w:rFonts w:ascii="Helvetica Neue" w:eastAsia="Arial Unicode MS" w:hAnsi="Helvetica Neue" w:cs="Arial Unicode MS"/>
      <w:color w:val="000000"/>
      <w:sz w:val="24"/>
      <w:szCs w:val="24"/>
      <w:u w:color="000000"/>
      <w:bdr w:val="nil"/>
      <w:lang w:val="sk-SK" w:eastAsia="sk-SK"/>
      <w14:textOutline w14:w="12700" w14:cap="flat" w14:cmpd="sng" w14:algn="ctr">
        <w14:noFill/>
        <w14:prstDash w14:val="solid"/>
        <w14:miter w14:lim="400000"/>
      </w14:textOutline>
    </w:rPr>
  </w:style>
  <w:style w:type="numbering" w:customStyle="1" w:styleId="Pomlka">
    <w:name w:val="Pomlčka"/>
    <w:rsid w:val="00273E5D"/>
    <w:pPr>
      <w:numPr>
        <w:numId w:val="16"/>
      </w:numPr>
    </w:pPr>
  </w:style>
  <w:style w:type="character" w:customStyle="1" w:styleId="iadne">
    <w:name w:val="Žiadne"/>
    <w:rsid w:val="00273E5D"/>
  </w:style>
  <w:style w:type="character" w:customStyle="1" w:styleId="Hyperlink0">
    <w:name w:val="Hyperlink.0"/>
    <w:basedOn w:val="iadne"/>
    <w:rsid w:val="00273E5D"/>
    <w:rPr>
      <w:outline w:val="0"/>
      <w:color w:val="0433FF"/>
      <w:sz w:val="18"/>
      <w:szCs w:val="18"/>
      <w:u w:val="single" w:color="0432FF"/>
    </w:rPr>
  </w:style>
  <w:style w:type="character" w:customStyle="1" w:styleId="Hyperlink1">
    <w:name w:val="Hyperlink.1"/>
    <w:basedOn w:val="iadne"/>
    <w:rsid w:val="00273E5D"/>
    <w:rPr>
      <w:outline w:val="0"/>
      <w:color w:val="0433FF"/>
      <w:sz w:val="18"/>
      <w:szCs w:val="18"/>
      <w:u w:val="single" w:color="0432FF"/>
      <w:lang w:val="it-IT"/>
    </w:rPr>
  </w:style>
  <w:style w:type="character" w:customStyle="1" w:styleId="Hyperlink2">
    <w:name w:val="Hyperlink.2"/>
    <w:basedOn w:val="iadne"/>
    <w:rsid w:val="00273E5D"/>
    <w:rPr>
      <w:outline w:val="0"/>
      <w:color w:val="0433FF"/>
      <w:sz w:val="18"/>
      <w:szCs w:val="18"/>
      <w:u w:val="single" w:color="0432FF"/>
      <w:lang w:val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5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2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zuzana.kanuchova@henkel.com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henkel.sk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henkel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frohng\AppData\Local\Temp\Temp1_Completed.zip\Completed\segoe-Henkel-press-release-template-2020-english.dotx" TargetMode="External"/></Relationships>
</file>

<file path=word/theme/theme1.xml><?xml version="1.0" encoding="utf-8"?>
<a:theme xmlns:a="http://schemas.openxmlformats.org/drawingml/2006/main" name="Henkel Theme">
  <a:themeElements>
    <a:clrScheme name="Custom 4">
      <a:dk1>
        <a:srgbClr val="000000"/>
      </a:dk1>
      <a:lt1>
        <a:srgbClr val="FFFFFF"/>
      </a:lt1>
      <a:dk2>
        <a:srgbClr val="E1000F"/>
      </a:dk2>
      <a:lt2>
        <a:srgbClr val="E6E7E7"/>
      </a:lt2>
      <a:accent1>
        <a:srgbClr val="5F6973"/>
      </a:accent1>
      <a:accent2>
        <a:srgbClr val="AFB4B9"/>
      </a:accent2>
      <a:accent3>
        <a:srgbClr val="00AA75"/>
      </a:accent3>
      <a:accent4>
        <a:srgbClr val="004C79"/>
      </a:accent4>
      <a:accent5>
        <a:srgbClr val="9A141B"/>
      </a:accent5>
      <a:accent6>
        <a:srgbClr val="FFDB23"/>
      </a:accent6>
      <a:hlink>
        <a:srgbClr val="0563C1"/>
      </a:hlink>
      <a:folHlink>
        <a:srgbClr val="954F72"/>
      </a:folHlink>
    </a:clrScheme>
    <a:fontScheme name="Henkel Template">
      <a:majorFont>
        <a:latin typeface="Segoe UI"/>
        <a:ea typeface=""/>
        <a:cs typeface=""/>
      </a:majorFont>
      <a:minorFont>
        <a:latin typeface="Segoe U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 bwMode="auto">
        <a:solidFill>
          <a:srgbClr val="ED1C24"/>
        </a:solidFill>
        <a:ln>
          <a:noFill/>
        </a:ln>
        <a:extLst>
          <a:ext uri="{91240B29-F687-4F45-9708-019B960494DF}">
            <a14:hiddenLine xmlns:a14="http://schemas.microsoft.com/office/drawing/2010/main" w="9525">
              <a:solidFill>
                <a:srgbClr val="000000"/>
              </a:solidFill>
              <a:round/>
              <a:headEnd/>
              <a:tailEnd/>
            </a14:hiddenLine>
          </a:ext>
        </a:extLst>
      </a:spPr>
      <a:bodyPr rot="0" vert="horz" wrap="square" lIns="91440" tIns="45720" rIns="91440" bIns="45720" anchor="t" anchorCtr="0" upright="1">
        <a:noAutofit/>
      </a:bodyPr>
      <a:lstStyle/>
    </a:spDef>
    <a:lnDef>
      <a:spPr bwMode="auto">
        <a:xfrm>
          <a:off x="0" y="0"/>
          <a:ext cx="1" cy="1"/>
        </a:xfrm>
        <a:custGeom>
          <a:avLst/>
          <a:gdLst/>
          <a:ahLst/>
          <a:cxnLst/>
          <a:rect l="0" t="0" r="0" b="0"/>
          <a:pathLst/>
        </a:custGeom>
        <a:solidFill>
          <a:schemeClr val="bg1"/>
        </a:solidFill>
        <a:ln w="9525" cap="flat" cmpd="sng" algn="ctr">
          <a:solidFill>
            <a:schemeClr val="tx1"/>
          </a:solidFill>
          <a:prstDash val="solid"/>
          <a:round/>
          <a:headEnd type="none" w="med" len="med"/>
          <a:tailEnd type="none" w="med" len="med"/>
        </a:ln>
        <a:effectLst/>
        <a:extLst>
          <a:ext uri="{AF507438-7753-43E0-B8FC-AC1667EBCBE1}">
            <a14:hiddenEffects xmlns:a14="http://schemas.microsoft.com/office/drawing/2010/main">
              <a:effectLst>
                <a:outerShdw dist="35921" dir="2700000" algn="ctr" rotWithShape="0">
                  <a:schemeClr val="bg2"/>
                </a:outerShdw>
              </a:effectLst>
            </a14:hiddenEffects>
          </a:ext>
        </a:extLst>
      </a:spPr>
      <a:bodyPr vert="horz" wrap="none" lIns="90000" tIns="46800" rIns="90000" bIns="46800" numCol="1" anchor="ctr" anchorCtr="0" compatLnSpc="1">
        <a:prstTxWarp prst="textNoShape">
          <a:avLst/>
        </a:prstTxWarp>
      </a:bodyPr>
      <a:lstStyle>
        <a:defPPr marL="0" marR="0" indent="0" algn="ctr" defTabSz="914400" rtl="0" eaLnBrk="1" fontAlgn="base" latinLnBrk="0" hangingPunct="1">
          <a:lnSpc>
            <a:spcPct val="105000"/>
          </a:lnSpc>
          <a:spcBef>
            <a:spcPct val="0"/>
          </a:spcBef>
          <a:spcAft>
            <a:spcPct val="0"/>
          </a:spcAft>
          <a:buClr>
            <a:schemeClr val="tx2"/>
          </a:buClr>
          <a:buSzPct val="120000"/>
          <a:buFontTx/>
          <a:buNone/>
          <a:tabLst/>
          <a:defRPr kumimoji="0" lang="de-DE" sz="2000" b="0" i="0" u="none" strike="noStrike" cap="none" normalizeH="0" baseline="0" smtClean="0">
            <a:ln>
              <a:noFill/>
            </a:ln>
            <a:solidFill>
              <a:schemeClr val="tx1"/>
            </a:solidFill>
            <a:effectLst/>
            <a:latin typeface="Arial" charset="0"/>
            <a:cs typeface="Arial" charset="0"/>
          </a:defRPr>
        </a:defPPr>
      </a:lstStyle>
    </a:lnDef>
  </a:objectDefaults>
  <a:extraClrSchemeLst>
    <a:extraClrScheme>
      <a:clrScheme name="Standarddesign 1">
        <a:dk1>
          <a:srgbClr val="000000"/>
        </a:dk1>
        <a:lt1>
          <a:srgbClr val="FFFFFF"/>
        </a:lt1>
        <a:dk2>
          <a:srgbClr val="E1000F"/>
        </a:dk2>
        <a:lt2>
          <a:srgbClr val="CDD2D2"/>
        </a:lt2>
        <a:accent1>
          <a:srgbClr val="AFB4B9"/>
        </a:accent1>
        <a:accent2>
          <a:srgbClr val="828C96"/>
        </a:accent2>
        <a:accent3>
          <a:srgbClr val="FFFFFF"/>
        </a:accent3>
        <a:accent4>
          <a:srgbClr val="000000"/>
        </a:accent4>
        <a:accent5>
          <a:srgbClr val="D4D6D9"/>
        </a:accent5>
        <a:accent6>
          <a:srgbClr val="757E87"/>
        </a:accent6>
        <a:hlink>
          <a:srgbClr val="5F6973"/>
        </a:hlink>
        <a:folHlink>
          <a:srgbClr val="0078C8"/>
        </a:folHlink>
      </a:clrScheme>
      <a:clrMap bg1="lt1" tx1="dk1" bg2="lt2" tx2="dk2" accent1="accent1" accent2="accent2" accent3="accent3" accent4="accent4" accent5="accent5" accent6="accent6" hlink="hlink" folHlink="folHlink"/>
    </a:extraClrScheme>
  </a:extraClrSchemeLst>
  <a:custClrLst>
    <a:custClr name="Henkel Red">
      <a:srgbClr val="E1000F"/>
    </a:custClr>
    <a:custClr name="White">
      <a:srgbClr val="FFFFFF"/>
    </a:custClr>
    <a:custClr name="Black">
      <a:srgbClr val="000000"/>
    </a:custClr>
    <a:custClr name="Grey 1">
      <a:srgbClr val="5F6973"/>
    </a:custClr>
    <a:custClr name="Grey 2">
      <a:srgbClr val="AFB4B9"/>
    </a:custClr>
    <a:custClr name="Grey 3">
      <a:srgbClr val="E6E7E7"/>
    </a:custClr>
    <a:custClr name="Green">
      <a:srgbClr val="00AA75"/>
    </a:custClr>
    <a:custClr name="Blue">
      <a:srgbClr val="004C79"/>
    </a:custClr>
    <a:custClr name="Accent Dark Red">
      <a:srgbClr val="9A141B"/>
    </a:custClr>
    <a:custClr name="Accent Yellow 1">
      <a:srgbClr val="FFDB23"/>
    </a:custClr>
    <a:custClr name="Accent Yellow 2">
      <a:srgbClr val="FCF092"/>
    </a:custClr>
    <a:custClr name="Accent Green">
      <a:srgbClr val="A7DC92"/>
    </a:custClr>
    <a:custClr name="Accent Blue 1">
      <a:srgbClr val="55CAD3"/>
    </a:custClr>
    <a:custClr name="Accent Blue 2">
      <a:srgbClr val="0078C8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8A283F239FC9A47B3A603CC7E078231" ma:contentTypeVersion="11" ma:contentTypeDescription="Umožňuje vytvoriť nový dokument." ma:contentTypeScope="" ma:versionID="343b42e527276877a482bad7fb484bcb">
  <xsd:schema xmlns:xsd="http://www.w3.org/2001/XMLSchema" xmlns:xs="http://www.w3.org/2001/XMLSchema" xmlns:p="http://schemas.microsoft.com/office/2006/metadata/properties" xmlns:ns2="abed4518-919d-4839-afd6-808ec5b6ae4e" targetNamespace="http://schemas.microsoft.com/office/2006/metadata/properties" ma:root="true" ma:fieldsID="b0c58dd3ac85c33a83131722e7e693b3" ns2:_="">
    <xsd:import namespace="abed4518-919d-4839-afd6-808ec5b6ae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d4518-919d-4839-afd6-808ec5b6ae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C2649-8932-47DD-A3EF-DC0594D263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d4518-919d-4839-afd6-808ec5b6ae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9FB6B83-8754-41CA-BFAB-08310E61C387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226D13-73FC-4A7A-93C2-AC11939BB4A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CF0D88D-AA15-4A65-A3C3-EB157D39B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segoe-Henkel-press-release-template-2020-english</Template>
  <TotalTime>73</TotalTime>
  <Pages>10</Pages>
  <Words>3478</Words>
  <Characters>20270</Characters>
  <Application>Microsoft Office Word</Application>
  <DocSecurity>0</DocSecurity>
  <Lines>168</Lines>
  <Paragraphs>47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Driving Food Safety and Efficiency in Packaging with Henkel’s Technomelt Supra Pro</vt:lpstr>
    </vt:vector>
  </TitlesOfParts>
  <Company>Henkel AG &amp; Co. KGaA</Company>
  <LinksUpToDate>false</LinksUpToDate>
  <CharactersWithSpaces>23701</CharactersWithSpaces>
  <SharedDoc>false</SharedDoc>
  <HLinks>
    <vt:vector size="18" baseType="variant">
      <vt:variant>
        <vt:i4>262261</vt:i4>
      </vt:variant>
      <vt:variant>
        <vt:i4>6</vt:i4>
      </vt:variant>
      <vt:variant>
        <vt:i4>0</vt:i4>
      </vt:variant>
      <vt:variant>
        <vt:i4>5</vt:i4>
      </vt:variant>
      <vt:variant>
        <vt:lpwstr>mailto:zuzana.kanuchova@henkel.com</vt:lpwstr>
      </vt:variant>
      <vt:variant>
        <vt:lpwstr/>
      </vt:variant>
      <vt:variant>
        <vt:i4>2490428</vt:i4>
      </vt:variant>
      <vt:variant>
        <vt:i4>3</vt:i4>
      </vt:variant>
      <vt:variant>
        <vt:i4>0</vt:i4>
      </vt:variant>
      <vt:variant>
        <vt:i4>5</vt:i4>
      </vt:variant>
      <vt:variant>
        <vt:lpwstr>http://www.henkel.com/</vt:lpwstr>
      </vt:variant>
      <vt:variant>
        <vt:lpwstr/>
      </vt:variant>
      <vt:variant>
        <vt:i4>1114199</vt:i4>
      </vt:variant>
      <vt:variant>
        <vt:i4>0</vt:i4>
      </vt:variant>
      <vt:variant>
        <vt:i4>0</vt:i4>
      </vt:variant>
      <vt:variant>
        <vt:i4>5</vt:i4>
      </vt:variant>
      <vt:variant>
        <vt:lpwstr>http://www.seniorfriendly.sk/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Henkel Adhesive Technologies as a Food Safety Pioneer</dc:subject>
  <dc:creator>Henkel AG &amp; Co. KGaA</dc:creator>
  <cp:keywords/>
  <dc:description/>
  <cp:lastModifiedBy>Martina Poliačková (seesame.com)</cp:lastModifiedBy>
  <cp:revision>40</cp:revision>
  <cp:lastPrinted>2021-11-09T19:20:00Z</cp:lastPrinted>
  <dcterms:created xsi:type="dcterms:W3CDTF">2022-02-01T14:08:00Z</dcterms:created>
  <dcterms:modified xsi:type="dcterms:W3CDTF">2022-02-25T17:55:00Z</dcterms:modified>
  <cp:category>press-release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0x01010068A283F239FC9A47B3A603CC7E078231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</Properties>
</file>