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77777777" w:rsidR="00393BFE" w:rsidRPr="00383DE5" w:rsidRDefault="00393BFE" w:rsidP="00393BFE">
      <w:pPr>
        <w:pStyle w:val="MonthDayYear"/>
        <w:rPr>
          <w:lang w:val="sk-SK"/>
        </w:rPr>
      </w:pPr>
      <w:r w:rsidRPr="00383DE5">
        <w:rPr>
          <w:lang w:val="sk-SK"/>
        </w:rPr>
        <w:t>23. februára 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4EC096F0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Spoločnosť Henkel zverejnila správu o trvalej udržateľnosti za rok 2021 a novú stratégiu 2030+ </w:t>
      </w:r>
      <w:proofErr w:type="spellStart"/>
      <w:r w:rsidRPr="00383DE5">
        <w:rPr>
          <w:lang w:val="sk-SK" w:bidi="bo-CN"/>
        </w:rPr>
        <w:t>Sustainability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Ambition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Framework</w:t>
      </w:r>
      <w:proofErr w:type="spellEnd"/>
      <w:r w:rsidRPr="00383DE5">
        <w:rPr>
          <w:lang w:val="sk-SK"/>
        </w:rPr>
        <w:t xml:space="preserve"> </w:t>
      </w:r>
    </w:p>
    <w:p w14:paraId="4D6B50E6" w14:textId="77777777" w:rsidR="00393BFE" w:rsidRPr="00383DE5" w:rsidRDefault="00393BFE" w:rsidP="00393BFE">
      <w:pPr>
        <w:rPr>
          <w:rStyle w:val="Headline"/>
          <w:b w:val="0"/>
          <w:bCs w:val="0"/>
          <w:sz w:val="22"/>
          <w:lang w:val="sk-SK"/>
        </w:rPr>
      </w:pPr>
    </w:p>
    <w:p w14:paraId="290B6DFC" w14:textId="77777777" w:rsidR="00393BFE" w:rsidRPr="00383DE5" w:rsidRDefault="00393BFE" w:rsidP="00393BFE">
      <w:pPr>
        <w:rPr>
          <w:rStyle w:val="Headline"/>
          <w:lang w:val="sk-SK"/>
        </w:rPr>
      </w:pPr>
      <w:r w:rsidRPr="00383DE5">
        <w:rPr>
          <w:rStyle w:val="Headline"/>
          <w:lang w:val="sk-SK" w:bidi="bo-CN"/>
        </w:rPr>
        <w:t>Dobré výsledky v oblasti udržateľnosti za rok 2021 a nové ciele do roku 2030 a ďalej</w:t>
      </w:r>
    </w:p>
    <w:p w14:paraId="36871BA3" w14:textId="77777777" w:rsidR="00393BFE" w:rsidRPr="00383DE5" w:rsidRDefault="00393BFE" w:rsidP="00393BFE">
      <w:pPr>
        <w:rPr>
          <w:lang w:val="sk-SK"/>
        </w:rPr>
      </w:pPr>
    </w:p>
    <w:p w14:paraId="783C13CE" w14:textId="77777777" w:rsidR="00393BFE" w:rsidRPr="00383DE5" w:rsidRDefault="00393BFE" w:rsidP="00393BFE">
      <w:pPr>
        <w:pStyle w:val="Odsekzoznamu"/>
        <w:numPr>
          <w:ilvl w:val="0"/>
          <w:numId w:val="11"/>
        </w:numPr>
        <w:spacing w:after="160" w:line="259" w:lineRule="auto"/>
        <w:ind w:left="284" w:hanging="284"/>
        <w:jc w:val="left"/>
        <w:rPr>
          <w:rFonts w:asciiTheme="majorHAnsi" w:hAnsiTheme="majorHAnsi" w:cs="Calibri Light"/>
          <w:b/>
          <w:bCs/>
          <w:lang w:val="sk-SK"/>
        </w:rPr>
      </w:pPr>
      <w:r w:rsidRPr="00383DE5">
        <w:rPr>
          <w:rFonts w:asciiTheme="majorHAnsi" w:hAnsiTheme="majorHAnsi" w:cs="Calibri Light"/>
          <w:b/>
          <w:bCs/>
          <w:lang w:val="sk-SK" w:bidi="bo-CN"/>
        </w:rPr>
        <w:t>Dobré výsledky a zlepšenie vo všetkých kľúčových oblastiach v roku 2021</w:t>
      </w:r>
    </w:p>
    <w:p w14:paraId="33D0ACA3" w14:textId="77777777" w:rsidR="00393BFE" w:rsidRPr="00383DE5" w:rsidRDefault="00393BFE" w:rsidP="00393BFE">
      <w:pPr>
        <w:pStyle w:val="Odsekzoznamu"/>
        <w:numPr>
          <w:ilvl w:val="0"/>
          <w:numId w:val="11"/>
        </w:numPr>
        <w:spacing w:after="160" w:line="259" w:lineRule="auto"/>
        <w:ind w:left="284" w:hanging="284"/>
        <w:jc w:val="left"/>
        <w:rPr>
          <w:rFonts w:asciiTheme="majorHAnsi" w:hAnsiTheme="majorHAnsi" w:cs="Calibri Light"/>
          <w:b/>
          <w:bCs/>
          <w:lang w:val="sk-SK"/>
        </w:rPr>
      </w:pPr>
      <w:r w:rsidRPr="00383DE5">
        <w:rPr>
          <w:rFonts w:asciiTheme="majorHAnsi" w:hAnsiTheme="majorHAnsi" w:cs="Calibri Light"/>
          <w:b/>
          <w:bCs/>
          <w:lang w:val="sk-SK" w:bidi="bo-CN"/>
        </w:rPr>
        <w:t>Posilnená stratégia trvalej udržateľnosti:</w:t>
      </w:r>
      <w:r w:rsidRPr="00383DE5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383DE5">
        <w:rPr>
          <w:rFonts w:asciiTheme="majorHAnsi" w:hAnsiTheme="majorHAnsi" w:cs="Calibri Light"/>
          <w:b/>
          <w:bCs/>
          <w:lang w:val="sk-SK" w:bidi="bo-CN"/>
        </w:rPr>
        <w:t xml:space="preserve">2030+ </w:t>
      </w:r>
      <w:proofErr w:type="spellStart"/>
      <w:r w:rsidRPr="00383DE5">
        <w:rPr>
          <w:rFonts w:asciiTheme="majorHAnsi" w:hAnsiTheme="majorHAnsi" w:cs="Calibri Light"/>
          <w:b/>
          <w:bCs/>
          <w:lang w:val="sk-SK" w:bidi="bo-CN"/>
        </w:rPr>
        <w:t>Sustainability</w:t>
      </w:r>
      <w:proofErr w:type="spellEnd"/>
      <w:r w:rsidRPr="00383DE5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383DE5">
        <w:rPr>
          <w:rFonts w:asciiTheme="majorHAnsi" w:hAnsiTheme="majorHAnsi" w:cs="Calibri Light"/>
          <w:b/>
          <w:bCs/>
          <w:lang w:val="sk-SK" w:bidi="bo-CN"/>
        </w:rPr>
        <w:t>Ambition</w:t>
      </w:r>
      <w:proofErr w:type="spellEnd"/>
      <w:r w:rsidRPr="00383DE5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383DE5">
        <w:rPr>
          <w:rFonts w:asciiTheme="majorHAnsi" w:hAnsiTheme="majorHAnsi" w:cs="Calibri Light"/>
          <w:b/>
          <w:bCs/>
          <w:lang w:val="sk-SK" w:bidi="bo-CN"/>
        </w:rPr>
        <w:t>Framework</w:t>
      </w:r>
      <w:proofErr w:type="spellEnd"/>
    </w:p>
    <w:p w14:paraId="677BCB25" w14:textId="77777777" w:rsidR="00393BFE" w:rsidRPr="00383DE5" w:rsidRDefault="00393BFE" w:rsidP="00393BFE">
      <w:pPr>
        <w:pStyle w:val="Odsekzoznamu"/>
        <w:numPr>
          <w:ilvl w:val="0"/>
          <w:numId w:val="11"/>
        </w:numPr>
        <w:spacing w:after="160" w:line="259" w:lineRule="auto"/>
        <w:ind w:left="284" w:hanging="284"/>
        <w:jc w:val="left"/>
        <w:rPr>
          <w:rFonts w:asciiTheme="majorHAnsi" w:hAnsiTheme="majorHAnsi" w:cs="Calibri Light"/>
          <w:b/>
          <w:bCs/>
          <w:lang w:val="sk-SK"/>
        </w:rPr>
      </w:pPr>
      <w:r w:rsidRPr="00383DE5">
        <w:rPr>
          <w:rFonts w:asciiTheme="majorHAnsi" w:hAnsiTheme="majorHAnsi" w:cs="Calibri Light"/>
          <w:b/>
          <w:bCs/>
          <w:lang w:val="sk-SK" w:bidi="bo-CN"/>
        </w:rPr>
        <w:t>Nové ambiciózne ciele stanovené: cieľ dosiahnuť klimaticky pozitívnu výrobu presunutý z roku 2040 na rok 2030</w:t>
      </w:r>
    </w:p>
    <w:p w14:paraId="132D33CB" w14:textId="77777777" w:rsidR="00393BFE" w:rsidRPr="00383DE5" w:rsidRDefault="00393BFE" w:rsidP="00393BFE">
      <w:pPr>
        <w:rPr>
          <w:rFonts w:cs="Segoe UI"/>
          <w:szCs w:val="22"/>
          <w:lang w:val="sk-SK"/>
        </w:rPr>
      </w:pPr>
    </w:p>
    <w:p w14:paraId="4828B50F" w14:textId="77777777" w:rsidR="00393BFE" w:rsidRPr="00383DE5" w:rsidRDefault="00393BFE" w:rsidP="00393BFE">
      <w:pPr>
        <w:rPr>
          <w:b/>
          <w:bCs/>
          <w:lang w:val="sk-SK"/>
        </w:rPr>
      </w:pPr>
      <w:proofErr w:type="spellStart"/>
      <w:r w:rsidRPr="00383DE5">
        <w:rPr>
          <w:rFonts w:cs="Segoe UI"/>
          <w:b/>
          <w:bCs/>
          <w:szCs w:val="22"/>
          <w:lang w:val="sk-SK" w:bidi="bo-CN"/>
        </w:rPr>
        <w:t>Düsseldorf</w:t>
      </w:r>
      <w:proofErr w:type="spellEnd"/>
      <w:r w:rsidRPr="00383DE5">
        <w:rPr>
          <w:rFonts w:cs="Segoe UI"/>
          <w:b/>
          <w:bCs/>
          <w:szCs w:val="22"/>
          <w:lang w:val="sk-SK" w:bidi="bo-CN"/>
        </w:rPr>
        <w:t xml:space="preserve"> – </w:t>
      </w:r>
      <w:r w:rsidRPr="00383DE5">
        <w:rPr>
          <w:b/>
          <w:bCs/>
          <w:lang w:val="sk-SK" w:bidi="bo-CN"/>
        </w:rPr>
        <w:t xml:space="preserve">Spoločnosť Henkel zverejnila svoju 31. správu o trvalej udržateľnosti, v ktorej hodnotí výsledky a pokrok dosiahnutý v roku 2021 a predstavuje novú stratégiu pod názvom 2030+ </w:t>
      </w:r>
      <w:proofErr w:type="spellStart"/>
      <w:r w:rsidRPr="00383DE5">
        <w:rPr>
          <w:b/>
          <w:bCs/>
          <w:lang w:val="sk-SK" w:bidi="bo-CN"/>
        </w:rPr>
        <w:t>Sustainability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Ambition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Framework</w:t>
      </w:r>
      <w:proofErr w:type="spellEnd"/>
      <w:r w:rsidRPr="00383DE5">
        <w:rPr>
          <w:rFonts w:cs="Segoe UI"/>
          <w:b/>
          <w:bCs/>
          <w:szCs w:val="22"/>
          <w:lang w:val="sk-SK" w:bidi="bo-CN"/>
        </w:rPr>
        <w:t>.</w:t>
      </w:r>
    </w:p>
    <w:p w14:paraId="5CB6D0C5" w14:textId="77777777" w:rsidR="00393BFE" w:rsidRPr="00383DE5" w:rsidRDefault="00393BFE" w:rsidP="00393BFE">
      <w:pPr>
        <w:rPr>
          <w:b/>
          <w:bCs/>
          <w:lang w:val="sk-SK"/>
        </w:rPr>
      </w:pPr>
    </w:p>
    <w:p w14:paraId="6C740AFA" w14:textId="77777777" w:rsidR="00393BFE" w:rsidRPr="00876F30" w:rsidRDefault="00393BFE" w:rsidP="00393BFE">
      <w:pPr>
        <w:rPr>
          <w:b/>
          <w:bCs/>
          <w:lang w:val="sk-SK"/>
        </w:rPr>
      </w:pPr>
      <w:r w:rsidRPr="00876F30">
        <w:rPr>
          <w:b/>
          <w:bCs/>
          <w:i/>
          <w:iCs/>
          <w:lang w:val="sk-SK" w:bidi="bo-CN"/>
        </w:rPr>
        <w:t xml:space="preserve"> „Trvalá udržateľnosť má hlboké korene v DNA našej spoločnosti a je neoddeliteľnou súčasťou nášho podnikania.</w:t>
      </w:r>
      <w:r w:rsidRPr="00876F30">
        <w:rPr>
          <w:b/>
          <w:bCs/>
          <w:i/>
          <w:iCs/>
          <w:lang w:val="sk-SK"/>
        </w:rPr>
        <w:t xml:space="preserve"> </w:t>
      </w:r>
      <w:r w:rsidRPr="00876F30">
        <w:rPr>
          <w:b/>
          <w:bCs/>
          <w:i/>
          <w:iCs/>
          <w:lang w:val="sk-SK" w:bidi="bo-CN"/>
        </w:rPr>
        <w:t>Spoločne so strategickými prioritami ako inovácie a digitalizácia, je trvalá udržateľnosť ústredným prvkom našej agendy zmysluplného rastu,“</w:t>
      </w:r>
      <w:r w:rsidRPr="00876F30">
        <w:rPr>
          <w:b/>
          <w:bCs/>
          <w:lang w:val="sk-SK" w:bidi="bo-CN"/>
        </w:rPr>
        <w:t xml:space="preserve"> hovorí </w:t>
      </w:r>
      <w:proofErr w:type="spellStart"/>
      <w:r w:rsidRPr="00876F30">
        <w:rPr>
          <w:b/>
          <w:bCs/>
          <w:lang w:val="sk-SK" w:bidi="bo-CN"/>
        </w:rPr>
        <w:t>Carsten</w:t>
      </w:r>
      <w:proofErr w:type="spellEnd"/>
      <w:r w:rsidRPr="00876F30">
        <w:rPr>
          <w:b/>
          <w:bCs/>
          <w:lang w:val="sk-SK" w:bidi="bo-CN"/>
        </w:rPr>
        <w:t xml:space="preserve"> </w:t>
      </w:r>
      <w:proofErr w:type="spellStart"/>
      <w:r w:rsidRPr="00876F30">
        <w:rPr>
          <w:b/>
          <w:bCs/>
          <w:lang w:val="sk-SK" w:bidi="bo-CN"/>
        </w:rPr>
        <w:t>Knobel</w:t>
      </w:r>
      <w:proofErr w:type="spellEnd"/>
      <w:r w:rsidRPr="00876F30">
        <w:rPr>
          <w:b/>
          <w:bCs/>
          <w:lang w:val="sk-SK" w:bidi="bo-CN"/>
        </w:rPr>
        <w:t>, predseda predstavenstva spoločnosti Henkel.</w:t>
      </w:r>
      <w:r w:rsidRPr="00876F30">
        <w:rPr>
          <w:b/>
          <w:bCs/>
          <w:lang w:val="sk-SK"/>
        </w:rPr>
        <w:t xml:space="preserve"> </w:t>
      </w:r>
      <w:r w:rsidRPr="00876F30">
        <w:rPr>
          <w:b/>
          <w:bCs/>
          <w:i/>
          <w:iCs/>
          <w:lang w:val="sk-SK" w:bidi="bo-CN"/>
        </w:rPr>
        <w:t>„Udržateľnosť je jednou z našich základných hodnôt a zároveň cieľom spoločnosti v súlade s naším mottom:</w:t>
      </w:r>
      <w:r w:rsidRPr="00876F30">
        <w:rPr>
          <w:b/>
          <w:bCs/>
          <w:i/>
          <w:iCs/>
          <w:lang w:val="sk-SK"/>
        </w:rPr>
        <w:t xml:space="preserve"> </w:t>
      </w:r>
      <w:r w:rsidRPr="00876F30">
        <w:rPr>
          <w:b/>
          <w:bCs/>
          <w:i/>
          <w:iCs/>
          <w:lang w:val="sk-SK" w:bidi="bo-CN"/>
        </w:rPr>
        <w:t>Priekopníci v centre diania pre blaho generácií.</w:t>
      </w:r>
      <w:r w:rsidRPr="00876F30">
        <w:rPr>
          <w:b/>
          <w:bCs/>
          <w:i/>
          <w:iCs/>
          <w:lang w:val="sk-SK"/>
        </w:rPr>
        <w:t xml:space="preserve"> </w:t>
      </w:r>
      <w:r w:rsidRPr="00876F30">
        <w:rPr>
          <w:b/>
          <w:bCs/>
          <w:i/>
          <w:iCs/>
          <w:lang w:val="sk-SK" w:bidi="bo-CN"/>
        </w:rPr>
        <w:t>Vďaka tejto ambicióznejšej stratégii zrýchlime svoju transformáciu, aby naše portfólio a procesy ešte výraznejšie prispievali k plneniu cieľov v oblasti trvalej udržateľnosti.“</w:t>
      </w:r>
    </w:p>
    <w:p w14:paraId="3AD60ADD" w14:textId="77777777" w:rsidR="00393BFE" w:rsidRPr="00876F30" w:rsidRDefault="00393BFE" w:rsidP="00393BFE">
      <w:pPr>
        <w:rPr>
          <w:b/>
          <w:bCs/>
          <w:lang w:val="sk-SK"/>
        </w:rPr>
      </w:pPr>
    </w:p>
    <w:p w14:paraId="09689692" w14:textId="77777777" w:rsidR="00D8406F" w:rsidRPr="00876F30" w:rsidRDefault="00D8406F" w:rsidP="00393BFE">
      <w:pPr>
        <w:rPr>
          <w:b/>
          <w:bCs/>
          <w:lang w:val="sk-SK"/>
        </w:rPr>
      </w:pPr>
      <w:r w:rsidRPr="00876F30">
        <w:rPr>
          <w:b/>
          <w:bCs/>
          <w:lang w:val="sk-SK" w:bidi="bo-CN"/>
        </w:rPr>
        <w:t xml:space="preserve"> </w:t>
      </w:r>
      <w:r w:rsidR="00393BFE" w:rsidRPr="00876F30">
        <w:rPr>
          <w:b/>
          <w:bCs/>
          <w:i/>
          <w:iCs/>
          <w:lang w:val="sk-SK" w:bidi="bo-CN"/>
        </w:rPr>
        <w:t>„Pokračujúci boj proti pandémii ochorenia COVID-19 v minulom roku otestoval našu odolnosť ako spoločnosti, ako jednotlivcov aj ako komunity.</w:t>
      </w:r>
      <w:r w:rsidR="00393BFE" w:rsidRPr="00876F30">
        <w:rPr>
          <w:b/>
          <w:bCs/>
          <w:i/>
          <w:iCs/>
          <w:lang w:val="sk-SK"/>
        </w:rPr>
        <w:t xml:space="preserve"> </w:t>
      </w:r>
      <w:r w:rsidR="00393BFE" w:rsidRPr="00876F30">
        <w:rPr>
          <w:b/>
          <w:bCs/>
          <w:i/>
          <w:iCs/>
          <w:lang w:val="sk-SK" w:bidi="bo-CN"/>
        </w:rPr>
        <w:t>Naše odhodlanie riešiť environmentálne, spoločenské a politické výzvy nebolo ešte nikdy pevnejšie,“</w:t>
      </w:r>
      <w:r w:rsidR="00393BFE" w:rsidRPr="00876F30">
        <w:rPr>
          <w:b/>
          <w:bCs/>
          <w:lang w:val="sk-SK" w:bidi="bo-CN"/>
        </w:rPr>
        <w:t xml:space="preserve"> dopĺňa Sylvie </w:t>
      </w:r>
      <w:proofErr w:type="spellStart"/>
      <w:r w:rsidR="00393BFE" w:rsidRPr="00876F30">
        <w:rPr>
          <w:b/>
          <w:bCs/>
          <w:lang w:val="sk-SK" w:bidi="bo-CN"/>
        </w:rPr>
        <w:t>Nicol</w:t>
      </w:r>
      <w:proofErr w:type="spellEnd"/>
      <w:r w:rsidR="00393BFE" w:rsidRPr="00876F30">
        <w:rPr>
          <w:b/>
          <w:bCs/>
          <w:lang w:val="sk-SK" w:bidi="bo-CN"/>
        </w:rPr>
        <w:t>, členka predstavenstva spoločnosti Henkel zodpovedná za ľudské zdroje a udržateľnosť.</w:t>
      </w:r>
      <w:r w:rsidR="00393BFE" w:rsidRPr="00876F30">
        <w:rPr>
          <w:b/>
          <w:bCs/>
          <w:lang w:val="sk-SK"/>
        </w:rPr>
        <w:t xml:space="preserve"> </w:t>
      </w:r>
      <w:r w:rsidR="00393BFE" w:rsidRPr="00876F30">
        <w:rPr>
          <w:b/>
          <w:bCs/>
          <w:i/>
          <w:iCs/>
          <w:lang w:val="sk-SK" w:bidi="bo-CN"/>
        </w:rPr>
        <w:t>„Som hrdá, že napriek náročným podmienkam v roku 2021 spoločnosť Henkel pokračovala v napĺňaní cieľov trvalej udržateľnosti v kľúčových oblastiach, ako sú ochrana klímy a obehové hospodárstvo.“</w:t>
      </w:r>
    </w:p>
    <w:p w14:paraId="1F2D64FA" w14:textId="77777777" w:rsidR="00D8406F" w:rsidRDefault="00D8406F" w:rsidP="00393BFE">
      <w:pPr>
        <w:rPr>
          <w:lang w:val="sk-SK"/>
        </w:rPr>
      </w:pPr>
    </w:p>
    <w:p w14:paraId="406B8572" w14:textId="0C652447" w:rsidR="00393BFE" w:rsidRPr="00D8406F" w:rsidRDefault="00393BFE" w:rsidP="00393BFE">
      <w:pPr>
        <w:rPr>
          <w:lang w:val="sk-SK"/>
        </w:rPr>
      </w:pPr>
      <w:r w:rsidRPr="00D8406F">
        <w:rPr>
          <w:lang w:val="sk-SK"/>
        </w:rPr>
        <w:t xml:space="preserve"> </w:t>
      </w:r>
    </w:p>
    <w:p w14:paraId="77EB32FD" w14:textId="77777777" w:rsidR="00393BFE" w:rsidRPr="00383DE5" w:rsidRDefault="00393BFE" w:rsidP="00393BFE">
      <w:pPr>
        <w:rPr>
          <w:b/>
          <w:lang w:val="sk-SK"/>
        </w:rPr>
      </w:pPr>
      <w:r w:rsidRPr="00383DE5">
        <w:rPr>
          <w:b/>
          <w:bCs/>
          <w:lang w:val="sk-SK" w:bidi="bo-CN"/>
        </w:rPr>
        <w:t>Silné výsledky v náročnom roku</w:t>
      </w:r>
    </w:p>
    <w:p w14:paraId="1510062E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>V roku 2021 spoločnosť Henkel ďalej posilnila svoju stratégiu trvalej udržateľnosti v rámci svojich podnikateľských činností, znížila emisie CO</w:t>
      </w:r>
      <w:r w:rsidRPr="00383DE5">
        <w:rPr>
          <w:vertAlign w:val="subscript"/>
          <w:lang w:val="sk-SK" w:bidi="bo-CN"/>
        </w:rPr>
        <w:t xml:space="preserve">2 </w:t>
      </w:r>
      <w:r w:rsidRPr="00383DE5">
        <w:rPr>
          <w:lang w:val="sk-SK" w:bidi="bo-CN"/>
        </w:rPr>
        <w:t>vo výrobných prevádzkach (najmä prechodom na zelenú elektrinu) a pokračovala v získavaní surovín z udržateľných zdrojov či v udržateľnom financovaní.</w:t>
      </w:r>
      <w:r w:rsidRPr="00383DE5">
        <w:rPr>
          <w:lang w:val="sk-SK"/>
        </w:rPr>
        <w:t xml:space="preserve"> </w:t>
      </w:r>
    </w:p>
    <w:p w14:paraId="22C9C657" w14:textId="77777777" w:rsidR="00393BFE" w:rsidRPr="00383DE5" w:rsidRDefault="00393BFE" w:rsidP="00393BFE">
      <w:pPr>
        <w:rPr>
          <w:lang w:val="sk-SK"/>
        </w:rPr>
      </w:pPr>
    </w:p>
    <w:p w14:paraId="31CAB0DA" w14:textId="3987CFED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Cieľom spoločnosti Henkel je </w:t>
      </w:r>
      <w:r w:rsidRPr="00383DE5">
        <w:rPr>
          <w:b/>
          <w:bCs/>
          <w:lang w:val="sk-SK" w:bidi="bo-CN"/>
        </w:rPr>
        <w:t>do roku 2025</w:t>
      </w:r>
      <w:r w:rsidRPr="00383DE5">
        <w:rPr>
          <w:lang w:val="sk-SK" w:bidi="bo-CN"/>
        </w:rPr>
        <w:t xml:space="preserve"> </w:t>
      </w:r>
      <w:r w:rsidRPr="00383DE5">
        <w:rPr>
          <w:b/>
          <w:bCs/>
          <w:lang w:val="sk-SK" w:bidi="bo-CN"/>
        </w:rPr>
        <w:t xml:space="preserve">znížiť uhlíkovú stopu svojej výroby o 65 % </w:t>
      </w:r>
      <w:r w:rsidRPr="00383DE5">
        <w:rPr>
          <w:lang w:val="sk-SK" w:bidi="bo-CN"/>
        </w:rPr>
        <w:t>(v</w:t>
      </w:r>
      <w:r w:rsidR="00876F30">
        <w:rPr>
          <w:lang w:val="sk-SK" w:bidi="bo-CN"/>
        </w:rPr>
        <w:t> </w:t>
      </w:r>
      <w:r w:rsidRPr="00383DE5">
        <w:rPr>
          <w:lang w:val="sk-SK" w:bidi="bo-CN"/>
        </w:rPr>
        <w:t xml:space="preserve">porovnaní s východiskovým rokom). </w:t>
      </w:r>
      <w:r w:rsidRPr="00383DE5">
        <w:rPr>
          <w:b/>
          <w:bCs/>
          <w:lang w:val="sk-SK" w:bidi="bo-CN"/>
        </w:rPr>
        <w:t>Do konca roka 2021 sa jej už podarilo znížiť emisie CO</w:t>
      </w:r>
      <w:r w:rsidRPr="00383DE5">
        <w:rPr>
          <w:b/>
          <w:bCs/>
          <w:vertAlign w:val="subscript"/>
          <w:lang w:val="sk-SK" w:bidi="bo-CN"/>
        </w:rPr>
        <w:t>2</w:t>
      </w:r>
      <w:r w:rsidRPr="00383DE5">
        <w:rPr>
          <w:b/>
          <w:bCs/>
          <w:lang w:val="sk-SK" w:bidi="bo-CN"/>
        </w:rPr>
        <w:t xml:space="preserve"> o polovicu.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Pri plnení tohto cieľa sa spoločnosť zameriava aj na zlepšenie svojej energetickej efektívnosti, pričom do roku 2030 chce využívať 100 % elektrickej energie z obnoviteľných zdrojov.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Ku koncu roka 2021 spoločnosť Henkel </w:t>
      </w:r>
      <w:r w:rsidRPr="00383DE5">
        <w:rPr>
          <w:b/>
          <w:bCs/>
          <w:lang w:val="sk-SK" w:bidi="bo-CN"/>
        </w:rPr>
        <w:t>úplne previedla výrobu v 21 krajinách vrátane Kolumbie a Francúzska na elektrinu, ktorá je 100 percentne obnoviteľná</w:t>
      </w:r>
      <w:r w:rsidRPr="00383DE5">
        <w:rPr>
          <w:lang w:val="sk-SK" w:bidi="bo-CN"/>
        </w:rPr>
        <w:t>.</w:t>
      </w:r>
      <w:r w:rsidRPr="00383DE5" w:rsidDel="007F7808">
        <w:rPr>
          <w:lang w:val="sk-SK"/>
        </w:rPr>
        <w:t xml:space="preserve"> </w:t>
      </w:r>
      <w:r w:rsidRPr="00383DE5">
        <w:rPr>
          <w:lang w:val="sk-SK" w:bidi="bo-CN"/>
        </w:rPr>
        <w:t xml:space="preserve">V súčasnosti až </w:t>
      </w:r>
      <w:r w:rsidRPr="00383DE5">
        <w:rPr>
          <w:b/>
          <w:bCs/>
          <w:lang w:val="sk-SK" w:bidi="bo-CN"/>
        </w:rPr>
        <w:t>68 % elektrickej energie</w:t>
      </w:r>
      <w:r w:rsidRPr="00383DE5">
        <w:rPr>
          <w:lang w:val="sk-SK" w:bidi="bo-CN"/>
        </w:rPr>
        <w:t xml:space="preserve">, ktorú spoločnosť Henkel odoberá, </w:t>
      </w:r>
      <w:r w:rsidRPr="00383DE5">
        <w:rPr>
          <w:b/>
          <w:bCs/>
          <w:lang w:val="sk-SK" w:bidi="bo-CN"/>
        </w:rPr>
        <w:t>pochádza z obnoviteľných zdrojov.</w:t>
      </w:r>
      <w:r w:rsidRPr="00383DE5">
        <w:rPr>
          <w:lang w:val="sk-SK"/>
        </w:rPr>
        <w:t xml:space="preserve"> </w:t>
      </w:r>
    </w:p>
    <w:p w14:paraId="47EF6C58" w14:textId="77777777" w:rsidR="00393BFE" w:rsidRPr="00383DE5" w:rsidRDefault="00393BFE" w:rsidP="00393BFE">
      <w:pPr>
        <w:rPr>
          <w:lang w:val="sk-SK"/>
        </w:rPr>
      </w:pPr>
    </w:p>
    <w:p w14:paraId="471C3AF1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Okrem toho sa spoločnosť aktívne podieľa na budovaní skutočného </w:t>
      </w:r>
      <w:r w:rsidRPr="00383DE5">
        <w:rPr>
          <w:b/>
          <w:bCs/>
          <w:lang w:val="sk-SK" w:bidi="bo-CN"/>
        </w:rPr>
        <w:t xml:space="preserve">obehového hospodárstva </w:t>
      </w:r>
      <w:r w:rsidRPr="00383DE5">
        <w:rPr>
          <w:lang w:val="sk-SK" w:bidi="bo-CN"/>
        </w:rPr>
        <w:t xml:space="preserve">v spolupráci s partnermi v rámci celého odberateľsko-dodávateľského reťazca a medzinárodnými iniciatívami ako </w:t>
      </w:r>
      <w:proofErr w:type="spellStart"/>
      <w:r w:rsidRPr="00383DE5">
        <w:rPr>
          <w:lang w:val="sk-SK" w:bidi="bo-CN"/>
        </w:rPr>
        <w:t>Plastic</w:t>
      </w:r>
      <w:proofErr w:type="spellEnd"/>
      <w:r w:rsidRPr="00383DE5">
        <w:rPr>
          <w:lang w:val="sk-SK" w:bidi="bo-CN"/>
        </w:rPr>
        <w:t xml:space="preserve"> Bank a New </w:t>
      </w:r>
      <w:proofErr w:type="spellStart"/>
      <w:r w:rsidRPr="00383DE5">
        <w:rPr>
          <w:lang w:val="sk-SK" w:bidi="bo-CN"/>
        </w:rPr>
        <w:t>Plastics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Economy</w:t>
      </w:r>
      <w:proofErr w:type="spellEnd"/>
      <w:r w:rsidRPr="00383DE5">
        <w:rPr>
          <w:lang w:val="sk-SK" w:bidi="bo-CN"/>
        </w:rPr>
        <w:t xml:space="preserve"> nadácie </w:t>
      </w:r>
      <w:proofErr w:type="spellStart"/>
      <w:r w:rsidRPr="00383DE5">
        <w:rPr>
          <w:lang w:val="sk-SK" w:bidi="bo-CN"/>
        </w:rPr>
        <w:t>Ellen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MacArthur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Foundation</w:t>
      </w:r>
      <w:proofErr w:type="spellEnd"/>
      <w:r w:rsidRPr="00383DE5">
        <w:rPr>
          <w:lang w:val="sk-SK" w:bidi="bo-CN"/>
        </w:rPr>
        <w:t>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Cieľom ambicióznej obalovej stratégie spoločnosti je znížiť produkciu obalových materiálov, recyklovať ich a zabrániť ich hromadeniu v životnom prostredí.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Jedným z kľúčových cieľov </w:t>
      </w:r>
      <w:r w:rsidRPr="00383DE5">
        <w:rPr>
          <w:b/>
          <w:bCs/>
          <w:lang w:val="sk-SK" w:bidi="bo-CN"/>
        </w:rPr>
        <w:t>do roku 2025 je dosiahnuť, aby 100 % obalov, ktoré spoločnosť Henkel používa, bolo recyklovateľných alebo opätovne použiteľných</w:t>
      </w:r>
      <w:r w:rsidRPr="00383DE5">
        <w:rPr>
          <w:lang w:val="sk-SK" w:bidi="bo-CN"/>
        </w:rPr>
        <w:t>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Koncom roka 2021 predstavoval ich podiel už približne 68 %.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Spoločnosť tiež vytrvalo pracuje na </w:t>
      </w:r>
      <w:r w:rsidRPr="00383DE5">
        <w:rPr>
          <w:b/>
          <w:bCs/>
          <w:lang w:val="sk-SK" w:bidi="bo-CN"/>
        </w:rPr>
        <w:t>zvýšení podielu recyklovaných materiálov vo všetkých svojich plastových obaloch spotrebného tovaru na viac než 30 %</w:t>
      </w:r>
      <w:r w:rsidRPr="00383DE5">
        <w:rPr>
          <w:lang w:val="sk-SK" w:bidi="bo-CN"/>
        </w:rPr>
        <w:t xml:space="preserve"> do roku 2025.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Koncom roka 2021 predstavoval ich podiel približne 18 %.</w:t>
      </w:r>
    </w:p>
    <w:p w14:paraId="210E1AA0" w14:textId="77777777" w:rsidR="00393BFE" w:rsidRPr="00383DE5" w:rsidRDefault="00393BFE" w:rsidP="00393BFE">
      <w:pPr>
        <w:rPr>
          <w:lang w:val="sk-SK"/>
        </w:rPr>
      </w:pPr>
    </w:p>
    <w:p w14:paraId="35203542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Spoločnosť Henkel úspešne pokračovala aj v napĺňaní cieľa, ktorým je </w:t>
      </w:r>
      <w:r w:rsidRPr="00383DE5">
        <w:rPr>
          <w:b/>
          <w:bCs/>
          <w:lang w:val="sk-SK" w:bidi="bo-CN"/>
        </w:rPr>
        <w:t>získavať 100 % palmového oleja a oleja z palmových jadier zodpovedným spôsobnom.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V roku 2021 spoločnosť pokrývala 93 % svojej celkovej spotreby palmového oleja, oleja z palmových jadier a jeho derivátov zo zdrojov s certifikátom RSPO (</w:t>
      </w:r>
      <w:proofErr w:type="spellStart"/>
      <w:r w:rsidRPr="00383DE5">
        <w:rPr>
          <w:lang w:val="sk-SK" w:bidi="bo-CN"/>
        </w:rPr>
        <w:t>Roundtable</w:t>
      </w:r>
      <w:proofErr w:type="spellEnd"/>
      <w:r w:rsidRPr="00383DE5">
        <w:rPr>
          <w:lang w:val="sk-SK" w:bidi="bo-CN"/>
        </w:rPr>
        <w:t xml:space="preserve"> on </w:t>
      </w:r>
      <w:proofErr w:type="spellStart"/>
      <w:r w:rsidRPr="00383DE5">
        <w:rPr>
          <w:lang w:val="sk-SK" w:bidi="bo-CN"/>
        </w:rPr>
        <w:t>Sustainable</w:t>
      </w:r>
      <w:proofErr w:type="spellEnd"/>
      <w:r w:rsidRPr="00383DE5">
        <w:rPr>
          <w:lang w:val="sk-SK" w:bidi="bo-CN"/>
        </w:rPr>
        <w:t xml:space="preserve"> Palm Oil).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Za tento úspech spoločnosť vďačí svojej dlhodobej spolupráci s rozvojovou organizáciou </w:t>
      </w:r>
      <w:proofErr w:type="spellStart"/>
      <w:r w:rsidRPr="00383DE5">
        <w:rPr>
          <w:lang w:val="sk-SK" w:bidi="bo-CN"/>
        </w:rPr>
        <w:t>Solidaridad</w:t>
      </w:r>
      <w:proofErr w:type="spellEnd"/>
      <w:r w:rsidRPr="00383DE5">
        <w:rPr>
          <w:lang w:val="sk-SK" w:bidi="bo-CN"/>
        </w:rPr>
        <w:t>, ktorá podporuje drobných producentov palmového oleja v Južnej Amerike, Afrike a Ázii, ktorá doposiaľ podporila viac než 36 000 malých pestovateľov na celom svete.</w:t>
      </w:r>
    </w:p>
    <w:p w14:paraId="2FA7E33E" w14:textId="77777777" w:rsidR="00393BFE" w:rsidRPr="00383DE5" w:rsidRDefault="00393BFE" w:rsidP="00393BFE">
      <w:pPr>
        <w:rPr>
          <w:lang w:val="sk-SK"/>
        </w:rPr>
      </w:pPr>
    </w:p>
    <w:p w14:paraId="56C59930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lastRenderedPageBreak/>
        <w:t xml:space="preserve">Ďalším dôležitým míľnikom bolo oznámenie nového </w:t>
      </w:r>
      <w:r w:rsidRPr="00383DE5">
        <w:rPr>
          <w:b/>
          <w:bCs/>
          <w:lang w:val="sk-SK" w:bidi="bo-CN"/>
        </w:rPr>
        <w:t>rámca udržateľného financovania</w:t>
      </w:r>
      <w:r w:rsidRPr="00383DE5">
        <w:rPr>
          <w:lang w:val="sk-SK" w:bidi="bo-CN"/>
        </w:rPr>
        <w:t>, ktorý priamo prepája stratégiu spoločnosti v oblasti trvalej udržateľnosti s jej stratégiou financovania.</w:t>
      </w:r>
    </w:p>
    <w:p w14:paraId="7592B434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>Uvedený rámec umožňuje dva spôsoby financovania: emisiou dlhopisov naviazaných na trvalú udržateľnosť a emisiou zelených dlhopisov.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V roku 2021 spoločnosť vydala v súlade s podmienkami tohto rámca dve emisie, čím sa stala prvou spoločnosťou v odvetví, ktorá vydala eurové dlhopisy s úrokom naviazaným na plnenie konkrétnych cieľov v oblasti trvalej udržateľnosti.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Celkovo</w:t>
      </w:r>
      <w:r w:rsidRPr="00383DE5">
        <w:rPr>
          <w:b/>
          <w:bCs/>
          <w:lang w:val="sk-SK" w:bidi="bo-CN"/>
        </w:rPr>
        <w:t xml:space="preserve"> vydala dlhopisy v objeme viac než 700 mil. eur.</w:t>
      </w:r>
      <w:r w:rsidRPr="00383DE5">
        <w:rPr>
          <w:lang w:val="sk-SK"/>
        </w:rPr>
        <w:t xml:space="preserve"> </w:t>
      </w:r>
    </w:p>
    <w:p w14:paraId="18183311" w14:textId="77777777" w:rsidR="00393BFE" w:rsidRPr="00383DE5" w:rsidRDefault="00393BFE" w:rsidP="00393BFE">
      <w:pPr>
        <w:rPr>
          <w:lang w:val="sk-SK"/>
        </w:rPr>
      </w:pPr>
    </w:p>
    <w:p w14:paraId="736BD689" w14:textId="77777777" w:rsidR="00393BFE" w:rsidRPr="00383DE5" w:rsidRDefault="00393BFE" w:rsidP="00393BFE">
      <w:pPr>
        <w:rPr>
          <w:lang w:val="sk-SK"/>
        </w:rPr>
      </w:pPr>
      <w:r w:rsidRPr="00383DE5">
        <w:rPr>
          <w:b/>
          <w:bCs/>
          <w:lang w:val="sk-SK" w:bidi="bo-CN"/>
        </w:rPr>
        <w:t xml:space="preserve">Ambicióznejšie ciele stratégie 2030+ </w:t>
      </w:r>
      <w:proofErr w:type="spellStart"/>
      <w:r w:rsidRPr="00383DE5">
        <w:rPr>
          <w:b/>
          <w:bCs/>
          <w:lang w:val="sk-SK" w:bidi="bo-CN"/>
        </w:rPr>
        <w:t>Sustainability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Ambition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Framework</w:t>
      </w:r>
      <w:proofErr w:type="spellEnd"/>
    </w:p>
    <w:p w14:paraId="0B122AED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>Vyššie uvedené výsledky sú v súlade s cieľmi, ktoré si spoločnosť Henkel stanovila vo svojej dlhodobej stratégii v roku 2010.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Po desiatich rokoch jej úspešného napĺňania sa spoločnosť Henkel v roku 2021 rozhodla prehodnotiť svoje výsledky z pohľadu aktuálneho externého vývoja a očakávaní a ambícií, ktoré by jej stratégia mala plniť v ďalších rokoch. </w:t>
      </w:r>
    </w:p>
    <w:p w14:paraId="530581F7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Výsledkom je </w:t>
      </w:r>
      <w:r w:rsidRPr="00383DE5">
        <w:rPr>
          <w:b/>
          <w:bCs/>
          <w:lang w:val="sk-SK" w:bidi="bo-CN"/>
        </w:rPr>
        <w:t>nová stratégia</w:t>
      </w:r>
      <w:r w:rsidRPr="00383DE5">
        <w:rPr>
          <w:lang w:val="sk-SK" w:bidi="bo-CN"/>
        </w:rPr>
        <w:t xml:space="preserve"> </w:t>
      </w:r>
      <w:r w:rsidRPr="00383DE5">
        <w:rPr>
          <w:b/>
          <w:bCs/>
          <w:lang w:val="sk-SK" w:bidi="bo-CN"/>
        </w:rPr>
        <w:t xml:space="preserve">2030+ </w:t>
      </w:r>
      <w:proofErr w:type="spellStart"/>
      <w:r w:rsidRPr="00383DE5">
        <w:rPr>
          <w:b/>
          <w:bCs/>
          <w:lang w:val="sk-SK" w:bidi="bo-CN"/>
        </w:rPr>
        <w:t>Sustainability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Ambition</w:t>
      </w:r>
      <w:proofErr w:type="spellEnd"/>
      <w:r w:rsidRPr="00383DE5">
        <w:rPr>
          <w:b/>
          <w:bCs/>
          <w:lang w:val="sk-SK" w:bidi="bo-CN"/>
        </w:rPr>
        <w:t xml:space="preserve"> </w:t>
      </w:r>
      <w:proofErr w:type="spellStart"/>
      <w:r w:rsidRPr="00383DE5">
        <w:rPr>
          <w:b/>
          <w:bCs/>
          <w:lang w:val="sk-SK" w:bidi="bo-CN"/>
        </w:rPr>
        <w:t>Framework</w:t>
      </w:r>
      <w:proofErr w:type="spellEnd"/>
      <w:r w:rsidRPr="00383DE5">
        <w:rPr>
          <w:b/>
          <w:bCs/>
          <w:lang w:val="sk-SK" w:bidi="bo-CN"/>
        </w:rPr>
        <w:t xml:space="preserve">, </w:t>
      </w:r>
      <w:r w:rsidRPr="00383DE5">
        <w:rPr>
          <w:lang w:val="sk-SK" w:bidi="bo-CN"/>
        </w:rPr>
        <w:t>ktorá obsahuje aj nové, dodatočné dlhodobé ciele, ktoré pomôžu transformovať hospodárstvo a spoločnosť smerom k trvalej udržateľnosti.</w:t>
      </w:r>
      <w:r w:rsidRPr="00383DE5">
        <w:rPr>
          <w:lang w:val="sk-SK"/>
        </w:rPr>
        <w:t xml:space="preserve"> </w:t>
      </w:r>
    </w:p>
    <w:p w14:paraId="1557BF98" w14:textId="77777777" w:rsidR="00393BFE" w:rsidRPr="00383DE5" w:rsidRDefault="00393BFE" w:rsidP="00393BFE">
      <w:pPr>
        <w:rPr>
          <w:lang w:val="sk-SK"/>
        </w:rPr>
      </w:pPr>
    </w:p>
    <w:p w14:paraId="625DDC0B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Stratégia 2030+ </w:t>
      </w:r>
      <w:proofErr w:type="spellStart"/>
      <w:r w:rsidRPr="00383DE5">
        <w:rPr>
          <w:lang w:val="sk-SK" w:bidi="bo-CN"/>
        </w:rPr>
        <w:t>Sustainability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Ambition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Framework</w:t>
      </w:r>
      <w:proofErr w:type="spellEnd"/>
      <w:r w:rsidRPr="00383DE5">
        <w:rPr>
          <w:lang w:val="sk-SK" w:bidi="bo-CN"/>
        </w:rPr>
        <w:t xml:space="preserve"> sa zameriava na tri tematické oblasti:</w:t>
      </w:r>
      <w:r w:rsidRPr="00383DE5">
        <w:rPr>
          <w:lang w:val="sk-SK"/>
        </w:rPr>
        <w:t xml:space="preserve"> </w:t>
      </w:r>
    </w:p>
    <w:p w14:paraId="45CF8A2E" w14:textId="77777777" w:rsidR="00393BFE" w:rsidRPr="00383DE5" w:rsidRDefault="00393BFE" w:rsidP="00393BFE">
      <w:pPr>
        <w:pStyle w:val="Odsekzoznamu"/>
        <w:numPr>
          <w:ilvl w:val="0"/>
          <w:numId w:val="12"/>
        </w:numPr>
        <w:spacing w:after="160" w:line="259" w:lineRule="auto"/>
        <w:rPr>
          <w:lang w:val="sk-SK"/>
        </w:rPr>
      </w:pPr>
      <w:r w:rsidRPr="00383DE5">
        <w:rPr>
          <w:b/>
          <w:bCs/>
          <w:lang w:val="sk-SK" w:bidi="bo-CN"/>
        </w:rPr>
        <w:t>Regenerujúca planéta: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podporiť budúcnosť obehového hospodárstva s nulovou bilanciou uhlíka </w:t>
      </w:r>
      <w:r>
        <w:rPr>
          <w:lang w:val="sk-SK" w:bidi="bo-CN"/>
        </w:rPr>
        <w:t xml:space="preserve">pomocou </w:t>
      </w:r>
      <w:r w:rsidRPr="00383DE5">
        <w:rPr>
          <w:lang w:val="sk-SK" w:bidi="bo-CN"/>
        </w:rPr>
        <w:t>transformáci</w:t>
      </w:r>
      <w:r>
        <w:rPr>
          <w:lang w:val="sk-SK" w:bidi="bo-CN"/>
        </w:rPr>
        <w:t>e</w:t>
      </w:r>
      <w:r w:rsidRPr="00383DE5">
        <w:rPr>
          <w:lang w:val="sk-SK" w:bidi="bo-CN"/>
        </w:rPr>
        <w:t xml:space="preserve"> podnikania, produktov a surovín na základe vedeckých poznatkov a inovácií. </w:t>
      </w:r>
    </w:p>
    <w:p w14:paraId="45F4EE09" w14:textId="77777777" w:rsidR="00393BFE" w:rsidRPr="00383DE5" w:rsidRDefault="00393BFE" w:rsidP="00393BFE">
      <w:pPr>
        <w:pStyle w:val="Odsekzoznamu"/>
        <w:numPr>
          <w:ilvl w:val="0"/>
          <w:numId w:val="12"/>
        </w:numPr>
        <w:spacing w:after="160" w:line="259" w:lineRule="auto"/>
        <w:rPr>
          <w:lang w:val="sk-SK"/>
        </w:rPr>
      </w:pPr>
      <w:r w:rsidRPr="00383DE5">
        <w:rPr>
          <w:b/>
          <w:bCs/>
          <w:lang w:val="sk-SK" w:bidi="bo-CN"/>
        </w:rPr>
        <w:t xml:space="preserve">Prosperujúce komunity: </w:t>
      </w:r>
      <w:r w:rsidRPr="00383DE5">
        <w:rPr>
          <w:lang w:val="sk-SK" w:bidi="bo-CN"/>
        </w:rPr>
        <w:t xml:space="preserve">spoločnými silami </w:t>
      </w:r>
      <w:r>
        <w:rPr>
          <w:lang w:val="sk-SK" w:bidi="bo-CN"/>
        </w:rPr>
        <w:t xml:space="preserve">nášho podnikania </w:t>
      </w:r>
      <w:r w:rsidRPr="00383DE5">
        <w:rPr>
          <w:lang w:val="sk-SK" w:bidi="bo-CN"/>
        </w:rPr>
        <w:t>a značiek</w:t>
      </w:r>
      <w:r w:rsidRPr="00383DE5">
        <w:rPr>
          <w:b/>
          <w:bCs/>
          <w:lang w:val="sk-SK" w:bidi="bo-CN"/>
        </w:rPr>
        <w:t xml:space="preserve"> </w:t>
      </w:r>
      <w:r w:rsidRPr="00383DE5">
        <w:rPr>
          <w:lang w:val="sk-SK" w:bidi="bo-CN"/>
        </w:rPr>
        <w:t>pomáhať ľuďom zlepšovať svoje životy</w:t>
      </w:r>
      <w:r>
        <w:rPr>
          <w:lang w:val="sk-SK" w:bidi="bo-CN"/>
        </w:rPr>
        <w:t xml:space="preserve"> tak, že budeme podporovať</w:t>
      </w:r>
      <w:r w:rsidRPr="00383DE5">
        <w:rPr>
          <w:lang w:val="sk-SK" w:bidi="bo-CN"/>
        </w:rPr>
        <w:t xml:space="preserve"> rovnos</w:t>
      </w:r>
      <w:r>
        <w:rPr>
          <w:lang w:val="sk-SK" w:bidi="bo-CN"/>
        </w:rPr>
        <w:t>ť</w:t>
      </w:r>
      <w:r w:rsidRPr="00383DE5">
        <w:rPr>
          <w:lang w:val="sk-SK" w:bidi="bo-CN"/>
        </w:rPr>
        <w:t>, vzdelávani</w:t>
      </w:r>
      <w:r>
        <w:rPr>
          <w:lang w:val="sk-SK" w:bidi="bo-CN"/>
        </w:rPr>
        <w:t>e</w:t>
      </w:r>
      <w:r w:rsidRPr="00383DE5">
        <w:rPr>
          <w:lang w:val="sk-SK" w:bidi="bo-CN"/>
        </w:rPr>
        <w:t xml:space="preserve"> a spoločensk</w:t>
      </w:r>
      <w:r>
        <w:rPr>
          <w:lang w:val="sk-SK" w:bidi="bo-CN"/>
        </w:rPr>
        <w:t>ý</w:t>
      </w:r>
      <w:r w:rsidRPr="00383DE5">
        <w:rPr>
          <w:lang w:val="sk-SK" w:bidi="bo-CN"/>
        </w:rPr>
        <w:t xml:space="preserve"> blahobyt.</w:t>
      </w:r>
    </w:p>
    <w:p w14:paraId="605CBB9D" w14:textId="77777777" w:rsidR="00393BFE" w:rsidRPr="00383DE5" w:rsidRDefault="00393BFE" w:rsidP="00393BFE">
      <w:pPr>
        <w:pStyle w:val="Odsekzoznamu"/>
        <w:numPr>
          <w:ilvl w:val="0"/>
          <w:numId w:val="12"/>
        </w:numPr>
        <w:spacing w:after="160" w:line="259" w:lineRule="auto"/>
        <w:rPr>
          <w:lang w:val="sk-SK"/>
        </w:rPr>
      </w:pPr>
      <w:r w:rsidRPr="00383DE5">
        <w:rPr>
          <w:b/>
          <w:bCs/>
          <w:lang w:val="sk-SK" w:bidi="bo-CN"/>
        </w:rPr>
        <w:t xml:space="preserve">Dôveryhodný partner: </w:t>
      </w:r>
      <w:r w:rsidRPr="00383DE5">
        <w:rPr>
          <w:lang w:val="sk-SK" w:bidi="bo-CN"/>
        </w:rPr>
        <w:t>presadzovať zodpovedné systémové zmeny v podnikaní na základe spoločných hodnôt, ktoré vychádzajú z vedeckých poznatkov a nadšenia pre technológie.</w:t>
      </w:r>
    </w:p>
    <w:p w14:paraId="609668E6" w14:textId="77777777" w:rsidR="00393BFE" w:rsidRPr="00383DE5" w:rsidRDefault="00393BFE" w:rsidP="00393BFE">
      <w:pPr>
        <w:rPr>
          <w:lang w:val="sk-SK"/>
        </w:rPr>
      </w:pPr>
      <w:r w:rsidRPr="00383DE5">
        <w:rPr>
          <w:lang w:val="sk-SK" w:bidi="bo-CN"/>
        </w:rPr>
        <w:t xml:space="preserve"> </w:t>
      </w:r>
      <w:r w:rsidRPr="00393BFE">
        <w:rPr>
          <w:i/>
          <w:iCs/>
          <w:lang w:val="sk-SK" w:bidi="bo-CN"/>
        </w:rPr>
        <w:t>„Chceme dosiahnuť, aby naše ambície zodpovedali očakávaniam našich akcionárov v oblasti životného prostredia, v sociálnej oblasti a v riadení a našej rastúcej angažovanosti v týchto oblastiach,“</w:t>
      </w:r>
      <w:r w:rsidRPr="00383DE5">
        <w:rPr>
          <w:lang w:val="sk-SK" w:bidi="bo-CN"/>
        </w:rPr>
        <w:t xml:space="preserve"> vysvetľuje </w:t>
      </w:r>
      <w:proofErr w:type="spellStart"/>
      <w:r w:rsidRPr="00383DE5">
        <w:rPr>
          <w:lang w:val="sk-SK" w:bidi="bo-CN"/>
        </w:rPr>
        <w:t>Ulrike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Sapiro</w:t>
      </w:r>
      <w:proofErr w:type="spellEnd"/>
      <w:r w:rsidRPr="00383DE5">
        <w:rPr>
          <w:lang w:val="sk-SK" w:bidi="bo-CN"/>
        </w:rPr>
        <w:t>, riaditeľka pre trvalú udržateľnosť v spoločnosti Henkel.</w:t>
      </w:r>
      <w:r w:rsidRPr="00383DE5">
        <w:rPr>
          <w:lang w:val="sk-SK"/>
        </w:rPr>
        <w:t xml:space="preserve">  </w:t>
      </w:r>
    </w:p>
    <w:p w14:paraId="05432ADB" w14:textId="77777777" w:rsidR="00393BFE" w:rsidRPr="00383DE5" w:rsidRDefault="00393BFE" w:rsidP="00393BFE">
      <w:pPr>
        <w:rPr>
          <w:lang w:val="sk-SK"/>
        </w:rPr>
      </w:pPr>
    </w:p>
    <w:p w14:paraId="7CCFCB3A" w14:textId="77777777" w:rsidR="00393BFE" w:rsidRPr="00383DE5" w:rsidRDefault="00393BFE" w:rsidP="00393BFE">
      <w:pPr>
        <w:rPr>
          <w:lang w:val="sk-SK"/>
        </w:rPr>
      </w:pPr>
      <w:r w:rsidRPr="00383DE5">
        <w:rPr>
          <w:b/>
          <w:bCs/>
          <w:lang w:val="sk-SK" w:bidi="bo-CN"/>
        </w:rPr>
        <w:t xml:space="preserve">Medzi nové kľúčové ciele </w:t>
      </w:r>
      <w:r w:rsidRPr="00383DE5">
        <w:rPr>
          <w:lang w:val="sk-SK" w:bidi="bo-CN"/>
        </w:rPr>
        <w:t>patrí:</w:t>
      </w:r>
    </w:p>
    <w:p w14:paraId="4AB46EB3" w14:textId="77777777" w:rsidR="00393BFE" w:rsidRPr="00383DE5" w:rsidRDefault="00393BFE" w:rsidP="00393BFE">
      <w:pPr>
        <w:pStyle w:val="Odsekzoznamu"/>
        <w:numPr>
          <w:ilvl w:val="0"/>
          <w:numId w:val="13"/>
        </w:numPr>
        <w:spacing w:after="160" w:line="259" w:lineRule="auto"/>
        <w:rPr>
          <w:lang w:val="sk-SK"/>
        </w:rPr>
      </w:pPr>
      <w:r w:rsidRPr="00383DE5">
        <w:rPr>
          <w:lang w:val="sk-SK" w:bidi="bo-CN"/>
        </w:rPr>
        <w:t xml:space="preserve">dosiahnuť </w:t>
      </w:r>
      <w:r w:rsidRPr="00383DE5">
        <w:rPr>
          <w:b/>
          <w:bCs/>
          <w:lang w:val="sk-SK" w:bidi="bo-CN"/>
        </w:rPr>
        <w:t>klimaticky pozitívnu prevádzku do roku 2030</w:t>
      </w:r>
      <w:r w:rsidRPr="00383DE5">
        <w:rPr>
          <w:lang w:val="sk-SK" w:bidi="bo-CN"/>
        </w:rPr>
        <w:t xml:space="preserve"> a v súlade s iniciatívou </w:t>
      </w:r>
      <w:proofErr w:type="spellStart"/>
      <w:r w:rsidRPr="00383DE5">
        <w:rPr>
          <w:lang w:val="sk-SK" w:bidi="bo-CN"/>
        </w:rPr>
        <w:t>Science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Based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Targets</w:t>
      </w:r>
      <w:proofErr w:type="spellEnd"/>
      <w:r w:rsidRPr="00383DE5">
        <w:rPr>
          <w:lang w:val="sk-SK" w:bidi="bo-CN"/>
        </w:rPr>
        <w:t xml:space="preserve"> dosiahnuť nulové čisté emisie v prípade emisií rozsahu 3 (od zdroja po predaj)</w:t>
      </w:r>
    </w:p>
    <w:p w14:paraId="0707A1F9" w14:textId="77777777" w:rsidR="00393BFE" w:rsidRPr="00383DE5" w:rsidRDefault="00393BFE" w:rsidP="00393BFE">
      <w:pPr>
        <w:pStyle w:val="Odsekzoznamu"/>
        <w:numPr>
          <w:ilvl w:val="0"/>
          <w:numId w:val="13"/>
        </w:numPr>
        <w:spacing w:after="160" w:line="259" w:lineRule="auto"/>
        <w:rPr>
          <w:lang w:val="sk-SK"/>
        </w:rPr>
      </w:pPr>
      <w:r w:rsidRPr="00383DE5">
        <w:rPr>
          <w:lang w:val="sk-SK" w:bidi="bo-CN"/>
        </w:rPr>
        <w:t xml:space="preserve">posilniť obehové hospodárstvo </w:t>
      </w:r>
      <w:r w:rsidRPr="00383DE5">
        <w:rPr>
          <w:b/>
          <w:bCs/>
          <w:lang w:val="sk-SK" w:bidi="bo-CN"/>
        </w:rPr>
        <w:t>zvýšením obehového využívania vody a vyprodukovaných odpadových materiálov do roku 2030</w:t>
      </w:r>
      <w:r w:rsidRPr="00383DE5">
        <w:rPr>
          <w:lang w:val="sk-SK"/>
        </w:rPr>
        <w:t xml:space="preserve">  </w:t>
      </w:r>
    </w:p>
    <w:p w14:paraId="4ADD71DF" w14:textId="77777777" w:rsidR="00393BFE" w:rsidRPr="00383DE5" w:rsidRDefault="00393BFE" w:rsidP="00393BFE">
      <w:pPr>
        <w:pStyle w:val="Odsekzoznamu"/>
        <w:numPr>
          <w:ilvl w:val="0"/>
          <w:numId w:val="13"/>
        </w:numPr>
        <w:spacing w:after="160" w:line="259" w:lineRule="auto"/>
        <w:rPr>
          <w:lang w:val="sk-SK"/>
        </w:rPr>
      </w:pPr>
      <w:r w:rsidRPr="00383DE5">
        <w:rPr>
          <w:lang w:val="sk-SK" w:bidi="bo-CN"/>
        </w:rPr>
        <w:lastRenderedPageBreak/>
        <w:t xml:space="preserve">dosiahnuť </w:t>
      </w:r>
      <w:r w:rsidRPr="00383DE5">
        <w:rPr>
          <w:b/>
          <w:bCs/>
          <w:lang w:val="sk-SK" w:bidi="bo-CN"/>
        </w:rPr>
        <w:t>rodovú rovnosť na všetkých úrovniach riadenia do roku 2025</w:t>
      </w:r>
      <w:r w:rsidRPr="00383DE5">
        <w:rPr>
          <w:lang w:val="sk-SK"/>
        </w:rPr>
        <w:t xml:space="preserve"> </w:t>
      </w:r>
    </w:p>
    <w:p w14:paraId="2C665C7E" w14:textId="77777777" w:rsidR="00393BFE" w:rsidRPr="00383DE5" w:rsidRDefault="00393BFE" w:rsidP="00393BFE">
      <w:pPr>
        <w:pStyle w:val="Odsekzoznamu"/>
        <w:numPr>
          <w:ilvl w:val="0"/>
          <w:numId w:val="13"/>
        </w:numPr>
        <w:spacing w:after="160" w:line="259" w:lineRule="auto"/>
        <w:rPr>
          <w:lang w:val="sk-SK"/>
        </w:rPr>
      </w:pPr>
      <w:r w:rsidRPr="00383DE5">
        <w:rPr>
          <w:lang w:val="sk-SK" w:bidi="bo-CN"/>
        </w:rPr>
        <w:t xml:space="preserve">rozšíriť </w:t>
      </w:r>
      <w:r w:rsidRPr="00383DE5">
        <w:rPr>
          <w:b/>
          <w:bCs/>
          <w:lang w:val="sk-SK" w:bidi="bo-CN"/>
        </w:rPr>
        <w:t>komunitné vzdelávacie programy a dobrovoľníctvo</w:t>
      </w:r>
      <w:r w:rsidRPr="00383DE5">
        <w:rPr>
          <w:lang w:val="sk-SK"/>
        </w:rPr>
        <w:t xml:space="preserve"> </w:t>
      </w:r>
    </w:p>
    <w:p w14:paraId="6DF71780" w14:textId="77777777" w:rsidR="00393BFE" w:rsidRPr="00383DE5" w:rsidRDefault="00393BFE" w:rsidP="00393BFE">
      <w:pPr>
        <w:pStyle w:val="Odsekzoznamu"/>
        <w:numPr>
          <w:ilvl w:val="0"/>
          <w:numId w:val="13"/>
        </w:numPr>
        <w:spacing w:after="160" w:line="259" w:lineRule="auto"/>
        <w:rPr>
          <w:lang w:val="sk-SK"/>
        </w:rPr>
      </w:pPr>
      <w:r w:rsidRPr="00383DE5">
        <w:rPr>
          <w:lang w:val="sk-SK" w:bidi="bo-CN"/>
        </w:rPr>
        <w:t xml:space="preserve">formovať </w:t>
      </w:r>
      <w:r w:rsidRPr="00383DE5">
        <w:rPr>
          <w:b/>
          <w:bCs/>
          <w:lang w:val="sk-SK" w:bidi="bo-CN"/>
        </w:rPr>
        <w:t>budúce fungovanie</w:t>
      </w:r>
      <w:r w:rsidRPr="00383DE5">
        <w:rPr>
          <w:lang w:val="sk-SK" w:bidi="bo-CN"/>
        </w:rPr>
        <w:t xml:space="preserve"> spoločnosti a jej zamestnancov ďalším rozvojom a rozšírením programu „</w:t>
      </w:r>
      <w:proofErr w:type="spellStart"/>
      <w:r w:rsidRPr="00383DE5">
        <w:rPr>
          <w:lang w:val="sk-SK" w:bidi="bo-CN"/>
        </w:rPr>
        <w:t>Small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Work</w:t>
      </w:r>
      <w:proofErr w:type="spellEnd"/>
      <w:r w:rsidRPr="00383DE5">
        <w:rPr>
          <w:lang w:val="sk-SK" w:bidi="bo-CN"/>
        </w:rPr>
        <w:t>“, ktorý bol spustený v roku 2021</w:t>
      </w:r>
    </w:p>
    <w:p w14:paraId="2D62B2F8" w14:textId="542F433F" w:rsidR="007F6C90" w:rsidRPr="00393BFE" w:rsidRDefault="00393BFE" w:rsidP="00393BFE">
      <w:pPr>
        <w:rPr>
          <w:rStyle w:val="AboutandContactHeadline"/>
          <w:b w:val="0"/>
          <w:bCs w:val="0"/>
          <w:sz w:val="22"/>
          <w:lang w:val="sk-SK"/>
        </w:rPr>
      </w:pPr>
      <w:r w:rsidRPr="00383DE5">
        <w:rPr>
          <w:lang w:val="sk-SK" w:bidi="bo-CN"/>
        </w:rPr>
        <w:t xml:space="preserve">Ako dodáva </w:t>
      </w:r>
      <w:proofErr w:type="spellStart"/>
      <w:r w:rsidRPr="00383DE5">
        <w:rPr>
          <w:lang w:val="sk-SK" w:bidi="bo-CN"/>
        </w:rPr>
        <w:t>Ulrike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Sapiro</w:t>
      </w:r>
      <w:proofErr w:type="spellEnd"/>
      <w:r w:rsidRPr="00383DE5">
        <w:rPr>
          <w:lang w:val="sk-SK" w:bidi="bo-CN"/>
        </w:rPr>
        <w:t>: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>„Vieme, že svet okolo nás, očakávania našich akcionárov a príležitosti v oblasti posilňovania trvalej udržateľnosti sa neustále menia.</w:t>
      </w:r>
      <w:r w:rsidRPr="00383DE5">
        <w:rPr>
          <w:lang w:val="sk-SK"/>
        </w:rPr>
        <w:t xml:space="preserve"> </w:t>
      </w:r>
      <w:r w:rsidRPr="00383DE5">
        <w:rPr>
          <w:lang w:val="sk-SK" w:bidi="bo-CN"/>
        </w:rPr>
        <w:t xml:space="preserve">Preto plánujeme našu stratégiu 2030+ </w:t>
      </w:r>
      <w:proofErr w:type="spellStart"/>
      <w:r w:rsidRPr="00383DE5">
        <w:rPr>
          <w:lang w:val="sk-SK" w:bidi="bo-CN"/>
        </w:rPr>
        <w:t>Sustainability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Ambition</w:t>
      </w:r>
      <w:proofErr w:type="spellEnd"/>
      <w:r w:rsidRPr="00383DE5">
        <w:rPr>
          <w:lang w:val="sk-SK" w:bidi="bo-CN"/>
        </w:rPr>
        <w:t xml:space="preserve"> </w:t>
      </w:r>
      <w:proofErr w:type="spellStart"/>
      <w:r w:rsidRPr="00383DE5">
        <w:rPr>
          <w:lang w:val="sk-SK" w:bidi="bo-CN"/>
        </w:rPr>
        <w:t>Framework</w:t>
      </w:r>
      <w:proofErr w:type="spellEnd"/>
      <w:r w:rsidRPr="00383DE5">
        <w:rPr>
          <w:lang w:val="sk-SK" w:bidi="bo-CN"/>
        </w:rPr>
        <w:t xml:space="preserve"> pravidelne prehodnocovať a aktualizovať o nové hmatateľné ciele a ambície.“</w:t>
      </w:r>
    </w:p>
    <w:p w14:paraId="02378361" w14:textId="77777777" w:rsidR="00175951" w:rsidRDefault="00175951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160E7297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O spoločnosti Henkel</w:t>
      </w:r>
    </w:p>
    <w:p w14:paraId="63DC4FEB" w14:textId="77777777" w:rsidR="00AF7ECE" w:rsidRPr="00AF7ECE" w:rsidRDefault="00AF7ECE" w:rsidP="00AF7ECE">
      <w:pPr>
        <w:spacing w:line="240" w:lineRule="auto"/>
        <w:rPr>
          <w:rFonts w:cstheme="minorHAnsi"/>
          <w:color w:val="000000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AF7ECE">
        <w:rPr>
          <w:rFonts w:cstheme="minorHAnsi"/>
          <w:sz w:val="18"/>
          <w:szCs w:val="16"/>
          <w:lang w:val="sk-SK"/>
        </w:rPr>
        <w:t>Adhesive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Technologies celosvetovým lídrom na trhu v rámci všetkých priemyselných segmentov. V oblastiach </w:t>
      </w:r>
      <w:proofErr w:type="spellStart"/>
      <w:r w:rsidRPr="00AF7ECE">
        <w:rPr>
          <w:rFonts w:cstheme="minorHAnsi"/>
          <w:sz w:val="18"/>
          <w:szCs w:val="16"/>
          <w:lang w:val="sk-SK"/>
        </w:rPr>
        <w:t>Laundry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&amp; Home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a </w:t>
      </w:r>
      <w:proofErr w:type="spellStart"/>
      <w:r w:rsidRPr="00AF7ECE">
        <w:rPr>
          <w:rFonts w:cstheme="minorHAnsi"/>
          <w:sz w:val="18"/>
          <w:szCs w:val="16"/>
          <w:lang w:val="sk-SK"/>
        </w:rPr>
        <w:t>Beauty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AF7ECE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www.henkel.com</w:t>
        </w:r>
      </w:hyperlink>
      <w:r w:rsidRPr="00AF7ECE">
        <w:rPr>
          <w:rFonts w:cstheme="minorHAnsi"/>
          <w:color w:val="000000"/>
          <w:sz w:val="18"/>
          <w:szCs w:val="16"/>
          <w:lang w:val="sk-SK"/>
        </w:rPr>
        <w:t>.</w:t>
      </w:r>
    </w:p>
    <w:p w14:paraId="3EF9D3C6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6D97C47E" w14:textId="77777777" w:rsidR="00AF7ECE" w:rsidRPr="00AF7ECE" w:rsidRDefault="00AF7ECE" w:rsidP="00AF7ECE">
      <w:pPr>
        <w:spacing w:line="278" w:lineRule="auto"/>
        <w:rPr>
          <w:rFonts w:cstheme="minorHAnsi"/>
          <w:b/>
          <w:bCs/>
          <w:sz w:val="18"/>
          <w:szCs w:val="16"/>
          <w:lang w:val="sk-SK"/>
        </w:rPr>
      </w:pPr>
      <w:r w:rsidRPr="00AF7ECE">
        <w:rPr>
          <w:rFonts w:cstheme="minorHAnsi"/>
          <w:b/>
          <w:bCs/>
          <w:sz w:val="18"/>
          <w:szCs w:val="16"/>
          <w:lang w:val="sk-SK"/>
        </w:rPr>
        <w:t>O spoločnosti Henkel Slovensko</w:t>
      </w:r>
    </w:p>
    <w:p w14:paraId="725A050A" w14:textId="6A24D3AC" w:rsidR="00AF7ECE" w:rsidRPr="002A4EF2" w:rsidRDefault="00AF7ECE" w:rsidP="00AF7ECE">
      <w:pPr>
        <w:spacing w:line="240" w:lineRule="auto"/>
        <w:rPr>
          <w:rFonts w:cs="Arial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AF7ECE">
        <w:rPr>
          <w:rFonts w:cstheme="minorHAnsi"/>
          <w:sz w:val="18"/>
          <w:szCs w:val="16"/>
          <w:lang w:val="sk-SK" w:bidi="sk-SK"/>
        </w:rPr>
        <w:t>Global</w:t>
      </w:r>
      <w:proofErr w:type="spellEnd"/>
      <w:r w:rsidRPr="00AF7ECE">
        <w:rPr>
          <w:rFonts w:cstheme="minorHAnsi"/>
          <w:sz w:val="18"/>
          <w:szCs w:val="16"/>
          <w:lang w:val="sk-SK" w:bidi="sk-SK"/>
        </w:rPr>
        <w:t xml:space="preserve"> Business Solutions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AF7ECE">
        <w:rPr>
          <w:rFonts w:cstheme="minorHAnsi"/>
          <w:sz w:val="18"/>
          <w:szCs w:val="16"/>
          <w:lang w:val="sk-SK" w:bidi="sk-SK"/>
        </w:rPr>
        <w:t xml:space="preserve"> celosvetovo. </w:t>
      </w:r>
      <w:proofErr w:type="spellStart"/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Global</w:t>
      </w:r>
      <w:proofErr w:type="spellEnd"/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 Business Solutions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AF7ECE">
        <w:rPr>
          <w:rFonts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Bratislava, viac ako 1 800 pracovníkov. </w:t>
      </w:r>
      <w:r w:rsidRPr="002A4EF2">
        <w:rPr>
          <w:rFonts w:cstheme="minorHAnsi"/>
          <w:sz w:val="18"/>
          <w:szCs w:val="16"/>
          <w:lang w:val="sk-SK"/>
        </w:rPr>
        <w:t xml:space="preserve">Viac informácií nájdete na stránke </w:t>
      </w:r>
      <w:hyperlink r:id="rId12" w:history="1">
        <w:r w:rsidRPr="002A4EF2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www.henkel.sk</w:t>
        </w:r>
      </w:hyperlink>
      <w:r w:rsidRPr="002A4EF2">
        <w:rPr>
          <w:rFonts w:cs="Arial"/>
          <w:sz w:val="18"/>
          <w:szCs w:val="16"/>
          <w:lang w:val="sk-SK" w:bidi="sk-SK"/>
        </w:rPr>
        <w:t>.</w:t>
      </w:r>
    </w:p>
    <w:p w14:paraId="028046CC" w14:textId="77777777" w:rsidR="00AF7ECE" w:rsidRPr="002A4EF2" w:rsidRDefault="00AF7ECE" w:rsidP="00AF7ECE">
      <w:pPr>
        <w:spacing w:line="278" w:lineRule="auto"/>
        <w:rPr>
          <w:sz w:val="18"/>
          <w:lang w:val="sk-SK"/>
        </w:rPr>
      </w:pPr>
    </w:p>
    <w:p w14:paraId="1B423C7B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773F9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 xml:space="preserve">Zuzana </w:t>
      </w:r>
      <w:proofErr w:type="spellStart"/>
      <w:r w:rsidRPr="00773F91">
        <w:rPr>
          <w:rFonts w:asciiTheme="minorHAnsi" w:hAnsiTheme="minorHAnsi" w:cstheme="minorHAnsi"/>
          <w:sz w:val="24"/>
          <w:lang w:val="sk-SK" w:bidi="sk-SK"/>
        </w:rPr>
        <w:t>Kaňuchová</w:t>
      </w:r>
      <w:proofErr w:type="spellEnd"/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 xml:space="preserve">Riaditeľka </w:t>
      </w:r>
      <w:proofErr w:type="spellStart"/>
      <w:r w:rsidRPr="00773F91">
        <w:rPr>
          <w:rFonts w:asciiTheme="minorHAnsi" w:hAnsiTheme="minorHAnsi" w:cstheme="minorHAnsi"/>
          <w:sz w:val="24"/>
          <w:lang w:val="sk-SK" w:bidi="sk-SK"/>
        </w:rPr>
        <w:t>korporátnej</w:t>
      </w:r>
      <w:proofErr w:type="spellEnd"/>
      <w:r w:rsidRPr="00773F91">
        <w:rPr>
          <w:rFonts w:asciiTheme="minorHAnsi" w:hAnsiTheme="minorHAnsi" w:cstheme="minorHAnsi"/>
          <w:sz w:val="24"/>
          <w:lang w:val="sk-SK" w:bidi="sk-SK"/>
        </w:rPr>
        <w:t xml:space="preserve"> komunikácie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Telefón: +421 917 160 597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E-mail: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3" w:history="1">
        <w:r w:rsidRPr="00773F91">
          <w:rPr>
            <w:rStyle w:val="Hypertextovprepojenie"/>
            <w:rFonts w:asciiTheme="minorHAnsi" w:hAnsiTheme="minorHAnsi" w:cstheme="minorHAnsi"/>
            <w:sz w:val="24"/>
            <w:lang w:bidi="sk-SK"/>
          </w:rPr>
          <w:t>zuzana.kanuchova@henkel.com</w:t>
        </w:r>
      </w:hyperlink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1643" w14:textId="77777777" w:rsidR="00C60787" w:rsidRDefault="00C60787">
      <w:r>
        <w:separator/>
      </w:r>
    </w:p>
  </w:endnote>
  <w:endnote w:type="continuationSeparator" w:id="0">
    <w:p w14:paraId="123F3E39" w14:textId="77777777" w:rsidR="00C60787" w:rsidRDefault="00C60787">
      <w:r>
        <w:continuationSeparator/>
      </w:r>
    </w:p>
  </w:endnote>
  <w:endnote w:type="continuationNotice" w:id="1">
    <w:p w14:paraId="623310CD" w14:textId="77777777" w:rsidR="00C60787" w:rsidRDefault="00C607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F175" w14:textId="77777777" w:rsidR="00C60787" w:rsidRDefault="00C60787">
      <w:bookmarkStart w:id="0" w:name="_Hlk47541104"/>
      <w:bookmarkEnd w:id="0"/>
      <w:r>
        <w:separator/>
      </w:r>
    </w:p>
  </w:footnote>
  <w:footnote w:type="continuationSeparator" w:id="0">
    <w:p w14:paraId="0EBC5C52" w14:textId="77777777" w:rsidR="00C60787" w:rsidRDefault="00C60787">
      <w:r>
        <w:continuationSeparator/>
      </w:r>
    </w:p>
  </w:footnote>
  <w:footnote w:type="continuationNotice" w:id="1">
    <w:p w14:paraId="6D00C907" w14:textId="77777777" w:rsidR="00C60787" w:rsidRDefault="00C607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69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9487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34</cp:revision>
  <cp:lastPrinted>2021-11-09T19:20:00Z</cp:lastPrinted>
  <dcterms:created xsi:type="dcterms:W3CDTF">2022-02-01T14:08:00Z</dcterms:created>
  <dcterms:modified xsi:type="dcterms:W3CDTF">2022-02-25T17:26:00Z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