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34F1AD1" w:rsidR="00B422EC" w:rsidRPr="00F63F8D" w:rsidRDefault="00027932" w:rsidP="0091482A">
      <w:pPr>
        <w:pStyle w:val="MonthDayYear"/>
        <w:tabs>
          <w:tab w:val="left" w:pos="0"/>
          <w:tab w:val="left" w:pos="7513"/>
          <w:tab w:val="right" w:pos="9086"/>
        </w:tabs>
        <w:rPr>
          <w:lang w:val="hr-HR"/>
        </w:rPr>
      </w:pPr>
      <w:r w:rsidRPr="00F63F8D">
        <w:rPr>
          <w:lang w:val="hr-HR"/>
        </w:rPr>
        <w:t>23. veljače 2022</w:t>
      </w:r>
      <w:r w:rsidR="00084946">
        <w:rPr>
          <w:lang w:val="hr-HR"/>
        </w:rPr>
        <w:t>.</w:t>
      </w:r>
    </w:p>
    <w:p w14:paraId="09896324" w14:textId="48C06956" w:rsidR="007F0F63" w:rsidRPr="00F63F8D" w:rsidRDefault="00DD5274" w:rsidP="00635616">
      <w:pPr>
        <w:pStyle w:val="Topline"/>
        <w:spacing w:after="360"/>
        <w:rPr>
          <w:rFonts w:asciiTheme="majorHAnsi" w:hAnsiTheme="majorHAnsi" w:cstheme="majorBidi"/>
          <w:lang w:val="hr-HR"/>
        </w:rPr>
      </w:pPr>
      <w:r w:rsidRPr="00F63F8D">
        <w:rPr>
          <w:rFonts w:asciiTheme="majorHAnsi" w:hAnsiTheme="majorHAnsi"/>
          <w:lang w:val="hr-HR"/>
        </w:rPr>
        <w:t>Dobri rezultati i napredak prema svim strateškim prioritetima u fiskalnoj 2021</w:t>
      </w:r>
      <w:r w:rsidR="00084946">
        <w:rPr>
          <w:rFonts w:asciiTheme="majorHAnsi" w:hAnsiTheme="majorHAnsi"/>
          <w:lang w:val="hr-HR"/>
        </w:rPr>
        <w:t>.</w:t>
      </w:r>
    </w:p>
    <w:p w14:paraId="76AD0789" w14:textId="69F0ED58" w:rsidR="007F0F63" w:rsidRPr="00F63F8D" w:rsidRDefault="00DD5274" w:rsidP="00394BED">
      <w:pPr>
        <w:jc w:val="left"/>
        <w:rPr>
          <w:rStyle w:val="Headline"/>
          <w:rFonts w:asciiTheme="majorHAnsi" w:hAnsiTheme="majorHAnsi" w:cstheme="majorHAnsi"/>
          <w:lang w:val="hr-HR"/>
        </w:rPr>
      </w:pPr>
      <w:bookmarkStart w:id="0" w:name="_Hlk95924623"/>
      <w:r w:rsidRPr="00F63F8D">
        <w:rPr>
          <w:rStyle w:val="Headline"/>
          <w:rFonts w:asciiTheme="majorHAnsi" w:hAnsiTheme="majorHAnsi"/>
          <w:lang w:val="hr-HR"/>
        </w:rPr>
        <w:t>Henkel objavljuje godišnje rezultate za 2021.</w:t>
      </w:r>
      <w:r w:rsidRPr="00F63F8D">
        <w:rPr>
          <w:rStyle w:val="Headline"/>
          <w:rFonts w:asciiTheme="majorHAnsi" w:hAnsiTheme="majorHAnsi"/>
          <w:lang w:val="hr-HR"/>
        </w:rPr>
        <w:br/>
        <w:t xml:space="preserve">i </w:t>
      </w:r>
      <w:r w:rsidR="005B0689">
        <w:rPr>
          <w:rStyle w:val="Headline"/>
          <w:rFonts w:asciiTheme="majorHAnsi" w:hAnsiTheme="majorHAnsi"/>
          <w:lang w:val="hr-HR"/>
        </w:rPr>
        <w:t>podiže</w:t>
      </w:r>
      <w:r w:rsidR="005B0689" w:rsidRPr="00F63F8D">
        <w:rPr>
          <w:rStyle w:val="Headline"/>
          <w:rFonts w:asciiTheme="majorHAnsi" w:hAnsiTheme="majorHAnsi"/>
          <w:lang w:val="hr-HR"/>
        </w:rPr>
        <w:t xml:space="preserve"> </w:t>
      </w:r>
      <w:r w:rsidRPr="00F63F8D">
        <w:rPr>
          <w:rStyle w:val="Headline"/>
          <w:rFonts w:asciiTheme="majorHAnsi" w:hAnsiTheme="majorHAnsi"/>
          <w:lang w:val="hr-HR"/>
        </w:rPr>
        <w:t>program svrhovitog rasta na novu razinu</w:t>
      </w:r>
    </w:p>
    <w:bookmarkEnd w:id="0"/>
    <w:p w14:paraId="6706FA18" w14:textId="77777777" w:rsidR="00852511" w:rsidRPr="00F63F8D" w:rsidRDefault="00852511" w:rsidP="00365E44">
      <w:pPr>
        <w:rPr>
          <w:lang w:val="hr-HR"/>
        </w:rPr>
      </w:pPr>
    </w:p>
    <w:p w14:paraId="403451BA" w14:textId="30070994" w:rsidR="003C7E16" w:rsidRPr="00F63F8D" w:rsidRDefault="003C7E16" w:rsidP="00BF1887">
      <w:pPr>
        <w:pStyle w:val="ListParagraph"/>
        <w:numPr>
          <w:ilvl w:val="0"/>
          <w:numId w:val="7"/>
        </w:numPr>
        <w:spacing w:after="80"/>
        <w:ind w:left="357" w:right="-108" w:hanging="357"/>
        <w:contextualSpacing w:val="0"/>
        <w:jc w:val="left"/>
        <w:rPr>
          <w:rFonts w:asciiTheme="majorHAnsi" w:hAnsiTheme="majorHAnsi" w:cstheme="majorHAnsi"/>
          <w:b/>
          <w:szCs w:val="22"/>
          <w:lang w:val="hr-HR"/>
        </w:rPr>
      </w:pPr>
      <w:bookmarkStart w:id="1" w:name="_Hlk43712519"/>
      <w:r w:rsidRPr="00F63F8D">
        <w:rPr>
          <w:rFonts w:asciiTheme="majorHAnsi" w:hAnsiTheme="majorHAnsi"/>
          <w:b/>
          <w:lang w:val="hr-HR"/>
        </w:rPr>
        <w:t>Dobri poslovni rezultati u 2021. u izazovnom tržišnom okruženju:</w:t>
      </w:r>
    </w:p>
    <w:p w14:paraId="6E206329" w14:textId="113E266C" w:rsidR="003C7E16" w:rsidRPr="00F63F8D" w:rsidRDefault="003C7E16"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Prodaja grupe dosegnula je 20,1 milijardu eura, organski rast od +7,8 posto</w:t>
      </w:r>
      <w:r w:rsidR="006E0007">
        <w:rPr>
          <w:rFonts w:asciiTheme="majorHAnsi" w:hAnsiTheme="majorHAnsi"/>
          <w:b/>
          <w:lang w:val="hr-HR"/>
        </w:rPr>
        <w:t>.</w:t>
      </w:r>
    </w:p>
    <w:p w14:paraId="63D41446" w14:textId="5EA4C71A" w:rsidR="003C7E16" w:rsidRPr="00F63F8D" w:rsidRDefault="003C7E16"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Operativna dobit* porasla je na 2,7 milijardi eura, +4,2 posto</w:t>
      </w:r>
      <w:r w:rsidR="006E0007">
        <w:rPr>
          <w:rFonts w:asciiTheme="majorHAnsi" w:hAnsiTheme="majorHAnsi"/>
          <w:b/>
          <w:lang w:val="hr-HR"/>
        </w:rPr>
        <w:t>.</w:t>
      </w:r>
    </w:p>
    <w:p w14:paraId="609BF48F" w14:textId="482F6E51" w:rsidR="003C7E16" w:rsidRPr="00F63F8D" w:rsidRDefault="00F63F8D"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EBIT marža</w:t>
      </w:r>
      <w:r w:rsidR="003C7E16" w:rsidRPr="00F63F8D">
        <w:rPr>
          <w:rFonts w:asciiTheme="majorHAnsi" w:hAnsiTheme="majorHAnsi"/>
          <w:b/>
          <w:lang w:val="hr-HR"/>
        </w:rPr>
        <w:t xml:space="preserve">* na prošlogodišnjoj </w:t>
      </w:r>
      <w:r w:rsidR="005C712B">
        <w:rPr>
          <w:rFonts w:asciiTheme="majorHAnsi" w:hAnsiTheme="majorHAnsi"/>
          <w:b/>
          <w:lang w:val="hr-HR"/>
        </w:rPr>
        <w:t xml:space="preserve">je </w:t>
      </w:r>
      <w:r w:rsidR="003C7E16" w:rsidRPr="00F63F8D">
        <w:rPr>
          <w:rFonts w:asciiTheme="majorHAnsi" w:hAnsiTheme="majorHAnsi"/>
          <w:b/>
          <w:lang w:val="hr-HR"/>
        </w:rPr>
        <w:t>razini: 13,4 posto</w:t>
      </w:r>
      <w:r w:rsidR="005C712B">
        <w:rPr>
          <w:rFonts w:asciiTheme="majorHAnsi" w:hAnsiTheme="majorHAnsi"/>
          <w:b/>
          <w:lang w:val="hr-HR"/>
        </w:rPr>
        <w:t>.</w:t>
      </w:r>
    </w:p>
    <w:p w14:paraId="20D23642" w14:textId="72772614" w:rsidR="003C7E16" w:rsidRPr="00F63F8D" w:rsidRDefault="003C7E16"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Zara</w:t>
      </w:r>
      <w:r w:rsidR="00237E42">
        <w:rPr>
          <w:rFonts w:asciiTheme="majorHAnsi" w:hAnsiTheme="majorHAnsi"/>
          <w:b/>
          <w:lang w:val="hr-HR"/>
        </w:rPr>
        <w:t>da po prioritetnoj dionici (EPS)</w:t>
      </w:r>
      <w:r w:rsidRPr="00F63F8D">
        <w:rPr>
          <w:rFonts w:asciiTheme="majorHAnsi" w:hAnsiTheme="majorHAnsi"/>
          <w:b/>
          <w:lang w:val="hr-HR"/>
        </w:rPr>
        <w:t>*</w:t>
      </w:r>
      <w:r w:rsidR="005C712B">
        <w:rPr>
          <w:rFonts w:asciiTheme="majorHAnsi" w:hAnsiTheme="majorHAnsi"/>
          <w:b/>
          <w:lang w:val="hr-HR"/>
        </w:rPr>
        <w:t xml:space="preserve"> </w:t>
      </w:r>
      <w:r w:rsidR="00826F54">
        <w:rPr>
          <w:rFonts w:asciiTheme="majorHAnsi" w:hAnsiTheme="majorHAnsi"/>
          <w:b/>
          <w:lang w:val="hr-HR"/>
        </w:rPr>
        <w:t>bila je</w:t>
      </w:r>
      <w:r w:rsidRPr="00F63F8D">
        <w:rPr>
          <w:rFonts w:asciiTheme="majorHAnsi" w:hAnsiTheme="majorHAnsi"/>
          <w:b/>
          <w:lang w:val="hr-HR"/>
        </w:rPr>
        <w:t xml:space="preserve"> 4,56 eura, </w:t>
      </w:r>
      <w:r w:rsidR="005C712B">
        <w:rPr>
          <w:rFonts w:asciiTheme="majorHAnsi" w:hAnsiTheme="majorHAnsi"/>
          <w:b/>
          <w:lang w:val="hr-HR"/>
        </w:rPr>
        <w:t xml:space="preserve">što je porast od </w:t>
      </w:r>
      <w:r w:rsidRPr="00F63F8D">
        <w:rPr>
          <w:rFonts w:asciiTheme="majorHAnsi" w:hAnsiTheme="majorHAnsi"/>
          <w:b/>
          <w:lang w:val="hr-HR"/>
        </w:rPr>
        <w:t>+9,2 posto, prilagođeno za tečajne razlike</w:t>
      </w:r>
      <w:r w:rsidR="005C712B">
        <w:rPr>
          <w:rFonts w:asciiTheme="majorHAnsi" w:hAnsiTheme="majorHAnsi"/>
          <w:b/>
          <w:lang w:val="hr-HR"/>
        </w:rPr>
        <w:t>.</w:t>
      </w:r>
    </w:p>
    <w:p w14:paraId="1971C2E9" w14:textId="5FFCD436" w:rsidR="003C7E16" w:rsidRPr="00F63F8D" w:rsidRDefault="003C7E16"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 xml:space="preserve">Dobar slobodni novčani tok </w:t>
      </w:r>
      <w:r w:rsidR="005C712B">
        <w:rPr>
          <w:rFonts w:asciiTheme="majorHAnsi" w:hAnsiTheme="majorHAnsi"/>
          <w:b/>
          <w:lang w:val="hr-HR"/>
        </w:rPr>
        <w:t>iznosi</w:t>
      </w:r>
      <w:r w:rsidR="00826F54">
        <w:rPr>
          <w:rFonts w:asciiTheme="majorHAnsi" w:hAnsiTheme="majorHAnsi"/>
          <w:b/>
          <w:lang w:val="hr-HR"/>
        </w:rPr>
        <w:t>o je</w:t>
      </w:r>
      <w:r w:rsidR="005C712B" w:rsidRPr="00F63F8D">
        <w:rPr>
          <w:rFonts w:asciiTheme="majorHAnsi" w:hAnsiTheme="majorHAnsi"/>
          <w:b/>
          <w:lang w:val="hr-HR"/>
        </w:rPr>
        <w:t xml:space="preserve"> </w:t>
      </w:r>
      <w:r w:rsidRPr="00F63F8D">
        <w:rPr>
          <w:rFonts w:asciiTheme="majorHAnsi" w:hAnsiTheme="majorHAnsi"/>
          <w:b/>
          <w:lang w:val="hr-HR"/>
        </w:rPr>
        <w:t>1,5 milijardi eura, neto financijski položaj značajno</w:t>
      </w:r>
      <w:r w:rsidR="005B0689">
        <w:rPr>
          <w:rFonts w:asciiTheme="majorHAnsi" w:hAnsiTheme="majorHAnsi"/>
          <w:b/>
          <w:lang w:val="hr-HR"/>
        </w:rPr>
        <w:t xml:space="preserve"> je</w:t>
      </w:r>
      <w:r w:rsidRPr="00F63F8D">
        <w:rPr>
          <w:rFonts w:asciiTheme="majorHAnsi" w:hAnsiTheme="majorHAnsi"/>
          <w:b/>
          <w:lang w:val="hr-HR"/>
        </w:rPr>
        <w:t xml:space="preserve"> poboljšan</w:t>
      </w:r>
      <w:r w:rsidR="005C712B">
        <w:rPr>
          <w:rFonts w:asciiTheme="majorHAnsi" w:hAnsiTheme="majorHAnsi"/>
          <w:b/>
          <w:lang w:val="hr-HR"/>
        </w:rPr>
        <w:t>.</w:t>
      </w:r>
    </w:p>
    <w:p w14:paraId="403B3A4F" w14:textId="2ACF7B29" w:rsidR="003C7E16" w:rsidRPr="00F63F8D" w:rsidRDefault="003C7E16" w:rsidP="003C7E16">
      <w:pPr>
        <w:pStyle w:val="ListParagraph"/>
        <w:numPr>
          <w:ilvl w:val="0"/>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Predložene dividende na prošlogodišnjoj razini: 1,85 eura po prioritetnoj dionici</w:t>
      </w:r>
    </w:p>
    <w:p w14:paraId="74B498D3" w14:textId="0165FAB5" w:rsidR="003C7E16" w:rsidRPr="00F63F8D" w:rsidRDefault="003C7E16" w:rsidP="003C7E16">
      <w:pPr>
        <w:pStyle w:val="ListParagraph"/>
        <w:numPr>
          <w:ilvl w:val="0"/>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 xml:space="preserve">Prognoza za 2022. i srednjoročne i dugoročne </w:t>
      </w:r>
      <w:r w:rsidR="005B0689" w:rsidRPr="00F63F8D">
        <w:rPr>
          <w:rFonts w:asciiTheme="majorHAnsi" w:hAnsiTheme="majorHAnsi"/>
          <w:b/>
          <w:lang w:val="hr-HR"/>
        </w:rPr>
        <w:t>finan</w:t>
      </w:r>
      <w:r w:rsidR="005B0689">
        <w:rPr>
          <w:rFonts w:asciiTheme="majorHAnsi" w:hAnsiTheme="majorHAnsi"/>
          <w:b/>
          <w:lang w:val="hr-HR"/>
        </w:rPr>
        <w:t>c</w:t>
      </w:r>
      <w:r w:rsidR="005B0689" w:rsidRPr="00F63F8D">
        <w:rPr>
          <w:rFonts w:asciiTheme="majorHAnsi" w:hAnsiTheme="majorHAnsi"/>
          <w:b/>
          <w:lang w:val="hr-HR"/>
        </w:rPr>
        <w:t xml:space="preserve">ijske </w:t>
      </w:r>
      <w:r w:rsidRPr="00F63F8D">
        <w:rPr>
          <w:rFonts w:asciiTheme="majorHAnsi" w:hAnsiTheme="majorHAnsi"/>
          <w:b/>
          <w:lang w:val="hr-HR"/>
        </w:rPr>
        <w:t>ciljeve ostaje neizm</w:t>
      </w:r>
      <w:r w:rsidR="00084946">
        <w:rPr>
          <w:rFonts w:asciiTheme="majorHAnsi" w:hAnsiTheme="majorHAnsi"/>
          <w:b/>
          <w:lang w:val="hr-HR"/>
        </w:rPr>
        <w:t>ij</w:t>
      </w:r>
      <w:r w:rsidRPr="00F63F8D">
        <w:rPr>
          <w:rFonts w:asciiTheme="majorHAnsi" w:hAnsiTheme="majorHAnsi"/>
          <w:b/>
          <w:lang w:val="hr-HR"/>
        </w:rPr>
        <w:t>enjena</w:t>
      </w:r>
      <w:r w:rsidR="00084946">
        <w:rPr>
          <w:rFonts w:asciiTheme="majorHAnsi" w:hAnsiTheme="majorHAnsi"/>
          <w:b/>
          <w:lang w:val="hr-HR"/>
        </w:rPr>
        <w:t>.</w:t>
      </w:r>
    </w:p>
    <w:p w14:paraId="77F56AA6" w14:textId="373B688B" w:rsidR="003C7E16" w:rsidRPr="00F63F8D" w:rsidRDefault="003C7E16" w:rsidP="003C7E16">
      <w:pPr>
        <w:pStyle w:val="ListParagraph"/>
        <w:numPr>
          <w:ilvl w:val="0"/>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Dosl</w:t>
      </w:r>
      <w:r w:rsidR="00084946">
        <w:rPr>
          <w:rFonts w:asciiTheme="majorHAnsi" w:hAnsiTheme="majorHAnsi"/>
          <w:b/>
          <w:lang w:val="hr-HR"/>
        </w:rPr>
        <w:t>j</w:t>
      </w:r>
      <w:r w:rsidRPr="00F63F8D">
        <w:rPr>
          <w:rFonts w:asciiTheme="majorHAnsi" w:hAnsiTheme="majorHAnsi"/>
          <w:b/>
          <w:lang w:val="hr-HR"/>
        </w:rPr>
        <w:t xml:space="preserve">edno provođenje </w:t>
      </w:r>
      <w:r w:rsidR="005B0689">
        <w:rPr>
          <w:rFonts w:asciiTheme="majorHAnsi" w:hAnsiTheme="majorHAnsi"/>
          <w:b/>
          <w:lang w:val="hr-HR"/>
        </w:rPr>
        <w:t>strategije</w:t>
      </w:r>
      <w:r w:rsidR="005B0689" w:rsidRPr="00F63F8D">
        <w:rPr>
          <w:rFonts w:asciiTheme="majorHAnsi" w:hAnsiTheme="majorHAnsi"/>
          <w:b/>
          <w:lang w:val="hr-HR"/>
        </w:rPr>
        <w:t xml:space="preserve"> </w:t>
      </w:r>
      <w:r w:rsidRPr="00F63F8D">
        <w:rPr>
          <w:rFonts w:asciiTheme="majorHAnsi" w:hAnsiTheme="majorHAnsi"/>
          <w:b/>
          <w:lang w:val="hr-HR"/>
        </w:rPr>
        <w:t>za svr</w:t>
      </w:r>
      <w:r w:rsidR="00F63F8D">
        <w:rPr>
          <w:rFonts w:asciiTheme="majorHAnsi" w:hAnsiTheme="majorHAnsi"/>
          <w:b/>
          <w:lang w:val="hr-HR"/>
        </w:rPr>
        <w:t>hovit</w:t>
      </w:r>
      <w:r w:rsidRPr="00F63F8D">
        <w:rPr>
          <w:rFonts w:asciiTheme="majorHAnsi" w:hAnsiTheme="majorHAnsi"/>
          <w:b/>
          <w:lang w:val="hr-HR"/>
        </w:rPr>
        <w:t xml:space="preserve">i rast </w:t>
      </w:r>
      <w:r w:rsidR="005B0689">
        <w:rPr>
          <w:rFonts w:asciiTheme="majorHAnsi" w:hAnsiTheme="majorHAnsi"/>
          <w:b/>
          <w:lang w:val="hr-HR"/>
        </w:rPr>
        <w:t>iz</w:t>
      </w:r>
      <w:r w:rsidR="005B0689" w:rsidRPr="00F63F8D">
        <w:rPr>
          <w:rFonts w:asciiTheme="majorHAnsi" w:hAnsiTheme="majorHAnsi"/>
          <w:b/>
          <w:lang w:val="hr-HR"/>
        </w:rPr>
        <w:t xml:space="preserve"> </w:t>
      </w:r>
      <w:r w:rsidRPr="00F63F8D">
        <w:rPr>
          <w:rFonts w:asciiTheme="majorHAnsi" w:hAnsiTheme="majorHAnsi"/>
          <w:b/>
          <w:lang w:val="hr-HR"/>
        </w:rPr>
        <w:t>2020.</w:t>
      </w:r>
    </w:p>
    <w:p w14:paraId="4E3BC5ED" w14:textId="4793B30B" w:rsidR="003C7E16" w:rsidRPr="00F63F8D" w:rsidRDefault="00682535" w:rsidP="003C7E16">
      <w:pPr>
        <w:pStyle w:val="ListParagraph"/>
        <w:numPr>
          <w:ilvl w:val="0"/>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Ključne m</w:t>
      </w:r>
      <w:r w:rsidR="00084946">
        <w:rPr>
          <w:rFonts w:asciiTheme="majorHAnsi" w:hAnsiTheme="majorHAnsi"/>
          <w:b/>
          <w:lang w:val="hr-HR"/>
        </w:rPr>
        <w:t>j</w:t>
      </w:r>
      <w:r w:rsidRPr="00F63F8D">
        <w:rPr>
          <w:rFonts w:asciiTheme="majorHAnsi" w:hAnsiTheme="majorHAnsi"/>
          <w:b/>
          <w:lang w:val="hr-HR"/>
        </w:rPr>
        <w:t xml:space="preserve">ere za podizanje </w:t>
      </w:r>
      <w:r w:rsidR="005B0689">
        <w:rPr>
          <w:rFonts w:asciiTheme="majorHAnsi" w:hAnsiTheme="majorHAnsi"/>
          <w:b/>
          <w:lang w:val="hr-HR"/>
        </w:rPr>
        <w:t>strategije</w:t>
      </w:r>
      <w:r w:rsidR="005B0689" w:rsidRPr="00F63F8D">
        <w:rPr>
          <w:rFonts w:asciiTheme="majorHAnsi" w:hAnsiTheme="majorHAnsi"/>
          <w:b/>
          <w:lang w:val="hr-HR"/>
        </w:rPr>
        <w:t xml:space="preserve"> </w:t>
      </w:r>
      <w:r w:rsidRPr="00F63F8D">
        <w:rPr>
          <w:rFonts w:asciiTheme="majorHAnsi" w:hAnsiTheme="majorHAnsi"/>
          <w:b/>
          <w:lang w:val="hr-HR"/>
        </w:rPr>
        <w:t>strateškog rasta na sl</w:t>
      </w:r>
      <w:r w:rsidR="00084946">
        <w:rPr>
          <w:rFonts w:asciiTheme="majorHAnsi" w:hAnsiTheme="majorHAnsi"/>
          <w:b/>
          <w:lang w:val="hr-HR"/>
        </w:rPr>
        <w:t>j</w:t>
      </w:r>
      <w:r w:rsidRPr="00F63F8D">
        <w:rPr>
          <w:rFonts w:asciiTheme="majorHAnsi" w:hAnsiTheme="majorHAnsi"/>
          <w:b/>
          <w:lang w:val="hr-HR"/>
        </w:rPr>
        <w:t>edeć</w:t>
      </w:r>
      <w:r w:rsidR="004D5CFC">
        <w:rPr>
          <w:rFonts w:asciiTheme="majorHAnsi" w:hAnsiTheme="majorHAnsi"/>
          <w:b/>
          <w:lang w:val="hr-HR"/>
        </w:rPr>
        <w:t>u razinu</w:t>
      </w:r>
      <w:r w:rsidRPr="00F63F8D">
        <w:rPr>
          <w:rFonts w:asciiTheme="majorHAnsi" w:hAnsiTheme="majorHAnsi"/>
          <w:b/>
          <w:lang w:val="hr-HR"/>
        </w:rPr>
        <w:t>:</w:t>
      </w:r>
    </w:p>
    <w:p w14:paraId="714FE521" w14:textId="33BD176E" w:rsidR="003C7E16" w:rsidRPr="00F63F8D" w:rsidRDefault="00CC33D3" w:rsidP="00F63F8D">
      <w:pPr>
        <w:pStyle w:val="ListParagraph"/>
        <w:numPr>
          <w:ilvl w:val="1"/>
          <w:numId w:val="7"/>
        </w:numPr>
        <w:spacing w:after="80"/>
        <w:ind w:right="-108"/>
        <w:jc w:val="left"/>
        <w:rPr>
          <w:rFonts w:asciiTheme="majorHAnsi" w:hAnsiTheme="majorHAnsi" w:cstheme="majorBidi"/>
          <w:b/>
          <w:lang w:val="hr-HR"/>
        </w:rPr>
      </w:pPr>
      <w:r w:rsidRPr="00F63F8D">
        <w:rPr>
          <w:rFonts w:asciiTheme="majorHAnsi" w:hAnsiTheme="majorHAnsi"/>
          <w:b/>
          <w:lang w:val="hr-HR"/>
        </w:rPr>
        <w:t xml:space="preserve">Započet proces integracije poslovnih sektora </w:t>
      </w:r>
      <w:r w:rsidR="00F63F8D" w:rsidRPr="00F63F8D">
        <w:rPr>
          <w:rFonts w:asciiTheme="majorHAnsi" w:hAnsiTheme="majorHAnsi"/>
          <w:b/>
          <w:lang w:val="hr-HR"/>
        </w:rPr>
        <w:t xml:space="preserve">Sredstva za pranje i čišćenje u domaćinstvu </w:t>
      </w:r>
      <w:r w:rsidRPr="00F63F8D">
        <w:rPr>
          <w:rFonts w:asciiTheme="majorHAnsi" w:hAnsiTheme="majorHAnsi"/>
          <w:b/>
          <w:lang w:val="hr-HR"/>
        </w:rPr>
        <w:t xml:space="preserve">i Beauty Care u jedinstvenu platformu s više kategorija i prodajom većom od 10 milijardi </w:t>
      </w:r>
      <w:r w:rsidR="00084946" w:rsidRPr="00F63F8D">
        <w:rPr>
          <w:rFonts w:asciiTheme="majorHAnsi" w:hAnsiTheme="majorHAnsi"/>
          <w:b/>
          <w:lang w:val="hr-HR"/>
        </w:rPr>
        <w:t>e</w:t>
      </w:r>
      <w:r w:rsidR="00084946">
        <w:rPr>
          <w:rFonts w:asciiTheme="majorHAnsi" w:hAnsiTheme="majorHAnsi"/>
          <w:b/>
          <w:lang w:val="hr-HR"/>
        </w:rPr>
        <w:t>u</w:t>
      </w:r>
      <w:r w:rsidR="00084946" w:rsidRPr="00F63F8D">
        <w:rPr>
          <w:rFonts w:asciiTheme="majorHAnsi" w:hAnsiTheme="majorHAnsi"/>
          <w:b/>
          <w:lang w:val="hr-HR"/>
        </w:rPr>
        <w:t>ra</w:t>
      </w:r>
      <w:r w:rsidR="00B80ADC">
        <w:rPr>
          <w:rFonts w:asciiTheme="majorHAnsi" w:hAnsiTheme="majorHAnsi"/>
          <w:b/>
          <w:lang w:val="hr-HR"/>
        </w:rPr>
        <w:t>.</w:t>
      </w:r>
      <w:r w:rsidR="00084946" w:rsidRPr="00F63F8D">
        <w:rPr>
          <w:rFonts w:asciiTheme="majorHAnsi" w:hAnsiTheme="majorHAnsi"/>
          <w:b/>
          <w:lang w:val="hr-HR"/>
        </w:rPr>
        <w:t xml:space="preserve">  </w:t>
      </w:r>
    </w:p>
    <w:p w14:paraId="5E851C9C" w14:textId="4D549900" w:rsidR="003C7E16" w:rsidRPr="00F63F8D" w:rsidRDefault="003C7E16" w:rsidP="592567D3">
      <w:pPr>
        <w:pStyle w:val="ListParagraph"/>
        <w:numPr>
          <w:ilvl w:val="1"/>
          <w:numId w:val="7"/>
        </w:numPr>
        <w:spacing w:after="80"/>
        <w:ind w:right="-108"/>
        <w:jc w:val="left"/>
        <w:rPr>
          <w:rFonts w:asciiTheme="majorHAnsi" w:hAnsiTheme="majorHAnsi" w:cstheme="majorBidi"/>
          <w:b/>
          <w:lang w:val="hr-HR"/>
        </w:rPr>
      </w:pPr>
      <w:r w:rsidRPr="00F63F8D">
        <w:rPr>
          <w:rFonts w:asciiTheme="majorHAnsi" w:hAnsiTheme="majorHAnsi"/>
          <w:b/>
          <w:lang w:val="hr-HR"/>
        </w:rPr>
        <w:t>Planira se daljnja optimizacija portfelja u poslovanju s robom široke potrošnje</w:t>
      </w:r>
      <w:r w:rsidR="00FE52C5">
        <w:rPr>
          <w:rFonts w:asciiTheme="majorHAnsi" w:hAnsiTheme="majorHAnsi"/>
          <w:b/>
          <w:lang w:val="hr-HR"/>
        </w:rPr>
        <w:t>.</w:t>
      </w:r>
    </w:p>
    <w:p w14:paraId="741DCA4C" w14:textId="348752A9" w:rsidR="00C3699C" w:rsidRPr="00F63F8D" w:rsidRDefault="00C3699C"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Počeo je program kupnje dionica s prometom do milijardu eura</w:t>
      </w:r>
      <w:r w:rsidR="00FE52C5">
        <w:rPr>
          <w:rFonts w:asciiTheme="majorHAnsi" w:hAnsiTheme="majorHAnsi"/>
          <w:b/>
          <w:lang w:val="hr-HR"/>
        </w:rPr>
        <w:t>.</w:t>
      </w:r>
    </w:p>
    <w:p w14:paraId="4F977AE3" w14:textId="5AD9FF77" w:rsidR="00C3699C" w:rsidRPr="00F63F8D" w:rsidRDefault="00C3699C"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Investicijski fond Venture Fund II s ukupnom imovinom od 150 milijuna eura</w:t>
      </w:r>
      <w:r w:rsidR="00826F54">
        <w:rPr>
          <w:rFonts w:asciiTheme="majorHAnsi" w:hAnsiTheme="majorHAnsi"/>
          <w:b/>
          <w:lang w:val="hr-HR"/>
        </w:rPr>
        <w:t>.</w:t>
      </w:r>
    </w:p>
    <w:p w14:paraId="0FA4A804" w14:textId="030B8703" w:rsidR="00D670C9" w:rsidRPr="00F63F8D" w:rsidRDefault="00D670C9" w:rsidP="003C7E16">
      <w:pPr>
        <w:pStyle w:val="ListParagraph"/>
        <w:numPr>
          <w:ilvl w:val="1"/>
          <w:numId w:val="7"/>
        </w:numPr>
        <w:spacing w:after="80"/>
        <w:ind w:right="-108"/>
        <w:contextualSpacing w:val="0"/>
        <w:jc w:val="left"/>
        <w:rPr>
          <w:rFonts w:asciiTheme="majorHAnsi" w:hAnsiTheme="majorHAnsi" w:cstheme="majorHAnsi"/>
          <w:b/>
          <w:szCs w:val="22"/>
          <w:lang w:val="hr-HR"/>
        </w:rPr>
      </w:pPr>
      <w:r w:rsidRPr="00F63F8D">
        <w:rPr>
          <w:rFonts w:asciiTheme="majorHAnsi" w:hAnsiTheme="majorHAnsi"/>
          <w:b/>
          <w:lang w:val="hr-HR"/>
        </w:rPr>
        <w:t>Nova strategija i ciljevi održivosti</w:t>
      </w:r>
      <w:r w:rsidR="00826F54">
        <w:rPr>
          <w:rFonts w:asciiTheme="majorHAnsi" w:hAnsiTheme="majorHAnsi"/>
          <w:b/>
          <w:lang w:val="hr-HR"/>
        </w:rPr>
        <w:t>.</w:t>
      </w:r>
      <w:r w:rsidRPr="00F63F8D">
        <w:rPr>
          <w:rFonts w:asciiTheme="majorHAnsi" w:hAnsiTheme="majorHAnsi"/>
          <w:b/>
          <w:lang w:val="hr-HR"/>
        </w:rPr>
        <w:t xml:space="preserve"> </w:t>
      </w:r>
    </w:p>
    <w:p w14:paraId="1993A456" w14:textId="48B079CE" w:rsidR="00D670C9" w:rsidRPr="00F63F8D" w:rsidRDefault="00D670C9" w:rsidP="00D670C9">
      <w:pPr>
        <w:spacing w:after="80"/>
        <w:ind w:right="-108"/>
        <w:jc w:val="left"/>
        <w:rPr>
          <w:rFonts w:asciiTheme="majorHAnsi" w:hAnsiTheme="majorHAnsi" w:cstheme="majorHAnsi"/>
          <w:b/>
          <w:szCs w:val="22"/>
          <w:lang w:val="hr-HR"/>
        </w:rPr>
      </w:pPr>
    </w:p>
    <w:bookmarkEnd w:id="1"/>
    <w:p w14:paraId="3DB11628" w14:textId="38999189" w:rsidR="00132779" w:rsidRPr="00F63F8D" w:rsidRDefault="005C7AEC" w:rsidP="00240DBF">
      <w:pPr>
        <w:rPr>
          <w:rFonts w:asciiTheme="majorHAnsi" w:hAnsiTheme="majorHAnsi" w:cstheme="majorHAnsi"/>
          <w:b/>
          <w:bCs/>
          <w:lang w:val="hr-HR"/>
        </w:rPr>
      </w:pPr>
      <w:r w:rsidRPr="00F63F8D">
        <w:rPr>
          <w:b/>
          <w:bCs/>
          <w:lang w:val="hr-HR"/>
        </w:rPr>
        <w:lastRenderedPageBreak/>
        <w:t>D</w:t>
      </w:r>
      <w:bookmarkStart w:id="2" w:name="_Hlk96935744"/>
      <w:r w:rsidR="00535D3A" w:rsidRPr="00535D3A">
        <w:rPr>
          <w:b/>
          <w:bCs/>
          <w:lang w:val="hr-HR"/>
        </w:rPr>
        <w:t>ü</w:t>
      </w:r>
      <w:bookmarkEnd w:id="2"/>
      <w:r w:rsidRPr="00F63F8D">
        <w:rPr>
          <w:b/>
          <w:bCs/>
          <w:lang w:val="hr-HR"/>
        </w:rPr>
        <w:t xml:space="preserve">sseldorf </w:t>
      </w:r>
      <w:r w:rsidR="00084946" w:rsidRPr="00ED0211">
        <w:rPr>
          <w:rFonts w:ascii="Arial" w:hAnsi="Arial" w:cs="Arial"/>
          <w:color w:val="4D5156"/>
          <w:sz w:val="21"/>
          <w:szCs w:val="21"/>
          <w:shd w:val="clear" w:color="auto" w:fill="FFFFFF"/>
          <w:lang w:val="hr-HR"/>
        </w:rPr>
        <w:t>– </w:t>
      </w:r>
      <w:r w:rsidR="00084946" w:rsidRPr="00F63F8D" w:rsidDel="00084946">
        <w:rPr>
          <w:b/>
          <w:bCs/>
          <w:lang w:val="hr-HR"/>
        </w:rPr>
        <w:t xml:space="preserve"> </w:t>
      </w:r>
      <w:r w:rsidRPr="00F63F8D">
        <w:rPr>
          <w:b/>
          <w:bCs/>
          <w:lang w:val="hr-HR"/>
        </w:rPr>
        <w:t>„Općenito, postigli smo dobre poslovne rezultate u 2021. godini i dosljedno smo radili na provedbi naše</w:t>
      </w:r>
      <w:r w:rsidR="005B0689">
        <w:rPr>
          <w:b/>
          <w:bCs/>
          <w:lang w:val="hr-HR"/>
        </w:rPr>
        <w:t>g</w:t>
      </w:r>
      <w:r w:rsidRPr="00F63F8D">
        <w:rPr>
          <w:b/>
          <w:bCs/>
          <w:lang w:val="hr-HR"/>
        </w:rPr>
        <w:t xml:space="preserve"> stratešk</w:t>
      </w:r>
      <w:r w:rsidR="005B0689">
        <w:rPr>
          <w:b/>
          <w:bCs/>
          <w:lang w:val="hr-HR"/>
        </w:rPr>
        <w:t>og</w:t>
      </w:r>
      <w:r w:rsidRPr="00F63F8D">
        <w:rPr>
          <w:b/>
          <w:bCs/>
          <w:lang w:val="hr-HR"/>
        </w:rPr>
        <w:t xml:space="preserve"> </w:t>
      </w:r>
      <w:r w:rsidR="005B0689">
        <w:rPr>
          <w:b/>
          <w:bCs/>
          <w:lang w:val="hr-HR"/>
        </w:rPr>
        <w:t>plana</w:t>
      </w:r>
      <w:r w:rsidR="007B1860">
        <w:rPr>
          <w:b/>
          <w:bCs/>
          <w:lang w:val="hr-HR"/>
        </w:rPr>
        <w:t>,</w:t>
      </w:r>
      <w:r w:rsidRPr="00F63F8D">
        <w:rPr>
          <w:b/>
          <w:bCs/>
          <w:lang w:val="hr-HR"/>
        </w:rPr>
        <w:t xml:space="preserve"> unatoč vrlo izazovnim tržišnim uvjetima, bez presedana, s poremećajima u globalnim lancima opskrbe, nedostatkom ključnih sirovina i značajnim porastom cijena“, rekao je </w:t>
      </w:r>
      <w:r w:rsidR="00416362">
        <w:rPr>
          <w:b/>
          <w:bCs/>
          <w:lang w:val="hr-HR"/>
        </w:rPr>
        <w:t>i</w:t>
      </w:r>
      <w:r w:rsidR="00416362" w:rsidRPr="00F63F8D">
        <w:rPr>
          <w:b/>
          <w:bCs/>
          <w:lang w:val="hr-HR"/>
        </w:rPr>
        <w:t xml:space="preserve">zvršni </w:t>
      </w:r>
      <w:r w:rsidRPr="00F63F8D">
        <w:rPr>
          <w:b/>
          <w:bCs/>
          <w:lang w:val="hr-HR"/>
        </w:rPr>
        <w:t>direktor Henkela Carsten Knobel.</w:t>
      </w:r>
    </w:p>
    <w:p w14:paraId="1576D2E1" w14:textId="3B0DC241" w:rsidR="00926980" w:rsidRPr="00F63F8D" w:rsidRDefault="00926980" w:rsidP="00132779">
      <w:pPr>
        <w:spacing w:after="80"/>
        <w:rPr>
          <w:rFonts w:asciiTheme="majorHAnsi" w:hAnsiTheme="majorHAnsi" w:cstheme="majorHAnsi"/>
          <w:b/>
          <w:bCs/>
          <w:lang w:val="hr-HR"/>
        </w:rPr>
      </w:pPr>
    </w:p>
    <w:p w14:paraId="597EADFD" w14:textId="628FE646" w:rsidR="00144D06" w:rsidRPr="00F63F8D" w:rsidRDefault="00C52F76" w:rsidP="00240DBF">
      <w:pPr>
        <w:rPr>
          <w:rFonts w:asciiTheme="majorHAnsi" w:hAnsiTheme="majorHAnsi" w:cstheme="majorHAnsi"/>
          <w:b/>
          <w:bCs/>
          <w:lang w:val="hr-HR"/>
        </w:rPr>
      </w:pPr>
      <w:r w:rsidRPr="00F63F8D">
        <w:rPr>
          <w:rFonts w:asciiTheme="majorHAnsi" w:hAnsiTheme="majorHAnsi"/>
          <w:b/>
          <w:lang w:val="hr-HR"/>
        </w:rPr>
        <w:t xml:space="preserve">„Zabilježili smo organski rast u svim poslovnim sektorima, zadržali smo stabilne marže i ostvarili vrlo snažan rast prihoda po prioritetnim aktivnostima. To </w:t>
      </w:r>
      <w:r w:rsidR="00DC42DD">
        <w:rPr>
          <w:rFonts w:asciiTheme="majorHAnsi" w:hAnsiTheme="majorHAnsi"/>
          <w:b/>
          <w:lang w:val="hr-HR"/>
        </w:rPr>
        <w:t>smo postigli</w:t>
      </w:r>
      <w:r w:rsidR="00DC42DD" w:rsidRPr="00F63F8D">
        <w:rPr>
          <w:rFonts w:asciiTheme="majorHAnsi" w:hAnsiTheme="majorHAnsi"/>
          <w:b/>
          <w:lang w:val="hr-HR"/>
        </w:rPr>
        <w:t xml:space="preserve"> </w:t>
      </w:r>
      <w:r w:rsidRPr="00F63F8D">
        <w:rPr>
          <w:rFonts w:asciiTheme="majorHAnsi" w:hAnsiTheme="majorHAnsi"/>
          <w:b/>
          <w:lang w:val="hr-HR"/>
        </w:rPr>
        <w:t xml:space="preserve">zahvaljujući našem globalnom Henkelovom timu. Zajedno smo postigli napredak u našoj </w:t>
      </w:r>
      <w:r w:rsidR="005B0689">
        <w:rPr>
          <w:rFonts w:asciiTheme="majorHAnsi" w:hAnsiTheme="majorHAnsi"/>
          <w:b/>
          <w:lang w:val="hr-HR"/>
        </w:rPr>
        <w:t>Strategiji</w:t>
      </w:r>
      <w:r w:rsidR="005B0689" w:rsidRPr="00F63F8D">
        <w:rPr>
          <w:rFonts w:asciiTheme="majorHAnsi" w:hAnsiTheme="majorHAnsi"/>
          <w:b/>
          <w:lang w:val="hr-HR"/>
        </w:rPr>
        <w:t xml:space="preserve"> </w:t>
      </w:r>
      <w:r w:rsidRPr="00F63F8D">
        <w:rPr>
          <w:rFonts w:asciiTheme="majorHAnsi" w:hAnsiTheme="majorHAnsi"/>
          <w:b/>
          <w:lang w:val="hr-HR"/>
        </w:rPr>
        <w:t>za svr</w:t>
      </w:r>
      <w:r w:rsidR="003B17E7">
        <w:rPr>
          <w:rFonts w:asciiTheme="majorHAnsi" w:hAnsiTheme="majorHAnsi"/>
          <w:b/>
          <w:lang w:val="hr-HR"/>
        </w:rPr>
        <w:t>hovit</w:t>
      </w:r>
      <w:r w:rsidRPr="00F63F8D">
        <w:rPr>
          <w:rFonts w:asciiTheme="majorHAnsi" w:hAnsiTheme="majorHAnsi"/>
          <w:b/>
          <w:lang w:val="hr-HR"/>
        </w:rPr>
        <w:t xml:space="preserve"> rast</w:t>
      </w:r>
      <w:r w:rsidR="00DC42DD">
        <w:rPr>
          <w:rFonts w:asciiTheme="majorHAnsi" w:hAnsiTheme="majorHAnsi"/>
          <w:b/>
          <w:lang w:val="hr-HR"/>
        </w:rPr>
        <w:t>,</w:t>
      </w:r>
      <w:r w:rsidRPr="00F63F8D">
        <w:rPr>
          <w:rFonts w:asciiTheme="majorHAnsi" w:hAnsiTheme="majorHAnsi"/>
          <w:b/>
          <w:lang w:val="hr-HR"/>
        </w:rPr>
        <w:t xml:space="preserve"> čak i u ovim izazovnim vremenima. Zahvaljujem svim našim zaposlenicima na izuzetnom angažmanu. Posebno</w:t>
      </w:r>
      <w:r w:rsidR="00B43A87">
        <w:rPr>
          <w:rFonts w:asciiTheme="majorHAnsi" w:hAnsiTheme="majorHAnsi"/>
          <w:b/>
          <w:lang w:val="hr-HR"/>
        </w:rPr>
        <w:t xml:space="preserve"> zahvaljujemo</w:t>
      </w:r>
      <w:r w:rsidRPr="00F63F8D">
        <w:rPr>
          <w:rFonts w:asciiTheme="majorHAnsi" w:hAnsiTheme="majorHAnsi"/>
          <w:b/>
          <w:lang w:val="hr-HR"/>
        </w:rPr>
        <w:t xml:space="preserve"> onima koji su na licu mjesta osigurali nastavak naše proizvodnje i procesa koji su ključni za poslovanje.” </w:t>
      </w:r>
    </w:p>
    <w:p w14:paraId="608F9E62" w14:textId="6704E669" w:rsidR="00144D06" w:rsidRPr="00F63F8D" w:rsidRDefault="00144D06" w:rsidP="00132779">
      <w:pPr>
        <w:spacing w:after="80"/>
        <w:rPr>
          <w:rFonts w:asciiTheme="majorHAnsi" w:hAnsiTheme="majorHAnsi" w:cstheme="majorHAnsi"/>
          <w:b/>
          <w:bCs/>
          <w:lang w:val="hr-HR"/>
        </w:rPr>
      </w:pPr>
    </w:p>
    <w:p w14:paraId="4647CEE4" w14:textId="124F4F14" w:rsidR="00144D06" w:rsidRPr="00F63F8D" w:rsidRDefault="00144D06" w:rsidP="00240DBF">
      <w:pPr>
        <w:rPr>
          <w:rFonts w:asciiTheme="majorHAnsi" w:hAnsiTheme="majorHAnsi" w:cstheme="majorHAnsi"/>
          <w:b/>
          <w:bCs/>
          <w:lang w:val="hr-HR"/>
        </w:rPr>
      </w:pPr>
      <w:r w:rsidRPr="00F63F8D">
        <w:rPr>
          <w:rFonts w:asciiTheme="majorHAnsi" w:hAnsiTheme="majorHAnsi"/>
          <w:b/>
          <w:lang w:val="hr-HR"/>
        </w:rPr>
        <w:t>Henkel je ostvario organski rast prodaje od oko 20,1 milijard</w:t>
      </w:r>
      <w:r w:rsidR="00F63F8D" w:rsidRPr="00F63F8D">
        <w:rPr>
          <w:rFonts w:asciiTheme="majorHAnsi" w:hAnsiTheme="majorHAnsi"/>
          <w:b/>
          <w:lang w:val="hr-HR"/>
        </w:rPr>
        <w:t>e</w:t>
      </w:r>
      <w:r w:rsidRPr="00F63F8D">
        <w:rPr>
          <w:rFonts w:asciiTheme="majorHAnsi" w:hAnsiTheme="majorHAnsi"/>
          <w:b/>
          <w:lang w:val="hr-HR"/>
        </w:rPr>
        <w:t xml:space="preserve"> eura u fiskalnoj 2021. To odgovara organskom rastu prodaje od 7,8 posto u odnosu na 2020. g</w:t>
      </w:r>
      <w:r w:rsidR="00F63F8D" w:rsidRPr="00F63F8D">
        <w:rPr>
          <w:rFonts w:asciiTheme="majorHAnsi" w:hAnsiTheme="majorHAnsi"/>
          <w:b/>
          <w:lang w:val="hr-HR"/>
        </w:rPr>
        <w:t>o</w:t>
      </w:r>
      <w:r w:rsidRPr="00F63F8D">
        <w:rPr>
          <w:rFonts w:asciiTheme="majorHAnsi" w:hAnsiTheme="majorHAnsi"/>
          <w:b/>
          <w:lang w:val="hr-HR"/>
        </w:rPr>
        <w:t>dinu. Osobito se pozitivno odrazio značajan oporavak potražnje u industrijskom segmentu</w:t>
      </w:r>
      <w:r w:rsidR="005B0689">
        <w:rPr>
          <w:rFonts w:asciiTheme="majorHAnsi" w:hAnsiTheme="majorHAnsi"/>
          <w:b/>
          <w:lang w:val="hr-HR"/>
        </w:rPr>
        <w:t xml:space="preserve"> i segmentu za njegu kose</w:t>
      </w:r>
      <w:r w:rsidRPr="00F63F8D">
        <w:rPr>
          <w:rFonts w:asciiTheme="majorHAnsi" w:hAnsiTheme="majorHAnsi"/>
          <w:b/>
          <w:lang w:val="hr-HR"/>
        </w:rPr>
        <w:t xml:space="preserve">. U području robe široke potrošnje, potražnja u nekoliko kategorija vratila se na uobičajene obrasce u odnosu na prethodnu 2020. kada je bila veća potražnja za higijenskim </w:t>
      </w:r>
      <w:r w:rsidR="005B0689">
        <w:rPr>
          <w:rFonts w:asciiTheme="majorHAnsi" w:hAnsiTheme="majorHAnsi"/>
          <w:b/>
          <w:lang w:val="hr-HR"/>
        </w:rPr>
        <w:t xml:space="preserve">sredstvima </w:t>
      </w:r>
      <w:r w:rsidRPr="00F63F8D">
        <w:rPr>
          <w:rFonts w:asciiTheme="majorHAnsi" w:hAnsiTheme="majorHAnsi"/>
          <w:b/>
          <w:lang w:val="hr-HR"/>
        </w:rPr>
        <w:t>i sredstvima za čišćenje te bojama za kosu, dok je potražnja za proizvodima za styling bila manja. Istodobno, utjecaj značajnog povećanja cijena sirovina i logističkih usluga kao i utjecaji tečajnih razlika umanjili su profitabilnost u fiskalnoj 2021. Zahvaljujući znatno većem prometu, uspješnom povećanju cijena, aktivnom upravljanju troškovima i tekućim strukturnim prilagodbama, Henkel je uspio nadoknaditi, pa čak i premašiti</w:t>
      </w:r>
      <w:r w:rsidR="009A5D32">
        <w:rPr>
          <w:rFonts w:asciiTheme="majorHAnsi" w:hAnsiTheme="majorHAnsi"/>
          <w:b/>
          <w:lang w:val="hr-HR"/>
        </w:rPr>
        <w:t>,</w:t>
      </w:r>
      <w:r w:rsidRPr="00F63F8D">
        <w:rPr>
          <w:rFonts w:asciiTheme="majorHAnsi" w:hAnsiTheme="majorHAnsi"/>
          <w:b/>
          <w:lang w:val="hr-HR"/>
        </w:rPr>
        <w:t xml:space="preserve"> utjecaj na zarad</w:t>
      </w:r>
      <w:r w:rsidR="005B0689">
        <w:rPr>
          <w:rFonts w:asciiTheme="majorHAnsi" w:hAnsiTheme="majorHAnsi"/>
          <w:b/>
          <w:lang w:val="hr-HR"/>
        </w:rPr>
        <w:t>u</w:t>
      </w:r>
      <w:r w:rsidRPr="00F63F8D">
        <w:rPr>
          <w:rFonts w:asciiTheme="majorHAnsi" w:hAnsiTheme="majorHAnsi"/>
          <w:b/>
          <w:lang w:val="hr-HR"/>
        </w:rPr>
        <w:t xml:space="preserve">. Prilagođena operativna dobit porasla je za 4,2 posto na 2,7 milijardi eura. Prilagođeni </w:t>
      </w:r>
      <w:r w:rsidR="005B0689">
        <w:rPr>
          <w:rFonts w:asciiTheme="majorHAnsi" w:hAnsiTheme="majorHAnsi"/>
          <w:b/>
          <w:lang w:val="hr-HR"/>
        </w:rPr>
        <w:t>prinos</w:t>
      </w:r>
      <w:r w:rsidR="005B0689" w:rsidRPr="00F63F8D">
        <w:rPr>
          <w:rFonts w:asciiTheme="majorHAnsi" w:hAnsiTheme="majorHAnsi"/>
          <w:b/>
          <w:lang w:val="hr-HR"/>
        </w:rPr>
        <w:t xml:space="preserve"> </w:t>
      </w:r>
      <w:r w:rsidRPr="00F63F8D">
        <w:rPr>
          <w:rFonts w:asciiTheme="majorHAnsi" w:hAnsiTheme="majorHAnsi"/>
          <w:b/>
          <w:lang w:val="hr-HR"/>
        </w:rPr>
        <w:t xml:space="preserve">od prodaje iznosio je 13,4 posto u odnosu na prethodnu godinu, a korigirani prihod od povlaštenih dionica porastao je na 4,56 eura. To predstavlja značajno poboljšanje od 9,2 posto uz konstantan tečaj. </w:t>
      </w:r>
    </w:p>
    <w:p w14:paraId="681DDC5F" w14:textId="309F53F8" w:rsidR="004A2D73" w:rsidRPr="00F63F8D" w:rsidRDefault="004A2D73" w:rsidP="00132779">
      <w:pPr>
        <w:spacing w:after="80"/>
        <w:rPr>
          <w:rFonts w:asciiTheme="majorHAnsi" w:hAnsiTheme="majorHAnsi" w:cstheme="majorHAnsi"/>
          <w:b/>
          <w:bCs/>
          <w:lang w:val="hr-HR"/>
        </w:rPr>
      </w:pPr>
    </w:p>
    <w:p w14:paraId="0AD30058" w14:textId="5CE6C756" w:rsidR="000B79FE" w:rsidRPr="00F63F8D" w:rsidRDefault="004A2D73" w:rsidP="00240DBF">
      <w:pPr>
        <w:rPr>
          <w:rFonts w:asciiTheme="majorHAnsi" w:hAnsiTheme="majorHAnsi" w:cstheme="majorBidi"/>
          <w:b/>
          <w:lang w:val="hr-HR"/>
        </w:rPr>
      </w:pPr>
      <w:r w:rsidRPr="00F63F8D">
        <w:rPr>
          <w:rFonts w:asciiTheme="majorHAnsi" w:hAnsiTheme="majorHAnsi"/>
          <w:b/>
          <w:lang w:val="hr-HR"/>
        </w:rPr>
        <w:t xml:space="preserve">Na temelju ovih rezultata, Henkel će svojim dioničarima predložiti stabilnu dividendu od 1,85 eura po povlaštenoj dionici i 1,83 eura po običnoj dionici na nadolazećoj godišnjoj skupštini. To predstavlja stopu isplate od 40,5 posto, što je nešto iznad ciljanog raspona od 30 do 40 posto prilagođenog neto prihoda nakon nekontrolirajućih interesa. Tvrtka isplaćuje stabilne dividende od početka pandemije COVID-19. </w:t>
      </w:r>
    </w:p>
    <w:p w14:paraId="0FF11476" w14:textId="77777777" w:rsidR="000B79FE" w:rsidRPr="00F63F8D" w:rsidRDefault="000B79FE" w:rsidP="00240DBF">
      <w:pPr>
        <w:rPr>
          <w:rFonts w:asciiTheme="majorHAnsi" w:hAnsiTheme="majorHAnsi" w:cstheme="majorHAnsi"/>
          <w:b/>
          <w:bCs/>
          <w:lang w:val="hr-HR"/>
        </w:rPr>
      </w:pPr>
    </w:p>
    <w:p w14:paraId="0F57AC90" w14:textId="0799793A" w:rsidR="004A2D73" w:rsidRPr="00F63F8D" w:rsidRDefault="007F4335" w:rsidP="00240DBF">
      <w:pPr>
        <w:rPr>
          <w:rFonts w:asciiTheme="majorHAnsi" w:hAnsiTheme="majorHAnsi" w:cstheme="majorBidi"/>
          <w:b/>
          <w:lang w:val="hr-HR"/>
        </w:rPr>
      </w:pPr>
      <w:r w:rsidRPr="00F63F8D">
        <w:rPr>
          <w:rFonts w:asciiTheme="majorHAnsi" w:hAnsiTheme="majorHAnsi"/>
          <w:noProof/>
          <w:lang w:val="en-US"/>
        </w:rPr>
        <mc:AlternateContent>
          <mc:Choice Requires="wps">
            <w:drawing>
              <wp:anchor distT="45720" distB="45720" distL="114300" distR="114300" simplePos="0" relativeHeight="251658240" behindDoc="0" locked="0" layoutInCell="1" allowOverlap="1" wp14:anchorId="5949FB00" wp14:editId="6A6D8C72">
                <wp:simplePos x="0" y="0"/>
                <wp:positionH relativeFrom="margin">
                  <wp:posOffset>0</wp:posOffset>
                </wp:positionH>
                <wp:positionV relativeFrom="paragraph">
                  <wp:posOffset>1414628</wp:posOffset>
                </wp:positionV>
                <wp:extent cx="3834143" cy="292735"/>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43"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95D21" w14:textId="77777777" w:rsidR="00C45028" w:rsidRPr="00A5555B" w:rsidRDefault="00C45028" w:rsidP="00C45028">
                            <w:pPr>
                              <w:autoSpaceDE w:val="0"/>
                              <w:autoSpaceDN w:val="0"/>
                              <w:adjustRightInd w:val="0"/>
                              <w:spacing w:line="360" w:lineRule="auto"/>
                              <w:rPr>
                                <w:sz w:val="16"/>
                                <w:szCs w:val="16"/>
                              </w:rPr>
                            </w:pPr>
                            <w:r w:rsidRPr="005C09A7">
                              <w:rPr>
                                <w:sz w:val="16"/>
                                <w:lang w:val="de-DE"/>
                              </w:rPr>
                              <w:t xml:space="preserve">* Prilagođeno za jednokratne troškove i dobit, te za troškove restrukturiranja. </w:t>
                            </w:r>
                            <w:r>
                              <w:rPr>
                                <w:sz w:val="16"/>
                              </w:rPr>
                              <w:t>Restrukturierungsaufwendungen.</w:t>
                            </w:r>
                          </w:p>
                          <w:p w14:paraId="00F6992D" w14:textId="77777777" w:rsidR="00C45028" w:rsidRPr="00A5555B" w:rsidRDefault="00C45028" w:rsidP="00C450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49FB00" id="_x0000_t202" coordsize="21600,21600" o:spt="202" path="m,l,21600r21600,l21600,xe">
                <v:stroke joinstyle="miter"/>
                <v:path gradientshapeok="t" o:connecttype="rect"/>
              </v:shapetype>
              <v:shape id="Textfeld 7" o:spid="_x0000_s1026" type="#_x0000_t202" style="position:absolute;left:0;text-align:left;margin-left:0;margin-top:111.4pt;width:301.9pt;height:23.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cKz9AEAAMoDAAAOAAAAZHJzL2Uyb0RvYy54bWysU8tu2zAQvBfoPxC81/IrTSJYDlIHLgqk&#10;DyDtB1AUJRGluOyStuR+fZeU4rjtragOBJdLzu7MjjZ3Q2fYUaHXYAu+mM05U1ZCpW1T8G9f929u&#10;OPNB2EoYsKrgJ+X53fb1q03vcrWEFkylkBGI9XnvCt6G4PIs87JVnfAzcMpSsgbsRKAQm6xC0RN6&#10;Z7LlfP426wErhyCV93T6MCb5NuHXtZLhc117FZgpOPUW0oppLeOabTcib1C4VsupDfEPXXRCWyp6&#10;hnoQQbAD6r+gOi0RPNRhJqHLoK61VIkDsVnM/2Dz1AqnEhcSx7uzTP7/wcpPxyf3BVkY3sFAA0wk&#10;vHsE+d0zC7tW2EbdI0LfKlFR4UWULOudz6enUWqf+whS9h+hoiGLQ4AENNTYRVWIJyN0GsDpLLoa&#10;ApN0uLpZrRfrFWeScsvb5fXqKpUQ+fNrhz68V9CxuCk40lATujg++hC7EfnzlVjMg9HVXhuTAmzK&#10;nUF2FGSAffom9N+uGRsvW4jPRsR4kmhGZiPHMJQDJSPdEqoTEUYYDUU/AG1awJ+c9WSmgvsfB4GK&#10;M/PBkmi3i/U6ui8F66vrJQV4mSkvM8JKgip44Gzc7sLo2IND3bRUaRyThXsSutZJg5eupr7JMEma&#10;ydzRkZdxuvXyC25/AQAA//8DAFBLAwQUAAYACAAAACEAAEdQ+NwAAAAIAQAADwAAAGRycy9kb3du&#10;cmV2LnhtbEyPwU7DQAxE70j8w8pIXBDdECBtQzYVIIF6bekHOFk3ich6o+y2Sf8ec4Kb7RmN3xSb&#10;2fXqTGPoPBt4WCSgiGtvO24MHL4+7legQkS22HsmAxcKsCmvrwrMrZ94R+d9bJSEcMjRQBvjkGsd&#10;6pYchoUfiEU7+tFhlHVstB1xknDX6zRJMu2wY/nQ4kDvLdXf+5MzcNxOd8/rqfqMh+XuKXvDbln5&#10;izG3N/PrC6hIc/wzwy++oEMpTJU/sQ2qNyBFooE0TaWAyFnyKEMll2y1Bl0W+n+B8gcAAP//AwBQ&#10;SwECLQAUAAYACAAAACEAtoM4kv4AAADhAQAAEwAAAAAAAAAAAAAAAAAAAAAAW0NvbnRlbnRfVHlw&#10;ZXNdLnhtbFBLAQItABQABgAIAAAAIQA4/SH/1gAAAJQBAAALAAAAAAAAAAAAAAAAAC8BAABfcmVs&#10;cy8ucmVsc1BLAQItABQABgAIAAAAIQA0gcKz9AEAAMoDAAAOAAAAAAAAAAAAAAAAAC4CAABkcnMv&#10;ZTJvRG9jLnhtbFBLAQItABQABgAIAAAAIQAAR1D43AAAAAgBAAAPAAAAAAAAAAAAAAAAAE4EAABk&#10;cnMvZG93bnJldi54bWxQSwUGAAAAAAQABADzAAAAVwUAAAAA&#10;" stroked="f">
                <v:textbox>
                  <w:txbxContent>
                    <w:p w14:paraId="2E795D21" w14:textId="77777777" w:rsidR="00C45028" w:rsidRPr="00A5555B" w:rsidRDefault="00C45028" w:rsidP="00C45028">
                      <w:pPr>
                        <w:autoSpaceDE w:val="0"/>
                        <w:autoSpaceDN w:val="0"/>
                        <w:adjustRightInd w:val="0"/>
                        <w:spacing w:line="360" w:lineRule="auto"/>
                        <w:rPr>
                          <w:sz w:val="16"/>
                          <w:szCs w:val="16"/>
                        </w:rPr>
                      </w:pPr>
                      <w:r w:rsidRPr="005C09A7">
                        <w:rPr>
                          <w:sz w:val="16"/>
                          <w:lang w:val="de-DE"/>
                        </w:rPr>
                        <w:t xml:space="preserve">* Prilagođeno za jednokratne troškove i dobit, te za troškove restrukturiranja. </w:t>
                      </w:r>
                      <w:proofErr w:type="spellStart"/>
                      <w:r>
                        <w:rPr>
                          <w:sz w:val="16"/>
                        </w:rPr>
                        <w:t>Restrukturierungsaufwendungen</w:t>
                      </w:r>
                      <w:proofErr w:type="spellEnd"/>
                      <w:r>
                        <w:rPr>
                          <w:sz w:val="16"/>
                        </w:rPr>
                        <w:t>.</w:t>
                      </w:r>
                    </w:p>
                    <w:p w14:paraId="00F6992D" w14:textId="77777777" w:rsidR="00C45028" w:rsidRPr="00A5555B" w:rsidRDefault="00C45028" w:rsidP="00C45028"/>
                  </w:txbxContent>
                </v:textbox>
                <w10:wrap anchorx="margin"/>
              </v:shape>
            </w:pict>
          </mc:Fallback>
        </mc:AlternateContent>
      </w:r>
      <w:r w:rsidR="004324A7" w:rsidRPr="00F63F8D">
        <w:rPr>
          <w:b/>
          <w:lang w:val="hr-HR"/>
        </w:rPr>
        <w:t>Osim toga, Henkel je najavio program otkupa dionica u vrijednosti do 1 milijarde eura krajem siječnja 2022. i već je započeo s provedbom u veljači.</w:t>
      </w:r>
      <w:r w:rsidR="004324A7" w:rsidRPr="00F63F8D">
        <w:rPr>
          <w:rFonts w:asciiTheme="majorHAnsi" w:hAnsiTheme="majorHAnsi"/>
          <w:b/>
          <w:lang w:val="hr-HR"/>
        </w:rPr>
        <w:t xml:space="preserve"> </w:t>
      </w:r>
      <w:r w:rsidR="004324A7" w:rsidRPr="00F63F8D">
        <w:rPr>
          <w:b/>
          <w:bCs/>
          <w:lang w:val="hr-HR"/>
        </w:rPr>
        <w:t>Henkel planira otkup povlaštenih dionica ukupne vrijednosti do 800 milijuna eura i običnih dionica ukupne vrijednosti do 200 milijuna eura.</w:t>
      </w:r>
      <w:r w:rsidR="004324A7" w:rsidRPr="00F63F8D">
        <w:rPr>
          <w:lang w:val="hr-HR"/>
        </w:rPr>
        <w:t xml:space="preserve"> </w:t>
      </w:r>
      <w:r w:rsidR="004324A7" w:rsidRPr="00F63F8D">
        <w:rPr>
          <w:rFonts w:asciiTheme="majorHAnsi" w:hAnsiTheme="majorHAnsi"/>
          <w:b/>
          <w:lang w:val="hr-HR"/>
        </w:rPr>
        <w:t xml:space="preserve">Očekuje se da će program biti implementiran najkasnije do 31. ožujka 2023. </w:t>
      </w:r>
      <w:r w:rsidR="0002317A">
        <w:rPr>
          <w:rFonts w:asciiTheme="majorHAnsi" w:hAnsiTheme="majorHAnsi"/>
          <w:b/>
          <w:lang w:val="hr-HR"/>
        </w:rPr>
        <w:t>g</w:t>
      </w:r>
      <w:r w:rsidR="004324A7" w:rsidRPr="00F63F8D">
        <w:rPr>
          <w:rFonts w:asciiTheme="majorHAnsi" w:hAnsiTheme="majorHAnsi"/>
          <w:b/>
          <w:lang w:val="hr-HR"/>
        </w:rPr>
        <w:t>odine.</w:t>
      </w:r>
    </w:p>
    <w:p w14:paraId="5F874F64" w14:textId="53CDE5D8" w:rsidR="008A720E" w:rsidRPr="00F63F8D" w:rsidRDefault="008A720E" w:rsidP="00240DBF">
      <w:pPr>
        <w:rPr>
          <w:rFonts w:asciiTheme="majorHAnsi" w:hAnsiTheme="majorHAnsi" w:cstheme="majorBidi"/>
          <w:b/>
          <w:lang w:val="hr-HR"/>
        </w:rPr>
      </w:pPr>
    </w:p>
    <w:p w14:paraId="4CCFB2FA" w14:textId="4AD4DAA3" w:rsidR="009A1A45" w:rsidRPr="00F63F8D" w:rsidRDefault="009A1A45" w:rsidP="00240DBF">
      <w:pPr>
        <w:rPr>
          <w:rFonts w:asciiTheme="majorHAnsi" w:hAnsiTheme="majorHAnsi" w:cstheme="majorBidi"/>
          <w:b/>
          <w:lang w:val="hr-HR"/>
        </w:rPr>
      </w:pPr>
      <w:r w:rsidRPr="00F63F8D">
        <w:rPr>
          <w:rFonts w:asciiTheme="majorHAnsi" w:hAnsiTheme="majorHAnsi"/>
          <w:b/>
          <w:lang w:val="hr-HR"/>
        </w:rPr>
        <w:t>„Dosljedno provodimo naš stratešk</w:t>
      </w:r>
      <w:r w:rsidR="002E5AB5">
        <w:rPr>
          <w:rFonts w:asciiTheme="majorHAnsi" w:hAnsiTheme="majorHAnsi"/>
          <w:b/>
          <w:lang w:val="hr-HR"/>
        </w:rPr>
        <w:t>i</w:t>
      </w:r>
      <w:r w:rsidRPr="00F63F8D">
        <w:rPr>
          <w:rFonts w:asciiTheme="majorHAnsi" w:hAnsiTheme="majorHAnsi"/>
          <w:b/>
          <w:lang w:val="hr-HR"/>
        </w:rPr>
        <w:t xml:space="preserve"> </w:t>
      </w:r>
      <w:r w:rsidR="002E5AB5">
        <w:rPr>
          <w:rFonts w:asciiTheme="majorHAnsi" w:hAnsiTheme="majorHAnsi"/>
          <w:b/>
          <w:lang w:val="hr-HR"/>
        </w:rPr>
        <w:t>plan</w:t>
      </w:r>
      <w:r w:rsidR="002E5AB5" w:rsidRPr="00F63F8D">
        <w:rPr>
          <w:rFonts w:asciiTheme="majorHAnsi" w:hAnsiTheme="majorHAnsi"/>
          <w:b/>
          <w:lang w:val="hr-HR"/>
        </w:rPr>
        <w:t xml:space="preserve"> </w:t>
      </w:r>
      <w:r w:rsidRPr="00F63F8D">
        <w:rPr>
          <w:rFonts w:asciiTheme="majorHAnsi" w:hAnsiTheme="majorHAnsi"/>
          <w:b/>
          <w:lang w:val="hr-HR"/>
        </w:rPr>
        <w:t xml:space="preserve">i napravili smo jako dobar napredak u mnogim ključnim područjima. U nekim područjima, međutim, vidimo potrebu za dodatnim djelovanjem. Stoga sada podižemo našu </w:t>
      </w:r>
      <w:r w:rsidR="002E5AB5">
        <w:rPr>
          <w:rFonts w:asciiTheme="majorHAnsi" w:hAnsiTheme="majorHAnsi"/>
          <w:b/>
          <w:lang w:val="hr-HR"/>
        </w:rPr>
        <w:t>Strategiju</w:t>
      </w:r>
      <w:r w:rsidR="002E5AB5" w:rsidRPr="00F63F8D">
        <w:rPr>
          <w:rFonts w:asciiTheme="majorHAnsi" w:hAnsiTheme="majorHAnsi"/>
          <w:b/>
          <w:lang w:val="hr-HR"/>
        </w:rPr>
        <w:t xml:space="preserve"> </w:t>
      </w:r>
      <w:r w:rsidRPr="00F63F8D">
        <w:rPr>
          <w:rFonts w:asciiTheme="majorHAnsi" w:hAnsiTheme="majorHAnsi"/>
          <w:b/>
          <w:lang w:val="hr-HR"/>
        </w:rPr>
        <w:t xml:space="preserve">svrhovitog rasta na sljedeću razinu: </w:t>
      </w:r>
      <w:r w:rsidR="00470DED">
        <w:rPr>
          <w:rFonts w:asciiTheme="majorHAnsi" w:hAnsiTheme="majorHAnsi"/>
          <w:b/>
          <w:lang w:val="hr-HR"/>
        </w:rPr>
        <w:t>„</w:t>
      </w:r>
      <w:r w:rsidRPr="00F63F8D">
        <w:rPr>
          <w:rFonts w:asciiTheme="majorHAnsi" w:hAnsiTheme="majorHAnsi"/>
          <w:b/>
          <w:lang w:val="hr-HR"/>
        </w:rPr>
        <w:t xml:space="preserve">Krajem siječnja najavili smo spajanje naših poslovnih sektora </w:t>
      </w:r>
      <w:r w:rsidR="00F63F8D" w:rsidRPr="00F63F8D">
        <w:rPr>
          <w:rFonts w:asciiTheme="majorHAnsi" w:hAnsiTheme="majorHAnsi"/>
          <w:b/>
          <w:lang w:val="hr-HR"/>
        </w:rPr>
        <w:t>Sredstva za pranje i čišćenje u domaćinstvu</w:t>
      </w:r>
      <w:r w:rsidRPr="00F63F8D">
        <w:rPr>
          <w:rFonts w:asciiTheme="majorHAnsi" w:hAnsiTheme="majorHAnsi"/>
          <w:b/>
          <w:lang w:val="hr-HR"/>
        </w:rPr>
        <w:t xml:space="preserve"> i </w:t>
      </w:r>
      <w:r w:rsidR="00F63F8D">
        <w:rPr>
          <w:rFonts w:asciiTheme="majorHAnsi" w:hAnsiTheme="majorHAnsi"/>
          <w:b/>
          <w:lang w:val="hr-HR"/>
        </w:rPr>
        <w:t>Beauty Care</w:t>
      </w:r>
      <w:r w:rsidRPr="00F63F8D">
        <w:rPr>
          <w:rFonts w:asciiTheme="majorHAnsi" w:hAnsiTheme="majorHAnsi"/>
          <w:b/>
          <w:lang w:val="hr-HR"/>
        </w:rPr>
        <w:t xml:space="preserve"> u jedan poslovni sektor, Henkel Consumer Brands. Time će se stvoriti platforma s više kategorija s prodajom od oko 10 milijardi eura. To pruža širu osnovu za dosljedniju optimizaciju našeg portfelja, kako bismo omogućili veći rast i bolji profil marže. To se odražava i na naše srednjoročne i dugoročne financijske ciljeve“, rekao je Carsten Knobel. </w:t>
      </w:r>
      <w:r w:rsidRPr="00F63F8D">
        <w:rPr>
          <w:b/>
          <w:bCs/>
          <w:lang w:val="hr-HR"/>
        </w:rPr>
        <w:t>„Osim toga, naš investicijski fond Venture Fund II sa 150 milijuna eura i naš novi Strateški okvir za ostvarivanje ambicije održivog poslovanja 2030+ predstavljaju važan poticaj u područjima inovacija i održivosti.</w:t>
      </w:r>
      <w:r w:rsidRPr="00F63F8D">
        <w:rPr>
          <w:rFonts w:asciiTheme="majorHAnsi" w:hAnsiTheme="majorHAnsi"/>
          <w:b/>
          <w:lang w:val="hr-HR"/>
        </w:rPr>
        <w:t xml:space="preserve"> </w:t>
      </w:r>
      <w:r w:rsidR="00A42EC6">
        <w:rPr>
          <w:rFonts w:asciiTheme="majorHAnsi" w:hAnsiTheme="majorHAnsi"/>
          <w:b/>
          <w:lang w:val="hr-HR"/>
        </w:rPr>
        <w:t>N</w:t>
      </w:r>
      <w:r w:rsidRPr="00F63F8D">
        <w:rPr>
          <w:rFonts w:asciiTheme="majorHAnsi" w:hAnsiTheme="majorHAnsi"/>
          <w:b/>
          <w:lang w:val="hr-HR"/>
        </w:rPr>
        <w:t>ov, otvoren i dinamičan pogled na naš korporativni brend jača našu svrhu.”</w:t>
      </w:r>
    </w:p>
    <w:p w14:paraId="64C94BC1" w14:textId="5F5CC288" w:rsidR="00144D06" w:rsidRPr="00F63F8D" w:rsidRDefault="00144D06" w:rsidP="00132779">
      <w:pPr>
        <w:spacing w:after="80"/>
        <w:rPr>
          <w:rFonts w:asciiTheme="majorHAnsi" w:hAnsiTheme="majorHAnsi" w:cstheme="majorHAnsi"/>
          <w:b/>
          <w:bCs/>
          <w:lang w:val="hr-HR"/>
        </w:rPr>
      </w:pPr>
    </w:p>
    <w:p w14:paraId="7E78560E" w14:textId="77DD58D8" w:rsidR="0004027E" w:rsidRPr="00F63F8D" w:rsidRDefault="0004027E" w:rsidP="0004027E">
      <w:pPr>
        <w:spacing w:after="120"/>
        <w:rPr>
          <w:rFonts w:cs="Segoe UI"/>
          <w:b/>
          <w:bCs/>
          <w:szCs w:val="22"/>
          <w:lang w:val="hr-HR"/>
        </w:rPr>
      </w:pPr>
      <w:r w:rsidRPr="00F63F8D">
        <w:rPr>
          <w:b/>
          <w:lang w:val="hr-HR"/>
        </w:rPr>
        <w:t>Grupna prodaja i rezultati prihoda u fiskalnoj 2021.</w:t>
      </w:r>
    </w:p>
    <w:p w14:paraId="698A600D" w14:textId="3BDE52D5" w:rsidR="0004027E" w:rsidRPr="00F63F8D" w:rsidRDefault="0004027E" w:rsidP="0004027E">
      <w:pPr>
        <w:rPr>
          <w:rFonts w:cs="Segoe UI"/>
          <w:szCs w:val="22"/>
          <w:lang w:val="hr-HR"/>
        </w:rPr>
      </w:pPr>
      <w:r w:rsidRPr="00F63F8D">
        <w:rPr>
          <w:b/>
          <w:bCs/>
          <w:lang w:val="hr-HR"/>
        </w:rPr>
        <w:t>Prodaja</w:t>
      </w:r>
      <w:r w:rsidRPr="00F63F8D">
        <w:rPr>
          <w:lang w:val="hr-HR"/>
        </w:rPr>
        <w:t xml:space="preserve"> Henkel grupe dosegla je 20,066 milijardi eura u fiskalnoj 2021. To predstavlja nominalni rast od 4,2 posto i značajan </w:t>
      </w:r>
      <w:r w:rsidRPr="00F63F8D">
        <w:rPr>
          <w:b/>
          <w:bCs/>
          <w:lang w:val="hr-HR"/>
        </w:rPr>
        <w:t>organski rast prodaje</w:t>
      </w:r>
      <w:r w:rsidRPr="00F63F8D">
        <w:rPr>
          <w:lang w:val="hr-HR"/>
        </w:rPr>
        <w:t xml:space="preserve"> od 7,8 posto</w:t>
      </w:r>
      <w:r w:rsidR="00F63F8D">
        <w:rPr>
          <w:lang w:val="hr-HR"/>
        </w:rPr>
        <w:t>.</w:t>
      </w:r>
      <w:r w:rsidRPr="00F63F8D">
        <w:rPr>
          <w:lang w:val="hr-HR"/>
        </w:rPr>
        <w:t xml:space="preserve"> Utjecaj akvizicija i prodaje na prodaju bio je blago negativan, -0,1 posto. Utjecaj tečaja na prodaju bio je negativan i iznosio je -3,5 posto.</w:t>
      </w:r>
    </w:p>
    <w:p w14:paraId="7C93D46C" w14:textId="77777777" w:rsidR="0004027E" w:rsidRPr="00F63F8D" w:rsidRDefault="0004027E" w:rsidP="0004027E">
      <w:pPr>
        <w:rPr>
          <w:rFonts w:cs="Segoe UI"/>
          <w:szCs w:val="22"/>
          <w:lang w:val="hr-HR"/>
        </w:rPr>
      </w:pPr>
    </w:p>
    <w:p w14:paraId="4E491D2F" w14:textId="6CDC4613" w:rsidR="0004027E" w:rsidRPr="00F63F8D" w:rsidRDefault="0004027E" w:rsidP="0004027E">
      <w:pPr>
        <w:rPr>
          <w:rFonts w:cs="Segoe UI"/>
          <w:lang w:val="hr-HR"/>
        </w:rPr>
      </w:pPr>
      <w:r w:rsidRPr="00F63F8D">
        <w:rPr>
          <w:lang w:val="hr-HR"/>
        </w:rPr>
        <w:t xml:space="preserve">Poslovni sektor </w:t>
      </w:r>
      <w:r w:rsidRPr="00F63F8D">
        <w:rPr>
          <w:b/>
          <w:bCs/>
          <w:lang w:val="hr-HR"/>
        </w:rPr>
        <w:t>Ljepila i tehnologije</w:t>
      </w:r>
      <w:r w:rsidRPr="00F63F8D">
        <w:rPr>
          <w:lang w:val="hr-HR"/>
        </w:rPr>
        <w:t xml:space="preserve"> zabilježio je dvoznamenkasti organski rast prodaje od 13,4 posto, prvenstveno uzrokovan značajnim oporavkom industrijske potražnje u odnosu na 2020. kada je pandemija COVID-19 imala značajan utjecaj. Prodaja poslovnog sektora </w:t>
      </w:r>
      <w:r w:rsidRPr="00F63F8D">
        <w:rPr>
          <w:b/>
          <w:bCs/>
          <w:lang w:val="hr-HR"/>
        </w:rPr>
        <w:t xml:space="preserve">Beauty Care </w:t>
      </w:r>
      <w:r w:rsidRPr="00F63F8D">
        <w:rPr>
          <w:lang w:val="hr-HR"/>
        </w:rPr>
        <w:t xml:space="preserve">zabilježila je organski rast od 1,4 posto. Dok je oporavak poslovanja frizerskih salona </w:t>
      </w:r>
      <w:r w:rsidR="002E5AB5">
        <w:rPr>
          <w:lang w:val="hr-HR"/>
        </w:rPr>
        <w:t>imao pozitivan utjecaj</w:t>
      </w:r>
      <w:r w:rsidRPr="00F63F8D">
        <w:rPr>
          <w:lang w:val="hr-HR"/>
        </w:rPr>
        <w:t xml:space="preserve">, na poslovanje s robom široke potrošnje poslovnog sektora Beauty Care posebno je utjecala normalizacija potražnje u kategoriji njege tijela.  Poslovni sektor </w:t>
      </w:r>
      <w:r w:rsidRPr="00F63F8D">
        <w:rPr>
          <w:b/>
          <w:bCs/>
          <w:lang w:val="hr-HR"/>
        </w:rPr>
        <w:t>Sredstva za pranje i čišćenje u domaćinstvu</w:t>
      </w:r>
      <w:r w:rsidRPr="00F63F8D">
        <w:rPr>
          <w:lang w:val="hr-HR"/>
        </w:rPr>
        <w:t xml:space="preserve"> ostvario je snažan organski rast prodaje od 3,9 posto, a oba područja, </w:t>
      </w:r>
      <w:r w:rsidR="00A65409">
        <w:rPr>
          <w:lang w:val="hr-HR"/>
        </w:rPr>
        <w:t>s</w:t>
      </w:r>
      <w:r w:rsidR="00A65409" w:rsidRPr="00A65409">
        <w:rPr>
          <w:lang w:val="hr-HR"/>
        </w:rPr>
        <w:t xml:space="preserve">redstva za pranje i čišćenje u domaćinstvu </w:t>
      </w:r>
      <w:r w:rsidRPr="00F63F8D">
        <w:rPr>
          <w:lang w:val="hr-HR"/>
        </w:rPr>
        <w:t>za kućanstvo, imala su snažne rezultate.</w:t>
      </w:r>
    </w:p>
    <w:p w14:paraId="3C1E8459" w14:textId="77777777" w:rsidR="0004027E" w:rsidRPr="00F63F8D" w:rsidRDefault="0004027E" w:rsidP="0004027E">
      <w:pPr>
        <w:rPr>
          <w:rFonts w:cs="Segoe UI"/>
          <w:szCs w:val="22"/>
          <w:lang w:val="hr-HR"/>
        </w:rPr>
      </w:pPr>
    </w:p>
    <w:p w14:paraId="79C82105" w14:textId="59794A8D" w:rsidR="0004027E" w:rsidRPr="00F63F8D" w:rsidRDefault="0004027E" w:rsidP="0004027E">
      <w:pPr>
        <w:rPr>
          <w:rFonts w:cs="Segoe UI"/>
          <w:szCs w:val="22"/>
          <w:lang w:val="hr-HR"/>
        </w:rPr>
      </w:pPr>
      <w:r w:rsidRPr="00F63F8D">
        <w:rPr>
          <w:b/>
          <w:bCs/>
          <w:lang w:val="hr-HR"/>
        </w:rPr>
        <w:t>Prilagođena operativna dobit (prilagođeni EBIT)</w:t>
      </w:r>
      <w:r w:rsidRPr="00F63F8D">
        <w:rPr>
          <w:lang w:val="hr-HR"/>
        </w:rPr>
        <w:t xml:space="preserve"> porasla je 4,2 posto na 2,686 milijardi eura u 2021. u usporedbi s 2,579 milijardi eura u fiskalnoj 2020. godini. </w:t>
      </w:r>
      <w:r w:rsidRPr="00F63F8D">
        <w:rPr>
          <w:b/>
          <w:bCs/>
          <w:lang w:val="hr-HR"/>
        </w:rPr>
        <w:t xml:space="preserve">Prilagođeni </w:t>
      </w:r>
      <w:r w:rsidR="002E5AB5">
        <w:rPr>
          <w:b/>
          <w:bCs/>
          <w:lang w:val="hr-HR"/>
        </w:rPr>
        <w:t>prinos</w:t>
      </w:r>
      <w:r w:rsidR="002E5AB5" w:rsidRPr="00F63F8D">
        <w:rPr>
          <w:b/>
          <w:bCs/>
          <w:lang w:val="hr-HR"/>
        </w:rPr>
        <w:t xml:space="preserve"> </w:t>
      </w:r>
      <w:r w:rsidRPr="00F63F8D">
        <w:rPr>
          <w:b/>
          <w:bCs/>
          <w:lang w:val="hr-HR"/>
        </w:rPr>
        <w:t>od prodaje (prilagođena EBIT marža)</w:t>
      </w:r>
      <w:r w:rsidRPr="00F63F8D">
        <w:rPr>
          <w:lang w:val="hr-HR"/>
        </w:rPr>
        <w:t xml:space="preserve"> dosegnuo je razinu prethodne godine od 13,4 posto.</w:t>
      </w:r>
    </w:p>
    <w:p w14:paraId="0DA7C317" w14:textId="77777777" w:rsidR="0004027E" w:rsidRPr="00F63F8D" w:rsidRDefault="0004027E" w:rsidP="0004027E">
      <w:pPr>
        <w:rPr>
          <w:rFonts w:cs="Segoe UI"/>
          <w:szCs w:val="22"/>
          <w:lang w:val="hr-HR"/>
        </w:rPr>
      </w:pPr>
    </w:p>
    <w:p w14:paraId="77F41002" w14:textId="139E8C28" w:rsidR="0004027E" w:rsidRPr="00F63F8D" w:rsidRDefault="0004027E" w:rsidP="0004027E">
      <w:pPr>
        <w:rPr>
          <w:rFonts w:cs="Segoe UI"/>
          <w:szCs w:val="22"/>
          <w:lang w:val="hr-HR"/>
        </w:rPr>
      </w:pPr>
      <w:r w:rsidRPr="00F63F8D">
        <w:rPr>
          <w:b/>
          <w:bCs/>
          <w:lang w:val="hr-HR"/>
        </w:rPr>
        <w:t xml:space="preserve">Prilagođena zarada po povlaštenoj dionici </w:t>
      </w:r>
      <w:r w:rsidRPr="00F63F8D">
        <w:rPr>
          <w:lang w:val="hr-HR"/>
        </w:rPr>
        <w:t>porasla je 7,0 posto na 4,56 eura (prethodna godina: 4,26 eura). Pri stalnim tečajevima, prilagođena zarada od povlaštenih dionica porasla je za 9,2 posto.</w:t>
      </w:r>
    </w:p>
    <w:p w14:paraId="35BED12A" w14:textId="77777777" w:rsidR="00240DBF" w:rsidRPr="00F63F8D" w:rsidRDefault="00240DBF" w:rsidP="0004027E">
      <w:pPr>
        <w:rPr>
          <w:rFonts w:cs="Segoe UI"/>
          <w:b/>
          <w:bCs/>
          <w:szCs w:val="22"/>
          <w:lang w:val="hr-HR"/>
        </w:rPr>
      </w:pPr>
    </w:p>
    <w:p w14:paraId="38643546" w14:textId="64CA4A7E" w:rsidR="0004027E" w:rsidRPr="00F63F8D" w:rsidRDefault="0004027E" w:rsidP="0004027E">
      <w:pPr>
        <w:rPr>
          <w:rFonts w:cs="Segoe UI"/>
          <w:szCs w:val="22"/>
          <w:lang w:val="hr-HR"/>
        </w:rPr>
      </w:pPr>
      <w:r w:rsidRPr="00F63F8D">
        <w:rPr>
          <w:b/>
          <w:bCs/>
          <w:lang w:val="hr-HR"/>
        </w:rPr>
        <w:t xml:space="preserve">Neto obrtna sredstva </w:t>
      </w:r>
      <w:r w:rsidRPr="00F63F8D">
        <w:rPr>
          <w:lang w:val="hr-HR"/>
        </w:rPr>
        <w:t>porasla su na 2,2 posto, što je 1,5 postotnih bodova više u odnosu na lanjsku iznimno nisku brojku od 0,7 posto. Neto obrtni kapital vratio se u normalu. U odnosu na razinu prije krize u 2019., to je napredak od 1,7 posto.</w:t>
      </w:r>
    </w:p>
    <w:p w14:paraId="775C8768" w14:textId="77777777" w:rsidR="0004027E" w:rsidRPr="00F63F8D" w:rsidRDefault="0004027E" w:rsidP="0004027E">
      <w:pPr>
        <w:rPr>
          <w:rFonts w:cs="Segoe UI"/>
          <w:szCs w:val="22"/>
          <w:lang w:val="hr-HR"/>
        </w:rPr>
      </w:pPr>
    </w:p>
    <w:p w14:paraId="33C39DD6" w14:textId="3FF9FFF1" w:rsidR="0004027E" w:rsidRPr="00F63F8D" w:rsidRDefault="0004027E" w:rsidP="0004027E">
      <w:pPr>
        <w:rPr>
          <w:rFonts w:cs="Segoe UI"/>
          <w:szCs w:val="22"/>
          <w:lang w:val="hr-HR"/>
        </w:rPr>
      </w:pPr>
      <w:r w:rsidRPr="00F63F8D">
        <w:rPr>
          <w:b/>
          <w:bCs/>
          <w:lang w:val="hr-HR"/>
        </w:rPr>
        <w:t xml:space="preserve">Slobodni novčani tokovi </w:t>
      </w:r>
      <w:r w:rsidRPr="00F63F8D">
        <w:rPr>
          <w:lang w:val="hr-HR"/>
        </w:rPr>
        <w:t>iznosili su 1,478 milijardi eura, što je manje u odnosu na prošlogodišnje brojke (2020</w:t>
      </w:r>
      <w:r w:rsidR="008E5009">
        <w:rPr>
          <w:lang w:val="hr-HR"/>
        </w:rPr>
        <w:t>.</w:t>
      </w:r>
      <w:r w:rsidRPr="00F63F8D">
        <w:rPr>
          <w:lang w:val="hr-HR"/>
        </w:rPr>
        <w:t>: 2,340 milijardi eura), što je pojačalo neuobičajeno nagli pad neto obrtnog kapitala unutar novčanih tokova iz poslovnih aktivnosti.</w:t>
      </w:r>
    </w:p>
    <w:p w14:paraId="728AFAB9" w14:textId="77777777" w:rsidR="0004027E" w:rsidRPr="00F63F8D" w:rsidRDefault="0004027E" w:rsidP="0004027E">
      <w:pPr>
        <w:autoSpaceDE w:val="0"/>
        <w:autoSpaceDN w:val="0"/>
        <w:adjustRightInd w:val="0"/>
        <w:rPr>
          <w:rFonts w:cs="Segoe UI"/>
          <w:szCs w:val="22"/>
          <w:lang w:val="hr-HR"/>
        </w:rPr>
      </w:pPr>
    </w:p>
    <w:p w14:paraId="58C17F32" w14:textId="274F59EE" w:rsidR="0004027E" w:rsidRPr="00F63F8D" w:rsidRDefault="0004027E" w:rsidP="0004027E">
      <w:pPr>
        <w:rPr>
          <w:rFonts w:cs="Segoe UI"/>
          <w:szCs w:val="22"/>
          <w:lang w:val="hr-HR"/>
        </w:rPr>
      </w:pPr>
      <w:r w:rsidRPr="00F63F8D">
        <w:rPr>
          <w:b/>
          <w:bCs/>
          <w:lang w:val="hr-HR"/>
        </w:rPr>
        <w:t xml:space="preserve">Neto financijski položaj </w:t>
      </w:r>
      <w:r w:rsidRPr="00F63F8D">
        <w:rPr>
          <w:lang w:val="hr-HR"/>
        </w:rPr>
        <w:t>značajno se poboljšao, uglavnom zahvaljujući dobrim novčanim tokovima. Počevši od 31. prosinca 2021. neto financijski položaj iznosio je -292 milijuna eura (31. prosinca 2020</w:t>
      </w:r>
      <w:r w:rsidR="008E5009">
        <w:rPr>
          <w:lang w:val="hr-HR"/>
        </w:rPr>
        <w:t>.</w:t>
      </w:r>
      <w:r w:rsidRPr="00F63F8D">
        <w:rPr>
          <w:lang w:val="hr-HR"/>
        </w:rPr>
        <w:t>: -888 milijuna)</w:t>
      </w:r>
      <w:r w:rsidR="008E5009">
        <w:rPr>
          <w:lang w:val="hr-HR"/>
        </w:rPr>
        <w:t>.</w:t>
      </w:r>
    </w:p>
    <w:p w14:paraId="2CE9E1DA" w14:textId="77777777" w:rsidR="00EF1954" w:rsidRPr="00F63F8D" w:rsidRDefault="00EF1954" w:rsidP="0004027E">
      <w:pPr>
        <w:rPr>
          <w:rFonts w:cs="Segoe UI"/>
          <w:szCs w:val="22"/>
          <w:lang w:val="hr-HR"/>
        </w:rPr>
      </w:pPr>
    </w:p>
    <w:p w14:paraId="20D6E18F" w14:textId="1CB04220" w:rsidR="0004027E" w:rsidRPr="00F63F8D" w:rsidRDefault="0004027E" w:rsidP="0004027E">
      <w:pPr>
        <w:spacing w:after="120"/>
        <w:rPr>
          <w:rFonts w:cs="Segoe UI"/>
          <w:b/>
          <w:bCs/>
          <w:szCs w:val="22"/>
          <w:lang w:val="hr-HR"/>
        </w:rPr>
      </w:pPr>
      <w:r w:rsidRPr="00F63F8D">
        <w:rPr>
          <w:b/>
          <w:lang w:val="hr-HR"/>
        </w:rPr>
        <w:t>Prognoza za 2022</w:t>
      </w:r>
      <w:r w:rsidR="008B527F">
        <w:rPr>
          <w:b/>
          <w:lang w:val="hr-HR"/>
        </w:rPr>
        <w:t>.</w:t>
      </w:r>
    </w:p>
    <w:p w14:paraId="18ECFF2A" w14:textId="77777777" w:rsidR="00D77F29" w:rsidRPr="00F63F8D" w:rsidRDefault="00D77F29" w:rsidP="00132779">
      <w:pPr>
        <w:spacing w:after="80"/>
        <w:rPr>
          <w:lang w:val="hr-HR"/>
        </w:rPr>
      </w:pPr>
    </w:p>
    <w:p w14:paraId="750E4820" w14:textId="50DBBCF6" w:rsidR="00432330" w:rsidRPr="00F63F8D" w:rsidRDefault="00432330" w:rsidP="00132779">
      <w:pPr>
        <w:spacing w:after="80"/>
        <w:rPr>
          <w:rFonts w:asciiTheme="majorHAnsi" w:hAnsiTheme="majorHAnsi" w:cstheme="majorHAnsi"/>
          <w:b/>
          <w:bCs/>
          <w:lang w:val="hr-HR"/>
        </w:rPr>
      </w:pPr>
      <w:r w:rsidRPr="00F63F8D">
        <w:rPr>
          <w:rFonts w:asciiTheme="majorHAnsi" w:hAnsiTheme="majorHAnsi"/>
          <w:b/>
          <w:lang w:val="hr-HR"/>
        </w:rPr>
        <w:t>Program svrhovitog rasta: dobar napredak u provedbi</w:t>
      </w:r>
    </w:p>
    <w:p w14:paraId="47192B59" w14:textId="1D2DE29C" w:rsidR="00183583" w:rsidRPr="00F63F8D" w:rsidRDefault="00432330" w:rsidP="00132779">
      <w:pPr>
        <w:spacing w:after="80"/>
        <w:rPr>
          <w:rFonts w:asciiTheme="majorHAnsi" w:hAnsiTheme="majorHAnsi" w:cstheme="majorHAnsi"/>
          <w:bCs/>
          <w:lang w:val="hr-HR"/>
        </w:rPr>
      </w:pPr>
      <w:r w:rsidRPr="00F63F8D">
        <w:rPr>
          <w:rFonts w:asciiTheme="majorHAnsi" w:hAnsiTheme="majorHAnsi"/>
          <w:lang w:val="hr-HR"/>
        </w:rPr>
        <w:t>Prije dvije godine, početkom ožujka 2020.</w:t>
      </w:r>
      <w:r w:rsidR="00697BF9">
        <w:rPr>
          <w:rFonts w:asciiTheme="majorHAnsi" w:hAnsiTheme="majorHAnsi"/>
          <w:lang w:val="hr-HR"/>
        </w:rPr>
        <w:t>,</w:t>
      </w:r>
      <w:r w:rsidRPr="00F63F8D">
        <w:rPr>
          <w:rFonts w:asciiTheme="majorHAnsi" w:hAnsiTheme="majorHAnsi"/>
          <w:lang w:val="hr-HR"/>
        </w:rPr>
        <w:t xml:space="preserve"> Henkel je predstavio svoj plan rasta za nadolazeće godine i razvio jasan strateški okvir za njegovo postizanje. Ključni elementi strateškog okvira su uspješan portfelj, jasna prednost u odnosu na konkurente u područjima inovacija, održivosti i digitalizacije, kao modeli spremni za budućnost</w:t>
      </w:r>
      <w:r w:rsidR="00AE0DB7">
        <w:rPr>
          <w:rFonts w:asciiTheme="majorHAnsi" w:hAnsiTheme="majorHAnsi"/>
          <w:lang w:val="hr-HR"/>
        </w:rPr>
        <w:t>,</w:t>
      </w:r>
      <w:r w:rsidRPr="00F63F8D">
        <w:rPr>
          <w:rFonts w:asciiTheme="majorHAnsi" w:hAnsiTheme="majorHAnsi"/>
          <w:lang w:val="hr-HR"/>
        </w:rPr>
        <w:t xml:space="preserve"> temeljeni na snažnoj kulturi poduzeća. </w:t>
      </w:r>
    </w:p>
    <w:p w14:paraId="08859989" w14:textId="77777777" w:rsidR="00CA4DDC" w:rsidRPr="00F63F8D" w:rsidRDefault="00CA4DDC" w:rsidP="00132779">
      <w:pPr>
        <w:spacing w:after="80"/>
        <w:rPr>
          <w:rFonts w:asciiTheme="majorHAnsi" w:hAnsiTheme="majorHAnsi" w:cstheme="majorHAnsi"/>
          <w:bCs/>
          <w:lang w:val="hr-HR"/>
        </w:rPr>
      </w:pPr>
    </w:p>
    <w:p w14:paraId="3FC62C7B" w14:textId="35FEF1B1" w:rsidR="004258DB" w:rsidRPr="00F63F8D" w:rsidRDefault="004258DB" w:rsidP="005C7AEC">
      <w:pPr>
        <w:spacing w:after="120"/>
        <w:rPr>
          <w:rFonts w:cs="Segoe UI"/>
          <w:i/>
          <w:iCs/>
          <w:szCs w:val="22"/>
          <w:lang w:val="hr-HR"/>
        </w:rPr>
      </w:pPr>
      <w:r w:rsidRPr="00F63F8D">
        <w:rPr>
          <w:i/>
          <w:lang w:val="hr-HR"/>
        </w:rPr>
        <w:t>Upravljanje portfeljem izvedeno prema planu</w:t>
      </w:r>
    </w:p>
    <w:p w14:paraId="34D23890" w14:textId="045B36EB" w:rsidR="004258DB" w:rsidRPr="00F63F8D" w:rsidRDefault="00183583" w:rsidP="00CA4DDC">
      <w:pPr>
        <w:spacing w:after="80"/>
        <w:rPr>
          <w:rFonts w:asciiTheme="majorHAnsi" w:hAnsiTheme="majorHAnsi" w:cstheme="majorHAnsi"/>
          <w:bCs/>
          <w:lang w:val="hr-HR"/>
        </w:rPr>
      </w:pPr>
      <w:r w:rsidRPr="00F63F8D">
        <w:rPr>
          <w:rFonts w:asciiTheme="majorHAnsi" w:hAnsiTheme="majorHAnsi"/>
          <w:lang w:val="hr-HR"/>
        </w:rPr>
        <w:t xml:space="preserve">Kao dio </w:t>
      </w:r>
      <w:r w:rsidRPr="00F63F8D">
        <w:rPr>
          <w:rFonts w:asciiTheme="majorHAnsi" w:hAnsiTheme="majorHAnsi"/>
          <w:b/>
          <w:bCs/>
          <w:lang w:val="hr-HR"/>
        </w:rPr>
        <w:t>aktivnog upravljanja portfeljem</w:t>
      </w:r>
      <w:r w:rsidRPr="00F63F8D">
        <w:rPr>
          <w:rFonts w:asciiTheme="majorHAnsi" w:hAnsiTheme="majorHAnsi"/>
          <w:lang w:val="hr-HR"/>
        </w:rPr>
        <w:t xml:space="preserve"> Henkel je početkom 2020. postavio</w:t>
      </w:r>
      <w:r w:rsidR="00EF34EF">
        <w:rPr>
          <w:rFonts w:asciiTheme="majorHAnsi" w:hAnsiTheme="majorHAnsi"/>
          <w:lang w:val="hr-HR"/>
        </w:rPr>
        <w:t xml:space="preserve"> za</w:t>
      </w:r>
      <w:r w:rsidRPr="00F63F8D">
        <w:rPr>
          <w:rFonts w:asciiTheme="majorHAnsi" w:hAnsiTheme="majorHAnsi"/>
          <w:lang w:val="hr-HR"/>
        </w:rPr>
        <w:t xml:space="preserve"> cilj prodati ili prekinuti brendove i poslovanje s prodajom od oko 0,5 milijardi eura do kraja 2021. Kako je planirano, Henkel je potpisao ugovore o prodaji, dovršio prodaje ili obustavio aktivnosti do kraja 2021. s ukupnom prodajom od oko 0,5 milijardi eura. Osim toga, Henkel je također strateški ojačao svoj portfelj 2021. obećavajućim</w:t>
      </w:r>
      <w:r w:rsidRPr="00F63F8D">
        <w:rPr>
          <w:rFonts w:asciiTheme="majorHAnsi" w:hAnsiTheme="majorHAnsi"/>
          <w:b/>
          <w:bCs/>
          <w:lang w:val="hr-HR"/>
        </w:rPr>
        <w:t xml:space="preserve"> akvizicijama </w:t>
      </w:r>
      <w:r w:rsidRPr="00F63F8D">
        <w:rPr>
          <w:rFonts w:asciiTheme="majorHAnsi" w:hAnsiTheme="majorHAnsi"/>
          <w:lang w:val="hr-HR"/>
        </w:rPr>
        <w:t xml:space="preserve">tvrtki s visokim rastom. </w:t>
      </w:r>
    </w:p>
    <w:p w14:paraId="0501525B" w14:textId="77777777" w:rsidR="004258DB" w:rsidRPr="00F63F8D" w:rsidRDefault="004258DB" w:rsidP="004258DB">
      <w:pPr>
        <w:rPr>
          <w:lang w:val="hr-HR"/>
        </w:rPr>
      </w:pPr>
    </w:p>
    <w:p w14:paraId="2D5470EA" w14:textId="3A568A59" w:rsidR="00AF79D0" w:rsidRPr="00F63F8D" w:rsidRDefault="00AF3411" w:rsidP="00BB75A4">
      <w:pPr>
        <w:rPr>
          <w:rFonts w:asciiTheme="majorHAnsi" w:hAnsiTheme="majorHAnsi" w:cstheme="majorHAnsi"/>
          <w:bCs/>
          <w:lang w:val="hr-HR"/>
        </w:rPr>
      </w:pPr>
      <w:r w:rsidRPr="00F63F8D">
        <w:rPr>
          <w:rFonts w:asciiTheme="majorHAnsi" w:hAnsiTheme="majorHAnsi"/>
          <w:lang w:val="hr-HR"/>
        </w:rPr>
        <w:t xml:space="preserve">Kako bi poboljšao svoju </w:t>
      </w:r>
      <w:r w:rsidRPr="00F63F8D">
        <w:rPr>
          <w:rFonts w:asciiTheme="majorHAnsi" w:hAnsiTheme="majorHAnsi"/>
          <w:b/>
          <w:bCs/>
          <w:lang w:val="hr-HR"/>
        </w:rPr>
        <w:t>konkurentsku prednost</w:t>
      </w:r>
      <w:r w:rsidRPr="00F63F8D">
        <w:rPr>
          <w:rFonts w:asciiTheme="majorHAnsi" w:hAnsiTheme="majorHAnsi"/>
          <w:lang w:val="hr-HR"/>
        </w:rPr>
        <w:t xml:space="preserve">, Henkel se usredotočio na daljnje ubrzanje </w:t>
      </w:r>
      <w:r w:rsidRPr="00F63F8D">
        <w:rPr>
          <w:rFonts w:asciiTheme="majorHAnsi" w:hAnsiTheme="majorHAnsi"/>
          <w:b/>
          <w:bCs/>
          <w:lang w:val="hr-HR"/>
        </w:rPr>
        <w:t>inovacija</w:t>
      </w:r>
      <w:r w:rsidRPr="00F63F8D">
        <w:rPr>
          <w:rFonts w:asciiTheme="majorHAnsi" w:hAnsiTheme="majorHAnsi"/>
          <w:lang w:val="hr-HR"/>
        </w:rPr>
        <w:t xml:space="preserve">, poboljšanje </w:t>
      </w:r>
      <w:r w:rsidRPr="00F63F8D">
        <w:rPr>
          <w:rFonts w:asciiTheme="majorHAnsi" w:hAnsiTheme="majorHAnsi"/>
          <w:b/>
          <w:bCs/>
          <w:lang w:val="hr-HR"/>
        </w:rPr>
        <w:t>održivosti</w:t>
      </w:r>
      <w:r w:rsidRPr="00F63F8D">
        <w:rPr>
          <w:rFonts w:asciiTheme="majorHAnsi" w:hAnsiTheme="majorHAnsi"/>
          <w:lang w:val="hr-HR"/>
        </w:rPr>
        <w:t xml:space="preserve"> kao razlikovnog čimbenika </w:t>
      </w:r>
      <w:r w:rsidR="00EF102E">
        <w:rPr>
          <w:rFonts w:asciiTheme="majorHAnsi" w:hAnsiTheme="majorHAnsi"/>
          <w:lang w:val="hr-HR"/>
        </w:rPr>
        <w:t>te</w:t>
      </w:r>
      <w:r w:rsidR="00EF102E" w:rsidRPr="00F63F8D">
        <w:rPr>
          <w:rFonts w:asciiTheme="majorHAnsi" w:hAnsiTheme="majorHAnsi"/>
          <w:lang w:val="hr-HR"/>
        </w:rPr>
        <w:t xml:space="preserve"> </w:t>
      </w:r>
      <w:r w:rsidRPr="00F63F8D">
        <w:rPr>
          <w:rFonts w:asciiTheme="majorHAnsi" w:hAnsiTheme="majorHAnsi"/>
          <w:lang w:val="hr-HR"/>
        </w:rPr>
        <w:t>povećanje vrijednosti za kupce i potrošače putem</w:t>
      </w:r>
      <w:r w:rsidRPr="00F63F8D">
        <w:rPr>
          <w:rFonts w:asciiTheme="majorHAnsi" w:hAnsiTheme="majorHAnsi"/>
          <w:b/>
          <w:bCs/>
          <w:lang w:val="hr-HR"/>
        </w:rPr>
        <w:t xml:space="preserve"> digitalizacije.</w:t>
      </w:r>
    </w:p>
    <w:p w14:paraId="0BA2AFE0" w14:textId="7A5233A8" w:rsidR="006342C5" w:rsidRPr="00F63F8D" w:rsidRDefault="006342C5" w:rsidP="006342C5">
      <w:pPr>
        <w:spacing w:after="80"/>
        <w:rPr>
          <w:rFonts w:asciiTheme="majorHAnsi" w:hAnsiTheme="majorHAnsi" w:cstheme="majorHAnsi"/>
          <w:bCs/>
          <w:lang w:val="hr-HR"/>
        </w:rPr>
      </w:pPr>
    </w:p>
    <w:p w14:paraId="3E94ABB1" w14:textId="483ACF9C" w:rsidR="004258DB" w:rsidRPr="00F63F8D" w:rsidRDefault="004258DB" w:rsidP="006342C5">
      <w:pPr>
        <w:spacing w:after="80"/>
        <w:rPr>
          <w:rFonts w:asciiTheme="majorHAnsi" w:hAnsiTheme="majorHAnsi" w:cstheme="majorHAnsi"/>
          <w:bCs/>
          <w:i/>
          <w:iCs/>
          <w:lang w:val="hr-HR"/>
        </w:rPr>
      </w:pPr>
      <w:r w:rsidRPr="00F63F8D">
        <w:rPr>
          <w:rFonts w:asciiTheme="majorHAnsi" w:hAnsiTheme="majorHAnsi"/>
          <w:i/>
          <w:lang w:val="hr-HR"/>
        </w:rPr>
        <w:t>Uspješno pokrenute inovacije</w:t>
      </w:r>
    </w:p>
    <w:p w14:paraId="0E739696" w14:textId="25063BEB" w:rsidR="006342C5" w:rsidRPr="00F63F8D" w:rsidRDefault="006342C5" w:rsidP="006342C5">
      <w:pPr>
        <w:spacing w:after="80"/>
        <w:rPr>
          <w:rFonts w:asciiTheme="majorHAnsi" w:hAnsiTheme="majorHAnsi" w:cstheme="majorBidi"/>
          <w:lang w:val="hr-HR"/>
        </w:rPr>
      </w:pPr>
      <w:r w:rsidRPr="00F63F8D">
        <w:rPr>
          <w:rFonts w:asciiTheme="majorHAnsi" w:hAnsiTheme="majorHAnsi"/>
          <w:lang w:val="hr-HR"/>
        </w:rPr>
        <w:t xml:space="preserve">U području </w:t>
      </w:r>
      <w:r w:rsidRPr="00F63F8D">
        <w:rPr>
          <w:rFonts w:asciiTheme="majorHAnsi" w:hAnsiTheme="majorHAnsi"/>
          <w:b/>
          <w:bCs/>
          <w:lang w:val="hr-HR"/>
        </w:rPr>
        <w:t>uspješne inovacije</w:t>
      </w:r>
      <w:r w:rsidRPr="00F63F8D">
        <w:rPr>
          <w:rFonts w:asciiTheme="majorHAnsi" w:hAnsiTheme="majorHAnsi"/>
          <w:lang w:val="hr-HR"/>
        </w:rPr>
        <w:t xml:space="preserve">, Henkel je napravio daljnji napredak u fiskalnoj 2021. Tome su doprinijele i interne tvornice ideja i inkubatorski timovi koji su u posljednjih godinu dana osnovani u poslovnim sektorima Beauty Care i Sredstva za pranje i čišćenje u domaćinstvu. U sektoru Ljepila i tehnologije u Düsseldorfu je otvoren novi globalni inovacijski centar s ukupnim ulaganjem od oko 130 milijuna eura. </w:t>
      </w:r>
    </w:p>
    <w:p w14:paraId="77A38B68" w14:textId="5CA55603" w:rsidR="00E37B51" w:rsidRPr="00F63F8D" w:rsidRDefault="00E37B51" w:rsidP="006342C5">
      <w:pPr>
        <w:spacing w:after="80"/>
        <w:rPr>
          <w:rFonts w:asciiTheme="majorHAnsi" w:hAnsiTheme="majorHAnsi" w:cstheme="majorHAnsi"/>
          <w:bCs/>
          <w:lang w:val="hr-HR"/>
        </w:rPr>
      </w:pPr>
    </w:p>
    <w:p w14:paraId="4DE1A05C" w14:textId="1E8CA0DC" w:rsidR="00E37B51" w:rsidRPr="00F63F8D" w:rsidRDefault="00E37B51" w:rsidP="006342C5">
      <w:pPr>
        <w:spacing w:after="80"/>
        <w:rPr>
          <w:rFonts w:asciiTheme="majorHAnsi" w:hAnsiTheme="majorHAnsi" w:cstheme="majorHAnsi"/>
          <w:bCs/>
          <w:lang w:val="hr-HR"/>
        </w:rPr>
      </w:pPr>
      <w:r w:rsidRPr="00F63F8D">
        <w:rPr>
          <w:rFonts w:asciiTheme="majorHAnsi" w:hAnsiTheme="majorHAnsi"/>
          <w:lang w:val="hr-HR"/>
        </w:rPr>
        <w:t xml:space="preserve">U fiskalnoj 2021. godini Henkel je uz značajna ulaganja uspješno uveo mnoge inovacije na tržište. U sektoru </w:t>
      </w:r>
      <w:r w:rsidR="00F63F8D" w:rsidRPr="00F63F8D">
        <w:rPr>
          <w:rFonts w:asciiTheme="majorHAnsi" w:hAnsiTheme="majorHAnsi"/>
          <w:b/>
          <w:bCs/>
          <w:lang w:val="hr-HR"/>
        </w:rPr>
        <w:t>L</w:t>
      </w:r>
      <w:r w:rsidR="00F63F8D">
        <w:rPr>
          <w:rFonts w:asciiTheme="majorHAnsi" w:hAnsiTheme="majorHAnsi"/>
          <w:b/>
          <w:bCs/>
          <w:lang w:val="hr-HR"/>
        </w:rPr>
        <w:t>j</w:t>
      </w:r>
      <w:r w:rsidR="00F63F8D" w:rsidRPr="00F63F8D">
        <w:rPr>
          <w:rFonts w:asciiTheme="majorHAnsi" w:hAnsiTheme="majorHAnsi"/>
          <w:b/>
          <w:bCs/>
          <w:lang w:val="hr-HR"/>
        </w:rPr>
        <w:t>epila i tehnologije</w:t>
      </w:r>
      <w:r w:rsidRPr="00F63F8D">
        <w:rPr>
          <w:rFonts w:asciiTheme="majorHAnsi" w:hAnsiTheme="majorHAnsi"/>
          <w:lang w:val="hr-HR"/>
        </w:rPr>
        <w:t xml:space="preserve">, na primjer, Henkel je razvio i lansirao rješenja za automobilsku industriju koristeći održive tehnologije lijepljenja. Osim toga, inovativna ljepila omogućuju razvoj održivih rješenja za pakiranje. </w:t>
      </w:r>
    </w:p>
    <w:p w14:paraId="493A6206" w14:textId="5FCF5F0A" w:rsidR="00CA7B7C" w:rsidRPr="00F63F8D" w:rsidRDefault="00CA7B7C" w:rsidP="006342C5">
      <w:pPr>
        <w:spacing w:after="80"/>
        <w:rPr>
          <w:rFonts w:asciiTheme="majorHAnsi" w:hAnsiTheme="majorHAnsi" w:cstheme="majorHAnsi"/>
          <w:bCs/>
          <w:lang w:val="hr-HR"/>
        </w:rPr>
      </w:pPr>
    </w:p>
    <w:p w14:paraId="317DDAD3" w14:textId="7B357A10" w:rsidR="00CA7B7C" w:rsidRPr="00F63F8D" w:rsidRDefault="00CA7B7C" w:rsidP="006342C5">
      <w:pPr>
        <w:spacing w:after="80"/>
        <w:rPr>
          <w:rFonts w:asciiTheme="majorHAnsi" w:hAnsiTheme="majorHAnsi" w:cstheme="majorHAnsi"/>
          <w:bCs/>
          <w:lang w:val="hr-HR"/>
        </w:rPr>
      </w:pPr>
      <w:r w:rsidRPr="00F63F8D">
        <w:rPr>
          <w:rFonts w:asciiTheme="majorHAnsi" w:hAnsiTheme="majorHAnsi"/>
          <w:lang w:val="hr-HR"/>
        </w:rPr>
        <w:t xml:space="preserve">U sektoru </w:t>
      </w:r>
      <w:r w:rsidRPr="00F63F8D">
        <w:rPr>
          <w:rFonts w:asciiTheme="majorHAnsi" w:hAnsiTheme="majorHAnsi"/>
          <w:b/>
          <w:bCs/>
          <w:lang w:val="hr-HR"/>
        </w:rPr>
        <w:t>Beauty Care</w:t>
      </w:r>
      <w:r w:rsidRPr="00F63F8D">
        <w:rPr>
          <w:rFonts w:asciiTheme="majorHAnsi" w:hAnsiTheme="majorHAnsi"/>
          <w:lang w:val="hr-HR"/>
        </w:rPr>
        <w:t xml:space="preserve"> Henkel je uveo uspješne inovacije u segmentu njege kose i tijela.</w:t>
      </w:r>
    </w:p>
    <w:p w14:paraId="5B3E520B" w14:textId="00DE5946" w:rsidR="00371A15" w:rsidRPr="00F63F8D" w:rsidRDefault="00371A15" w:rsidP="006342C5">
      <w:pPr>
        <w:spacing w:after="80"/>
        <w:rPr>
          <w:rFonts w:asciiTheme="majorHAnsi" w:hAnsiTheme="majorHAnsi" w:cstheme="majorHAnsi"/>
          <w:bCs/>
          <w:lang w:val="hr-HR"/>
        </w:rPr>
      </w:pPr>
    </w:p>
    <w:p w14:paraId="6D138DC5" w14:textId="4D98B3E5" w:rsidR="00371A15" w:rsidRPr="00F63F8D" w:rsidRDefault="00371A15" w:rsidP="00062CE8">
      <w:pPr>
        <w:rPr>
          <w:rFonts w:asciiTheme="majorHAnsi" w:hAnsiTheme="majorHAnsi" w:cstheme="majorHAnsi"/>
          <w:bCs/>
          <w:lang w:val="hr-HR"/>
        </w:rPr>
      </w:pPr>
      <w:r w:rsidRPr="00F63F8D">
        <w:rPr>
          <w:rFonts w:asciiTheme="majorHAnsi" w:hAnsiTheme="majorHAnsi"/>
          <w:lang w:val="hr-HR"/>
        </w:rPr>
        <w:t xml:space="preserve">U sektoru </w:t>
      </w:r>
      <w:r w:rsidRPr="00F63F8D">
        <w:rPr>
          <w:rFonts w:asciiTheme="majorHAnsi" w:hAnsiTheme="majorHAnsi"/>
          <w:b/>
          <w:bCs/>
          <w:lang w:val="hr-HR"/>
        </w:rPr>
        <w:t>Sredstva za pranje i čišćenje u domaćinstvu</w:t>
      </w:r>
      <w:r w:rsidRPr="00F63F8D">
        <w:rPr>
          <w:rFonts w:asciiTheme="majorHAnsi" w:hAnsiTheme="majorHAnsi"/>
          <w:lang w:val="hr-HR"/>
        </w:rPr>
        <w:t xml:space="preserve"> čepovi za boce deterdženta poboljšani su inovacijama u svim cjenovnim segmentima, a dostupni su u raznim markama, uključujući Perwoll. Inovacije u području proizvoda za čišćenje uključuju poklopce za deterdžente za pranje posuđa </w:t>
      </w:r>
      <w:r w:rsidR="00F63F8D">
        <w:rPr>
          <w:rFonts w:asciiTheme="majorHAnsi" w:hAnsiTheme="majorHAnsi"/>
          <w:lang w:val="hr-HR"/>
        </w:rPr>
        <w:t>„</w:t>
      </w:r>
      <w:r w:rsidRPr="00F63F8D">
        <w:rPr>
          <w:rFonts w:asciiTheme="majorHAnsi" w:hAnsiTheme="majorHAnsi"/>
          <w:lang w:val="hr-HR"/>
        </w:rPr>
        <w:t>Somat Excellence</w:t>
      </w:r>
      <w:r w:rsidR="00F63F8D">
        <w:rPr>
          <w:rFonts w:asciiTheme="majorHAnsi" w:hAnsiTheme="majorHAnsi"/>
          <w:lang w:val="hr-HR"/>
        </w:rPr>
        <w:t>“</w:t>
      </w:r>
      <w:r w:rsidRPr="00F63F8D">
        <w:rPr>
          <w:rFonts w:asciiTheme="majorHAnsi" w:hAnsiTheme="majorHAnsi"/>
          <w:lang w:val="hr-HR"/>
        </w:rPr>
        <w:t xml:space="preserve">. </w:t>
      </w:r>
    </w:p>
    <w:p w14:paraId="72FE3427" w14:textId="3ED015E7" w:rsidR="00922748" w:rsidRPr="00F63F8D" w:rsidRDefault="00922748" w:rsidP="006342C5">
      <w:pPr>
        <w:spacing w:after="80"/>
        <w:rPr>
          <w:rFonts w:asciiTheme="majorHAnsi" w:hAnsiTheme="majorHAnsi" w:cstheme="majorHAnsi"/>
          <w:bCs/>
          <w:lang w:val="hr-HR"/>
        </w:rPr>
      </w:pPr>
    </w:p>
    <w:p w14:paraId="5C4E7B79" w14:textId="0F3B3ACD" w:rsidR="004258DB" w:rsidRPr="00F63F8D" w:rsidRDefault="004258DB" w:rsidP="005C7AEC">
      <w:pPr>
        <w:spacing w:after="80"/>
        <w:rPr>
          <w:rFonts w:asciiTheme="majorHAnsi" w:hAnsiTheme="majorHAnsi" w:cstheme="majorHAnsi"/>
          <w:bCs/>
          <w:i/>
          <w:iCs/>
          <w:lang w:val="hr-HR"/>
        </w:rPr>
      </w:pPr>
      <w:r w:rsidRPr="00F63F8D">
        <w:rPr>
          <w:rFonts w:asciiTheme="majorHAnsi" w:hAnsiTheme="majorHAnsi"/>
          <w:i/>
          <w:lang w:val="hr-HR"/>
        </w:rPr>
        <w:t>Značajan napredak u području održivosti</w:t>
      </w:r>
    </w:p>
    <w:p w14:paraId="7A0702E1" w14:textId="30733C07" w:rsidR="00922748" w:rsidRPr="00F63F8D" w:rsidRDefault="00922748" w:rsidP="00062CE8">
      <w:pPr>
        <w:rPr>
          <w:rFonts w:asciiTheme="majorHAnsi" w:hAnsiTheme="majorHAnsi" w:cstheme="majorHAnsi"/>
          <w:bCs/>
          <w:lang w:val="hr-HR"/>
        </w:rPr>
      </w:pPr>
      <w:r w:rsidRPr="00F63F8D">
        <w:rPr>
          <w:rFonts w:asciiTheme="majorHAnsi" w:hAnsiTheme="majorHAnsi"/>
          <w:lang w:val="hr-HR"/>
        </w:rPr>
        <w:t>Kao dio svoje</w:t>
      </w:r>
      <w:r w:rsidR="002E5AB5">
        <w:rPr>
          <w:rFonts w:asciiTheme="majorHAnsi" w:hAnsiTheme="majorHAnsi"/>
          <w:lang w:val="hr-HR"/>
        </w:rPr>
        <w:t>g</w:t>
      </w:r>
      <w:r w:rsidRPr="00F63F8D">
        <w:rPr>
          <w:rFonts w:asciiTheme="majorHAnsi" w:hAnsiTheme="majorHAnsi"/>
          <w:lang w:val="hr-HR"/>
        </w:rPr>
        <w:t xml:space="preserve"> stratešk</w:t>
      </w:r>
      <w:r w:rsidR="002E5AB5">
        <w:rPr>
          <w:rFonts w:asciiTheme="majorHAnsi" w:hAnsiTheme="majorHAnsi"/>
          <w:lang w:val="hr-HR"/>
        </w:rPr>
        <w:t>og</w:t>
      </w:r>
      <w:r w:rsidRPr="00F63F8D">
        <w:rPr>
          <w:rFonts w:asciiTheme="majorHAnsi" w:hAnsiTheme="majorHAnsi"/>
          <w:lang w:val="hr-HR"/>
        </w:rPr>
        <w:t xml:space="preserve"> </w:t>
      </w:r>
      <w:r w:rsidR="002E5AB5">
        <w:rPr>
          <w:rFonts w:asciiTheme="majorHAnsi" w:hAnsiTheme="majorHAnsi"/>
          <w:lang w:val="hr-HR"/>
        </w:rPr>
        <w:t>plana</w:t>
      </w:r>
      <w:r w:rsidRPr="00F63F8D">
        <w:rPr>
          <w:rFonts w:asciiTheme="majorHAnsi" w:hAnsiTheme="majorHAnsi"/>
          <w:lang w:val="hr-HR"/>
        </w:rPr>
        <w:t xml:space="preserve">, Henkel se usredotočuje na održivost kako bi se jasno izdvojio od konkurencije i generirao značajan rast i stvorio vrijednost za svoju ciljanu publiku. Henkel je napravio značajan napredak u ovom području u 2021. </w:t>
      </w:r>
    </w:p>
    <w:p w14:paraId="2D0F1110" w14:textId="360E4DDB" w:rsidR="00235554" w:rsidRPr="00F63F8D" w:rsidRDefault="00235554" w:rsidP="00062CE8">
      <w:pPr>
        <w:rPr>
          <w:rFonts w:asciiTheme="majorHAnsi" w:hAnsiTheme="majorHAnsi" w:cstheme="majorHAnsi"/>
          <w:bCs/>
          <w:lang w:val="hr-HR"/>
        </w:rPr>
      </w:pPr>
    </w:p>
    <w:p w14:paraId="498A3F0A" w14:textId="2D4E1084" w:rsidR="00235554" w:rsidRPr="00F63F8D" w:rsidRDefault="00235554" w:rsidP="00235554">
      <w:pPr>
        <w:pStyle w:val="ListParagraph"/>
        <w:numPr>
          <w:ilvl w:val="0"/>
          <w:numId w:val="15"/>
        </w:numPr>
        <w:rPr>
          <w:rFonts w:asciiTheme="majorHAnsi" w:hAnsiTheme="majorHAnsi" w:cstheme="majorHAnsi"/>
          <w:bCs/>
          <w:lang w:val="hr-HR"/>
        </w:rPr>
      </w:pPr>
      <w:r w:rsidRPr="00F63F8D">
        <w:rPr>
          <w:rFonts w:asciiTheme="majorHAnsi" w:hAnsiTheme="majorHAnsi"/>
          <w:lang w:val="hr-HR"/>
        </w:rPr>
        <w:t>U odnosu na početnu 2010.</w:t>
      </w:r>
      <w:r w:rsidR="00E36F43">
        <w:rPr>
          <w:rFonts w:asciiTheme="majorHAnsi" w:hAnsiTheme="majorHAnsi"/>
          <w:lang w:val="hr-HR"/>
        </w:rPr>
        <w:t>,</w:t>
      </w:r>
      <w:r w:rsidRPr="00F63F8D">
        <w:rPr>
          <w:rFonts w:asciiTheme="majorHAnsi" w:hAnsiTheme="majorHAnsi"/>
          <w:lang w:val="hr-HR"/>
        </w:rPr>
        <w:t xml:space="preserve"> </w:t>
      </w:r>
      <w:r w:rsidR="00F63F8D">
        <w:rPr>
          <w:rFonts w:asciiTheme="majorHAnsi" w:hAnsiTheme="majorHAnsi"/>
          <w:lang w:val="hr-HR"/>
        </w:rPr>
        <w:t>u</w:t>
      </w:r>
      <w:r w:rsidRPr="00F63F8D">
        <w:rPr>
          <w:rFonts w:asciiTheme="majorHAnsi" w:hAnsiTheme="majorHAnsi"/>
          <w:lang w:val="hr-HR"/>
        </w:rPr>
        <w:t xml:space="preserve"> fiskalnoj 2021. Henkel je smanjio emisiju CO2 u svojoj proizvodnji za 50 posto i povećao udio zelene električne energije na više od jedne trećine. </w:t>
      </w:r>
    </w:p>
    <w:p w14:paraId="57A151C0" w14:textId="1056B09C" w:rsidR="00235554" w:rsidRPr="00F63F8D" w:rsidRDefault="00B27666" w:rsidP="00235554">
      <w:pPr>
        <w:pStyle w:val="ListParagraph"/>
        <w:numPr>
          <w:ilvl w:val="0"/>
          <w:numId w:val="15"/>
        </w:numPr>
        <w:rPr>
          <w:rFonts w:asciiTheme="majorHAnsi" w:hAnsiTheme="majorHAnsi" w:cstheme="majorHAnsi"/>
          <w:bCs/>
          <w:lang w:val="hr-HR"/>
        </w:rPr>
      </w:pPr>
      <w:r w:rsidRPr="00F63F8D">
        <w:rPr>
          <w:rFonts w:asciiTheme="majorHAnsi" w:hAnsiTheme="majorHAnsi"/>
          <w:lang w:val="hr-HR"/>
        </w:rPr>
        <w:t xml:space="preserve">Do kraja 2021. u 21 zemlji Henkel je u potpunosti prešao na korištenje električne energije koja je 100 posto obnovljiva. </w:t>
      </w:r>
    </w:p>
    <w:p w14:paraId="62CA1AE6" w14:textId="259EC9D8" w:rsidR="00235554" w:rsidRPr="00F63F8D" w:rsidRDefault="00235554" w:rsidP="00235554">
      <w:pPr>
        <w:pStyle w:val="ListParagraph"/>
        <w:numPr>
          <w:ilvl w:val="0"/>
          <w:numId w:val="15"/>
        </w:numPr>
        <w:rPr>
          <w:rFonts w:asciiTheme="majorHAnsi" w:hAnsiTheme="majorHAnsi" w:cstheme="majorHAnsi"/>
          <w:bCs/>
          <w:lang w:val="hr-HR"/>
        </w:rPr>
      </w:pPr>
      <w:r w:rsidRPr="00F63F8D">
        <w:rPr>
          <w:rFonts w:asciiTheme="majorHAnsi" w:hAnsiTheme="majorHAnsi"/>
          <w:lang w:val="hr-HR"/>
        </w:rPr>
        <w:t>Udio ambalaže koja se može reciklirati ili ponovno koristiti povećan je na 86 posto. Cilj je postići 100 posto do 2025. godine.</w:t>
      </w:r>
    </w:p>
    <w:p w14:paraId="5DCDA97E" w14:textId="608A8AC6" w:rsidR="00235554" w:rsidRPr="00F63F8D" w:rsidRDefault="00235554" w:rsidP="00235554">
      <w:pPr>
        <w:rPr>
          <w:rFonts w:asciiTheme="majorHAnsi" w:hAnsiTheme="majorHAnsi" w:cstheme="majorHAnsi"/>
          <w:bCs/>
          <w:lang w:val="hr-HR"/>
        </w:rPr>
      </w:pPr>
    </w:p>
    <w:p w14:paraId="16A1BCCA" w14:textId="3C004873" w:rsidR="00922748" w:rsidRPr="00F63F8D" w:rsidRDefault="003D284B" w:rsidP="006342C5">
      <w:pPr>
        <w:spacing w:after="80"/>
        <w:rPr>
          <w:rStyle w:val="AboutandContactHeadline"/>
          <w:rFonts w:asciiTheme="majorHAnsi" w:hAnsiTheme="majorHAnsi" w:cstheme="majorHAnsi"/>
          <w:b w:val="0"/>
          <w:sz w:val="22"/>
          <w:lang w:val="hr-HR"/>
        </w:rPr>
      </w:pPr>
      <w:r w:rsidRPr="00F63F8D">
        <w:rPr>
          <w:rStyle w:val="AboutandContactHeadline"/>
          <w:rFonts w:asciiTheme="majorHAnsi" w:hAnsiTheme="majorHAnsi"/>
          <w:b w:val="0"/>
          <w:sz w:val="22"/>
          <w:lang w:val="hr-HR"/>
        </w:rPr>
        <w:t xml:space="preserve">Henkel je 2021. godine bio prva tvrtka u svojoj industriji koja je izdala obveznice indeksirane u eurima s kamatnim stopama povezanim s postizanjem određenih ciljeva održivosti. Henkel je prošle godine izdao ukupno održive obveznice vrijedne više od 700 milijuna eura. </w:t>
      </w:r>
    </w:p>
    <w:p w14:paraId="1C4E7C8F" w14:textId="77777777" w:rsidR="006C4F85" w:rsidRPr="00F63F8D" w:rsidRDefault="006C4F85" w:rsidP="006342C5">
      <w:pPr>
        <w:spacing w:after="80"/>
        <w:rPr>
          <w:rStyle w:val="AboutandContactHeadline"/>
          <w:rFonts w:asciiTheme="majorHAnsi" w:hAnsiTheme="majorHAnsi" w:cstheme="majorHAnsi"/>
          <w:b w:val="0"/>
          <w:sz w:val="22"/>
          <w:lang w:val="hr-HR"/>
        </w:rPr>
      </w:pPr>
    </w:p>
    <w:p w14:paraId="677873A1" w14:textId="0976595A" w:rsidR="00320909" w:rsidRPr="00F63F8D" w:rsidRDefault="00320909" w:rsidP="006342C5">
      <w:pPr>
        <w:spacing w:after="80"/>
        <w:rPr>
          <w:rStyle w:val="AboutandContactHeadline"/>
          <w:rFonts w:asciiTheme="majorHAnsi" w:hAnsiTheme="majorHAnsi" w:cstheme="majorHAnsi"/>
          <w:b w:val="0"/>
          <w:sz w:val="22"/>
          <w:lang w:val="hr-HR"/>
        </w:rPr>
      </w:pPr>
      <w:r w:rsidRPr="00F63F8D">
        <w:rPr>
          <w:b/>
          <w:lang w:val="hr-HR"/>
        </w:rPr>
        <w:t>Najavljena nova strategija održivosti i ambicija</w:t>
      </w:r>
    </w:p>
    <w:p w14:paraId="3DD076DC" w14:textId="4BD69FCD" w:rsidR="007A151E" w:rsidRPr="00F63F8D" w:rsidRDefault="00283716" w:rsidP="007A151E">
      <w:pPr>
        <w:rPr>
          <w:rStyle w:val="AboutandContactHeadline"/>
          <w:rFonts w:asciiTheme="majorHAnsi" w:hAnsiTheme="majorHAnsi" w:cstheme="majorHAnsi"/>
          <w:b w:val="0"/>
          <w:bCs w:val="0"/>
          <w:sz w:val="22"/>
          <w:szCs w:val="22"/>
          <w:lang w:val="hr-HR"/>
        </w:rPr>
      </w:pPr>
      <w:r w:rsidRPr="00F63F8D">
        <w:rPr>
          <w:rStyle w:val="AboutandContactHeadline"/>
          <w:rFonts w:asciiTheme="majorHAnsi" w:hAnsiTheme="majorHAnsi"/>
          <w:b w:val="0"/>
          <w:sz w:val="22"/>
          <w:lang w:val="hr-HR"/>
        </w:rPr>
        <w:t xml:space="preserve">Kako bi pokazao rastuću važnost održivog upravljanja i sve veća očekivanja kupaca i društva, Henkel je unaprijedio svoju dugoročnu strategiju održivosti uvođenjem novog </w:t>
      </w:r>
      <w:r w:rsidRPr="00F63F8D">
        <w:rPr>
          <w:rStyle w:val="AboutandContactHeadline"/>
          <w:rFonts w:asciiTheme="majorHAnsi" w:hAnsiTheme="majorHAnsi"/>
          <w:sz w:val="22"/>
          <w:lang w:val="hr-HR"/>
        </w:rPr>
        <w:t xml:space="preserve">Strateškog okvira za </w:t>
      </w:r>
      <w:r w:rsidR="00F569AC">
        <w:rPr>
          <w:rStyle w:val="AboutandContactHeadline"/>
          <w:rFonts w:asciiTheme="majorHAnsi" w:hAnsiTheme="majorHAnsi"/>
          <w:sz w:val="22"/>
          <w:lang w:val="hr-HR"/>
        </w:rPr>
        <w:t>ostvarivanje ambicije održivog poslovanja</w:t>
      </w:r>
      <w:r w:rsidRPr="00F63F8D">
        <w:rPr>
          <w:rStyle w:val="AboutandContactHeadline"/>
          <w:rFonts w:asciiTheme="majorHAnsi" w:hAnsiTheme="majorHAnsi"/>
          <w:sz w:val="22"/>
          <w:lang w:val="hr-HR"/>
        </w:rPr>
        <w:t xml:space="preserve"> 2030+.</w:t>
      </w:r>
      <w:r w:rsidRPr="00F63F8D">
        <w:rPr>
          <w:rFonts w:asciiTheme="majorHAnsi" w:hAnsiTheme="majorHAnsi"/>
          <w:lang w:val="hr-HR"/>
        </w:rPr>
        <w:t xml:space="preserve"> </w:t>
      </w:r>
      <w:r w:rsidRPr="00F63F8D">
        <w:rPr>
          <w:rStyle w:val="AboutandContactHeadline"/>
          <w:rFonts w:asciiTheme="majorHAnsi" w:hAnsiTheme="majorHAnsi"/>
          <w:b w:val="0"/>
          <w:sz w:val="22"/>
          <w:lang w:val="hr-HR"/>
        </w:rPr>
        <w:t xml:space="preserve">Uz postojeće, novi dugoročni ciljevi postavljeni su u tri dimenzije </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xml:space="preserve"> </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Regenerativni planet</w:t>
      </w:r>
      <w:r w:rsidR="00F63F8D">
        <w:rPr>
          <w:rStyle w:val="AboutandContactHeadline"/>
          <w:rFonts w:asciiTheme="majorHAnsi" w:hAnsiTheme="majorHAnsi"/>
          <w:b w:val="0"/>
          <w:sz w:val="22"/>
          <w:lang w:val="hr-HR"/>
        </w:rPr>
        <w:t>“, „</w:t>
      </w:r>
      <w:r w:rsidRPr="00F63F8D">
        <w:rPr>
          <w:rStyle w:val="AboutandContactHeadline"/>
          <w:rFonts w:asciiTheme="majorHAnsi" w:hAnsiTheme="majorHAnsi"/>
          <w:b w:val="0"/>
          <w:sz w:val="22"/>
          <w:lang w:val="hr-HR"/>
        </w:rPr>
        <w:t>Uspješne zajednice</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xml:space="preserve"> i </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Partner povjerenja</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kako bi se potaknuo daljnji napredak.</w:t>
      </w:r>
    </w:p>
    <w:p w14:paraId="3CCBD7F5" w14:textId="6E9849F2" w:rsidR="007A151E" w:rsidRPr="00F63F8D" w:rsidRDefault="007A151E" w:rsidP="007A151E">
      <w:pPr>
        <w:rPr>
          <w:rStyle w:val="AboutandContactHeadline"/>
          <w:rFonts w:asciiTheme="majorHAnsi" w:hAnsiTheme="majorHAnsi" w:cstheme="majorHAnsi"/>
          <w:b w:val="0"/>
          <w:bCs w:val="0"/>
          <w:sz w:val="22"/>
          <w:szCs w:val="22"/>
          <w:lang w:val="hr-HR"/>
        </w:rPr>
      </w:pPr>
    </w:p>
    <w:p w14:paraId="6359CCC9" w14:textId="77777777" w:rsidR="00606BE9" w:rsidRPr="00F63F8D" w:rsidRDefault="00606BE9" w:rsidP="007A151E">
      <w:pPr>
        <w:rPr>
          <w:rStyle w:val="AboutandContactHeadline"/>
          <w:rFonts w:asciiTheme="majorHAnsi" w:hAnsiTheme="majorHAnsi" w:cstheme="majorHAnsi"/>
          <w:sz w:val="22"/>
          <w:szCs w:val="22"/>
          <w:lang w:val="hr-HR"/>
        </w:rPr>
      </w:pPr>
    </w:p>
    <w:p w14:paraId="53BAC35B" w14:textId="176C06F2" w:rsidR="00544579" w:rsidRPr="00F63F8D" w:rsidRDefault="00106ED8" w:rsidP="005C7AEC">
      <w:pPr>
        <w:spacing w:after="80"/>
        <w:rPr>
          <w:rStyle w:val="AboutandContactHeadline"/>
          <w:rFonts w:asciiTheme="majorHAnsi" w:hAnsiTheme="majorHAnsi" w:cstheme="majorHAnsi"/>
          <w:b w:val="0"/>
          <w:bCs w:val="0"/>
          <w:i/>
          <w:iCs/>
          <w:sz w:val="22"/>
          <w:szCs w:val="22"/>
          <w:lang w:val="hr-HR"/>
        </w:rPr>
      </w:pPr>
      <w:r w:rsidRPr="00F63F8D">
        <w:rPr>
          <w:rStyle w:val="AboutandContactHeadline"/>
          <w:rFonts w:asciiTheme="majorHAnsi" w:hAnsiTheme="majorHAnsi"/>
          <w:b w:val="0"/>
          <w:i/>
          <w:sz w:val="22"/>
          <w:lang w:val="hr-HR"/>
        </w:rPr>
        <w:t>Daljnji napredak u digitalizaciji</w:t>
      </w:r>
    </w:p>
    <w:p w14:paraId="7328A83E" w14:textId="4FD2B8AD" w:rsidR="007A151E" w:rsidRPr="00F63F8D" w:rsidRDefault="00E95755" w:rsidP="007A151E">
      <w:pPr>
        <w:rPr>
          <w:rStyle w:val="AboutandContactHeadline"/>
          <w:rFonts w:asciiTheme="majorHAnsi" w:hAnsiTheme="majorHAnsi" w:cstheme="majorHAnsi"/>
          <w:b w:val="0"/>
          <w:bCs w:val="0"/>
          <w:sz w:val="22"/>
          <w:szCs w:val="22"/>
          <w:lang w:val="hr-HR"/>
        </w:rPr>
      </w:pPr>
      <w:r w:rsidRPr="00F63F8D">
        <w:rPr>
          <w:rStyle w:val="AboutandContactHeadline"/>
          <w:rFonts w:asciiTheme="majorHAnsi" w:hAnsiTheme="majorHAnsi"/>
          <w:b w:val="0"/>
          <w:sz w:val="22"/>
          <w:lang w:val="hr-HR"/>
        </w:rPr>
        <w:t>Osim inovacija i održivosti, Henkel je</w:t>
      </w:r>
      <w:r w:rsidRPr="00F63F8D">
        <w:rPr>
          <w:rStyle w:val="AboutandContactHeadline"/>
          <w:rFonts w:asciiTheme="majorHAnsi" w:hAnsiTheme="majorHAnsi"/>
          <w:sz w:val="22"/>
          <w:lang w:val="hr-HR"/>
        </w:rPr>
        <w:t xml:space="preserve"> digitalizaciju</w:t>
      </w:r>
      <w:r w:rsidRPr="00F63F8D">
        <w:rPr>
          <w:rStyle w:val="AboutandContactHeadline"/>
          <w:rFonts w:asciiTheme="majorHAnsi" w:hAnsiTheme="majorHAnsi"/>
          <w:b w:val="0"/>
          <w:sz w:val="22"/>
          <w:lang w:val="hr-HR"/>
        </w:rPr>
        <w:t xml:space="preserve"> postavio kao strateški prioritet kako bi ojačao svoju konkurentsku prednost i postigao značajan napredak u 2021. </w:t>
      </w:r>
      <w:r w:rsidRPr="00F63F8D">
        <w:rPr>
          <w:rStyle w:val="AboutandContactHeadline"/>
          <w:rFonts w:asciiTheme="majorHAnsi" w:hAnsiTheme="majorHAnsi"/>
          <w:sz w:val="22"/>
          <w:lang w:val="hr-HR"/>
        </w:rPr>
        <w:t>Digitalna prodaja ponovno je porasla za dvoznamenkasti postotak</w:t>
      </w:r>
      <w:r w:rsidRPr="00F63F8D">
        <w:rPr>
          <w:rStyle w:val="AboutandContactHeadline"/>
          <w:rFonts w:asciiTheme="majorHAnsi" w:hAnsiTheme="majorHAnsi"/>
          <w:b w:val="0"/>
          <w:sz w:val="22"/>
          <w:lang w:val="hr-HR"/>
        </w:rPr>
        <w:t xml:space="preserve"> u sva tri poslovna sektora. Stoga se udio digitalne prodaje na razini Grupe</w:t>
      </w:r>
      <w:r w:rsidR="0052587E" w:rsidRPr="00F63F8D">
        <w:rPr>
          <w:rStyle w:val="AboutandContactHeadline"/>
          <w:rFonts w:asciiTheme="majorHAnsi" w:hAnsiTheme="majorHAnsi"/>
          <w:b w:val="0"/>
          <w:sz w:val="22"/>
          <w:lang w:val="hr-HR"/>
        </w:rPr>
        <w:t xml:space="preserve"> </w:t>
      </w:r>
      <w:r w:rsidRPr="00F63F8D">
        <w:rPr>
          <w:rStyle w:val="AboutandContactHeadline"/>
          <w:rFonts w:asciiTheme="majorHAnsi" w:hAnsiTheme="majorHAnsi"/>
          <w:b w:val="0"/>
          <w:sz w:val="22"/>
          <w:lang w:val="hr-HR"/>
        </w:rPr>
        <w:t xml:space="preserve">povećao na više od 18 posto. </w:t>
      </w:r>
    </w:p>
    <w:p w14:paraId="39598B82" w14:textId="77777777" w:rsidR="00BB75A4" w:rsidRPr="00F63F8D" w:rsidRDefault="00BB75A4" w:rsidP="00062CE8">
      <w:pPr>
        <w:spacing w:after="120"/>
        <w:rPr>
          <w:rStyle w:val="AboutandContactHeadline"/>
          <w:rFonts w:asciiTheme="majorHAnsi" w:hAnsiTheme="majorHAnsi" w:cstheme="majorHAnsi"/>
          <w:sz w:val="22"/>
          <w:lang w:val="hr-HR"/>
        </w:rPr>
      </w:pPr>
    </w:p>
    <w:p w14:paraId="15823FA5" w14:textId="0F3D2FA5" w:rsidR="00B665A1" w:rsidRPr="00F63F8D" w:rsidRDefault="00B46713" w:rsidP="00062CE8">
      <w:pPr>
        <w:spacing w:after="120"/>
        <w:rPr>
          <w:rStyle w:val="AboutandContactHeadline"/>
          <w:rFonts w:asciiTheme="majorHAnsi" w:hAnsiTheme="majorHAnsi" w:cstheme="majorHAnsi"/>
          <w:b w:val="0"/>
          <w:bCs w:val="0"/>
          <w:i/>
          <w:iCs/>
          <w:sz w:val="22"/>
          <w:lang w:val="hr-HR"/>
        </w:rPr>
      </w:pPr>
      <w:r w:rsidRPr="00F63F8D">
        <w:rPr>
          <w:rStyle w:val="AboutandContactHeadline"/>
          <w:rFonts w:asciiTheme="majorHAnsi" w:hAnsiTheme="majorHAnsi"/>
          <w:b w:val="0"/>
          <w:i/>
          <w:sz w:val="22"/>
          <w:lang w:val="hr-HR"/>
        </w:rPr>
        <w:t>Prošireni operativni modeli spremni za budućnost</w:t>
      </w:r>
    </w:p>
    <w:p w14:paraId="0A699116" w14:textId="6750F692" w:rsidR="00B46713" w:rsidRPr="00F63F8D" w:rsidRDefault="00B46713" w:rsidP="006342C5">
      <w:pPr>
        <w:spacing w:after="80"/>
        <w:rPr>
          <w:rStyle w:val="AboutandContactHeadline"/>
          <w:rFonts w:asciiTheme="majorHAnsi" w:hAnsiTheme="majorHAnsi" w:cstheme="majorHAnsi"/>
          <w:b w:val="0"/>
          <w:sz w:val="22"/>
          <w:lang w:val="hr-HR"/>
        </w:rPr>
      </w:pPr>
      <w:r w:rsidRPr="00F63F8D">
        <w:rPr>
          <w:rStyle w:val="AboutandContactHeadline"/>
          <w:rFonts w:asciiTheme="majorHAnsi" w:hAnsiTheme="majorHAnsi"/>
          <w:b w:val="0"/>
          <w:sz w:val="22"/>
          <w:lang w:val="hr-HR"/>
        </w:rPr>
        <w:t xml:space="preserve">Ekonomični, brzi, </w:t>
      </w:r>
      <w:r w:rsidRPr="00F63F8D">
        <w:rPr>
          <w:rStyle w:val="AboutandContactHeadline"/>
          <w:rFonts w:asciiTheme="majorHAnsi" w:hAnsiTheme="majorHAnsi"/>
          <w:sz w:val="22"/>
          <w:lang w:val="hr-HR"/>
        </w:rPr>
        <w:t>operativni modeli spremni za budućnost</w:t>
      </w:r>
      <w:r w:rsidRPr="00F63F8D">
        <w:rPr>
          <w:rStyle w:val="AboutandContactHeadline"/>
          <w:rFonts w:asciiTheme="majorHAnsi" w:hAnsiTheme="majorHAnsi"/>
          <w:b w:val="0"/>
          <w:sz w:val="22"/>
          <w:lang w:val="hr-HR"/>
        </w:rPr>
        <w:t xml:space="preserve"> važni su elementi Henkelova strateškog okvira. Henkel je nastavio promjene započete 2020.: u sektoru Ljepila i tehnologije uspostavljena je nova struktura s četiri poslovna odjela koji se sastoje od 11 strateških jedinica. Planirano spajanje sektora </w:t>
      </w:r>
      <w:r w:rsidR="00A65409" w:rsidRPr="00A65409">
        <w:rPr>
          <w:rStyle w:val="AboutandContactHeadline"/>
          <w:rFonts w:asciiTheme="majorHAnsi" w:hAnsiTheme="majorHAnsi"/>
          <w:b w:val="0"/>
          <w:sz w:val="22"/>
          <w:lang w:val="hr-HR"/>
        </w:rPr>
        <w:t>Sredstva za pranje i čišćenje u domaćinstvu</w:t>
      </w:r>
      <w:r w:rsidR="00A65409">
        <w:rPr>
          <w:rStyle w:val="AboutandContactHeadline"/>
          <w:rFonts w:asciiTheme="majorHAnsi" w:hAnsiTheme="majorHAnsi"/>
          <w:b w:val="0"/>
          <w:sz w:val="22"/>
          <w:lang w:val="hr-HR"/>
        </w:rPr>
        <w:t xml:space="preserve"> </w:t>
      </w:r>
      <w:r w:rsidRPr="00F63F8D">
        <w:rPr>
          <w:rStyle w:val="AboutandContactHeadline"/>
          <w:rFonts w:asciiTheme="majorHAnsi" w:hAnsiTheme="majorHAnsi"/>
          <w:b w:val="0"/>
          <w:sz w:val="22"/>
          <w:lang w:val="hr-HR"/>
        </w:rPr>
        <w:t xml:space="preserve">i </w:t>
      </w:r>
      <w:r w:rsidR="00A65409">
        <w:rPr>
          <w:rStyle w:val="AboutandContactHeadline"/>
          <w:rFonts w:asciiTheme="majorHAnsi" w:hAnsiTheme="majorHAnsi"/>
          <w:b w:val="0"/>
          <w:sz w:val="22"/>
          <w:lang w:val="hr-HR"/>
        </w:rPr>
        <w:t>Beauty Care</w:t>
      </w:r>
      <w:r w:rsidRPr="00F63F8D">
        <w:rPr>
          <w:rStyle w:val="AboutandContactHeadline"/>
          <w:rFonts w:asciiTheme="majorHAnsi" w:hAnsiTheme="majorHAnsi"/>
          <w:b w:val="0"/>
          <w:sz w:val="22"/>
          <w:lang w:val="hr-HR"/>
        </w:rPr>
        <w:t xml:space="preserve"> u sektor </w:t>
      </w:r>
      <w:r w:rsidR="00A65409" w:rsidRPr="00A65409">
        <w:rPr>
          <w:rStyle w:val="AboutandContactHeadline"/>
          <w:rFonts w:asciiTheme="majorHAnsi" w:hAnsiTheme="majorHAnsi"/>
          <w:b w:val="0"/>
          <w:sz w:val="22"/>
          <w:lang w:val="hr-HR"/>
        </w:rPr>
        <w:t xml:space="preserve">Henkel Consumer Brands </w:t>
      </w:r>
      <w:r w:rsidRPr="00F63F8D">
        <w:rPr>
          <w:rStyle w:val="AboutandContactHeadline"/>
          <w:rFonts w:asciiTheme="majorHAnsi" w:hAnsiTheme="majorHAnsi"/>
          <w:b w:val="0"/>
          <w:sz w:val="22"/>
          <w:lang w:val="hr-HR"/>
        </w:rPr>
        <w:t xml:space="preserve">također će dovesti do daljnje optimizacije struktura. </w:t>
      </w:r>
    </w:p>
    <w:p w14:paraId="0687F49D" w14:textId="77777777" w:rsidR="00111156" w:rsidRPr="00F63F8D" w:rsidRDefault="00111156" w:rsidP="006342C5">
      <w:pPr>
        <w:spacing w:after="80"/>
        <w:rPr>
          <w:rStyle w:val="AboutandContactHeadline"/>
          <w:rFonts w:asciiTheme="majorHAnsi" w:hAnsiTheme="majorHAnsi" w:cstheme="majorHAnsi"/>
          <w:b w:val="0"/>
          <w:sz w:val="22"/>
          <w:lang w:val="hr-HR"/>
        </w:rPr>
      </w:pPr>
    </w:p>
    <w:p w14:paraId="1589C970" w14:textId="4D3B421B" w:rsidR="00B665A1" w:rsidRPr="00F63F8D" w:rsidRDefault="00111156" w:rsidP="00062CE8">
      <w:pPr>
        <w:spacing w:after="120"/>
        <w:rPr>
          <w:rStyle w:val="AboutandContactHeadline"/>
          <w:rFonts w:asciiTheme="majorHAnsi" w:hAnsiTheme="majorHAnsi" w:cstheme="majorHAnsi"/>
          <w:b w:val="0"/>
          <w:bCs w:val="0"/>
          <w:i/>
          <w:iCs/>
          <w:sz w:val="22"/>
          <w:lang w:val="hr-HR"/>
        </w:rPr>
      </w:pPr>
      <w:r w:rsidRPr="00F63F8D">
        <w:rPr>
          <w:rStyle w:val="AboutandContactHeadline"/>
          <w:rFonts w:asciiTheme="majorHAnsi" w:hAnsiTheme="majorHAnsi"/>
          <w:b w:val="0"/>
          <w:i/>
          <w:sz w:val="22"/>
          <w:lang w:val="hr-HR"/>
        </w:rPr>
        <w:t>Jačanje korporativne kulture</w:t>
      </w:r>
    </w:p>
    <w:p w14:paraId="28CAABC4" w14:textId="3477988C" w:rsidR="00496E91" w:rsidRPr="00F63F8D" w:rsidRDefault="00111156" w:rsidP="00AA380F">
      <w:pPr>
        <w:rPr>
          <w:rStyle w:val="AboutandContactHeadline"/>
          <w:rFonts w:asciiTheme="majorHAnsi" w:hAnsiTheme="majorHAnsi" w:cstheme="majorHAnsi"/>
          <w:b w:val="0"/>
          <w:sz w:val="22"/>
          <w:lang w:val="hr-HR"/>
        </w:rPr>
      </w:pPr>
      <w:r w:rsidRPr="00F63F8D">
        <w:rPr>
          <w:rStyle w:val="AboutandContactHeadline"/>
          <w:rFonts w:asciiTheme="majorHAnsi" w:hAnsiTheme="majorHAnsi"/>
          <w:b w:val="0"/>
          <w:sz w:val="22"/>
          <w:lang w:val="hr-HR"/>
        </w:rPr>
        <w:t xml:space="preserve">Henkel je dodatno ojačao svoju korporativnu kulturu kao dio svog strateškog programa. Godine 2020. Henkel je osmislio novu svrhu za tvrtku i lansirao je interno i eksterno: </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Pioniri u srcu za dobrobit generacija</w:t>
      </w:r>
      <w:r w:rsidR="00F63F8D">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xml:space="preserve">. </w:t>
      </w:r>
      <w:r w:rsidR="002F5BDB">
        <w:rPr>
          <w:rStyle w:val="AboutandContactHeadline"/>
          <w:rFonts w:asciiTheme="majorHAnsi" w:hAnsiTheme="majorHAnsi"/>
          <w:b w:val="0"/>
          <w:sz w:val="22"/>
          <w:lang w:val="hr-HR"/>
        </w:rPr>
        <w:t>T</w:t>
      </w:r>
      <w:r w:rsidR="002F5BDB" w:rsidRPr="00F63F8D">
        <w:rPr>
          <w:rStyle w:val="AboutandContactHeadline"/>
          <w:rFonts w:asciiTheme="majorHAnsi" w:hAnsiTheme="majorHAnsi"/>
          <w:b w:val="0"/>
          <w:sz w:val="22"/>
          <w:lang w:val="hr-HR"/>
        </w:rPr>
        <w:t xml:space="preserve">a </w:t>
      </w:r>
      <w:r w:rsidRPr="00F63F8D">
        <w:rPr>
          <w:rStyle w:val="AboutandContactHeadline"/>
          <w:rFonts w:asciiTheme="majorHAnsi" w:hAnsiTheme="majorHAnsi"/>
          <w:b w:val="0"/>
          <w:sz w:val="22"/>
          <w:lang w:val="hr-HR"/>
        </w:rPr>
        <w:t xml:space="preserve">nova svrha vodeći </w:t>
      </w:r>
      <w:r w:rsidR="002E5AB5">
        <w:rPr>
          <w:rStyle w:val="AboutandContactHeadline"/>
          <w:rFonts w:asciiTheme="majorHAnsi" w:hAnsiTheme="majorHAnsi"/>
          <w:b w:val="0"/>
          <w:sz w:val="22"/>
          <w:lang w:val="hr-HR"/>
        </w:rPr>
        <w:t xml:space="preserve">je </w:t>
      </w:r>
      <w:r w:rsidRPr="00F63F8D">
        <w:rPr>
          <w:rStyle w:val="AboutandContactHeadline"/>
          <w:rFonts w:asciiTheme="majorHAnsi" w:hAnsiTheme="majorHAnsi"/>
          <w:b w:val="0"/>
          <w:sz w:val="22"/>
          <w:lang w:val="hr-HR"/>
        </w:rPr>
        <w:t xml:space="preserve">princip koji ujedinjuje sve zaposlenike Henkela. S novim, dinamičnim vizualnim izgledom korporativne marke Henkel ističe svoju želju da bude pionir u omogućavanju pozitivnog razvoja na tržištima i društvenom okruženju.  </w:t>
      </w:r>
    </w:p>
    <w:p w14:paraId="2938DCEB" w14:textId="77777777" w:rsidR="00AA380F" w:rsidRPr="00F63F8D" w:rsidRDefault="00AA380F" w:rsidP="00AA380F">
      <w:pPr>
        <w:rPr>
          <w:rStyle w:val="AboutandContactHeadline"/>
          <w:rFonts w:asciiTheme="majorHAnsi" w:hAnsiTheme="majorHAnsi" w:cstheme="majorHAnsi"/>
          <w:b w:val="0"/>
          <w:sz w:val="22"/>
          <w:lang w:val="hr-HR"/>
        </w:rPr>
      </w:pPr>
    </w:p>
    <w:p w14:paraId="764C5CEE" w14:textId="198E06D5" w:rsidR="00496E91" w:rsidRPr="00F63F8D" w:rsidRDefault="00496E91" w:rsidP="00062CE8">
      <w:pPr>
        <w:spacing w:after="120"/>
        <w:rPr>
          <w:rStyle w:val="AboutandContactHeadline"/>
          <w:rFonts w:asciiTheme="majorHAnsi" w:hAnsiTheme="majorHAnsi" w:cstheme="majorHAnsi"/>
          <w:sz w:val="22"/>
          <w:lang w:val="hr-HR"/>
        </w:rPr>
      </w:pPr>
      <w:r w:rsidRPr="00F63F8D">
        <w:rPr>
          <w:rStyle w:val="AboutandContactHeadline"/>
          <w:rFonts w:asciiTheme="majorHAnsi" w:hAnsiTheme="majorHAnsi"/>
          <w:sz w:val="22"/>
          <w:lang w:val="hr-HR"/>
        </w:rPr>
        <w:t xml:space="preserve">Proces integracije novog poslovnog sektora Henkel Consumer Brands </w:t>
      </w:r>
    </w:p>
    <w:p w14:paraId="4E23D4A8" w14:textId="6B2409B3" w:rsidR="000464F6" w:rsidRPr="00F63F8D" w:rsidRDefault="00581E62" w:rsidP="000464F6">
      <w:pPr>
        <w:rPr>
          <w:rStyle w:val="AboutandContactHeadline"/>
          <w:rFonts w:asciiTheme="majorHAnsi" w:hAnsiTheme="majorHAnsi"/>
          <w:b w:val="0"/>
          <w:sz w:val="22"/>
          <w:lang w:val="hr-HR"/>
        </w:rPr>
      </w:pPr>
      <w:r w:rsidRPr="00F63F8D">
        <w:rPr>
          <w:rStyle w:val="AboutandContactHeadline"/>
          <w:rFonts w:asciiTheme="majorHAnsi" w:hAnsiTheme="majorHAnsi"/>
          <w:b w:val="0"/>
          <w:sz w:val="22"/>
          <w:lang w:val="hr-HR"/>
        </w:rPr>
        <w:t xml:space="preserve">Krajem siječnja 2022. Henkel je najavio sveobuhvatne mjere za podizanje </w:t>
      </w:r>
      <w:r w:rsidR="002E5AB5">
        <w:rPr>
          <w:rStyle w:val="AboutandContactHeadline"/>
          <w:rFonts w:asciiTheme="majorHAnsi" w:hAnsiTheme="majorHAnsi"/>
          <w:b w:val="0"/>
          <w:sz w:val="22"/>
          <w:lang w:val="hr-HR"/>
        </w:rPr>
        <w:t>Strategije</w:t>
      </w:r>
      <w:r w:rsidR="002E5AB5" w:rsidRPr="00F63F8D">
        <w:rPr>
          <w:rStyle w:val="AboutandContactHeadline"/>
          <w:rFonts w:asciiTheme="majorHAnsi" w:hAnsiTheme="majorHAnsi"/>
          <w:b w:val="0"/>
          <w:sz w:val="22"/>
          <w:lang w:val="hr-HR"/>
        </w:rPr>
        <w:t xml:space="preserve"> </w:t>
      </w:r>
      <w:r w:rsidRPr="00F63F8D">
        <w:rPr>
          <w:rStyle w:val="AboutandContactHeadline"/>
          <w:rFonts w:asciiTheme="majorHAnsi" w:hAnsiTheme="majorHAnsi"/>
          <w:b w:val="0"/>
          <w:sz w:val="22"/>
          <w:lang w:val="hr-HR"/>
        </w:rPr>
        <w:t xml:space="preserve">svrhovitog rasta na sljedeću razinu. Henkel planira spojiti sektore </w:t>
      </w:r>
      <w:r w:rsidR="00F63F8D" w:rsidRPr="00F63F8D">
        <w:rPr>
          <w:rStyle w:val="AboutandContactHeadline"/>
          <w:rFonts w:asciiTheme="majorHAnsi" w:hAnsiTheme="majorHAnsi"/>
          <w:b w:val="0"/>
          <w:sz w:val="22"/>
          <w:lang w:val="hr-HR"/>
        </w:rPr>
        <w:t>Sredstva za pranje i čišćenje u domaćinstvu</w:t>
      </w:r>
      <w:r w:rsidR="00F63F8D">
        <w:rPr>
          <w:rStyle w:val="AboutandContactHeadline"/>
          <w:rFonts w:asciiTheme="majorHAnsi" w:hAnsiTheme="majorHAnsi"/>
          <w:b w:val="0"/>
          <w:sz w:val="22"/>
          <w:lang w:val="hr-HR"/>
        </w:rPr>
        <w:t xml:space="preserve"> i Beaut</w:t>
      </w:r>
      <w:r w:rsidR="00633EE6">
        <w:rPr>
          <w:rStyle w:val="AboutandContactHeadline"/>
          <w:rFonts w:asciiTheme="majorHAnsi" w:hAnsiTheme="majorHAnsi"/>
          <w:b w:val="0"/>
          <w:sz w:val="22"/>
          <w:lang w:val="hr-HR"/>
        </w:rPr>
        <w:t>y</w:t>
      </w:r>
      <w:r w:rsidR="00F63F8D">
        <w:rPr>
          <w:rStyle w:val="AboutandContactHeadline"/>
          <w:rFonts w:asciiTheme="majorHAnsi" w:hAnsiTheme="majorHAnsi"/>
          <w:b w:val="0"/>
          <w:sz w:val="22"/>
          <w:lang w:val="hr-HR"/>
        </w:rPr>
        <w:t xml:space="preserve"> Care</w:t>
      </w:r>
      <w:r w:rsidRPr="00F63F8D">
        <w:rPr>
          <w:rStyle w:val="AboutandContactHeadline"/>
          <w:rFonts w:asciiTheme="majorHAnsi" w:hAnsiTheme="majorHAnsi"/>
          <w:b w:val="0"/>
          <w:sz w:val="22"/>
          <w:lang w:val="hr-HR"/>
        </w:rPr>
        <w:t xml:space="preserve"> u jedan poslovni sektor: </w:t>
      </w:r>
      <w:r w:rsidRPr="00F63F8D">
        <w:rPr>
          <w:rStyle w:val="AboutandContactHeadline"/>
          <w:rFonts w:asciiTheme="majorHAnsi" w:hAnsiTheme="majorHAnsi"/>
          <w:sz w:val="22"/>
          <w:lang w:val="hr-HR"/>
        </w:rPr>
        <w:t>Henkel Consumer Brands.</w:t>
      </w:r>
      <w:r w:rsidRPr="00F63F8D">
        <w:rPr>
          <w:rStyle w:val="AboutandContactHeadline"/>
          <w:rFonts w:asciiTheme="majorHAnsi" w:hAnsiTheme="majorHAnsi"/>
          <w:b w:val="0"/>
          <w:sz w:val="22"/>
          <w:lang w:val="hr-HR"/>
        </w:rPr>
        <w:t xml:space="preserve"> Spajanje je osmišljeno da potakne rast i profitabilnost poslovanja tvrtke s robom široke potrošnje. </w:t>
      </w:r>
    </w:p>
    <w:p w14:paraId="18A4465F" w14:textId="77777777" w:rsidR="000464F6" w:rsidRPr="00F63F8D" w:rsidRDefault="000464F6" w:rsidP="000464F6">
      <w:pPr>
        <w:rPr>
          <w:rStyle w:val="AboutandContactHeadline"/>
          <w:rFonts w:asciiTheme="majorHAnsi" w:hAnsiTheme="majorHAnsi"/>
          <w:b w:val="0"/>
          <w:sz w:val="22"/>
          <w:lang w:val="hr-HR"/>
        </w:rPr>
      </w:pPr>
    </w:p>
    <w:p w14:paraId="6215C385" w14:textId="56D53359" w:rsidR="005C7AEC" w:rsidRPr="00F63F8D" w:rsidRDefault="00AB5448" w:rsidP="000464F6">
      <w:pPr>
        <w:rPr>
          <w:rStyle w:val="AboutandContactHeadline"/>
          <w:rFonts w:asciiTheme="majorHAnsi" w:hAnsiTheme="majorHAnsi" w:cstheme="majorHAnsi"/>
          <w:b w:val="0"/>
          <w:sz w:val="22"/>
          <w:lang w:val="hr-HR"/>
        </w:rPr>
      </w:pPr>
      <w:r w:rsidRPr="00F63F8D">
        <w:rPr>
          <w:rStyle w:val="AboutandContactHeadline"/>
          <w:rFonts w:asciiTheme="majorHAnsi" w:hAnsiTheme="majorHAnsi"/>
          <w:sz w:val="22"/>
          <w:lang w:val="hr-HR"/>
        </w:rPr>
        <w:t>Pripreme za proces integracije</w:t>
      </w:r>
      <w:r w:rsidRPr="00F63F8D">
        <w:rPr>
          <w:rStyle w:val="AboutandContactHeadline"/>
          <w:rFonts w:asciiTheme="majorHAnsi" w:hAnsiTheme="majorHAnsi"/>
          <w:b w:val="0"/>
          <w:sz w:val="22"/>
          <w:lang w:val="hr-HR"/>
        </w:rPr>
        <w:t xml:space="preserve"> novog poslovnog sektora već su počele. To uključuje početne, konstruktivne razgovore s predstavnicima zaposlenika. </w:t>
      </w:r>
    </w:p>
    <w:p w14:paraId="77FAB88E" w14:textId="77777777" w:rsidR="005C7AEC" w:rsidRPr="00F63F8D" w:rsidRDefault="005C7AEC" w:rsidP="005C7AEC">
      <w:pPr>
        <w:spacing w:after="80"/>
        <w:rPr>
          <w:rStyle w:val="AboutandContactHeadline"/>
          <w:rFonts w:asciiTheme="majorHAnsi" w:hAnsiTheme="majorHAnsi" w:cstheme="majorHAnsi"/>
          <w:b w:val="0"/>
          <w:sz w:val="22"/>
          <w:lang w:val="hr-HR"/>
        </w:rPr>
      </w:pPr>
    </w:p>
    <w:p w14:paraId="76F657B2" w14:textId="2529DEDC" w:rsidR="00117138" w:rsidRPr="00F63F8D" w:rsidRDefault="00117138" w:rsidP="006342C5">
      <w:pPr>
        <w:spacing w:after="80"/>
        <w:rPr>
          <w:rStyle w:val="AboutandContactHeadline"/>
          <w:rFonts w:asciiTheme="majorHAnsi" w:hAnsiTheme="majorHAnsi" w:cstheme="majorHAnsi"/>
          <w:b w:val="0"/>
          <w:sz w:val="22"/>
          <w:lang w:val="hr-HR"/>
        </w:rPr>
      </w:pPr>
      <w:r w:rsidRPr="00F63F8D">
        <w:rPr>
          <w:rStyle w:val="AboutandContactHeadline"/>
          <w:rFonts w:asciiTheme="majorHAnsi" w:hAnsiTheme="majorHAnsi"/>
          <w:b w:val="0"/>
          <w:sz w:val="22"/>
          <w:lang w:val="hr-HR"/>
        </w:rPr>
        <w:t>Rezimirajući, Carsten Knobel je rekao: „U 2021. godini smo dodatno napredovali u provedbi naše strateške agende i ukupno smo postigli dobre poslovne rezultate. Unatoč činjenici da smo još uvijek suočeni s globalnom pandemijom</w:t>
      </w:r>
      <w:r w:rsidR="00231E5F">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xml:space="preserve"> kao i vrlo napetim lancima opskrbe i iznimno velikim rastom cijena sirovina i logističkih usluga. Sada gledamo u budućnost</w:t>
      </w:r>
      <w:r w:rsidR="00810573">
        <w:rPr>
          <w:rStyle w:val="AboutandContactHeadline"/>
          <w:rFonts w:asciiTheme="majorHAnsi" w:hAnsiTheme="majorHAnsi"/>
          <w:b w:val="0"/>
          <w:sz w:val="22"/>
          <w:lang w:val="hr-HR"/>
        </w:rPr>
        <w:t>,</w:t>
      </w:r>
      <w:r w:rsidRPr="00F63F8D">
        <w:rPr>
          <w:rStyle w:val="AboutandContactHeadline"/>
          <w:rFonts w:asciiTheme="majorHAnsi" w:hAnsiTheme="majorHAnsi"/>
          <w:b w:val="0"/>
          <w:sz w:val="22"/>
          <w:lang w:val="hr-HR"/>
        </w:rPr>
        <w:t xml:space="preserve"> u zadaće </w:t>
      </w:r>
      <w:r w:rsidR="00810573" w:rsidRPr="00F63F8D">
        <w:rPr>
          <w:rStyle w:val="AboutandContactHeadline"/>
          <w:rFonts w:asciiTheme="majorHAnsi" w:hAnsiTheme="majorHAnsi"/>
          <w:b w:val="0"/>
          <w:sz w:val="22"/>
          <w:lang w:val="hr-HR"/>
        </w:rPr>
        <w:t>koj</w:t>
      </w:r>
      <w:r w:rsidR="00810573">
        <w:rPr>
          <w:rStyle w:val="AboutandContactHeadline"/>
          <w:rFonts w:asciiTheme="majorHAnsi" w:hAnsiTheme="majorHAnsi"/>
          <w:b w:val="0"/>
          <w:sz w:val="22"/>
          <w:lang w:val="hr-HR"/>
        </w:rPr>
        <w:t xml:space="preserve">e </w:t>
      </w:r>
      <w:r w:rsidRPr="00F63F8D">
        <w:rPr>
          <w:rStyle w:val="AboutandContactHeadline"/>
          <w:rFonts w:asciiTheme="majorHAnsi" w:hAnsiTheme="majorHAnsi"/>
          <w:b w:val="0"/>
          <w:sz w:val="22"/>
          <w:lang w:val="hr-HR"/>
        </w:rPr>
        <w:t>su 2022. i dalje</w:t>
      </w:r>
      <w:r w:rsidR="005138FE">
        <w:rPr>
          <w:rStyle w:val="AboutandContactHeadline"/>
          <w:rFonts w:asciiTheme="majorHAnsi" w:hAnsiTheme="majorHAnsi"/>
          <w:b w:val="0"/>
          <w:sz w:val="22"/>
          <w:lang w:val="hr-HR"/>
        </w:rPr>
        <w:t xml:space="preserve"> pred nama</w:t>
      </w:r>
      <w:r w:rsidRPr="00F63F8D">
        <w:rPr>
          <w:rStyle w:val="AboutandContactHeadline"/>
          <w:rFonts w:asciiTheme="majorHAnsi" w:hAnsiTheme="majorHAnsi"/>
          <w:b w:val="0"/>
          <w:sz w:val="22"/>
          <w:lang w:val="hr-HR"/>
        </w:rPr>
        <w:t xml:space="preserve">. Izgradili smo jasnu strategiju za generiranje svrhovitog rasta i snažnog tima s visoko motiviranim zaposlenicima diljem svijeta. Vjerujemo u naše zajedničke vrijednosti, našu kulturu i našu svrhu i oni nas vode. Potpuno sam uvjeren da ćemo ostvariti naše ambiciozne ciljeve i uspješno provesti našu </w:t>
      </w:r>
      <w:r w:rsidR="005138FE">
        <w:rPr>
          <w:rStyle w:val="AboutandContactHeadline"/>
          <w:rFonts w:asciiTheme="majorHAnsi" w:hAnsiTheme="majorHAnsi"/>
          <w:b w:val="0"/>
          <w:sz w:val="22"/>
          <w:lang w:val="hr-HR"/>
        </w:rPr>
        <w:t>Strategiju</w:t>
      </w:r>
      <w:r w:rsidR="005138FE" w:rsidRPr="00F63F8D">
        <w:rPr>
          <w:rStyle w:val="AboutandContactHeadline"/>
          <w:rFonts w:asciiTheme="majorHAnsi" w:hAnsiTheme="majorHAnsi"/>
          <w:b w:val="0"/>
          <w:sz w:val="22"/>
          <w:lang w:val="hr-HR"/>
        </w:rPr>
        <w:t xml:space="preserve"> </w:t>
      </w:r>
      <w:r w:rsidRPr="00F63F8D">
        <w:rPr>
          <w:rStyle w:val="AboutandContactHeadline"/>
          <w:rFonts w:asciiTheme="majorHAnsi" w:hAnsiTheme="majorHAnsi"/>
          <w:b w:val="0"/>
          <w:sz w:val="22"/>
          <w:lang w:val="hr-HR"/>
        </w:rPr>
        <w:t>za svr</w:t>
      </w:r>
      <w:r w:rsidR="003B17E7">
        <w:rPr>
          <w:rStyle w:val="AboutandContactHeadline"/>
          <w:rFonts w:asciiTheme="majorHAnsi" w:hAnsiTheme="majorHAnsi"/>
          <w:b w:val="0"/>
          <w:sz w:val="22"/>
          <w:lang w:val="hr-HR"/>
        </w:rPr>
        <w:t>hovit</w:t>
      </w:r>
      <w:r w:rsidRPr="00F63F8D">
        <w:rPr>
          <w:rStyle w:val="AboutandContactHeadline"/>
          <w:rFonts w:asciiTheme="majorHAnsi" w:hAnsiTheme="majorHAnsi"/>
          <w:b w:val="0"/>
          <w:sz w:val="22"/>
          <w:lang w:val="hr-HR"/>
        </w:rPr>
        <w:t xml:space="preserve"> rast."</w:t>
      </w:r>
    </w:p>
    <w:p w14:paraId="66EFCD12" w14:textId="4FDFE2EC" w:rsidR="00AF3411" w:rsidRPr="00F63F8D" w:rsidRDefault="00AF3411" w:rsidP="007F4562">
      <w:pPr>
        <w:rPr>
          <w:rStyle w:val="AboutandContactHeadline"/>
          <w:lang w:val="hr-HR"/>
        </w:rPr>
      </w:pPr>
    </w:p>
    <w:p w14:paraId="44FFC8B8" w14:textId="77777777" w:rsidR="007A066D" w:rsidRPr="00F63F8D" w:rsidRDefault="007A066D" w:rsidP="007A066D">
      <w:pPr>
        <w:rPr>
          <w:rStyle w:val="AboutandContactHeadline"/>
          <w:szCs w:val="18"/>
          <w:lang w:val="hr-HR"/>
        </w:rPr>
      </w:pPr>
      <w:r w:rsidRPr="00F63F8D">
        <w:rPr>
          <w:rStyle w:val="AboutandContactHeadline"/>
          <w:lang w:val="hr-HR"/>
        </w:rPr>
        <w:t>O Henkelu</w:t>
      </w:r>
    </w:p>
    <w:p w14:paraId="23C40579" w14:textId="0CF05FDF" w:rsidR="007A066D" w:rsidRPr="00F63F8D" w:rsidRDefault="007A066D" w:rsidP="007A066D">
      <w:pPr>
        <w:rPr>
          <w:rStyle w:val="AboutandContactBody"/>
          <w:szCs w:val="18"/>
          <w:lang w:val="hr-HR"/>
        </w:rPr>
      </w:pPr>
      <w:r w:rsidRPr="00F63F8D">
        <w:rPr>
          <w:rStyle w:val="AboutandContactBody"/>
          <w:lang w:val="hr-HR"/>
        </w:rPr>
        <w:t>Henkel posluje</w:t>
      </w:r>
      <w:r w:rsidR="003E48CC">
        <w:rPr>
          <w:rStyle w:val="AboutandContactBody"/>
          <w:lang w:val="hr-HR"/>
        </w:rPr>
        <w:t xml:space="preserve"> diljem</w:t>
      </w:r>
      <w:r w:rsidRPr="00F63F8D">
        <w:rPr>
          <w:rStyle w:val="AboutandContactBody"/>
          <w:lang w:val="hr-HR"/>
        </w:rPr>
        <w:t xml:space="preserve"> svijeta s uravnoteženim i raznolikim portfeljem. Tvrtka zauzima vodeće pozicije sa svoja tri poslovna sektora na područjima industrijskog tržišta, kao i proizvoda široke potrošnje, zahvaljujući snažnim bren</w:t>
      </w:r>
      <w:r w:rsidR="00A65409">
        <w:rPr>
          <w:rStyle w:val="AboutandContactBody"/>
          <w:lang w:val="hr-HR"/>
        </w:rPr>
        <w:t>d</w:t>
      </w:r>
      <w:r w:rsidRPr="00F63F8D">
        <w:rPr>
          <w:rStyle w:val="AboutandContactBody"/>
          <w:lang w:val="hr-HR"/>
        </w:rPr>
        <w:t xml:space="preserve">ovima, inovacijama i tehnologijama. Henkelov sektor Ljepila i tehnologije svjetski je predvodnik na tržištu ljepila  u svim industrijskim segmentima na svijetu. Sa sektorima Sredstva za pranje i čišćenje u domaćinstvu i Beauty Care, Henkel drži vodeće pozicije na mnogim tržištima i kategorijama širom svijeta. Osnovan 1876. godine, Henkel iza sebe ima više od 140 godina uspješnog poslovanja. U 2021. godini Henkel je ostvario prodaju veću od 20 milijardi eura i operativnu dobit veću od 2,7 milijardi eura. Henkel zapošljava više od 52.000 ljudi širom svijeta </w:t>
      </w:r>
      <w:r w:rsidR="00CB7FC4" w:rsidRPr="00BE74EC">
        <w:rPr>
          <w:rStyle w:val="AboutandContactBody"/>
          <w:lang w:val="hr-HR"/>
        </w:rPr>
        <w:t>–</w:t>
      </w:r>
      <w:r w:rsidRPr="00F63F8D">
        <w:rPr>
          <w:rStyle w:val="AboutandContactBody"/>
          <w:lang w:val="hr-HR"/>
        </w:rPr>
        <w:t xml:space="preserve"> predan i vrlo raznolik tim ujedinjen snažnom korporativnom kulturom, zajedničkim ciljem postizanja održivih standarda i zajedničkim vrijednostima. Kao priznati lider u održivosti, Henkel je na vrhu mnogih međunarodnih indeksa i popisa. Henkelove povlaštene dionice navedene su u njemačkom indeksu DAX.  Za više informacija posjetite </w:t>
      </w:r>
      <w:hyperlink r:id="rId12" w:history="1">
        <w:r w:rsidRPr="00F63F8D">
          <w:rPr>
            <w:rStyle w:val="Hyperlink"/>
            <w:lang w:val="hr-HR"/>
          </w:rPr>
          <w:t>www.henkel.com</w:t>
        </w:r>
      </w:hyperlink>
      <w:r w:rsidRPr="00F63F8D">
        <w:rPr>
          <w:rStyle w:val="AboutandContactBody"/>
          <w:lang w:val="hr-HR"/>
        </w:rPr>
        <w:t>.</w:t>
      </w:r>
    </w:p>
    <w:p w14:paraId="339BDC9B" w14:textId="7D6AF7E7" w:rsidR="00321DAC" w:rsidRPr="00F63F8D" w:rsidRDefault="00321DAC" w:rsidP="007A066D">
      <w:pPr>
        <w:rPr>
          <w:rStyle w:val="AboutandContactBody"/>
          <w:szCs w:val="18"/>
          <w:lang w:val="hr-HR"/>
        </w:rPr>
      </w:pPr>
    </w:p>
    <w:p w14:paraId="35B112BA" w14:textId="7C9AB1AB" w:rsidR="00321DAC" w:rsidRPr="00F63F8D" w:rsidRDefault="001F0B11" w:rsidP="00C41B80">
      <w:pPr>
        <w:rPr>
          <w:rStyle w:val="AboutandContactBody"/>
          <w:rFonts w:asciiTheme="majorHAnsi" w:hAnsiTheme="majorHAnsi" w:cstheme="majorHAnsi"/>
          <w:sz w:val="14"/>
          <w:szCs w:val="14"/>
          <w:lang w:val="hr-HR"/>
        </w:rPr>
      </w:pPr>
      <w:r w:rsidRPr="00F63F8D">
        <w:rPr>
          <w:rStyle w:val="AboutandContactBody"/>
          <w:rFonts w:asciiTheme="majorHAnsi" w:hAnsiTheme="majorHAnsi"/>
          <w:sz w:val="14"/>
          <w:lang w:val="hr-HR"/>
        </w:rPr>
        <w:t xml:space="preserve">Ove informacije sadrže izjave koje se odnose na budućnost temeljene na trenutnim procjenama i predviđanjima menadžmenta Henkela AG &amp; Co. KGaA. Izjave o budućnosti karakteriziraju riječi kao što su </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očekivati</w:t>
      </w:r>
      <w:r w:rsidR="00A65409">
        <w:rPr>
          <w:rStyle w:val="AboutandContactBody"/>
          <w:rFonts w:asciiTheme="majorHAnsi" w:hAnsiTheme="majorHAnsi"/>
          <w:sz w:val="14"/>
          <w:lang w:val="hr-HR"/>
        </w:rPr>
        <w:t>“, „</w:t>
      </w:r>
      <w:r w:rsidRPr="00F63F8D">
        <w:rPr>
          <w:rStyle w:val="AboutandContactBody"/>
          <w:rFonts w:asciiTheme="majorHAnsi" w:hAnsiTheme="majorHAnsi"/>
          <w:sz w:val="14"/>
          <w:lang w:val="hr-HR"/>
        </w:rPr>
        <w:t>namjeriti</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planirati</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predvidjeti</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procijeniti</w:t>
      </w:r>
      <w:r w:rsidR="00A65409">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i slični izrazi. Takve izjave ni na koji način ne jamče da će takva očekivanja biti ispunjena. Budući učinci i rezultati koje Henkel AG &amp; Co. KGAA i njegove podružnice </w:t>
      </w:r>
      <w:r w:rsidR="005138FE">
        <w:rPr>
          <w:rStyle w:val="AboutandContactBody"/>
          <w:rFonts w:asciiTheme="majorHAnsi" w:hAnsiTheme="majorHAnsi"/>
          <w:sz w:val="14"/>
          <w:lang w:val="hr-HR"/>
        </w:rPr>
        <w:t xml:space="preserve">očekuju </w:t>
      </w:r>
      <w:r w:rsidRPr="00F63F8D">
        <w:rPr>
          <w:rStyle w:val="AboutandContactBody"/>
          <w:rFonts w:asciiTheme="majorHAnsi" w:hAnsiTheme="majorHAnsi"/>
          <w:sz w:val="14"/>
          <w:lang w:val="hr-HR"/>
        </w:rPr>
        <w:t>zapravo ovise o više rizika i neizvjesnosti te se stoga mogu značajno razlikovati od izjava koje se odnose na budućnost. Mnogi od ovih čimbenika su izvan Henkelove kontrole i ne mogu se točno predvidjeti, kao što su buduće gospodarsko okruženje i radnje konkurenata i drugih uključenih u tržište. Henkel ne planira niti se obvezuje ažurirati nijednu izjavu o budućnosti.</w:t>
      </w:r>
    </w:p>
    <w:p w14:paraId="65283D43" w14:textId="77777777" w:rsidR="00321DAC" w:rsidRPr="00F63F8D" w:rsidRDefault="00321DAC" w:rsidP="00C41B80">
      <w:pPr>
        <w:rPr>
          <w:rStyle w:val="AboutandContactBody"/>
          <w:rFonts w:asciiTheme="majorHAnsi" w:hAnsiTheme="majorHAnsi" w:cstheme="majorHAnsi"/>
          <w:sz w:val="14"/>
          <w:szCs w:val="14"/>
          <w:lang w:val="hr-HR"/>
        </w:rPr>
      </w:pPr>
    </w:p>
    <w:p w14:paraId="53C32F6C" w14:textId="2BEDFC3C" w:rsidR="00321DAC" w:rsidRPr="00F63F8D" w:rsidRDefault="00831CDF" w:rsidP="00C41B80">
      <w:pPr>
        <w:rPr>
          <w:rStyle w:val="AboutandContactBody"/>
          <w:rFonts w:asciiTheme="majorHAnsi" w:hAnsiTheme="majorHAnsi" w:cstheme="majorHAnsi"/>
          <w:sz w:val="14"/>
          <w:szCs w:val="14"/>
          <w:lang w:val="hr-HR"/>
        </w:rPr>
      </w:pPr>
      <w:r w:rsidRPr="00F63F8D">
        <w:rPr>
          <w:rStyle w:val="AboutandContactBody"/>
          <w:rFonts w:asciiTheme="majorHAnsi" w:hAnsiTheme="majorHAnsi"/>
          <w:sz w:val="14"/>
          <w:lang w:val="hr-HR"/>
        </w:rPr>
        <w:t>Ovaj dokument uključuje</w:t>
      </w:r>
      <w:r w:rsidR="00CA0E06">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unutar primjenjivog okvira financijskog izvještavanja koji nije jasno definiran</w:t>
      </w:r>
      <w:r w:rsidR="00CA0E06">
        <w:rPr>
          <w:rStyle w:val="AboutandContactBody"/>
          <w:rFonts w:asciiTheme="majorHAnsi" w:hAnsiTheme="majorHAnsi"/>
          <w:sz w:val="14"/>
          <w:lang w:val="hr-HR"/>
        </w:rPr>
        <w:t>,</w:t>
      </w:r>
      <w:r w:rsidRPr="00F63F8D">
        <w:rPr>
          <w:rStyle w:val="AboutandContactBody"/>
          <w:rFonts w:asciiTheme="majorHAnsi" w:hAnsiTheme="majorHAnsi"/>
          <w:sz w:val="14"/>
          <w:lang w:val="hr-HR"/>
        </w:rPr>
        <w:t xml:space="preserve"> dodatne financijske mjere koje </w:t>
      </w:r>
      <w:r w:rsidR="005138FE">
        <w:rPr>
          <w:rStyle w:val="AboutandContactBody"/>
          <w:rFonts w:asciiTheme="majorHAnsi" w:hAnsiTheme="majorHAnsi"/>
          <w:sz w:val="14"/>
          <w:lang w:val="hr-HR"/>
        </w:rPr>
        <w:t>je</w:t>
      </w:r>
      <w:r w:rsidRPr="00F63F8D">
        <w:rPr>
          <w:rStyle w:val="AboutandContactBody"/>
          <w:rFonts w:asciiTheme="majorHAnsi" w:hAnsiTheme="majorHAnsi"/>
          <w:sz w:val="14"/>
          <w:lang w:val="hr-HR"/>
        </w:rPr>
        <w:t>su ili mogu biti alternative mjerama uspješnosti (mjere koje nisu GAAP). Ove dodatne financijske mjere ne treba promatrati zasebno ili kao alternativu mjerama Henkelove neto imovine i financijskih pozicija ili rezultata poslovanja prikazanih u skladu s primjenjivim okvirom financijskog izvještavanja u njegovim konsolidiranim financijskim izvještajima. Druge tvrtke koje izvješćuju ili opisuju alternativne mjere učinka sličnog naslova mogle bi ih izračunati drugačije.</w:t>
      </w:r>
    </w:p>
    <w:p w14:paraId="01FF1449" w14:textId="77777777" w:rsidR="00321DAC" w:rsidRPr="00F63F8D" w:rsidRDefault="00321DAC" w:rsidP="00C41B80">
      <w:pPr>
        <w:rPr>
          <w:rStyle w:val="AboutandContactBody"/>
          <w:rFonts w:asciiTheme="majorHAnsi" w:hAnsiTheme="majorHAnsi" w:cstheme="majorHAnsi"/>
          <w:sz w:val="14"/>
          <w:szCs w:val="14"/>
          <w:lang w:val="hr-HR"/>
        </w:rPr>
      </w:pPr>
    </w:p>
    <w:p w14:paraId="0BB551B5" w14:textId="5D8D5899" w:rsidR="00321DAC" w:rsidRPr="00F63F8D" w:rsidRDefault="00321DAC" w:rsidP="00C41B80">
      <w:pPr>
        <w:rPr>
          <w:rStyle w:val="AboutandContactBody"/>
          <w:rFonts w:asciiTheme="majorHAnsi" w:hAnsiTheme="majorHAnsi" w:cstheme="majorHAnsi"/>
          <w:sz w:val="14"/>
          <w:szCs w:val="14"/>
          <w:lang w:val="hr-HR"/>
        </w:rPr>
      </w:pPr>
      <w:r w:rsidRPr="00F63F8D">
        <w:rPr>
          <w:rStyle w:val="AboutandContactBody"/>
          <w:rFonts w:asciiTheme="majorHAnsi" w:hAnsiTheme="majorHAnsi"/>
          <w:sz w:val="14"/>
          <w:lang w:val="hr-HR"/>
        </w:rPr>
        <w:t>Ovaj dokument je izdan samo u informativne svrhe i nije namijenjen da služi kao investicijski savjet ili ponuda za prodaju ili traženje ponude za kupnju bilo kojih vrijednosnih papira.</w:t>
      </w:r>
    </w:p>
    <w:p w14:paraId="5B116295" w14:textId="5BE3C1DB" w:rsidR="007A066D" w:rsidRPr="00F63F8D" w:rsidRDefault="007A066D" w:rsidP="007F4562">
      <w:pPr>
        <w:rPr>
          <w:rStyle w:val="AboutandContactHeadline"/>
          <w:lang w:val="hr-HR"/>
        </w:rPr>
      </w:pPr>
    </w:p>
    <w:p w14:paraId="1A621F8C" w14:textId="61E3BB3D" w:rsidR="00254B6D" w:rsidRPr="00F63F8D" w:rsidRDefault="00254B6D" w:rsidP="000A617C">
      <w:pPr>
        <w:tabs>
          <w:tab w:val="left" w:pos="1080"/>
          <w:tab w:val="left" w:pos="4500"/>
        </w:tabs>
        <w:rPr>
          <w:rStyle w:val="AboutandContactBody"/>
          <w:rFonts w:asciiTheme="majorHAnsi" w:hAnsiTheme="majorHAnsi" w:cstheme="majorHAnsi"/>
          <w:b/>
          <w:bCs/>
          <w:lang w:val="hr-HR"/>
        </w:rPr>
      </w:pPr>
      <w:r w:rsidRPr="00F63F8D">
        <w:rPr>
          <w:rStyle w:val="AboutandContactBody"/>
          <w:rFonts w:asciiTheme="majorHAnsi" w:hAnsiTheme="majorHAnsi"/>
          <w:b/>
          <w:lang w:val="hr-HR"/>
        </w:rPr>
        <w:t xml:space="preserve">Kontakti </w:t>
      </w:r>
    </w:p>
    <w:p w14:paraId="7892FE14" w14:textId="77777777" w:rsidR="00A20F5A" w:rsidRPr="00F63F8D" w:rsidRDefault="00A20F5A" w:rsidP="000A617C">
      <w:pPr>
        <w:tabs>
          <w:tab w:val="left" w:pos="1080"/>
          <w:tab w:val="left" w:pos="4500"/>
        </w:tabs>
        <w:rPr>
          <w:rStyle w:val="AboutandContactBody"/>
          <w:rFonts w:asciiTheme="majorHAnsi" w:hAnsiTheme="majorHAnsi" w:cstheme="majorHAnsi"/>
          <w:b/>
          <w:bCs/>
          <w:lang w:val="hr-HR"/>
        </w:rPr>
      </w:pPr>
    </w:p>
    <w:p w14:paraId="788B5115" w14:textId="19E843E2" w:rsidR="000A617C" w:rsidRPr="00F63F8D" w:rsidRDefault="000A617C" w:rsidP="000A617C">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b/>
          <w:lang w:val="hr-HR"/>
        </w:rPr>
        <w:t>Jelena Gavrilović Šarenac</w:t>
      </w:r>
      <w:r w:rsidRPr="00F63F8D">
        <w:rPr>
          <w:rStyle w:val="AboutandContactBody"/>
          <w:rFonts w:asciiTheme="majorHAnsi" w:hAnsiTheme="majorHAnsi"/>
          <w:lang w:val="hr-HR"/>
        </w:rPr>
        <w:tab/>
      </w:r>
    </w:p>
    <w:p w14:paraId="13B29622" w14:textId="7E80ECC5" w:rsidR="000A617C" w:rsidRPr="00F63F8D" w:rsidRDefault="000A617C" w:rsidP="000A617C">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lang w:val="hr-HR"/>
        </w:rPr>
        <w:t>Telefon: +381 11 207 22 09</w:t>
      </w:r>
      <w:r w:rsidRPr="00F63F8D">
        <w:rPr>
          <w:rStyle w:val="AboutandContactBody"/>
          <w:rFonts w:asciiTheme="majorHAnsi" w:hAnsiTheme="majorHAnsi"/>
          <w:lang w:val="hr-HR"/>
        </w:rPr>
        <w:tab/>
      </w:r>
    </w:p>
    <w:p w14:paraId="4536416F" w14:textId="33084032" w:rsidR="000A617C" w:rsidRPr="00F63F8D" w:rsidRDefault="000A617C" w:rsidP="000A617C">
      <w:pPr>
        <w:tabs>
          <w:tab w:val="left" w:pos="1080"/>
          <w:tab w:val="left" w:pos="4500"/>
        </w:tabs>
        <w:rPr>
          <w:rStyle w:val="AboutandContactBody"/>
          <w:rFonts w:asciiTheme="majorHAnsi" w:hAnsiTheme="majorHAnsi" w:cstheme="majorHAnsi"/>
          <w:lang w:val="hr-HR"/>
        </w:rPr>
      </w:pPr>
      <w:r w:rsidRPr="00F63F8D">
        <w:rPr>
          <w:rStyle w:val="AboutandContactBody"/>
          <w:rFonts w:asciiTheme="majorHAnsi" w:hAnsiTheme="majorHAnsi"/>
          <w:lang w:val="hr-HR"/>
        </w:rPr>
        <w:t xml:space="preserve">E-mail: </w:t>
      </w:r>
      <w:hyperlink r:id="rId13" w:history="1">
        <w:r w:rsidRPr="00F63F8D">
          <w:rPr>
            <w:rStyle w:val="Hyperlink"/>
            <w:rFonts w:asciiTheme="majorHAnsi" w:hAnsiTheme="majorHAnsi"/>
            <w:lang w:val="hr-HR"/>
          </w:rPr>
          <w:t>jelena.sarenac@henkel.com</w:t>
        </w:r>
      </w:hyperlink>
      <w:r w:rsidRPr="00F63F8D">
        <w:rPr>
          <w:rStyle w:val="AboutandContactBody"/>
          <w:rFonts w:asciiTheme="majorHAnsi" w:hAnsiTheme="majorHAnsi"/>
          <w:lang w:val="hr-HR"/>
        </w:rPr>
        <w:t xml:space="preserve"> </w:t>
      </w:r>
      <w:r w:rsidRPr="00F63F8D">
        <w:rPr>
          <w:rStyle w:val="AboutandContactBody"/>
          <w:rFonts w:asciiTheme="majorHAnsi" w:hAnsiTheme="majorHAnsi"/>
          <w:lang w:val="hr-HR"/>
        </w:rPr>
        <w:tab/>
        <w:t xml:space="preserve"> </w:t>
      </w:r>
    </w:p>
    <w:p w14:paraId="4B90D2AA" w14:textId="14E0DB27" w:rsidR="007A066D" w:rsidRPr="00F63F8D" w:rsidRDefault="007A066D" w:rsidP="007F4562">
      <w:pPr>
        <w:rPr>
          <w:rStyle w:val="AboutandContactHeadline"/>
          <w:lang w:val="hr-HR"/>
        </w:rPr>
      </w:pPr>
    </w:p>
    <w:p w14:paraId="7DF56FA5" w14:textId="77777777" w:rsidR="00D4390C" w:rsidRPr="00F63F8D" w:rsidRDefault="0074405A" w:rsidP="00D4390C">
      <w:pPr>
        <w:tabs>
          <w:tab w:val="left" w:pos="1080"/>
          <w:tab w:val="left" w:pos="4500"/>
        </w:tabs>
        <w:spacing w:line="264" w:lineRule="auto"/>
        <w:rPr>
          <w:rStyle w:val="Hyperlink"/>
          <w:rFonts w:asciiTheme="majorHAnsi" w:hAnsiTheme="majorHAnsi" w:cstheme="majorHAnsi"/>
          <w:lang w:val="hr-HR"/>
        </w:rPr>
      </w:pPr>
      <w:hyperlink r:id="rId14" w:history="1">
        <w:r w:rsidR="00EB70BB" w:rsidRPr="00F63F8D">
          <w:rPr>
            <w:rStyle w:val="Hyperlink"/>
            <w:rFonts w:asciiTheme="majorHAnsi" w:hAnsiTheme="majorHAnsi"/>
            <w:lang w:val="hr-HR"/>
          </w:rPr>
          <w:t>www.henkel.com/press</w:t>
        </w:r>
      </w:hyperlink>
    </w:p>
    <w:p w14:paraId="4BC8F59E" w14:textId="77777777" w:rsidR="00D4390C" w:rsidRPr="00F63F8D" w:rsidRDefault="0074405A" w:rsidP="00D4390C">
      <w:pPr>
        <w:tabs>
          <w:tab w:val="left" w:pos="1080"/>
          <w:tab w:val="left" w:pos="4500"/>
        </w:tabs>
        <w:spacing w:line="264" w:lineRule="auto"/>
        <w:rPr>
          <w:rStyle w:val="Hyperlink"/>
          <w:rFonts w:asciiTheme="majorHAnsi" w:hAnsiTheme="majorHAnsi" w:cstheme="majorHAnsi"/>
          <w:lang w:val="hr-HR"/>
        </w:rPr>
      </w:pPr>
      <w:hyperlink r:id="rId15" w:history="1">
        <w:r w:rsidR="00EB70BB" w:rsidRPr="00F63F8D">
          <w:rPr>
            <w:rStyle w:val="Hyperlink"/>
            <w:rFonts w:asciiTheme="majorHAnsi" w:hAnsiTheme="majorHAnsi"/>
            <w:lang w:val="hr-HR"/>
          </w:rPr>
          <w:t>www.henkel.com/</w:t>
        </w:r>
      </w:hyperlink>
      <w:r w:rsidR="00EB70BB" w:rsidRPr="00F63F8D">
        <w:rPr>
          <w:rStyle w:val="Hyperlink"/>
          <w:rFonts w:asciiTheme="majorHAnsi" w:hAnsiTheme="majorHAnsi"/>
          <w:lang w:val="hr-HR"/>
        </w:rPr>
        <w:t>ir</w:t>
      </w:r>
    </w:p>
    <w:p w14:paraId="114422BD" w14:textId="4FE771A8" w:rsidR="00D4390C" w:rsidRPr="00F63F8D" w:rsidRDefault="0074405A" w:rsidP="007F4562">
      <w:pPr>
        <w:rPr>
          <w:rStyle w:val="AboutandContactHeadline"/>
          <w:lang w:val="hr-HR"/>
        </w:rPr>
      </w:pPr>
      <w:hyperlink r:id="rId16" w:history="1">
        <w:r w:rsidR="003B17E7" w:rsidRPr="00E25F90">
          <w:rPr>
            <w:rStyle w:val="Hyperlink"/>
            <w:lang w:val="hr-HR"/>
          </w:rPr>
          <w:t>www.henkel.hr</w:t>
        </w:r>
      </w:hyperlink>
      <w:r w:rsidR="003B17E7">
        <w:rPr>
          <w:rStyle w:val="Hyperlink"/>
          <w:lang w:val="hr-HR"/>
        </w:rPr>
        <w:t xml:space="preserve"> </w:t>
      </w:r>
      <w:r w:rsidR="00EB70BB" w:rsidRPr="00F63F8D">
        <w:rPr>
          <w:rStyle w:val="AboutandContactHeadline"/>
          <w:lang w:val="hr-HR"/>
        </w:rPr>
        <w:t xml:space="preserve"> </w:t>
      </w:r>
    </w:p>
    <w:p w14:paraId="7FAA70A3" w14:textId="77777777" w:rsidR="00062CE8" w:rsidRPr="00F63F8D" w:rsidRDefault="00062CE8" w:rsidP="007F4562">
      <w:pPr>
        <w:rPr>
          <w:rStyle w:val="AboutandContactHeadline"/>
          <w:lang w:val="hr-HR"/>
        </w:rPr>
      </w:pPr>
    </w:p>
    <w:p w14:paraId="23552B25" w14:textId="0CA1CA2A" w:rsidR="00A15D78" w:rsidRPr="00F63F8D" w:rsidRDefault="00A15D78" w:rsidP="004740A4">
      <w:pPr>
        <w:spacing w:line="240" w:lineRule="auto"/>
        <w:jc w:val="left"/>
        <w:rPr>
          <w:rStyle w:val="Hyperlink"/>
          <w:b/>
          <w:bCs/>
          <w:color w:val="auto"/>
          <w:szCs w:val="24"/>
          <w:u w:val="none"/>
          <w:lang w:val="hr-HR"/>
        </w:rPr>
      </w:pPr>
    </w:p>
    <w:sectPr w:rsidR="00A15D78" w:rsidRPr="00F63F8D" w:rsidSect="00177238">
      <w:headerReference w:type="even" r:id="rId17"/>
      <w:footerReference w:type="default" r:id="rId18"/>
      <w:headerReference w:type="first" r:id="rId19"/>
      <w:footerReference w:type="first" r:id="rId20"/>
      <w:pgSz w:w="11907" w:h="16840" w:code="9"/>
      <w:pgMar w:top="156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69EF8" w14:textId="77777777" w:rsidR="003440A0" w:rsidRDefault="003440A0">
      <w:r>
        <w:separator/>
      </w:r>
    </w:p>
  </w:endnote>
  <w:endnote w:type="continuationSeparator" w:id="0">
    <w:p w14:paraId="4F2A5891" w14:textId="77777777" w:rsidR="003440A0" w:rsidRDefault="003440A0">
      <w:r>
        <w:continuationSeparator/>
      </w:r>
    </w:p>
  </w:endnote>
  <w:endnote w:type="continuationNotice" w:id="1">
    <w:p w14:paraId="2CD6AA81" w14:textId="77777777" w:rsidR="003440A0" w:rsidRDefault="003440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07EC6FB" w:rsidR="00CF6F33" w:rsidRPr="00112A28" w:rsidRDefault="00112A28" w:rsidP="00112A28">
    <w:pPr>
      <w:pStyle w:val="Footer"/>
      <w:tabs>
        <w:tab w:val="clear" w:pos="7083"/>
        <w:tab w:val="clear" w:pos="8640"/>
        <w:tab w:val="right" w:pos="9071"/>
      </w:tabs>
      <w:jc w:val="both"/>
    </w:pPr>
    <w:r>
      <w:t>Henkel AG &amp; Co. KGaA</w:t>
    </w:r>
    <w:r>
      <w:tab/>
      <w:t xml:space="preserve">Strana </w:t>
    </w:r>
    <w:r w:rsidRPr="00BF6E82">
      <w:fldChar w:fldCharType="begin"/>
    </w:r>
    <w:r w:rsidRPr="00BF6E82">
      <w:instrText xml:space="preserve"> PAGE  \* Arabic  \* MERGEFORMAT </w:instrText>
    </w:r>
    <w:r w:rsidRPr="00BF6E82">
      <w:fldChar w:fldCharType="separate"/>
    </w:r>
    <w:r w:rsidR="00633EE6">
      <w:t>7</w:t>
    </w:r>
    <w:r w:rsidRPr="00BF6E82">
      <w:fldChar w:fldCharType="end"/>
    </w:r>
    <w:r>
      <w:t>/</w:t>
    </w:r>
    <w:r w:rsidR="0074405A">
      <w:fldChar w:fldCharType="begin"/>
    </w:r>
    <w:r w:rsidR="0074405A">
      <w:instrText xml:space="preserve"> NUMPAGES  \* Arabic  \* MERGEFORMAT </w:instrText>
    </w:r>
    <w:r w:rsidR="0074405A">
      <w:fldChar w:fldCharType="separate"/>
    </w:r>
    <w:r w:rsidR="00633EE6">
      <w:t>7</w:t>
    </w:r>
    <w:r w:rsidR="0074405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65F4094" w:rsidR="00CF6F33" w:rsidRPr="00992A11" w:rsidRDefault="0059722C" w:rsidP="00992A11">
    <w:pPr>
      <w:pStyle w:val="Footer"/>
    </w:pPr>
    <w:bookmarkStart w:id="3" w:name="_Hlk505758583"/>
    <w:r>
      <w:rPr>
        <w:lang w:val="en-US"/>
      </w:rPr>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t xml:space="preserve">Strana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F569AC">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F569AC">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40C9" w14:textId="77777777" w:rsidR="003440A0" w:rsidRDefault="003440A0">
      <w:r>
        <w:separator/>
      </w:r>
    </w:p>
  </w:footnote>
  <w:footnote w:type="continuationSeparator" w:id="0">
    <w:p w14:paraId="4A708874" w14:textId="77777777" w:rsidR="003440A0" w:rsidRDefault="003440A0">
      <w:r>
        <w:continuationSeparator/>
      </w:r>
    </w:p>
  </w:footnote>
  <w:footnote w:type="continuationNotice" w:id="1">
    <w:p w14:paraId="6F56D580" w14:textId="77777777" w:rsidR="003440A0" w:rsidRDefault="003440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A0FE1DB" w:rsidR="00CF6F33" w:rsidRPr="00F569AC" w:rsidRDefault="0059722C" w:rsidP="00E87905">
    <w:pPr>
      <w:pStyle w:val="Header"/>
      <w:tabs>
        <w:tab w:val="clear" w:pos="2607"/>
        <w:tab w:val="clear" w:pos="4320"/>
        <w:tab w:val="left" w:pos="0"/>
      </w:tabs>
      <w:rPr>
        <w:lang w:val="hr-HR"/>
      </w:rPr>
    </w:pPr>
    <w:r w:rsidRPr="00F569AC">
      <w:rPr>
        <w:noProof/>
        <w:lang w:val="hr-H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F569AC">
      <w:rPr>
        <w:noProof/>
        <w:lang w:val="hr-H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70AC9C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Pr="00F569AC">
      <w:rPr>
        <w:lang w:val="hr-HR"/>
      </w:rPr>
      <w:tab/>
      <w:t>Priopćenje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1"/>
  </w:num>
  <w:num w:numId="4">
    <w:abstractNumId w:val="8"/>
  </w:num>
  <w:num w:numId="5">
    <w:abstractNumId w:val="6"/>
  </w:num>
  <w:num w:numId="6">
    <w:abstractNumId w:val="9"/>
  </w:num>
  <w:num w:numId="7">
    <w:abstractNumId w:val="7"/>
  </w:num>
  <w:num w:numId="8">
    <w:abstractNumId w:val="0"/>
  </w:num>
  <w:num w:numId="9">
    <w:abstractNumId w:val="10"/>
  </w:num>
  <w:num w:numId="10">
    <w:abstractNumId w:val="4"/>
  </w:num>
  <w:num w:numId="11">
    <w:abstractNumId w:val="13"/>
  </w:num>
  <w:num w:numId="12">
    <w:abstractNumId w:val="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32E1"/>
    <w:rsid w:val="00005267"/>
    <w:rsid w:val="00006346"/>
    <w:rsid w:val="000069EB"/>
    <w:rsid w:val="00006A45"/>
    <w:rsid w:val="00007ACA"/>
    <w:rsid w:val="0001002C"/>
    <w:rsid w:val="00010B8E"/>
    <w:rsid w:val="00011DEE"/>
    <w:rsid w:val="00015E27"/>
    <w:rsid w:val="00016137"/>
    <w:rsid w:val="000211FD"/>
    <w:rsid w:val="00021C67"/>
    <w:rsid w:val="000229DD"/>
    <w:rsid w:val="0002317A"/>
    <w:rsid w:val="00025106"/>
    <w:rsid w:val="00027932"/>
    <w:rsid w:val="000301F0"/>
    <w:rsid w:val="00030202"/>
    <w:rsid w:val="00030557"/>
    <w:rsid w:val="00030701"/>
    <w:rsid w:val="00030F51"/>
    <w:rsid w:val="00031FAF"/>
    <w:rsid w:val="000343EB"/>
    <w:rsid w:val="00035A84"/>
    <w:rsid w:val="000372E0"/>
    <w:rsid w:val="0004027E"/>
    <w:rsid w:val="00040C1B"/>
    <w:rsid w:val="00040CC9"/>
    <w:rsid w:val="000423FE"/>
    <w:rsid w:val="000425ED"/>
    <w:rsid w:val="000442A9"/>
    <w:rsid w:val="000464F6"/>
    <w:rsid w:val="00046B63"/>
    <w:rsid w:val="000510FC"/>
    <w:rsid w:val="00051E86"/>
    <w:rsid w:val="00052338"/>
    <w:rsid w:val="000527CE"/>
    <w:rsid w:val="00054AFE"/>
    <w:rsid w:val="00055487"/>
    <w:rsid w:val="000555E6"/>
    <w:rsid w:val="000575F9"/>
    <w:rsid w:val="000618FC"/>
    <w:rsid w:val="00062B50"/>
    <w:rsid w:val="00062C0E"/>
    <w:rsid w:val="00062CE8"/>
    <w:rsid w:val="00065D64"/>
    <w:rsid w:val="00065DE4"/>
    <w:rsid w:val="000665F3"/>
    <w:rsid w:val="00067071"/>
    <w:rsid w:val="0006718F"/>
    <w:rsid w:val="00067F67"/>
    <w:rsid w:val="0007032F"/>
    <w:rsid w:val="00070757"/>
    <w:rsid w:val="00072591"/>
    <w:rsid w:val="000725D1"/>
    <w:rsid w:val="000751A7"/>
    <w:rsid w:val="000760C4"/>
    <w:rsid w:val="0007681C"/>
    <w:rsid w:val="00076992"/>
    <w:rsid w:val="00077681"/>
    <w:rsid w:val="00077AF9"/>
    <w:rsid w:val="00080D10"/>
    <w:rsid w:val="00081241"/>
    <w:rsid w:val="00081EF8"/>
    <w:rsid w:val="0008357F"/>
    <w:rsid w:val="0008406B"/>
    <w:rsid w:val="00084946"/>
    <w:rsid w:val="000915D0"/>
    <w:rsid w:val="00092B87"/>
    <w:rsid w:val="00096AD4"/>
    <w:rsid w:val="000972B9"/>
    <w:rsid w:val="000A0404"/>
    <w:rsid w:val="000A617C"/>
    <w:rsid w:val="000A6808"/>
    <w:rsid w:val="000A7E38"/>
    <w:rsid w:val="000B005C"/>
    <w:rsid w:val="000B2E86"/>
    <w:rsid w:val="000B52BE"/>
    <w:rsid w:val="000B598C"/>
    <w:rsid w:val="000B5D2F"/>
    <w:rsid w:val="000B6244"/>
    <w:rsid w:val="000B695A"/>
    <w:rsid w:val="000B72A8"/>
    <w:rsid w:val="000B79FE"/>
    <w:rsid w:val="000C023F"/>
    <w:rsid w:val="000C0DB8"/>
    <w:rsid w:val="000C0F85"/>
    <w:rsid w:val="000C19B8"/>
    <w:rsid w:val="000C210A"/>
    <w:rsid w:val="000C23A8"/>
    <w:rsid w:val="000C27E5"/>
    <w:rsid w:val="000C56DD"/>
    <w:rsid w:val="000C6AB3"/>
    <w:rsid w:val="000D10D2"/>
    <w:rsid w:val="000D1672"/>
    <w:rsid w:val="000D178A"/>
    <w:rsid w:val="000D1DE8"/>
    <w:rsid w:val="000D2383"/>
    <w:rsid w:val="000D3835"/>
    <w:rsid w:val="000D4A49"/>
    <w:rsid w:val="000D4C65"/>
    <w:rsid w:val="000D6C67"/>
    <w:rsid w:val="000E1B84"/>
    <w:rsid w:val="000E2F62"/>
    <w:rsid w:val="000E31A7"/>
    <w:rsid w:val="000E3893"/>
    <w:rsid w:val="000E38ED"/>
    <w:rsid w:val="000E63FA"/>
    <w:rsid w:val="000E7D21"/>
    <w:rsid w:val="000E7F24"/>
    <w:rsid w:val="000F03BE"/>
    <w:rsid w:val="000F1757"/>
    <w:rsid w:val="000F225B"/>
    <w:rsid w:val="000F2CB4"/>
    <w:rsid w:val="000F3112"/>
    <w:rsid w:val="000F48E9"/>
    <w:rsid w:val="000F5EC6"/>
    <w:rsid w:val="000F7FAF"/>
    <w:rsid w:val="00103C24"/>
    <w:rsid w:val="0010465B"/>
    <w:rsid w:val="00105975"/>
    <w:rsid w:val="00105FB6"/>
    <w:rsid w:val="00106ED8"/>
    <w:rsid w:val="00107AC4"/>
    <w:rsid w:val="00107C62"/>
    <w:rsid w:val="00111156"/>
    <w:rsid w:val="0011116D"/>
    <w:rsid w:val="00111F4D"/>
    <w:rsid w:val="00112A28"/>
    <w:rsid w:val="00112DC3"/>
    <w:rsid w:val="00115230"/>
    <w:rsid w:val="00115B5F"/>
    <w:rsid w:val="001162B4"/>
    <w:rsid w:val="001163B8"/>
    <w:rsid w:val="00117138"/>
    <w:rsid w:val="00117A50"/>
    <w:rsid w:val="00117C82"/>
    <w:rsid w:val="0012058F"/>
    <w:rsid w:val="00122CBC"/>
    <w:rsid w:val="0012372F"/>
    <w:rsid w:val="00124A74"/>
    <w:rsid w:val="00126C65"/>
    <w:rsid w:val="00126D4A"/>
    <w:rsid w:val="001318EB"/>
    <w:rsid w:val="00131DC9"/>
    <w:rsid w:val="001325BF"/>
    <w:rsid w:val="00132779"/>
    <w:rsid w:val="00132DA9"/>
    <w:rsid w:val="0013305B"/>
    <w:rsid w:val="00133B99"/>
    <w:rsid w:val="0013569C"/>
    <w:rsid w:val="00136416"/>
    <w:rsid w:val="0014352D"/>
    <w:rsid w:val="001443BD"/>
    <w:rsid w:val="00144712"/>
    <w:rsid w:val="00144A87"/>
    <w:rsid w:val="00144D06"/>
    <w:rsid w:val="00146193"/>
    <w:rsid w:val="00151FEB"/>
    <w:rsid w:val="00153F48"/>
    <w:rsid w:val="001577E9"/>
    <w:rsid w:val="0016138C"/>
    <w:rsid w:val="00161FCE"/>
    <w:rsid w:val="0016215E"/>
    <w:rsid w:val="00162D60"/>
    <w:rsid w:val="001640D5"/>
    <w:rsid w:val="001659FB"/>
    <w:rsid w:val="001674D3"/>
    <w:rsid w:val="001677AE"/>
    <w:rsid w:val="001716FD"/>
    <w:rsid w:val="00172C99"/>
    <w:rsid w:val="001731CE"/>
    <w:rsid w:val="00175A27"/>
    <w:rsid w:val="00175C72"/>
    <w:rsid w:val="00175CD2"/>
    <w:rsid w:val="00175DBA"/>
    <w:rsid w:val="00175E63"/>
    <w:rsid w:val="00177238"/>
    <w:rsid w:val="001800B7"/>
    <w:rsid w:val="0018047F"/>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67BE"/>
    <w:rsid w:val="001B771D"/>
    <w:rsid w:val="001B7C20"/>
    <w:rsid w:val="001C0B32"/>
    <w:rsid w:val="001C2D66"/>
    <w:rsid w:val="001C2E62"/>
    <w:rsid w:val="001C36F7"/>
    <w:rsid w:val="001C3846"/>
    <w:rsid w:val="001C4507"/>
    <w:rsid w:val="001C4BE1"/>
    <w:rsid w:val="001C7AF8"/>
    <w:rsid w:val="001D1ABE"/>
    <w:rsid w:val="001D7ADF"/>
    <w:rsid w:val="001E0F71"/>
    <w:rsid w:val="001E13CE"/>
    <w:rsid w:val="001E2B9B"/>
    <w:rsid w:val="001E3D73"/>
    <w:rsid w:val="001E4CCB"/>
    <w:rsid w:val="001E6D05"/>
    <w:rsid w:val="001E6E26"/>
    <w:rsid w:val="001E73E8"/>
    <w:rsid w:val="001E7C28"/>
    <w:rsid w:val="001E7C46"/>
    <w:rsid w:val="001F0257"/>
    <w:rsid w:val="001F0B11"/>
    <w:rsid w:val="001F1BDF"/>
    <w:rsid w:val="001F35F8"/>
    <w:rsid w:val="001F4DD6"/>
    <w:rsid w:val="001F52E0"/>
    <w:rsid w:val="001F590C"/>
    <w:rsid w:val="001F7110"/>
    <w:rsid w:val="001F7E96"/>
    <w:rsid w:val="002005F5"/>
    <w:rsid w:val="002010BC"/>
    <w:rsid w:val="00202284"/>
    <w:rsid w:val="0020528D"/>
    <w:rsid w:val="0020543B"/>
    <w:rsid w:val="0020547D"/>
    <w:rsid w:val="00205A66"/>
    <w:rsid w:val="002063CF"/>
    <w:rsid w:val="00206613"/>
    <w:rsid w:val="00207FE2"/>
    <w:rsid w:val="0021158F"/>
    <w:rsid w:val="00212488"/>
    <w:rsid w:val="002129A6"/>
    <w:rsid w:val="00217C8C"/>
    <w:rsid w:val="00220628"/>
    <w:rsid w:val="002214E1"/>
    <w:rsid w:val="00224FA2"/>
    <w:rsid w:val="002260C7"/>
    <w:rsid w:val="00226640"/>
    <w:rsid w:val="002304D2"/>
    <w:rsid w:val="00231E5F"/>
    <w:rsid w:val="00233D04"/>
    <w:rsid w:val="0023469C"/>
    <w:rsid w:val="00234ABD"/>
    <w:rsid w:val="00235554"/>
    <w:rsid w:val="00236491"/>
    <w:rsid w:val="00236C3B"/>
    <w:rsid w:val="00236E2A"/>
    <w:rsid w:val="00237E42"/>
    <w:rsid w:val="00237F62"/>
    <w:rsid w:val="002407BF"/>
    <w:rsid w:val="00240DBF"/>
    <w:rsid w:val="00242B1B"/>
    <w:rsid w:val="00242CFA"/>
    <w:rsid w:val="00245660"/>
    <w:rsid w:val="0024586A"/>
    <w:rsid w:val="00245DAC"/>
    <w:rsid w:val="00246978"/>
    <w:rsid w:val="00247DAA"/>
    <w:rsid w:val="002502E1"/>
    <w:rsid w:val="002518A2"/>
    <w:rsid w:val="002528B3"/>
    <w:rsid w:val="00254985"/>
    <w:rsid w:val="00254B6D"/>
    <w:rsid w:val="00255E7E"/>
    <w:rsid w:val="00256174"/>
    <w:rsid w:val="00256F0C"/>
    <w:rsid w:val="00262C05"/>
    <w:rsid w:val="00262F0C"/>
    <w:rsid w:val="00264E91"/>
    <w:rsid w:val="0027001E"/>
    <w:rsid w:val="00270C15"/>
    <w:rsid w:val="002715AF"/>
    <w:rsid w:val="00271AC3"/>
    <w:rsid w:val="0027348F"/>
    <w:rsid w:val="002757D2"/>
    <w:rsid w:val="00281D14"/>
    <w:rsid w:val="00282C13"/>
    <w:rsid w:val="002833D8"/>
    <w:rsid w:val="00283716"/>
    <w:rsid w:val="00283803"/>
    <w:rsid w:val="00283971"/>
    <w:rsid w:val="00286BF6"/>
    <w:rsid w:val="00292783"/>
    <w:rsid w:val="002932C6"/>
    <w:rsid w:val="002955C9"/>
    <w:rsid w:val="00295D73"/>
    <w:rsid w:val="002A0DF7"/>
    <w:rsid w:val="002A19FE"/>
    <w:rsid w:val="002A2975"/>
    <w:rsid w:val="002A29A2"/>
    <w:rsid w:val="002A460D"/>
    <w:rsid w:val="002A5EE9"/>
    <w:rsid w:val="002A60E0"/>
    <w:rsid w:val="002B0FE6"/>
    <w:rsid w:val="002B687A"/>
    <w:rsid w:val="002B773B"/>
    <w:rsid w:val="002C09D5"/>
    <w:rsid w:val="002C1344"/>
    <w:rsid w:val="002C20D6"/>
    <w:rsid w:val="002C252E"/>
    <w:rsid w:val="002C6018"/>
    <w:rsid w:val="002C6773"/>
    <w:rsid w:val="002D05A9"/>
    <w:rsid w:val="002D1CB7"/>
    <w:rsid w:val="002D269A"/>
    <w:rsid w:val="002D292F"/>
    <w:rsid w:val="002D2A3D"/>
    <w:rsid w:val="002D5D1D"/>
    <w:rsid w:val="002D6EFD"/>
    <w:rsid w:val="002D74CF"/>
    <w:rsid w:val="002E017C"/>
    <w:rsid w:val="002E0B17"/>
    <w:rsid w:val="002E26B4"/>
    <w:rsid w:val="002E4FFB"/>
    <w:rsid w:val="002E5AB5"/>
    <w:rsid w:val="002E7DED"/>
    <w:rsid w:val="002F0401"/>
    <w:rsid w:val="002F2C7C"/>
    <w:rsid w:val="002F31DA"/>
    <w:rsid w:val="002F52CE"/>
    <w:rsid w:val="002F563D"/>
    <w:rsid w:val="002F5BDB"/>
    <w:rsid w:val="002F7CC3"/>
    <w:rsid w:val="002F7E11"/>
    <w:rsid w:val="00302B73"/>
    <w:rsid w:val="00302CF9"/>
    <w:rsid w:val="00304087"/>
    <w:rsid w:val="003040AD"/>
    <w:rsid w:val="003041A1"/>
    <w:rsid w:val="00304A8B"/>
    <w:rsid w:val="003057B1"/>
    <w:rsid w:val="003062AD"/>
    <w:rsid w:val="00310ACD"/>
    <w:rsid w:val="0031146E"/>
    <w:rsid w:val="00311CB1"/>
    <w:rsid w:val="0031379F"/>
    <w:rsid w:val="0031621E"/>
    <w:rsid w:val="00316638"/>
    <w:rsid w:val="00316A16"/>
    <w:rsid w:val="00317045"/>
    <w:rsid w:val="00320909"/>
    <w:rsid w:val="00320A26"/>
    <w:rsid w:val="00320B3C"/>
    <w:rsid w:val="00321344"/>
    <w:rsid w:val="00321DAC"/>
    <w:rsid w:val="00323885"/>
    <w:rsid w:val="00325064"/>
    <w:rsid w:val="003253E2"/>
    <w:rsid w:val="00325EC9"/>
    <w:rsid w:val="00331488"/>
    <w:rsid w:val="0033256C"/>
    <w:rsid w:val="003340BA"/>
    <w:rsid w:val="0033451C"/>
    <w:rsid w:val="003359EB"/>
    <w:rsid w:val="00336854"/>
    <w:rsid w:val="0033769B"/>
    <w:rsid w:val="0034015C"/>
    <w:rsid w:val="003440A0"/>
    <w:rsid w:val="003442F4"/>
    <w:rsid w:val="00345716"/>
    <w:rsid w:val="00347B49"/>
    <w:rsid w:val="00350CB4"/>
    <w:rsid w:val="00351AE7"/>
    <w:rsid w:val="00353705"/>
    <w:rsid w:val="003544EF"/>
    <w:rsid w:val="003562E8"/>
    <w:rsid w:val="003627F8"/>
    <w:rsid w:val="0036337F"/>
    <w:rsid w:val="0036357D"/>
    <w:rsid w:val="003649BC"/>
    <w:rsid w:val="00364F7E"/>
    <w:rsid w:val="00365E44"/>
    <w:rsid w:val="003662B1"/>
    <w:rsid w:val="00367AA1"/>
    <w:rsid w:val="00370A5B"/>
    <w:rsid w:val="00370A92"/>
    <w:rsid w:val="0037148A"/>
    <w:rsid w:val="00371A15"/>
    <w:rsid w:val="0037234D"/>
    <w:rsid w:val="00372E36"/>
    <w:rsid w:val="00375F7D"/>
    <w:rsid w:val="00376EE9"/>
    <w:rsid w:val="00376FFC"/>
    <w:rsid w:val="00377CBB"/>
    <w:rsid w:val="00382051"/>
    <w:rsid w:val="00384F62"/>
    <w:rsid w:val="00385438"/>
    <w:rsid w:val="003858E5"/>
    <w:rsid w:val="00386774"/>
    <w:rsid w:val="00387363"/>
    <w:rsid w:val="003877B6"/>
    <w:rsid w:val="00391539"/>
    <w:rsid w:val="00391A5F"/>
    <w:rsid w:val="00391FB2"/>
    <w:rsid w:val="00392F69"/>
    <w:rsid w:val="00393887"/>
    <w:rsid w:val="00394BED"/>
    <w:rsid w:val="00394C6B"/>
    <w:rsid w:val="003950C2"/>
    <w:rsid w:val="0039655B"/>
    <w:rsid w:val="003A37C1"/>
    <w:rsid w:val="003A4E2E"/>
    <w:rsid w:val="003A4E62"/>
    <w:rsid w:val="003A5135"/>
    <w:rsid w:val="003A5A6A"/>
    <w:rsid w:val="003A669D"/>
    <w:rsid w:val="003B1069"/>
    <w:rsid w:val="003B17E7"/>
    <w:rsid w:val="003B306D"/>
    <w:rsid w:val="003B3700"/>
    <w:rsid w:val="003B38CC"/>
    <w:rsid w:val="003B390A"/>
    <w:rsid w:val="003B3D71"/>
    <w:rsid w:val="003B4029"/>
    <w:rsid w:val="003B4E3A"/>
    <w:rsid w:val="003C13A8"/>
    <w:rsid w:val="003C15DE"/>
    <w:rsid w:val="003C2889"/>
    <w:rsid w:val="003C4EB2"/>
    <w:rsid w:val="003C6BE1"/>
    <w:rsid w:val="003C7E16"/>
    <w:rsid w:val="003C7FDA"/>
    <w:rsid w:val="003D284B"/>
    <w:rsid w:val="003D3968"/>
    <w:rsid w:val="003D404A"/>
    <w:rsid w:val="003D42AF"/>
    <w:rsid w:val="003D46D5"/>
    <w:rsid w:val="003D48D4"/>
    <w:rsid w:val="003D54DC"/>
    <w:rsid w:val="003D67EF"/>
    <w:rsid w:val="003D715C"/>
    <w:rsid w:val="003E031D"/>
    <w:rsid w:val="003E216F"/>
    <w:rsid w:val="003E2DC9"/>
    <w:rsid w:val="003E48CC"/>
    <w:rsid w:val="003E6512"/>
    <w:rsid w:val="003F19D6"/>
    <w:rsid w:val="003F1AF3"/>
    <w:rsid w:val="003F3FEF"/>
    <w:rsid w:val="003F42E1"/>
    <w:rsid w:val="003F4D8D"/>
    <w:rsid w:val="003F4F63"/>
    <w:rsid w:val="003F5784"/>
    <w:rsid w:val="003F72BB"/>
    <w:rsid w:val="003F7432"/>
    <w:rsid w:val="00400066"/>
    <w:rsid w:val="004013F6"/>
    <w:rsid w:val="00401508"/>
    <w:rsid w:val="00401688"/>
    <w:rsid w:val="00401F3B"/>
    <w:rsid w:val="0040386D"/>
    <w:rsid w:val="00404066"/>
    <w:rsid w:val="00407A59"/>
    <w:rsid w:val="004137C0"/>
    <w:rsid w:val="004138F3"/>
    <w:rsid w:val="00416362"/>
    <w:rsid w:val="00416AE8"/>
    <w:rsid w:val="004174D6"/>
    <w:rsid w:val="00420339"/>
    <w:rsid w:val="0042073E"/>
    <w:rsid w:val="00421F20"/>
    <w:rsid w:val="00421FB8"/>
    <w:rsid w:val="004228FF"/>
    <w:rsid w:val="004258DB"/>
    <w:rsid w:val="00430747"/>
    <w:rsid w:val="004313E7"/>
    <w:rsid w:val="00432330"/>
    <w:rsid w:val="004324A7"/>
    <w:rsid w:val="004332A2"/>
    <w:rsid w:val="004339B2"/>
    <w:rsid w:val="0044022D"/>
    <w:rsid w:val="00442172"/>
    <w:rsid w:val="00444A70"/>
    <w:rsid w:val="00446CE1"/>
    <w:rsid w:val="004475D1"/>
    <w:rsid w:val="0044763B"/>
    <w:rsid w:val="00452504"/>
    <w:rsid w:val="00452696"/>
    <w:rsid w:val="0045600B"/>
    <w:rsid w:val="00456A53"/>
    <w:rsid w:val="004615D7"/>
    <w:rsid w:val="0046266D"/>
    <w:rsid w:val="004629B3"/>
    <w:rsid w:val="0046376E"/>
    <w:rsid w:val="00465320"/>
    <w:rsid w:val="0046554B"/>
    <w:rsid w:val="0046651E"/>
    <w:rsid w:val="0046690F"/>
    <w:rsid w:val="0046718A"/>
    <w:rsid w:val="00467C16"/>
    <w:rsid w:val="00470DED"/>
    <w:rsid w:val="00472FEC"/>
    <w:rsid w:val="004740A4"/>
    <w:rsid w:val="00476F05"/>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54E8"/>
    <w:rsid w:val="004C0138"/>
    <w:rsid w:val="004C1219"/>
    <w:rsid w:val="004C12E8"/>
    <w:rsid w:val="004C1578"/>
    <w:rsid w:val="004C33BA"/>
    <w:rsid w:val="004C4FEB"/>
    <w:rsid w:val="004C5DA8"/>
    <w:rsid w:val="004C6B79"/>
    <w:rsid w:val="004C7345"/>
    <w:rsid w:val="004D059B"/>
    <w:rsid w:val="004D0E64"/>
    <w:rsid w:val="004D48A8"/>
    <w:rsid w:val="004D4CB6"/>
    <w:rsid w:val="004D4DCB"/>
    <w:rsid w:val="004D58F8"/>
    <w:rsid w:val="004D5CFC"/>
    <w:rsid w:val="004E0907"/>
    <w:rsid w:val="004E3341"/>
    <w:rsid w:val="004E529A"/>
    <w:rsid w:val="004E5302"/>
    <w:rsid w:val="004E6557"/>
    <w:rsid w:val="004F033E"/>
    <w:rsid w:val="004F10C1"/>
    <w:rsid w:val="004F5AD9"/>
    <w:rsid w:val="004F7F2B"/>
    <w:rsid w:val="00502E62"/>
    <w:rsid w:val="00505F85"/>
    <w:rsid w:val="0050625C"/>
    <w:rsid w:val="0050696A"/>
    <w:rsid w:val="00506B8A"/>
    <w:rsid w:val="005138FE"/>
    <w:rsid w:val="00515119"/>
    <w:rsid w:val="00515D7A"/>
    <w:rsid w:val="005166F6"/>
    <w:rsid w:val="0052185E"/>
    <w:rsid w:val="0052212B"/>
    <w:rsid w:val="005230C7"/>
    <w:rsid w:val="0052565F"/>
    <w:rsid w:val="0052587E"/>
    <w:rsid w:val="00525AEE"/>
    <w:rsid w:val="005266EA"/>
    <w:rsid w:val="005270B2"/>
    <w:rsid w:val="005303FD"/>
    <w:rsid w:val="005314A3"/>
    <w:rsid w:val="0053207A"/>
    <w:rsid w:val="00533CA0"/>
    <w:rsid w:val="00534841"/>
    <w:rsid w:val="00534B46"/>
    <w:rsid w:val="00535D3A"/>
    <w:rsid w:val="00535F56"/>
    <w:rsid w:val="00537B4E"/>
    <w:rsid w:val="00540358"/>
    <w:rsid w:val="005407EC"/>
    <w:rsid w:val="00540D47"/>
    <w:rsid w:val="00542578"/>
    <w:rsid w:val="005428D7"/>
    <w:rsid w:val="00542D43"/>
    <w:rsid w:val="00542F43"/>
    <w:rsid w:val="00544579"/>
    <w:rsid w:val="00544715"/>
    <w:rsid w:val="0054525D"/>
    <w:rsid w:val="00545B38"/>
    <w:rsid w:val="00546213"/>
    <w:rsid w:val="005463C3"/>
    <w:rsid w:val="00550864"/>
    <w:rsid w:val="00551D6C"/>
    <w:rsid w:val="0055571E"/>
    <w:rsid w:val="00555FF7"/>
    <w:rsid w:val="005567E2"/>
    <w:rsid w:val="00556F67"/>
    <w:rsid w:val="00565031"/>
    <w:rsid w:val="005652E8"/>
    <w:rsid w:val="005664B4"/>
    <w:rsid w:val="00575BB6"/>
    <w:rsid w:val="0057667C"/>
    <w:rsid w:val="00576BDA"/>
    <w:rsid w:val="00580458"/>
    <w:rsid w:val="00581E62"/>
    <w:rsid w:val="005826DA"/>
    <w:rsid w:val="005833F0"/>
    <w:rsid w:val="00586280"/>
    <w:rsid w:val="005865CC"/>
    <w:rsid w:val="005869CE"/>
    <w:rsid w:val="00586CAF"/>
    <w:rsid w:val="005873E9"/>
    <w:rsid w:val="005877E8"/>
    <w:rsid w:val="00591180"/>
    <w:rsid w:val="00591B6F"/>
    <w:rsid w:val="00595613"/>
    <w:rsid w:val="0059722C"/>
    <w:rsid w:val="00597D07"/>
    <w:rsid w:val="005A16E6"/>
    <w:rsid w:val="005A1BB2"/>
    <w:rsid w:val="005A201F"/>
    <w:rsid w:val="005A30D7"/>
    <w:rsid w:val="005A3846"/>
    <w:rsid w:val="005A63CE"/>
    <w:rsid w:val="005A7E97"/>
    <w:rsid w:val="005B0689"/>
    <w:rsid w:val="005B12AC"/>
    <w:rsid w:val="005B2CD2"/>
    <w:rsid w:val="005B4D92"/>
    <w:rsid w:val="005B4F69"/>
    <w:rsid w:val="005B6658"/>
    <w:rsid w:val="005B6A58"/>
    <w:rsid w:val="005C09A7"/>
    <w:rsid w:val="005C2E4C"/>
    <w:rsid w:val="005C36FD"/>
    <w:rsid w:val="005C3AE9"/>
    <w:rsid w:val="005C3F32"/>
    <w:rsid w:val="005C4750"/>
    <w:rsid w:val="005C4A5B"/>
    <w:rsid w:val="005C58DB"/>
    <w:rsid w:val="005C7112"/>
    <w:rsid w:val="005C712B"/>
    <w:rsid w:val="005C7AEC"/>
    <w:rsid w:val="005D0561"/>
    <w:rsid w:val="005D0AD9"/>
    <w:rsid w:val="005D0F4D"/>
    <w:rsid w:val="005D1A67"/>
    <w:rsid w:val="005D22F6"/>
    <w:rsid w:val="005D68AA"/>
    <w:rsid w:val="005E0C30"/>
    <w:rsid w:val="005E1ECB"/>
    <w:rsid w:val="005E3FBB"/>
    <w:rsid w:val="005E4747"/>
    <w:rsid w:val="005E5509"/>
    <w:rsid w:val="005E69D9"/>
    <w:rsid w:val="005F25E2"/>
    <w:rsid w:val="005F27F4"/>
    <w:rsid w:val="005F3239"/>
    <w:rsid w:val="005F5835"/>
    <w:rsid w:val="005F6567"/>
    <w:rsid w:val="005F7A8A"/>
    <w:rsid w:val="00600ACF"/>
    <w:rsid w:val="006034EA"/>
    <w:rsid w:val="006058ED"/>
    <w:rsid w:val="00606BE9"/>
    <w:rsid w:val="00607094"/>
    <w:rsid w:val="00607256"/>
    <w:rsid w:val="0060790C"/>
    <w:rsid w:val="00607F5C"/>
    <w:rsid w:val="00610304"/>
    <w:rsid w:val="00613322"/>
    <w:rsid w:val="006144B1"/>
    <w:rsid w:val="00615A20"/>
    <w:rsid w:val="006177FF"/>
    <w:rsid w:val="00620AF8"/>
    <w:rsid w:val="006212DD"/>
    <w:rsid w:val="00622A08"/>
    <w:rsid w:val="00625859"/>
    <w:rsid w:val="00626B19"/>
    <w:rsid w:val="00626DF0"/>
    <w:rsid w:val="00627CB7"/>
    <w:rsid w:val="006335F1"/>
    <w:rsid w:val="00633EE6"/>
    <w:rsid w:val="006342C5"/>
    <w:rsid w:val="006345B6"/>
    <w:rsid w:val="00635616"/>
    <w:rsid w:val="00635712"/>
    <w:rsid w:val="006368FF"/>
    <w:rsid w:val="006372E9"/>
    <w:rsid w:val="0064107F"/>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716E"/>
    <w:rsid w:val="00681257"/>
    <w:rsid w:val="00682535"/>
    <w:rsid w:val="00682643"/>
    <w:rsid w:val="0068276D"/>
    <w:rsid w:val="00682EB9"/>
    <w:rsid w:val="0068331F"/>
    <w:rsid w:val="0068441A"/>
    <w:rsid w:val="00684B41"/>
    <w:rsid w:val="00690B19"/>
    <w:rsid w:val="00696ABD"/>
    <w:rsid w:val="00697BF9"/>
    <w:rsid w:val="006A00AC"/>
    <w:rsid w:val="006A04C2"/>
    <w:rsid w:val="006A0A3C"/>
    <w:rsid w:val="006A59E9"/>
    <w:rsid w:val="006A79F0"/>
    <w:rsid w:val="006B0BA1"/>
    <w:rsid w:val="006B129F"/>
    <w:rsid w:val="006B4235"/>
    <w:rsid w:val="006B47EE"/>
    <w:rsid w:val="006B499F"/>
    <w:rsid w:val="006B592A"/>
    <w:rsid w:val="006C33BE"/>
    <w:rsid w:val="006C4F85"/>
    <w:rsid w:val="006C5B53"/>
    <w:rsid w:val="006C7E78"/>
    <w:rsid w:val="006D098F"/>
    <w:rsid w:val="006D1BCC"/>
    <w:rsid w:val="006D20E3"/>
    <w:rsid w:val="006D42DD"/>
    <w:rsid w:val="006D4996"/>
    <w:rsid w:val="006D51A9"/>
    <w:rsid w:val="006D535B"/>
    <w:rsid w:val="006D54AB"/>
    <w:rsid w:val="006D6AC3"/>
    <w:rsid w:val="006D707D"/>
    <w:rsid w:val="006E0007"/>
    <w:rsid w:val="006E1A97"/>
    <w:rsid w:val="006E1FA9"/>
    <w:rsid w:val="006E3006"/>
    <w:rsid w:val="006E3F30"/>
    <w:rsid w:val="006E40B6"/>
    <w:rsid w:val="006E5032"/>
    <w:rsid w:val="006E5721"/>
    <w:rsid w:val="006E5881"/>
    <w:rsid w:val="006E5BDA"/>
    <w:rsid w:val="006E6365"/>
    <w:rsid w:val="006F0FC7"/>
    <w:rsid w:val="006F1848"/>
    <w:rsid w:val="006F39A9"/>
    <w:rsid w:val="006F4119"/>
    <w:rsid w:val="006F4724"/>
    <w:rsid w:val="006F50AC"/>
    <w:rsid w:val="006F643F"/>
    <w:rsid w:val="006F670F"/>
    <w:rsid w:val="006F77F3"/>
    <w:rsid w:val="00702921"/>
    <w:rsid w:val="00703272"/>
    <w:rsid w:val="007041BA"/>
    <w:rsid w:val="00707120"/>
    <w:rsid w:val="0070733C"/>
    <w:rsid w:val="0071028A"/>
    <w:rsid w:val="00710C5D"/>
    <w:rsid w:val="00713395"/>
    <w:rsid w:val="0071348C"/>
    <w:rsid w:val="00714650"/>
    <w:rsid w:val="00715959"/>
    <w:rsid w:val="00717273"/>
    <w:rsid w:val="00720E78"/>
    <w:rsid w:val="00720FD4"/>
    <w:rsid w:val="007243F1"/>
    <w:rsid w:val="00724AF2"/>
    <w:rsid w:val="007251CD"/>
    <w:rsid w:val="00730919"/>
    <w:rsid w:val="0073096C"/>
    <w:rsid w:val="0073100D"/>
    <w:rsid w:val="00731364"/>
    <w:rsid w:val="007328ED"/>
    <w:rsid w:val="00732CA6"/>
    <w:rsid w:val="007333D0"/>
    <w:rsid w:val="00733429"/>
    <w:rsid w:val="00733A46"/>
    <w:rsid w:val="00735A8E"/>
    <w:rsid w:val="00735E2D"/>
    <w:rsid w:val="007419C8"/>
    <w:rsid w:val="00742398"/>
    <w:rsid w:val="007432A9"/>
    <w:rsid w:val="0074405A"/>
    <w:rsid w:val="00746918"/>
    <w:rsid w:val="007476B8"/>
    <w:rsid w:val="007507B5"/>
    <w:rsid w:val="0075091D"/>
    <w:rsid w:val="007516AF"/>
    <w:rsid w:val="00753A24"/>
    <w:rsid w:val="0075430D"/>
    <w:rsid w:val="007544FC"/>
    <w:rsid w:val="007561F3"/>
    <w:rsid w:val="00764547"/>
    <w:rsid w:val="007648C1"/>
    <w:rsid w:val="0076690E"/>
    <w:rsid w:val="00772188"/>
    <w:rsid w:val="0077222A"/>
    <w:rsid w:val="00772EDE"/>
    <w:rsid w:val="0077306F"/>
    <w:rsid w:val="00773C4A"/>
    <w:rsid w:val="007813D0"/>
    <w:rsid w:val="007825FC"/>
    <w:rsid w:val="0078294E"/>
    <w:rsid w:val="007845AC"/>
    <w:rsid w:val="00785993"/>
    <w:rsid w:val="007866E2"/>
    <w:rsid w:val="00786BA3"/>
    <w:rsid w:val="00791922"/>
    <w:rsid w:val="00791AAF"/>
    <w:rsid w:val="0079202F"/>
    <w:rsid w:val="007934C3"/>
    <w:rsid w:val="00794903"/>
    <w:rsid w:val="007957EE"/>
    <w:rsid w:val="00795AF2"/>
    <w:rsid w:val="00795C5E"/>
    <w:rsid w:val="00795E4F"/>
    <w:rsid w:val="00796410"/>
    <w:rsid w:val="007A066D"/>
    <w:rsid w:val="007A0831"/>
    <w:rsid w:val="007A09FC"/>
    <w:rsid w:val="007A151E"/>
    <w:rsid w:val="007A2AAD"/>
    <w:rsid w:val="007A3A00"/>
    <w:rsid w:val="007A4432"/>
    <w:rsid w:val="007A5B82"/>
    <w:rsid w:val="007A784E"/>
    <w:rsid w:val="007A7E31"/>
    <w:rsid w:val="007B0792"/>
    <w:rsid w:val="007B08DF"/>
    <w:rsid w:val="007B1860"/>
    <w:rsid w:val="007B2DAD"/>
    <w:rsid w:val="007B3A39"/>
    <w:rsid w:val="007B4939"/>
    <w:rsid w:val="007B499C"/>
    <w:rsid w:val="007B4D4B"/>
    <w:rsid w:val="007B58C6"/>
    <w:rsid w:val="007B6950"/>
    <w:rsid w:val="007B81B0"/>
    <w:rsid w:val="007C0646"/>
    <w:rsid w:val="007C13D5"/>
    <w:rsid w:val="007C1E9D"/>
    <w:rsid w:val="007C3AE3"/>
    <w:rsid w:val="007C474B"/>
    <w:rsid w:val="007C5CBA"/>
    <w:rsid w:val="007D0000"/>
    <w:rsid w:val="007D108A"/>
    <w:rsid w:val="007D13D7"/>
    <w:rsid w:val="007D2A02"/>
    <w:rsid w:val="007D62A4"/>
    <w:rsid w:val="007E0050"/>
    <w:rsid w:val="007E0748"/>
    <w:rsid w:val="007E1736"/>
    <w:rsid w:val="007E2887"/>
    <w:rsid w:val="007E65AA"/>
    <w:rsid w:val="007E6EA1"/>
    <w:rsid w:val="007E7F63"/>
    <w:rsid w:val="007F06E6"/>
    <w:rsid w:val="007F0F63"/>
    <w:rsid w:val="007F2B1E"/>
    <w:rsid w:val="007F4335"/>
    <w:rsid w:val="007F4562"/>
    <w:rsid w:val="007F4590"/>
    <w:rsid w:val="007F62B4"/>
    <w:rsid w:val="007F7D9D"/>
    <w:rsid w:val="007F7DF9"/>
    <w:rsid w:val="0080006E"/>
    <w:rsid w:val="00801517"/>
    <w:rsid w:val="00801649"/>
    <w:rsid w:val="00803A87"/>
    <w:rsid w:val="00804CE3"/>
    <w:rsid w:val="00806F73"/>
    <w:rsid w:val="00807F64"/>
    <w:rsid w:val="00810573"/>
    <w:rsid w:val="00813492"/>
    <w:rsid w:val="008159C7"/>
    <w:rsid w:val="00815B5F"/>
    <w:rsid w:val="0081612A"/>
    <w:rsid w:val="00817895"/>
    <w:rsid w:val="00817AE8"/>
    <w:rsid w:val="00817DE8"/>
    <w:rsid w:val="008229F5"/>
    <w:rsid w:val="00822C71"/>
    <w:rsid w:val="00822D2D"/>
    <w:rsid w:val="00825B70"/>
    <w:rsid w:val="0082699A"/>
    <w:rsid w:val="00826F54"/>
    <w:rsid w:val="00827F2A"/>
    <w:rsid w:val="00831CDF"/>
    <w:rsid w:val="00832633"/>
    <w:rsid w:val="00832FC7"/>
    <w:rsid w:val="00833CEB"/>
    <w:rsid w:val="008372D2"/>
    <w:rsid w:val="00837336"/>
    <w:rsid w:val="008377BC"/>
    <w:rsid w:val="0084074C"/>
    <w:rsid w:val="008411D5"/>
    <w:rsid w:val="00844C17"/>
    <w:rsid w:val="008458A6"/>
    <w:rsid w:val="00846017"/>
    <w:rsid w:val="00847726"/>
    <w:rsid w:val="00851CB1"/>
    <w:rsid w:val="00852511"/>
    <w:rsid w:val="00854685"/>
    <w:rsid w:val="008550DD"/>
    <w:rsid w:val="00855D87"/>
    <w:rsid w:val="00857408"/>
    <w:rsid w:val="008578A9"/>
    <w:rsid w:val="008601C8"/>
    <w:rsid w:val="0086072A"/>
    <w:rsid w:val="0086088F"/>
    <w:rsid w:val="008614F1"/>
    <w:rsid w:val="00861AA4"/>
    <w:rsid w:val="00861DEE"/>
    <w:rsid w:val="008639B3"/>
    <w:rsid w:val="00863C1A"/>
    <w:rsid w:val="00863EAC"/>
    <w:rsid w:val="0086470F"/>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596E"/>
    <w:rsid w:val="00886C54"/>
    <w:rsid w:val="008870ED"/>
    <w:rsid w:val="008877FC"/>
    <w:rsid w:val="0089765C"/>
    <w:rsid w:val="0089796A"/>
    <w:rsid w:val="008A004C"/>
    <w:rsid w:val="008A2375"/>
    <w:rsid w:val="008A54B6"/>
    <w:rsid w:val="008A5D60"/>
    <w:rsid w:val="008A720E"/>
    <w:rsid w:val="008A7CDB"/>
    <w:rsid w:val="008B0906"/>
    <w:rsid w:val="008B2BCB"/>
    <w:rsid w:val="008B527F"/>
    <w:rsid w:val="008C1B59"/>
    <w:rsid w:val="008C380D"/>
    <w:rsid w:val="008C6041"/>
    <w:rsid w:val="008C6821"/>
    <w:rsid w:val="008C74E3"/>
    <w:rsid w:val="008C7671"/>
    <w:rsid w:val="008D5EE5"/>
    <w:rsid w:val="008D76C5"/>
    <w:rsid w:val="008D7A24"/>
    <w:rsid w:val="008E0A04"/>
    <w:rsid w:val="008E0AF9"/>
    <w:rsid w:val="008E0AFA"/>
    <w:rsid w:val="008E48FD"/>
    <w:rsid w:val="008E4B17"/>
    <w:rsid w:val="008E5009"/>
    <w:rsid w:val="008E695A"/>
    <w:rsid w:val="008E75D3"/>
    <w:rsid w:val="008F02E9"/>
    <w:rsid w:val="008F0CE4"/>
    <w:rsid w:val="008F125E"/>
    <w:rsid w:val="008F2B54"/>
    <w:rsid w:val="008F4C1E"/>
    <w:rsid w:val="008F4D2F"/>
    <w:rsid w:val="008F510A"/>
    <w:rsid w:val="008F6D25"/>
    <w:rsid w:val="00900235"/>
    <w:rsid w:val="00900CFC"/>
    <w:rsid w:val="009024AD"/>
    <w:rsid w:val="00904000"/>
    <w:rsid w:val="00904FDF"/>
    <w:rsid w:val="00906292"/>
    <w:rsid w:val="0090795A"/>
    <w:rsid w:val="0091482A"/>
    <w:rsid w:val="00914B5B"/>
    <w:rsid w:val="00915BD4"/>
    <w:rsid w:val="00917162"/>
    <w:rsid w:val="009172B9"/>
    <w:rsid w:val="009178AA"/>
    <w:rsid w:val="00920A30"/>
    <w:rsid w:val="00922748"/>
    <w:rsid w:val="009251CC"/>
    <w:rsid w:val="00926980"/>
    <w:rsid w:val="00926AE6"/>
    <w:rsid w:val="0092714E"/>
    <w:rsid w:val="00930986"/>
    <w:rsid w:val="009324C4"/>
    <w:rsid w:val="009324F0"/>
    <w:rsid w:val="00934563"/>
    <w:rsid w:val="00934807"/>
    <w:rsid w:val="0093535F"/>
    <w:rsid w:val="00941666"/>
    <w:rsid w:val="009419A7"/>
    <w:rsid w:val="00942002"/>
    <w:rsid w:val="00942359"/>
    <w:rsid w:val="009435FB"/>
    <w:rsid w:val="00944109"/>
    <w:rsid w:val="00947885"/>
    <w:rsid w:val="00947CD5"/>
    <w:rsid w:val="009504AB"/>
    <w:rsid w:val="00951212"/>
    <w:rsid w:val="00952168"/>
    <w:rsid w:val="009527FE"/>
    <w:rsid w:val="009529B2"/>
    <w:rsid w:val="009535A6"/>
    <w:rsid w:val="00956551"/>
    <w:rsid w:val="00960539"/>
    <w:rsid w:val="0096509E"/>
    <w:rsid w:val="00971FD4"/>
    <w:rsid w:val="009723B1"/>
    <w:rsid w:val="00973835"/>
    <w:rsid w:val="009739A0"/>
    <w:rsid w:val="009741E4"/>
    <w:rsid w:val="00974EE4"/>
    <w:rsid w:val="00974F29"/>
    <w:rsid w:val="00974F84"/>
    <w:rsid w:val="00976216"/>
    <w:rsid w:val="009767C7"/>
    <w:rsid w:val="00977041"/>
    <w:rsid w:val="00977986"/>
    <w:rsid w:val="009801ED"/>
    <w:rsid w:val="00981400"/>
    <w:rsid w:val="0098579A"/>
    <w:rsid w:val="00985BCA"/>
    <w:rsid w:val="00991475"/>
    <w:rsid w:val="009918DD"/>
    <w:rsid w:val="0099195A"/>
    <w:rsid w:val="00992110"/>
    <w:rsid w:val="00992A11"/>
    <w:rsid w:val="00994681"/>
    <w:rsid w:val="0099486A"/>
    <w:rsid w:val="009A0E26"/>
    <w:rsid w:val="009A16EC"/>
    <w:rsid w:val="009A1A45"/>
    <w:rsid w:val="009A22C2"/>
    <w:rsid w:val="009A3854"/>
    <w:rsid w:val="009A3C79"/>
    <w:rsid w:val="009A420A"/>
    <w:rsid w:val="009A512F"/>
    <w:rsid w:val="009A5D32"/>
    <w:rsid w:val="009B0BA1"/>
    <w:rsid w:val="009B29B7"/>
    <w:rsid w:val="009B2C6F"/>
    <w:rsid w:val="009B3199"/>
    <w:rsid w:val="009B3B37"/>
    <w:rsid w:val="009B500D"/>
    <w:rsid w:val="009B5432"/>
    <w:rsid w:val="009B7D1F"/>
    <w:rsid w:val="009C088E"/>
    <w:rsid w:val="009C1415"/>
    <w:rsid w:val="009C381B"/>
    <w:rsid w:val="009C460E"/>
    <w:rsid w:val="009C4D35"/>
    <w:rsid w:val="009C52FC"/>
    <w:rsid w:val="009C7CE1"/>
    <w:rsid w:val="009D1165"/>
    <w:rsid w:val="009D1522"/>
    <w:rsid w:val="009D28A8"/>
    <w:rsid w:val="009D7252"/>
    <w:rsid w:val="009E2890"/>
    <w:rsid w:val="009E4285"/>
    <w:rsid w:val="009E43AA"/>
    <w:rsid w:val="009E5EB4"/>
    <w:rsid w:val="009F00FC"/>
    <w:rsid w:val="009F1DB3"/>
    <w:rsid w:val="009F563C"/>
    <w:rsid w:val="009F610E"/>
    <w:rsid w:val="00A00F7E"/>
    <w:rsid w:val="00A01A5D"/>
    <w:rsid w:val="00A044D6"/>
    <w:rsid w:val="00A0468C"/>
    <w:rsid w:val="00A04ADB"/>
    <w:rsid w:val="00A04F89"/>
    <w:rsid w:val="00A059A0"/>
    <w:rsid w:val="00A05F11"/>
    <w:rsid w:val="00A060EF"/>
    <w:rsid w:val="00A1081D"/>
    <w:rsid w:val="00A11E0F"/>
    <w:rsid w:val="00A141E9"/>
    <w:rsid w:val="00A15D78"/>
    <w:rsid w:val="00A171D8"/>
    <w:rsid w:val="00A175DC"/>
    <w:rsid w:val="00A207C7"/>
    <w:rsid w:val="00A20D2D"/>
    <w:rsid w:val="00A20EE2"/>
    <w:rsid w:val="00A20F5A"/>
    <w:rsid w:val="00A213F7"/>
    <w:rsid w:val="00A216E5"/>
    <w:rsid w:val="00A230BB"/>
    <w:rsid w:val="00A26744"/>
    <w:rsid w:val="00A26998"/>
    <w:rsid w:val="00A26CB6"/>
    <w:rsid w:val="00A27A66"/>
    <w:rsid w:val="00A32F82"/>
    <w:rsid w:val="00A32F8B"/>
    <w:rsid w:val="00A34D6C"/>
    <w:rsid w:val="00A3505C"/>
    <w:rsid w:val="00A3756F"/>
    <w:rsid w:val="00A40FD5"/>
    <w:rsid w:val="00A42D6F"/>
    <w:rsid w:val="00A42EC6"/>
    <w:rsid w:val="00A4474B"/>
    <w:rsid w:val="00A45A62"/>
    <w:rsid w:val="00A52C42"/>
    <w:rsid w:val="00A53296"/>
    <w:rsid w:val="00A5407E"/>
    <w:rsid w:val="00A549D8"/>
    <w:rsid w:val="00A54AC5"/>
    <w:rsid w:val="00A5555B"/>
    <w:rsid w:val="00A55DC3"/>
    <w:rsid w:val="00A56D41"/>
    <w:rsid w:val="00A56DEC"/>
    <w:rsid w:val="00A60529"/>
    <w:rsid w:val="00A609C0"/>
    <w:rsid w:val="00A61353"/>
    <w:rsid w:val="00A61481"/>
    <w:rsid w:val="00A629D6"/>
    <w:rsid w:val="00A637C9"/>
    <w:rsid w:val="00A65409"/>
    <w:rsid w:val="00A65BBF"/>
    <w:rsid w:val="00A65C1B"/>
    <w:rsid w:val="00A66705"/>
    <w:rsid w:val="00A66DB1"/>
    <w:rsid w:val="00A67A92"/>
    <w:rsid w:val="00A704C5"/>
    <w:rsid w:val="00A70DC6"/>
    <w:rsid w:val="00A7481D"/>
    <w:rsid w:val="00A74E8A"/>
    <w:rsid w:val="00A84116"/>
    <w:rsid w:val="00A842D5"/>
    <w:rsid w:val="00A877FA"/>
    <w:rsid w:val="00A87870"/>
    <w:rsid w:val="00A91A70"/>
    <w:rsid w:val="00A94D89"/>
    <w:rsid w:val="00A957F6"/>
    <w:rsid w:val="00A97316"/>
    <w:rsid w:val="00AA0799"/>
    <w:rsid w:val="00AA0D54"/>
    <w:rsid w:val="00AA1268"/>
    <w:rsid w:val="00AA1B85"/>
    <w:rsid w:val="00AA3290"/>
    <w:rsid w:val="00AA380F"/>
    <w:rsid w:val="00AB0EE9"/>
    <w:rsid w:val="00AB1CB6"/>
    <w:rsid w:val="00AB1D9A"/>
    <w:rsid w:val="00AB3C7F"/>
    <w:rsid w:val="00AB45F2"/>
    <w:rsid w:val="00AB5448"/>
    <w:rsid w:val="00AC3540"/>
    <w:rsid w:val="00AC35B4"/>
    <w:rsid w:val="00AD0C22"/>
    <w:rsid w:val="00AD442C"/>
    <w:rsid w:val="00AD44FE"/>
    <w:rsid w:val="00AD5077"/>
    <w:rsid w:val="00AD5A37"/>
    <w:rsid w:val="00AD6BF9"/>
    <w:rsid w:val="00AE05A4"/>
    <w:rsid w:val="00AE0DB7"/>
    <w:rsid w:val="00AE25FC"/>
    <w:rsid w:val="00AE400C"/>
    <w:rsid w:val="00AE48EF"/>
    <w:rsid w:val="00AE49F1"/>
    <w:rsid w:val="00AE4A1C"/>
    <w:rsid w:val="00AE4B7A"/>
    <w:rsid w:val="00AE5532"/>
    <w:rsid w:val="00AE67F4"/>
    <w:rsid w:val="00AF3411"/>
    <w:rsid w:val="00AF79D0"/>
    <w:rsid w:val="00B05CCA"/>
    <w:rsid w:val="00B06E13"/>
    <w:rsid w:val="00B138C3"/>
    <w:rsid w:val="00B14271"/>
    <w:rsid w:val="00B1543E"/>
    <w:rsid w:val="00B15A1F"/>
    <w:rsid w:val="00B16270"/>
    <w:rsid w:val="00B17271"/>
    <w:rsid w:val="00B17765"/>
    <w:rsid w:val="00B17B32"/>
    <w:rsid w:val="00B23C16"/>
    <w:rsid w:val="00B23C52"/>
    <w:rsid w:val="00B259E1"/>
    <w:rsid w:val="00B25C7E"/>
    <w:rsid w:val="00B2685D"/>
    <w:rsid w:val="00B2695B"/>
    <w:rsid w:val="00B27666"/>
    <w:rsid w:val="00B30351"/>
    <w:rsid w:val="00B30610"/>
    <w:rsid w:val="00B33C2A"/>
    <w:rsid w:val="00B35967"/>
    <w:rsid w:val="00B400FE"/>
    <w:rsid w:val="00B4092D"/>
    <w:rsid w:val="00B41706"/>
    <w:rsid w:val="00B422EC"/>
    <w:rsid w:val="00B4276F"/>
    <w:rsid w:val="00B429DB"/>
    <w:rsid w:val="00B43A87"/>
    <w:rsid w:val="00B4437C"/>
    <w:rsid w:val="00B44875"/>
    <w:rsid w:val="00B46713"/>
    <w:rsid w:val="00B46B4A"/>
    <w:rsid w:val="00B47F0A"/>
    <w:rsid w:val="00B50B6B"/>
    <w:rsid w:val="00B535FF"/>
    <w:rsid w:val="00B54885"/>
    <w:rsid w:val="00B54D71"/>
    <w:rsid w:val="00B57DF5"/>
    <w:rsid w:val="00B634AB"/>
    <w:rsid w:val="00B63624"/>
    <w:rsid w:val="00B665A1"/>
    <w:rsid w:val="00B666D3"/>
    <w:rsid w:val="00B66D10"/>
    <w:rsid w:val="00B70AA3"/>
    <w:rsid w:val="00B726D4"/>
    <w:rsid w:val="00B72CC5"/>
    <w:rsid w:val="00B739B2"/>
    <w:rsid w:val="00B75933"/>
    <w:rsid w:val="00B75D66"/>
    <w:rsid w:val="00B76B72"/>
    <w:rsid w:val="00B80ADC"/>
    <w:rsid w:val="00B8214F"/>
    <w:rsid w:val="00B82B43"/>
    <w:rsid w:val="00B82B48"/>
    <w:rsid w:val="00B841D9"/>
    <w:rsid w:val="00B85133"/>
    <w:rsid w:val="00B86A4F"/>
    <w:rsid w:val="00B93035"/>
    <w:rsid w:val="00B93543"/>
    <w:rsid w:val="00B945CA"/>
    <w:rsid w:val="00B9576F"/>
    <w:rsid w:val="00B958E8"/>
    <w:rsid w:val="00B95BF8"/>
    <w:rsid w:val="00B97E4A"/>
    <w:rsid w:val="00BA09B2"/>
    <w:rsid w:val="00BA0B63"/>
    <w:rsid w:val="00BA0F35"/>
    <w:rsid w:val="00BA207C"/>
    <w:rsid w:val="00BA28F3"/>
    <w:rsid w:val="00BA42DA"/>
    <w:rsid w:val="00BA465D"/>
    <w:rsid w:val="00BA5B46"/>
    <w:rsid w:val="00BA5BB6"/>
    <w:rsid w:val="00BA7232"/>
    <w:rsid w:val="00BA7CE9"/>
    <w:rsid w:val="00BB0327"/>
    <w:rsid w:val="00BB0739"/>
    <w:rsid w:val="00BB21EC"/>
    <w:rsid w:val="00BB2D73"/>
    <w:rsid w:val="00BB32FA"/>
    <w:rsid w:val="00BB45BA"/>
    <w:rsid w:val="00BB4A3A"/>
    <w:rsid w:val="00BB5D0B"/>
    <w:rsid w:val="00BB75A4"/>
    <w:rsid w:val="00BC0995"/>
    <w:rsid w:val="00BC179A"/>
    <w:rsid w:val="00BC1ADE"/>
    <w:rsid w:val="00BC4A98"/>
    <w:rsid w:val="00BC545B"/>
    <w:rsid w:val="00BC6DE2"/>
    <w:rsid w:val="00BC6E62"/>
    <w:rsid w:val="00BD20E5"/>
    <w:rsid w:val="00BD3A53"/>
    <w:rsid w:val="00BD3AF5"/>
    <w:rsid w:val="00BD6035"/>
    <w:rsid w:val="00BD656A"/>
    <w:rsid w:val="00BE2210"/>
    <w:rsid w:val="00BE28C2"/>
    <w:rsid w:val="00BE2D0A"/>
    <w:rsid w:val="00BE3AD1"/>
    <w:rsid w:val="00BE47D4"/>
    <w:rsid w:val="00BE616C"/>
    <w:rsid w:val="00BE74EC"/>
    <w:rsid w:val="00BE793A"/>
    <w:rsid w:val="00BE7A0B"/>
    <w:rsid w:val="00BE7BB4"/>
    <w:rsid w:val="00BF0DCD"/>
    <w:rsid w:val="00BF1887"/>
    <w:rsid w:val="00BF1EC9"/>
    <w:rsid w:val="00BF2B82"/>
    <w:rsid w:val="00BF432A"/>
    <w:rsid w:val="00BF6CB4"/>
    <w:rsid w:val="00BF6E82"/>
    <w:rsid w:val="00BF7D9B"/>
    <w:rsid w:val="00C031AE"/>
    <w:rsid w:val="00C057E5"/>
    <w:rsid w:val="00C060C7"/>
    <w:rsid w:val="00C06396"/>
    <w:rsid w:val="00C06F76"/>
    <w:rsid w:val="00C10EA4"/>
    <w:rsid w:val="00C132DD"/>
    <w:rsid w:val="00C13F7E"/>
    <w:rsid w:val="00C17A38"/>
    <w:rsid w:val="00C21897"/>
    <w:rsid w:val="00C24C17"/>
    <w:rsid w:val="00C25662"/>
    <w:rsid w:val="00C27240"/>
    <w:rsid w:val="00C30984"/>
    <w:rsid w:val="00C31148"/>
    <w:rsid w:val="00C335E2"/>
    <w:rsid w:val="00C34829"/>
    <w:rsid w:val="00C3699C"/>
    <w:rsid w:val="00C3758F"/>
    <w:rsid w:val="00C40B88"/>
    <w:rsid w:val="00C40FD1"/>
    <w:rsid w:val="00C41B80"/>
    <w:rsid w:val="00C44489"/>
    <w:rsid w:val="00C44FC2"/>
    <w:rsid w:val="00C45028"/>
    <w:rsid w:val="00C47D87"/>
    <w:rsid w:val="00C516A3"/>
    <w:rsid w:val="00C52F76"/>
    <w:rsid w:val="00C5376E"/>
    <w:rsid w:val="00C55AEE"/>
    <w:rsid w:val="00C5701B"/>
    <w:rsid w:val="00C60651"/>
    <w:rsid w:val="00C608C1"/>
    <w:rsid w:val="00C61161"/>
    <w:rsid w:val="00C64D40"/>
    <w:rsid w:val="00C66218"/>
    <w:rsid w:val="00C677C9"/>
    <w:rsid w:val="00C70DBC"/>
    <w:rsid w:val="00C76ECD"/>
    <w:rsid w:val="00C8065D"/>
    <w:rsid w:val="00C808A6"/>
    <w:rsid w:val="00C81B8A"/>
    <w:rsid w:val="00C83C29"/>
    <w:rsid w:val="00C855DB"/>
    <w:rsid w:val="00C855F3"/>
    <w:rsid w:val="00C85A2F"/>
    <w:rsid w:val="00C86270"/>
    <w:rsid w:val="00C9128B"/>
    <w:rsid w:val="00C97091"/>
    <w:rsid w:val="00C97260"/>
    <w:rsid w:val="00CA0E06"/>
    <w:rsid w:val="00CA1F0F"/>
    <w:rsid w:val="00CA2001"/>
    <w:rsid w:val="00CA4DDC"/>
    <w:rsid w:val="00CA6361"/>
    <w:rsid w:val="00CA7B7C"/>
    <w:rsid w:val="00CB0160"/>
    <w:rsid w:val="00CB3782"/>
    <w:rsid w:val="00CB5B6C"/>
    <w:rsid w:val="00CB5DAE"/>
    <w:rsid w:val="00CB7FC4"/>
    <w:rsid w:val="00CC052E"/>
    <w:rsid w:val="00CC328D"/>
    <w:rsid w:val="00CC33D3"/>
    <w:rsid w:val="00CC3A13"/>
    <w:rsid w:val="00CD0731"/>
    <w:rsid w:val="00CD147F"/>
    <w:rsid w:val="00CD16BE"/>
    <w:rsid w:val="00CD2268"/>
    <w:rsid w:val="00CD2572"/>
    <w:rsid w:val="00CD33A5"/>
    <w:rsid w:val="00CD4616"/>
    <w:rsid w:val="00CD56AF"/>
    <w:rsid w:val="00CD7D77"/>
    <w:rsid w:val="00CE087D"/>
    <w:rsid w:val="00CE33D5"/>
    <w:rsid w:val="00CE3BCE"/>
    <w:rsid w:val="00CE3F2D"/>
    <w:rsid w:val="00CE4712"/>
    <w:rsid w:val="00CF13E9"/>
    <w:rsid w:val="00CF22D9"/>
    <w:rsid w:val="00CF44F7"/>
    <w:rsid w:val="00CF4C40"/>
    <w:rsid w:val="00CF5D37"/>
    <w:rsid w:val="00CF6F33"/>
    <w:rsid w:val="00CF7D2E"/>
    <w:rsid w:val="00D00F4A"/>
    <w:rsid w:val="00D012C3"/>
    <w:rsid w:val="00D015F0"/>
    <w:rsid w:val="00D02248"/>
    <w:rsid w:val="00D024E3"/>
    <w:rsid w:val="00D03B8C"/>
    <w:rsid w:val="00D04429"/>
    <w:rsid w:val="00D04E37"/>
    <w:rsid w:val="00D05723"/>
    <w:rsid w:val="00D063B8"/>
    <w:rsid w:val="00D06825"/>
    <w:rsid w:val="00D07467"/>
    <w:rsid w:val="00D07A0C"/>
    <w:rsid w:val="00D12024"/>
    <w:rsid w:val="00D17E3B"/>
    <w:rsid w:val="00D17FC9"/>
    <w:rsid w:val="00D2119E"/>
    <w:rsid w:val="00D2306F"/>
    <w:rsid w:val="00D23C09"/>
    <w:rsid w:val="00D23CED"/>
    <w:rsid w:val="00D241D1"/>
    <w:rsid w:val="00D24939"/>
    <w:rsid w:val="00D24BD2"/>
    <w:rsid w:val="00D2573D"/>
    <w:rsid w:val="00D260A2"/>
    <w:rsid w:val="00D26D4D"/>
    <w:rsid w:val="00D308B8"/>
    <w:rsid w:val="00D30CC6"/>
    <w:rsid w:val="00D31722"/>
    <w:rsid w:val="00D3260C"/>
    <w:rsid w:val="00D33DB5"/>
    <w:rsid w:val="00D35790"/>
    <w:rsid w:val="00D36DF7"/>
    <w:rsid w:val="00D36FDC"/>
    <w:rsid w:val="00D42585"/>
    <w:rsid w:val="00D4390C"/>
    <w:rsid w:val="00D459E7"/>
    <w:rsid w:val="00D51350"/>
    <w:rsid w:val="00D519AF"/>
    <w:rsid w:val="00D532A9"/>
    <w:rsid w:val="00D5437A"/>
    <w:rsid w:val="00D5611E"/>
    <w:rsid w:val="00D5653B"/>
    <w:rsid w:val="00D5726D"/>
    <w:rsid w:val="00D61D6E"/>
    <w:rsid w:val="00D628AF"/>
    <w:rsid w:val="00D62EF1"/>
    <w:rsid w:val="00D6309D"/>
    <w:rsid w:val="00D6384E"/>
    <w:rsid w:val="00D644CA"/>
    <w:rsid w:val="00D64EA0"/>
    <w:rsid w:val="00D66FC2"/>
    <w:rsid w:val="00D670C9"/>
    <w:rsid w:val="00D7044E"/>
    <w:rsid w:val="00D76C7E"/>
    <w:rsid w:val="00D771DE"/>
    <w:rsid w:val="00D7776D"/>
    <w:rsid w:val="00D77875"/>
    <w:rsid w:val="00D77F29"/>
    <w:rsid w:val="00D834F1"/>
    <w:rsid w:val="00D835B8"/>
    <w:rsid w:val="00D83609"/>
    <w:rsid w:val="00D83DCD"/>
    <w:rsid w:val="00D84494"/>
    <w:rsid w:val="00D876D6"/>
    <w:rsid w:val="00D90BBF"/>
    <w:rsid w:val="00D90EE9"/>
    <w:rsid w:val="00D92179"/>
    <w:rsid w:val="00D922C6"/>
    <w:rsid w:val="00D9293F"/>
    <w:rsid w:val="00D92DE7"/>
    <w:rsid w:val="00D92E56"/>
    <w:rsid w:val="00D93598"/>
    <w:rsid w:val="00D93FDD"/>
    <w:rsid w:val="00D94A39"/>
    <w:rsid w:val="00D97502"/>
    <w:rsid w:val="00DA1E18"/>
    <w:rsid w:val="00DA2009"/>
    <w:rsid w:val="00DA3F48"/>
    <w:rsid w:val="00DA7769"/>
    <w:rsid w:val="00DB05B1"/>
    <w:rsid w:val="00DB2781"/>
    <w:rsid w:val="00DB2823"/>
    <w:rsid w:val="00DB2D74"/>
    <w:rsid w:val="00DB36E9"/>
    <w:rsid w:val="00DB3786"/>
    <w:rsid w:val="00DB4782"/>
    <w:rsid w:val="00DB59E8"/>
    <w:rsid w:val="00DB5A79"/>
    <w:rsid w:val="00DC1F08"/>
    <w:rsid w:val="00DC2465"/>
    <w:rsid w:val="00DC42DD"/>
    <w:rsid w:val="00DC523F"/>
    <w:rsid w:val="00DC7D48"/>
    <w:rsid w:val="00DD145A"/>
    <w:rsid w:val="00DD1A30"/>
    <w:rsid w:val="00DD33C9"/>
    <w:rsid w:val="00DD512E"/>
    <w:rsid w:val="00DD5274"/>
    <w:rsid w:val="00DD531B"/>
    <w:rsid w:val="00DD58D5"/>
    <w:rsid w:val="00DD5EC8"/>
    <w:rsid w:val="00DE0C42"/>
    <w:rsid w:val="00DE112C"/>
    <w:rsid w:val="00DE1177"/>
    <w:rsid w:val="00DE2CEA"/>
    <w:rsid w:val="00DE52C8"/>
    <w:rsid w:val="00DE6154"/>
    <w:rsid w:val="00DE61C7"/>
    <w:rsid w:val="00DE63BD"/>
    <w:rsid w:val="00DE6A3C"/>
    <w:rsid w:val="00DE74F4"/>
    <w:rsid w:val="00DE7853"/>
    <w:rsid w:val="00DE7F97"/>
    <w:rsid w:val="00DF1010"/>
    <w:rsid w:val="00DF25F5"/>
    <w:rsid w:val="00DF5298"/>
    <w:rsid w:val="00DF5AEA"/>
    <w:rsid w:val="00DF63F6"/>
    <w:rsid w:val="00DF7BD0"/>
    <w:rsid w:val="00E0219D"/>
    <w:rsid w:val="00E0374B"/>
    <w:rsid w:val="00E04784"/>
    <w:rsid w:val="00E07D11"/>
    <w:rsid w:val="00E10B28"/>
    <w:rsid w:val="00E117FD"/>
    <w:rsid w:val="00E135E0"/>
    <w:rsid w:val="00E13747"/>
    <w:rsid w:val="00E14758"/>
    <w:rsid w:val="00E17257"/>
    <w:rsid w:val="00E1753A"/>
    <w:rsid w:val="00E21088"/>
    <w:rsid w:val="00E2166F"/>
    <w:rsid w:val="00E21C2A"/>
    <w:rsid w:val="00E23E29"/>
    <w:rsid w:val="00E24632"/>
    <w:rsid w:val="00E25AEA"/>
    <w:rsid w:val="00E30D26"/>
    <w:rsid w:val="00E30DEF"/>
    <w:rsid w:val="00E30ED2"/>
    <w:rsid w:val="00E31276"/>
    <w:rsid w:val="00E31B77"/>
    <w:rsid w:val="00E32102"/>
    <w:rsid w:val="00E34666"/>
    <w:rsid w:val="00E36A66"/>
    <w:rsid w:val="00E36F43"/>
    <w:rsid w:val="00E37B51"/>
    <w:rsid w:val="00E37F70"/>
    <w:rsid w:val="00E4017F"/>
    <w:rsid w:val="00E41377"/>
    <w:rsid w:val="00E41985"/>
    <w:rsid w:val="00E446C1"/>
    <w:rsid w:val="00E446D4"/>
    <w:rsid w:val="00E461C4"/>
    <w:rsid w:val="00E46939"/>
    <w:rsid w:val="00E46BCD"/>
    <w:rsid w:val="00E50A53"/>
    <w:rsid w:val="00E53786"/>
    <w:rsid w:val="00E545D7"/>
    <w:rsid w:val="00E547FE"/>
    <w:rsid w:val="00E5669C"/>
    <w:rsid w:val="00E57DDC"/>
    <w:rsid w:val="00E6024E"/>
    <w:rsid w:val="00E60ECA"/>
    <w:rsid w:val="00E613AB"/>
    <w:rsid w:val="00E61783"/>
    <w:rsid w:val="00E63AF6"/>
    <w:rsid w:val="00E63B3E"/>
    <w:rsid w:val="00E663B6"/>
    <w:rsid w:val="00E6780D"/>
    <w:rsid w:val="00E758B9"/>
    <w:rsid w:val="00E81620"/>
    <w:rsid w:val="00E81BA3"/>
    <w:rsid w:val="00E82191"/>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18CD"/>
    <w:rsid w:val="00EA3BCC"/>
    <w:rsid w:val="00EA3DCD"/>
    <w:rsid w:val="00EA539B"/>
    <w:rsid w:val="00EA55B4"/>
    <w:rsid w:val="00EA5A89"/>
    <w:rsid w:val="00EA5BDB"/>
    <w:rsid w:val="00EA63E6"/>
    <w:rsid w:val="00EA63FA"/>
    <w:rsid w:val="00EB051C"/>
    <w:rsid w:val="00EB46D9"/>
    <w:rsid w:val="00EB5823"/>
    <w:rsid w:val="00EB64C3"/>
    <w:rsid w:val="00EB7099"/>
    <w:rsid w:val="00EB70BB"/>
    <w:rsid w:val="00EC0BBF"/>
    <w:rsid w:val="00EC0E64"/>
    <w:rsid w:val="00EC142D"/>
    <w:rsid w:val="00EC1E16"/>
    <w:rsid w:val="00EC22F4"/>
    <w:rsid w:val="00EC2DD1"/>
    <w:rsid w:val="00EC52DA"/>
    <w:rsid w:val="00EC5459"/>
    <w:rsid w:val="00EC7100"/>
    <w:rsid w:val="00ED0024"/>
    <w:rsid w:val="00ED0211"/>
    <w:rsid w:val="00ED0EA0"/>
    <w:rsid w:val="00ED0F85"/>
    <w:rsid w:val="00ED1BD7"/>
    <w:rsid w:val="00ED2B5C"/>
    <w:rsid w:val="00ED3269"/>
    <w:rsid w:val="00ED33A0"/>
    <w:rsid w:val="00ED3A18"/>
    <w:rsid w:val="00ED75FE"/>
    <w:rsid w:val="00ED7836"/>
    <w:rsid w:val="00ED7A67"/>
    <w:rsid w:val="00EE020F"/>
    <w:rsid w:val="00EE1A8C"/>
    <w:rsid w:val="00EE44AE"/>
    <w:rsid w:val="00EE4643"/>
    <w:rsid w:val="00EE529F"/>
    <w:rsid w:val="00EE7F1A"/>
    <w:rsid w:val="00EF09BC"/>
    <w:rsid w:val="00EF102E"/>
    <w:rsid w:val="00EF1330"/>
    <w:rsid w:val="00EF15FF"/>
    <w:rsid w:val="00EF16EB"/>
    <w:rsid w:val="00EF1954"/>
    <w:rsid w:val="00EF32C6"/>
    <w:rsid w:val="00EF34EF"/>
    <w:rsid w:val="00EF38D2"/>
    <w:rsid w:val="00EF55E6"/>
    <w:rsid w:val="00EF5707"/>
    <w:rsid w:val="00EF70EC"/>
    <w:rsid w:val="00EF7111"/>
    <w:rsid w:val="00EF71D6"/>
    <w:rsid w:val="00EF73DA"/>
    <w:rsid w:val="00EF75DB"/>
    <w:rsid w:val="00EF7D1A"/>
    <w:rsid w:val="00F02759"/>
    <w:rsid w:val="00F037FB"/>
    <w:rsid w:val="00F0448F"/>
    <w:rsid w:val="00F0716C"/>
    <w:rsid w:val="00F105AE"/>
    <w:rsid w:val="00F108A8"/>
    <w:rsid w:val="00F125E9"/>
    <w:rsid w:val="00F135BE"/>
    <w:rsid w:val="00F15475"/>
    <w:rsid w:val="00F244DB"/>
    <w:rsid w:val="00F2463E"/>
    <w:rsid w:val="00F25843"/>
    <w:rsid w:val="00F266D2"/>
    <w:rsid w:val="00F26E64"/>
    <w:rsid w:val="00F270E9"/>
    <w:rsid w:val="00F27440"/>
    <w:rsid w:val="00F275C0"/>
    <w:rsid w:val="00F317B5"/>
    <w:rsid w:val="00F322CF"/>
    <w:rsid w:val="00F341EF"/>
    <w:rsid w:val="00F346B6"/>
    <w:rsid w:val="00F36145"/>
    <w:rsid w:val="00F37BDD"/>
    <w:rsid w:val="00F41503"/>
    <w:rsid w:val="00F41AA3"/>
    <w:rsid w:val="00F4466B"/>
    <w:rsid w:val="00F44B8B"/>
    <w:rsid w:val="00F44D82"/>
    <w:rsid w:val="00F4532C"/>
    <w:rsid w:val="00F46207"/>
    <w:rsid w:val="00F466C8"/>
    <w:rsid w:val="00F469A9"/>
    <w:rsid w:val="00F46B50"/>
    <w:rsid w:val="00F4710A"/>
    <w:rsid w:val="00F47C20"/>
    <w:rsid w:val="00F47DDB"/>
    <w:rsid w:val="00F50B46"/>
    <w:rsid w:val="00F50D1F"/>
    <w:rsid w:val="00F512A1"/>
    <w:rsid w:val="00F51545"/>
    <w:rsid w:val="00F5286D"/>
    <w:rsid w:val="00F5326B"/>
    <w:rsid w:val="00F532A5"/>
    <w:rsid w:val="00F56043"/>
    <w:rsid w:val="00F569AC"/>
    <w:rsid w:val="00F56BD8"/>
    <w:rsid w:val="00F57E26"/>
    <w:rsid w:val="00F6171A"/>
    <w:rsid w:val="00F628E9"/>
    <w:rsid w:val="00F635FC"/>
    <w:rsid w:val="00F63D03"/>
    <w:rsid w:val="00F63F8D"/>
    <w:rsid w:val="00F64298"/>
    <w:rsid w:val="00F65615"/>
    <w:rsid w:val="00F65E2F"/>
    <w:rsid w:val="00F6703D"/>
    <w:rsid w:val="00F67DF1"/>
    <w:rsid w:val="00F7054E"/>
    <w:rsid w:val="00F72C76"/>
    <w:rsid w:val="00F742C5"/>
    <w:rsid w:val="00F75193"/>
    <w:rsid w:val="00F754FF"/>
    <w:rsid w:val="00F7562B"/>
    <w:rsid w:val="00F8309B"/>
    <w:rsid w:val="00F833C9"/>
    <w:rsid w:val="00F86BE2"/>
    <w:rsid w:val="00F90064"/>
    <w:rsid w:val="00F937B9"/>
    <w:rsid w:val="00F94217"/>
    <w:rsid w:val="00F9586C"/>
    <w:rsid w:val="00F96AFD"/>
    <w:rsid w:val="00FA07F4"/>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57B"/>
    <w:rsid w:val="00FC27C2"/>
    <w:rsid w:val="00FC27C8"/>
    <w:rsid w:val="00FC4477"/>
    <w:rsid w:val="00FC46FB"/>
    <w:rsid w:val="00FC4BFD"/>
    <w:rsid w:val="00FC72C9"/>
    <w:rsid w:val="00FC7B66"/>
    <w:rsid w:val="00FD106C"/>
    <w:rsid w:val="00FD2BD3"/>
    <w:rsid w:val="00FD3349"/>
    <w:rsid w:val="00FD3DEF"/>
    <w:rsid w:val="00FD45B3"/>
    <w:rsid w:val="00FD4CCA"/>
    <w:rsid w:val="00FD5347"/>
    <w:rsid w:val="00FD6C53"/>
    <w:rsid w:val="00FD6C73"/>
    <w:rsid w:val="00FE01B7"/>
    <w:rsid w:val="00FE234B"/>
    <w:rsid w:val="00FE2A9E"/>
    <w:rsid w:val="00FE34B3"/>
    <w:rsid w:val="00FE46B7"/>
    <w:rsid w:val="00FE52C5"/>
    <w:rsid w:val="00FE72EA"/>
    <w:rsid w:val="00FF0374"/>
    <w:rsid w:val="00FF0420"/>
    <w:rsid w:val="00FF6419"/>
    <w:rsid w:val="00FF6E54"/>
    <w:rsid w:val="00FF6EAC"/>
    <w:rsid w:val="00FF7E69"/>
    <w:rsid w:val="0216F3FA"/>
    <w:rsid w:val="0433A875"/>
    <w:rsid w:val="07E42E14"/>
    <w:rsid w:val="09C89836"/>
    <w:rsid w:val="0DE7D41B"/>
    <w:rsid w:val="0E88970E"/>
    <w:rsid w:val="18E9BC87"/>
    <w:rsid w:val="1A0D7385"/>
    <w:rsid w:val="1BAA72D6"/>
    <w:rsid w:val="200A3843"/>
    <w:rsid w:val="20827904"/>
    <w:rsid w:val="20857817"/>
    <w:rsid w:val="2785BE7C"/>
    <w:rsid w:val="2A15270C"/>
    <w:rsid w:val="2DCFF9A1"/>
    <w:rsid w:val="2F050404"/>
    <w:rsid w:val="2FE45D1F"/>
    <w:rsid w:val="338E07A4"/>
    <w:rsid w:val="343AA09C"/>
    <w:rsid w:val="39B4589C"/>
    <w:rsid w:val="3DD1195C"/>
    <w:rsid w:val="3EFC88DD"/>
    <w:rsid w:val="43A26F9E"/>
    <w:rsid w:val="46CC2F88"/>
    <w:rsid w:val="4704D83B"/>
    <w:rsid w:val="48323882"/>
    <w:rsid w:val="52D385F4"/>
    <w:rsid w:val="5359ADFB"/>
    <w:rsid w:val="53694776"/>
    <w:rsid w:val="56351330"/>
    <w:rsid w:val="5721335D"/>
    <w:rsid w:val="587E051F"/>
    <w:rsid w:val="592567D3"/>
    <w:rsid w:val="5C352A7F"/>
    <w:rsid w:val="5E048427"/>
    <w:rsid w:val="5E95B1E5"/>
    <w:rsid w:val="5F41051E"/>
    <w:rsid w:val="60E1926D"/>
    <w:rsid w:val="62DE8D6D"/>
    <w:rsid w:val="6379A9C4"/>
    <w:rsid w:val="639CCD15"/>
    <w:rsid w:val="644CEE4C"/>
    <w:rsid w:val="64B7C07B"/>
    <w:rsid w:val="65F3DDF9"/>
    <w:rsid w:val="6E0B9829"/>
    <w:rsid w:val="714FB1C7"/>
    <w:rsid w:val="75E17A0B"/>
    <w:rsid w:val="7676668E"/>
    <w:rsid w:val="7A73979E"/>
    <w:rsid w:val="7CEEF65E"/>
    <w:rsid w:val="7E212F13"/>
    <w:rsid w:val="7E2694F8"/>
    <w:rsid w:val="7E87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B595276C-B444-4B4C-A917-2EF8A24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GB"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en-GB"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en-GB"/>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en-GB"/>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en-GB"/>
    </w:rPr>
  </w:style>
  <w:style w:type="character" w:customStyle="1" w:styleId="UnresolvedMention1">
    <w:name w:val="Unresolved Mention1"/>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uiPriority w:val="99"/>
    <w:rsid w:val="00846017"/>
    <w:rPr>
      <w:rFonts w:ascii="Arial" w:hAnsi="Arial"/>
      <w:sz w:val="20"/>
      <w:szCs w:val="20"/>
      <w:lang w:val="en-GB"/>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en-GB"/>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customStyle="1" w:styleId="Mention1">
    <w:name w:val="Mention1"/>
    <w:basedOn w:val="DefaultParagraphFont"/>
    <w:uiPriority w:val="99"/>
    <w:unhideWhenUsed/>
    <w:rsid w:val="0067716E"/>
    <w:rPr>
      <w:color w:val="2B579A"/>
      <w:shd w:val="clear" w:color="auto" w:fill="E1DFDD"/>
    </w:rPr>
  </w:style>
  <w:style w:type="character" w:customStyle="1" w:styleId="UnresolvedMention2">
    <w:name w:val="Unresolved Mention2"/>
    <w:basedOn w:val="DefaultParagraphFont"/>
    <w:uiPriority w:val="99"/>
    <w:semiHidden/>
    <w:unhideWhenUsed/>
    <w:rsid w:val="0062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193883690">
      <w:bodyDiv w:val="1"/>
      <w:marLeft w:val="0"/>
      <w:marRight w:val="0"/>
      <w:marTop w:val="0"/>
      <w:marBottom w:val="0"/>
      <w:divBdr>
        <w:top w:val="none" w:sz="0" w:space="0" w:color="auto"/>
        <w:left w:val="none" w:sz="0" w:space="0" w:color="auto"/>
        <w:bottom w:val="none" w:sz="0" w:space="0" w:color="auto"/>
        <w:right w:val="none" w:sz="0" w:space="0" w:color="auto"/>
      </w:divBdr>
      <w:divsChild>
        <w:div w:id="1616982378">
          <w:marLeft w:val="0"/>
          <w:marRight w:val="0"/>
          <w:marTop w:val="0"/>
          <w:marBottom w:val="0"/>
          <w:divBdr>
            <w:top w:val="none" w:sz="0" w:space="0" w:color="auto"/>
            <w:left w:val="none" w:sz="0" w:space="0" w:color="auto"/>
            <w:bottom w:val="none" w:sz="0" w:space="0" w:color="auto"/>
            <w:right w:val="none" w:sz="0" w:space="0" w:color="auto"/>
          </w:divBdr>
        </w:div>
        <w:div w:id="1412894983">
          <w:marLeft w:val="0"/>
          <w:marRight w:val="0"/>
          <w:marTop w:val="0"/>
          <w:marBottom w:val="0"/>
          <w:divBdr>
            <w:top w:val="none" w:sz="0" w:space="0" w:color="auto"/>
            <w:left w:val="none" w:sz="0" w:space="0" w:color="auto"/>
            <w:bottom w:val="none" w:sz="0" w:space="0" w:color="auto"/>
            <w:right w:val="none" w:sz="0" w:space="0" w:color="auto"/>
          </w:divBdr>
        </w:div>
        <w:div w:id="1170218788">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sarenac@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enkel.h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purl.org/dc/dcmitype/"/>
    <ds:schemaRef ds:uri="2b1ed756-d086-4fdf-a17a-21742199d804"/>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8BF9060-5688-49C5-BBED-DEC6E46BA792}">
  <ds:schemaRefs>
    <ds:schemaRef ds:uri="http://schemas.openxmlformats.org/officeDocument/2006/bibliography"/>
  </ds:schemaRefs>
</ds:datastoreItem>
</file>

<file path=customXml/itemProps4.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2459</Words>
  <Characters>14686</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17111</CharactersWithSpaces>
  <SharedDoc>false</SharedDoc>
  <HLinks>
    <vt:vector size="66" baseType="variant">
      <vt:variant>
        <vt:i4>2490428</vt:i4>
      </vt:variant>
      <vt:variant>
        <vt:i4>30</vt:i4>
      </vt:variant>
      <vt:variant>
        <vt:i4>0</vt:i4>
      </vt:variant>
      <vt:variant>
        <vt:i4>5</vt:i4>
      </vt:variant>
      <vt:variant>
        <vt:lpwstr>http://www.henkel.com/</vt:lpwstr>
      </vt:variant>
      <vt:variant>
        <vt:lpwstr/>
      </vt:variant>
      <vt:variant>
        <vt:i4>2555945</vt:i4>
      </vt:variant>
      <vt:variant>
        <vt:i4>27</vt:i4>
      </vt:variant>
      <vt:variant>
        <vt:i4>0</vt:i4>
      </vt:variant>
      <vt:variant>
        <vt:i4>5</vt:i4>
      </vt:variant>
      <vt:variant>
        <vt:lpwstr>http://www.henkel.com/press</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1245210</vt:i4>
      </vt:variant>
      <vt:variant>
        <vt:i4>0</vt:i4>
      </vt:variant>
      <vt:variant>
        <vt:i4>0</vt:i4>
      </vt:variant>
      <vt:variant>
        <vt:i4>5</vt:i4>
      </vt:variant>
      <vt:variant>
        <vt:lpwstr>C:\Users\fischerl\AppData\Local\Microsoft\Windows\INetCache\Content.Outlook\2MGCYH4Y\www.henkel.com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Klueppelholz</dc:creator>
  <cp:keywords/>
  <cp:lastModifiedBy>Jelena Stojanovic (ext)</cp:lastModifiedBy>
  <cp:revision>68</cp:revision>
  <cp:lastPrinted>2022-03-01T12:53:00Z</cp:lastPrinted>
  <dcterms:created xsi:type="dcterms:W3CDTF">2022-02-24T12:58:00Z</dcterms:created>
  <dcterms:modified xsi:type="dcterms:W3CDTF">2022-03-01T12:53:00Z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0x0101000D189928F2EA85469DD05B7640383AC0</vt:lpwstr>
  </property>
</Properties>
</file>