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D0C6C74" w:rsidR="00B422EC" w:rsidRPr="00150784" w:rsidRDefault="00BF6E82" w:rsidP="00643D8A">
      <w:pPr>
        <w:pStyle w:val="MonthDayYear"/>
        <w:rPr>
          <w:lang w:val="sr-Latn-RS"/>
        </w:rPr>
      </w:pPr>
      <w:r w:rsidRPr="00795AF2">
        <w:t xml:space="preserve"> </w:t>
      </w:r>
      <w:r w:rsidR="005A7C8D">
        <w:rPr>
          <w:lang w:val="sr-Latn-RS"/>
        </w:rPr>
        <w:t>7</w:t>
      </w:r>
      <w:r w:rsidR="00845C2E" w:rsidRPr="00150784">
        <w:rPr>
          <w:lang w:val="sr-Latn-RS"/>
        </w:rPr>
        <w:t xml:space="preserve">. </w:t>
      </w:r>
      <w:r w:rsidR="005A7C8D">
        <w:rPr>
          <w:lang w:val="sr-Latn-RS"/>
        </w:rPr>
        <w:t>april</w:t>
      </w:r>
      <w:r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76AD0789" w14:textId="60836F8A" w:rsidR="007F0F63" w:rsidRPr="00150784" w:rsidRDefault="00E428EC" w:rsidP="00A3756F">
      <w:pPr>
        <w:rPr>
          <w:rStyle w:val="Headline"/>
          <w:lang w:val="sr-Latn-RS"/>
        </w:rPr>
      </w:pPr>
      <w:r>
        <w:rPr>
          <w:rStyle w:val="Headline"/>
          <w:lang w:val="sr-Latn-RS"/>
        </w:rPr>
        <w:t>Prema odluci potrošača brend Merix je sedmi put dobitnik nagrade</w:t>
      </w:r>
      <w:r w:rsidR="005A7C8D">
        <w:rPr>
          <w:rStyle w:val="Headline"/>
          <w:lang w:val="sr-Latn-RS"/>
        </w:rPr>
        <w:t xml:space="preserve"> „Moj izbor“ </w:t>
      </w:r>
    </w:p>
    <w:p w14:paraId="6706FA18" w14:textId="77777777" w:rsidR="00852511" w:rsidRPr="00150784" w:rsidRDefault="00852511" w:rsidP="00365E44">
      <w:pPr>
        <w:rPr>
          <w:lang w:val="sr-Latn-RS"/>
        </w:rPr>
      </w:pPr>
    </w:p>
    <w:p w14:paraId="4B77C536" w14:textId="2442351B" w:rsidR="005A7C8D" w:rsidRDefault="00845C2E" w:rsidP="005A7C8D">
      <w:pPr>
        <w:rPr>
          <w:rFonts w:cs="Segoe UI"/>
          <w:szCs w:val="22"/>
          <w:lang w:val="sr-Latn-RS"/>
        </w:rPr>
      </w:pPr>
      <w:r w:rsidRPr="00150784">
        <w:rPr>
          <w:rFonts w:cs="Segoe UI"/>
          <w:szCs w:val="22"/>
          <w:lang w:val="sr-Latn-RS"/>
        </w:rPr>
        <w:t>Beograd</w:t>
      </w:r>
      <w:r w:rsidR="007F0F63" w:rsidRPr="00150784">
        <w:rPr>
          <w:rFonts w:cs="Segoe UI"/>
          <w:szCs w:val="22"/>
          <w:lang w:val="sr-Latn-RS"/>
        </w:rPr>
        <w:t xml:space="preserve"> – </w:t>
      </w:r>
      <w:r w:rsidR="005A7C8D" w:rsidRPr="005A7C8D">
        <w:rPr>
          <w:rFonts w:cs="Segoe UI"/>
          <w:szCs w:val="22"/>
          <w:lang w:val="sr-Latn-RS"/>
        </w:rPr>
        <w:t xml:space="preserve">U sklopu kampanje „Najbolje u Srbiji”, koju sprovodi udruženje „Moja Srbija”, uz podršku Grada Beograda i Centra potrošača Srbije, održana je svečana dodela priznanja </w:t>
      </w:r>
      <w:r w:rsidR="005A7C8D">
        <w:rPr>
          <w:rFonts w:cs="Segoe UI"/>
          <w:szCs w:val="22"/>
          <w:lang w:val="sr-Latn-RS"/>
        </w:rPr>
        <w:t>„</w:t>
      </w:r>
      <w:r w:rsidR="005A7C8D" w:rsidRPr="005A7C8D">
        <w:rPr>
          <w:rFonts w:cs="Segoe UI"/>
          <w:szCs w:val="22"/>
          <w:lang w:val="sr-Latn-RS"/>
        </w:rPr>
        <w:t>Moj izbor” 2022., za najbolje brendove u svojoj kategoriji. Brend Merix je po sedmi put osvojio ovu vrednu nagradu za najbolji proizvod u kategoriji „Kozmetika i sredstva za higijenu</w:t>
      </w:r>
      <w:r w:rsidR="005A7C8D">
        <w:rPr>
          <w:rFonts w:cs="Segoe UI"/>
          <w:szCs w:val="22"/>
          <w:lang w:val="sr-Latn-RS"/>
        </w:rPr>
        <w:t>“</w:t>
      </w:r>
      <w:r w:rsidR="005A7C8D" w:rsidRPr="005A7C8D">
        <w:rPr>
          <w:rFonts w:cs="Segoe UI"/>
          <w:szCs w:val="22"/>
          <w:lang w:val="sr-Latn-RS"/>
        </w:rPr>
        <w:t xml:space="preserve">, koja je </w:t>
      </w:r>
      <w:r w:rsidR="005A7C8D">
        <w:rPr>
          <w:rFonts w:cs="Segoe UI"/>
          <w:szCs w:val="22"/>
          <w:lang w:val="sr-Latn-RS"/>
        </w:rPr>
        <w:t xml:space="preserve">ujedno i </w:t>
      </w:r>
      <w:r w:rsidR="005A7C8D" w:rsidRPr="005A7C8D">
        <w:rPr>
          <w:rFonts w:cs="Segoe UI"/>
          <w:szCs w:val="22"/>
          <w:lang w:val="sr-Latn-RS"/>
        </w:rPr>
        <w:t xml:space="preserve">pokazatelj da su potrošači u Srbiji prepoznali kvalitet </w:t>
      </w:r>
      <w:r w:rsidR="005A7C8D">
        <w:rPr>
          <w:rFonts w:cs="Segoe UI"/>
          <w:szCs w:val="22"/>
          <w:lang w:val="sr-Latn-RS"/>
        </w:rPr>
        <w:t xml:space="preserve">ovog </w:t>
      </w:r>
      <w:r w:rsidR="005A7C8D" w:rsidRPr="005A7C8D">
        <w:rPr>
          <w:rFonts w:cs="Segoe UI"/>
          <w:szCs w:val="22"/>
          <w:lang w:val="sr-Latn-RS"/>
        </w:rPr>
        <w:t xml:space="preserve">proizvoda i da je upravo Merix favorit u odabiru deterdženta za pranje veša </w:t>
      </w:r>
      <w:r w:rsidR="00E428EC">
        <w:rPr>
          <w:rFonts w:cs="Segoe UI"/>
          <w:szCs w:val="22"/>
          <w:lang w:val="sr-Latn-RS"/>
        </w:rPr>
        <w:t>domaće proizvodnje</w:t>
      </w:r>
      <w:r w:rsidR="005A7C8D" w:rsidRPr="005A7C8D">
        <w:rPr>
          <w:rFonts w:cs="Segoe UI"/>
          <w:szCs w:val="22"/>
          <w:lang w:val="sr-Latn-RS"/>
        </w:rPr>
        <w:t>.</w:t>
      </w:r>
    </w:p>
    <w:p w14:paraId="3F2E5658" w14:textId="77777777" w:rsidR="005A7C8D" w:rsidRPr="005A7C8D" w:rsidRDefault="005A7C8D" w:rsidP="005A7C8D">
      <w:pPr>
        <w:rPr>
          <w:rFonts w:cs="Segoe UI"/>
          <w:szCs w:val="22"/>
          <w:lang w:val="sr-Latn-RS"/>
        </w:rPr>
      </w:pPr>
    </w:p>
    <w:p w14:paraId="4CD59663" w14:textId="1CCA1655" w:rsidR="005A7C8D" w:rsidRDefault="00E428EC" w:rsidP="005A7C8D">
      <w:pPr>
        <w:rPr>
          <w:rFonts w:cs="Segoe UI"/>
          <w:szCs w:val="22"/>
          <w:lang w:val="sr-Latn-RS"/>
        </w:rPr>
      </w:pPr>
      <w:r w:rsidRPr="00E428EC">
        <w:rPr>
          <w:rFonts w:cs="Segoe UI"/>
          <w:szCs w:val="22"/>
          <w:lang w:val="sr-Latn-RS"/>
        </w:rPr>
        <w:t>„Veoma smo ponosni na činjenicu da su potrošači ponovo izabrali naš brend Merix kao najbolji u kategoriji ,Kozmetika i sredstva za higijenu’. Sa tradicijom dugom skoro 40 godina, Merix je brend uz koji su odrasle mnoge generacije u našoj zemlji. Ove godine Henkel Srbija obeležava veliki jubilej – 20 godina uspešnog poslovanja u Srbiji. Tokom svih tih godina potrošači su nam bili i ostali najveća motivacija da napredujemo i unapređujemo naše poslovanje, zato smo neizmerno ponosni kada nas upravo oni nagrade. Veliko hvala organizatorima akcije ,Moj izbor’ na zalaganju i podsticanju razvoja domaće proizvodnje“</w:t>
      </w:r>
      <w:r>
        <w:rPr>
          <w:rFonts w:cs="Segoe UI"/>
          <w:szCs w:val="22"/>
          <w:lang w:val="sr-Latn-RS"/>
        </w:rPr>
        <w:t>,</w:t>
      </w:r>
      <w:r w:rsidR="005A7C8D" w:rsidRPr="005A7C8D">
        <w:rPr>
          <w:rFonts w:cs="Segoe UI"/>
          <w:szCs w:val="22"/>
          <w:lang w:val="sr-Latn-RS"/>
        </w:rPr>
        <w:t xml:space="preserve"> istakla je </w:t>
      </w:r>
      <w:r>
        <w:rPr>
          <w:rFonts w:cs="Segoe UI"/>
          <w:szCs w:val="22"/>
          <w:lang w:val="sr-Latn-RS"/>
        </w:rPr>
        <w:t>Jelena Stojanović iz odeljenja korporativnih komunikacija kompanije Henkel.</w:t>
      </w:r>
    </w:p>
    <w:p w14:paraId="3C04676E" w14:textId="77777777" w:rsidR="005A7C8D" w:rsidRPr="005A7C8D" w:rsidRDefault="005A7C8D" w:rsidP="005A7C8D">
      <w:pPr>
        <w:rPr>
          <w:rFonts w:cs="Segoe UI"/>
          <w:szCs w:val="22"/>
          <w:lang w:val="sr-Latn-RS"/>
        </w:rPr>
      </w:pPr>
    </w:p>
    <w:p w14:paraId="38F731C7" w14:textId="05092C99" w:rsidR="005A7C8D" w:rsidRDefault="005A7C8D" w:rsidP="005A7C8D">
      <w:pPr>
        <w:rPr>
          <w:rFonts w:cs="Segoe UI"/>
          <w:szCs w:val="22"/>
          <w:lang w:val="sr-Latn-RS"/>
        </w:rPr>
      </w:pPr>
      <w:r w:rsidRPr="005A7C8D">
        <w:rPr>
          <w:rFonts w:cs="Segoe UI"/>
          <w:szCs w:val="22"/>
          <w:lang w:val="sr-Latn-RS"/>
        </w:rPr>
        <w:t>Glasanje</w:t>
      </w:r>
      <w:r>
        <w:rPr>
          <w:rFonts w:cs="Segoe UI"/>
          <w:szCs w:val="22"/>
          <w:lang w:val="sr-Latn-RS"/>
        </w:rPr>
        <w:t xml:space="preserve"> za priznanje „Moj izbor“</w:t>
      </w:r>
      <w:r w:rsidRPr="005A7C8D">
        <w:rPr>
          <w:rFonts w:cs="Segoe UI"/>
          <w:szCs w:val="22"/>
          <w:lang w:val="sr-Latn-RS"/>
        </w:rPr>
        <w:t xml:space="preserve"> organizovano je u dva kruga – u prvom su glasali korisnici interneta, dok je u drugom krugu, u koji su se plasirali</w:t>
      </w:r>
      <w:r>
        <w:rPr>
          <w:rFonts w:cs="Segoe UI"/>
          <w:szCs w:val="22"/>
          <w:lang w:val="sr-Latn-RS"/>
        </w:rPr>
        <w:t xml:space="preserve"> samo</w:t>
      </w:r>
      <w:r w:rsidRPr="005A7C8D">
        <w:rPr>
          <w:rFonts w:cs="Segoe UI"/>
          <w:szCs w:val="22"/>
          <w:lang w:val="sr-Latn-RS"/>
        </w:rPr>
        <w:t xml:space="preserve"> favoriti, glasanje izvršeno na terenu, širom Srbije.</w:t>
      </w:r>
      <w:r>
        <w:rPr>
          <w:rFonts w:cs="Segoe UI"/>
          <w:szCs w:val="22"/>
          <w:lang w:val="sr-Latn-RS"/>
        </w:rPr>
        <w:t xml:space="preserve"> </w:t>
      </w:r>
    </w:p>
    <w:p w14:paraId="64651F75" w14:textId="77777777" w:rsidR="005A7C8D" w:rsidRPr="005A7C8D" w:rsidRDefault="005A7C8D" w:rsidP="005A7C8D">
      <w:pPr>
        <w:rPr>
          <w:rFonts w:cs="Segoe UI"/>
          <w:szCs w:val="22"/>
          <w:lang w:val="sr-Latn-RS"/>
        </w:rPr>
      </w:pPr>
    </w:p>
    <w:p w14:paraId="56AC8909" w14:textId="1AFC20BB" w:rsidR="002A2975" w:rsidRDefault="005A7C8D" w:rsidP="005A7C8D">
      <w:pPr>
        <w:rPr>
          <w:rFonts w:cs="Segoe UI"/>
          <w:szCs w:val="22"/>
          <w:lang w:val="sr-Latn-RS"/>
        </w:rPr>
      </w:pPr>
      <w:r w:rsidRPr="005A7C8D">
        <w:rPr>
          <w:rFonts w:cs="Segoe UI"/>
          <w:szCs w:val="22"/>
          <w:lang w:val="sr-Latn-RS"/>
        </w:rPr>
        <w:t xml:space="preserve">Brend Merix je autentični srpski brend sa tradicijom dugom skoro 40 godina, a pored velike konkurencije koja je brojala oko 1.000 domaćih proizvoda i brendova, Merix je i ove godine ostao omiljeni među potrošačima u Srbiji. </w:t>
      </w:r>
    </w:p>
    <w:p w14:paraId="7EB5BA57" w14:textId="77777777" w:rsidR="00307515" w:rsidRPr="00150784" w:rsidRDefault="00307515" w:rsidP="00643D8A">
      <w:pPr>
        <w:rPr>
          <w:rFonts w:cs="Segoe UI"/>
          <w:szCs w:val="22"/>
          <w:lang w:val="sr-Latn-RS"/>
        </w:rPr>
      </w:pPr>
    </w:p>
    <w:p w14:paraId="3411FCC1" w14:textId="30EB2DCC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</w:t>
      </w:r>
      <w:r w:rsidRPr="00150784">
        <w:rPr>
          <w:rStyle w:val="AboutandContactBody"/>
          <w:lang w:val="sr-Latn-RS"/>
        </w:rPr>
        <w:lastRenderedPageBreak/>
        <w:t xml:space="preserve">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2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14A675B" w:rsidR="00BF6E82" w:rsidRPr="00150784" w:rsidRDefault="003F4499" w:rsidP="00BF6E82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 xml:space="preserve">Foto materijal je dostupan na </w:t>
      </w:r>
      <w:r w:rsidRPr="00150784">
        <w:rPr>
          <w:rStyle w:val="Hyperlink"/>
          <w:b/>
          <w:bCs/>
          <w:szCs w:val="24"/>
          <w:lang w:val="sr-Latn-RS"/>
        </w:rPr>
        <w:t>www.henkel.rs/odnosi-s-javnoscu</w:t>
      </w:r>
    </w:p>
    <w:p w14:paraId="2A474A70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0BFF6B34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60C06C6D" w14:textId="5B69F58B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Kontakt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Gavrilović Šarenac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50D8A83E" w:rsidR="00112A28" w:rsidRPr="007A6718" w:rsidRDefault="00BF6E82" w:rsidP="001577E9">
      <w:pPr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 xml:space="preserve">Henkel </w:t>
      </w:r>
      <w:r w:rsidR="0080100F" w:rsidRPr="007A6718">
        <w:rPr>
          <w:rStyle w:val="AboutandContactBody"/>
          <w:lang w:val="de-DE"/>
        </w:rPr>
        <w:t>Srbija d.o.o.</w:t>
      </w:r>
    </w:p>
    <w:sectPr w:rsidR="00112A28" w:rsidRPr="007A671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8348" w14:textId="77777777" w:rsidR="00720EB0" w:rsidRDefault="00720EB0">
      <w:r>
        <w:separator/>
      </w:r>
    </w:p>
  </w:endnote>
  <w:endnote w:type="continuationSeparator" w:id="0">
    <w:p w14:paraId="3D16A627" w14:textId="77777777" w:rsidR="00720EB0" w:rsidRDefault="0072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20EB0">
      <w:fldChar w:fldCharType="begin"/>
    </w:r>
    <w:r w:rsidR="00720EB0">
      <w:instrText xml:space="preserve"> NUMPAGES  \* Arabic  \* MERGEFORMAT </w:instrText>
    </w:r>
    <w:r w:rsidR="00720EB0">
      <w:fldChar w:fldCharType="separate"/>
    </w:r>
    <w:r>
      <w:t>2</w:t>
    </w:r>
    <w:r w:rsidR="00720EB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0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361A" w14:textId="77777777" w:rsidR="00720EB0" w:rsidRDefault="00720EB0">
      <w:r>
        <w:separator/>
      </w:r>
    </w:p>
  </w:footnote>
  <w:footnote w:type="continuationSeparator" w:id="0">
    <w:p w14:paraId="1CFDAA2D" w14:textId="77777777" w:rsidR="00720EB0" w:rsidRDefault="0072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88E8E07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 xml:space="preserve">Saopštenje za </w:t>
    </w:r>
    <w:r w:rsidR="005A7C8D">
      <w:rPr>
        <w:lang w:val="sr-Latn-RS"/>
      </w:rPr>
      <w:t>sajt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C73D1"/>
    <w:rsid w:val="000D1672"/>
    <w:rsid w:val="000D4630"/>
    <w:rsid w:val="000E1739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0784"/>
    <w:rsid w:val="001577E9"/>
    <w:rsid w:val="0016138C"/>
    <w:rsid w:val="001731CE"/>
    <w:rsid w:val="00197415"/>
    <w:rsid w:val="001B7C20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2C8F"/>
    <w:rsid w:val="002E0B17"/>
    <w:rsid w:val="002E4FFB"/>
    <w:rsid w:val="002E7DED"/>
    <w:rsid w:val="002F7E11"/>
    <w:rsid w:val="00304087"/>
    <w:rsid w:val="00307515"/>
    <w:rsid w:val="00310ACD"/>
    <w:rsid w:val="0031379F"/>
    <w:rsid w:val="00320A26"/>
    <w:rsid w:val="00321344"/>
    <w:rsid w:val="0033451C"/>
    <w:rsid w:val="00334F0F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1069"/>
    <w:rsid w:val="003B390A"/>
    <w:rsid w:val="003C15DE"/>
    <w:rsid w:val="003C4EB2"/>
    <w:rsid w:val="003F1AF3"/>
    <w:rsid w:val="003F4499"/>
    <w:rsid w:val="003F4D8D"/>
    <w:rsid w:val="004313E7"/>
    <w:rsid w:val="00434FAA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7C8D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1F8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EB0"/>
    <w:rsid w:val="00720FD4"/>
    <w:rsid w:val="00724AF2"/>
    <w:rsid w:val="0073096C"/>
    <w:rsid w:val="00742398"/>
    <w:rsid w:val="007437BC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6718"/>
    <w:rsid w:val="007A784E"/>
    <w:rsid w:val="007B499C"/>
    <w:rsid w:val="007B4D4B"/>
    <w:rsid w:val="007D2A02"/>
    <w:rsid w:val="007E6EA1"/>
    <w:rsid w:val="007F0F63"/>
    <w:rsid w:val="007F2B1E"/>
    <w:rsid w:val="007F62B4"/>
    <w:rsid w:val="0080100F"/>
    <w:rsid w:val="00801517"/>
    <w:rsid w:val="00817AE8"/>
    <w:rsid w:val="00817DE8"/>
    <w:rsid w:val="008229F5"/>
    <w:rsid w:val="0082699A"/>
    <w:rsid w:val="00833CEB"/>
    <w:rsid w:val="00835BBF"/>
    <w:rsid w:val="008372D2"/>
    <w:rsid w:val="008377BC"/>
    <w:rsid w:val="00844C17"/>
    <w:rsid w:val="00845C2E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1A51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50FD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996"/>
    <w:rsid w:val="00E37F70"/>
    <w:rsid w:val="00E428EC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111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3213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2016-11-16T01:11:00Z</cp:lastPrinted>
  <dcterms:created xsi:type="dcterms:W3CDTF">2022-04-07T15:04:00Z</dcterms:created>
  <dcterms:modified xsi:type="dcterms:W3CDTF">2022-04-07T15:04:00Z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