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7C2710" w14:textId="03F20DCE" w:rsidR="00F22FE6" w:rsidRPr="00C511CD" w:rsidRDefault="00F22FE6" w:rsidP="006B454D">
      <w:pPr>
        <w:pStyle w:val="MonthDayYear"/>
        <w:tabs>
          <w:tab w:val="left" w:pos="557"/>
          <w:tab w:val="left" w:pos="7513"/>
          <w:tab w:val="right" w:pos="9086"/>
        </w:tabs>
        <w:jc w:val="both"/>
      </w:pPr>
    </w:p>
    <w:p w14:paraId="55D5E39A" w14:textId="35F7601E" w:rsidR="00B422EC" w:rsidRPr="003F7EF4" w:rsidRDefault="00F22FE6" w:rsidP="006B454D">
      <w:pPr>
        <w:pStyle w:val="MonthDayYear"/>
        <w:tabs>
          <w:tab w:val="left" w:pos="557"/>
          <w:tab w:val="left" w:pos="7513"/>
          <w:tab w:val="right" w:pos="9086"/>
        </w:tabs>
        <w:jc w:val="both"/>
        <w:rPr>
          <w:lang w:val="fr-FR"/>
        </w:rPr>
      </w:pPr>
      <w:r w:rsidRPr="00C511CD">
        <w:tab/>
      </w:r>
      <w:r w:rsidRPr="00C511CD">
        <w:tab/>
      </w:r>
      <w:r w:rsidR="00AD0C24" w:rsidRPr="003F7EF4">
        <w:rPr>
          <w:lang w:val="fr-FR"/>
        </w:rPr>
        <w:t xml:space="preserve">29 </w:t>
      </w:r>
      <w:proofErr w:type="gramStart"/>
      <w:r w:rsidR="00AD0C24" w:rsidRPr="003F7EF4">
        <w:rPr>
          <w:lang w:val="fr-FR"/>
        </w:rPr>
        <w:t>Avril</w:t>
      </w:r>
      <w:proofErr w:type="gramEnd"/>
      <w:r w:rsidR="00AD0C24" w:rsidRPr="003F7EF4">
        <w:rPr>
          <w:lang w:val="fr-FR"/>
        </w:rPr>
        <w:t xml:space="preserve"> 2022</w:t>
      </w:r>
    </w:p>
    <w:p w14:paraId="1B586FF9" w14:textId="589424A2" w:rsidR="00A75C7A" w:rsidRPr="00AD0C24" w:rsidRDefault="00A75C7A" w:rsidP="002D1E9F">
      <w:pPr>
        <w:pStyle w:val="Topline"/>
        <w:spacing w:after="120"/>
        <w:rPr>
          <w:rFonts w:asciiTheme="majorHAnsi" w:hAnsiTheme="majorHAnsi" w:cstheme="majorHAnsi"/>
          <w:lang w:val="fr-FR"/>
        </w:rPr>
      </w:pPr>
      <w:r w:rsidRPr="00AD0C24">
        <w:rPr>
          <w:rFonts w:asciiTheme="majorHAnsi" w:hAnsiTheme="majorHAnsi" w:cstheme="majorHAnsi"/>
          <w:lang w:val="fr-FR"/>
        </w:rPr>
        <w:t>Henkel publ</w:t>
      </w:r>
      <w:r w:rsidR="00AD0C24" w:rsidRPr="00AD0C24">
        <w:rPr>
          <w:rFonts w:asciiTheme="majorHAnsi" w:hAnsiTheme="majorHAnsi" w:cstheme="majorHAnsi"/>
          <w:lang w:val="fr-FR"/>
        </w:rPr>
        <w:t xml:space="preserve">ie ses </w:t>
      </w:r>
      <w:r w:rsidR="006C144E">
        <w:rPr>
          <w:rFonts w:asciiTheme="majorHAnsi" w:hAnsiTheme="majorHAnsi" w:cstheme="majorHAnsi"/>
          <w:lang w:val="fr-FR"/>
        </w:rPr>
        <w:t>résultats</w:t>
      </w:r>
      <w:r w:rsidR="00AD0C24" w:rsidRPr="00AD0C24">
        <w:rPr>
          <w:rFonts w:asciiTheme="majorHAnsi" w:hAnsiTheme="majorHAnsi" w:cstheme="majorHAnsi"/>
          <w:lang w:val="fr-FR"/>
        </w:rPr>
        <w:t xml:space="preserve"> </w:t>
      </w:r>
      <w:r w:rsidR="00F3349C">
        <w:rPr>
          <w:rFonts w:asciiTheme="majorHAnsi" w:hAnsiTheme="majorHAnsi" w:cstheme="majorHAnsi"/>
          <w:lang w:val="fr-FR"/>
        </w:rPr>
        <w:t xml:space="preserve">du </w:t>
      </w:r>
      <w:r w:rsidR="00AD0C24">
        <w:rPr>
          <w:rFonts w:asciiTheme="majorHAnsi" w:hAnsiTheme="majorHAnsi" w:cstheme="majorHAnsi"/>
          <w:lang w:val="fr-FR"/>
        </w:rPr>
        <w:t>premier trimestre sur la base de chiffres préliminaires.</w:t>
      </w:r>
    </w:p>
    <w:p w14:paraId="0A82AD03" w14:textId="697A9BD1" w:rsidR="00CD6F17" w:rsidRPr="00AD0C24" w:rsidRDefault="00CD6F17" w:rsidP="00CD6F17">
      <w:pPr>
        <w:spacing w:after="80"/>
        <w:ind w:right="-108"/>
        <w:jc w:val="left"/>
        <w:rPr>
          <w:rStyle w:val="Headline"/>
          <w:lang w:val="fr-FR"/>
        </w:rPr>
      </w:pPr>
      <w:bookmarkStart w:id="0" w:name="_Hlk43712519"/>
      <w:r w:rsidRPr="00AD0C24">
        <w:rPr>
          <w:rStyle w:val="Headline"/>
          <w:lang w:val="fr-FR"/>
        </w:rPr>
        <w:t xml:space="preserve">Henkel </w:t>
      </w:r>
      <w:r w:rsidR="00AD0C24" w:rsidRPr="00AD0C24">
        <w:rPr>
          <w:rStyle w:val="Headline"/>
          <w:lang w:val="fr-FR"/>
        </w:rPr>
        <w:t>réalise une croissance o</w:t>
      </w:r>
      <w:r w:rsidR="00AD0C24">
        <w:rPr>
          <w:rStyle w:val="Headline"/>
          <w:lang w:val="fr-FR"/>
        </w:rPr>
        <w:t>rganique significative de ses ventes au premier trimestre et met à jour ses prévisions pour l’ensemble de l’année 2022</w:t>
      </w:r>
    </w:p>
    <w:p w14:paraId="69766FE6" w14:textId="7E6C4DA6" w:rsidR="00632854" w:rsidRPr="00AD0C24" w:rsidRDefault="00AD0C24" w:rsidP="00CD6F17">
      <w:pPr>
        <w:pStyle w:val="Paragraphedeliste"/>
        <w:numPr>
          <w:ilvl w:val="0"/>
          <w:numId w:val="7"/>
        </w:numPr>
        <w:spacing w:after="80"/>
        <w:ind w:left="357" w:right="-108" w:hanging="357"/>
        <w:contextualSpacing w:val="0"/>
        <w:jc w:val="left"/>
        <w:rPr>
          <w:rFonts w:asciiTheme="majorHAnsi" w:hAnsiTheme="majorHAnsi" w:cstheme="majorHAnsi"/>
          <w:b/>
          <w:szCs w:val="22"/>
          <w:lang w:val="fr-FR"/>
        </w:rPr>
      </w:pPr>
      <w:r w:rsidRPr="00AD0C24">
        <w:rPr>
          <w:rFonts w:asciiTheme="majorHAnsi" w:hAnsiTheme="majorHAnsi" w:cstheme="majorHAnsi"/>
          <w:b/>
          <w:szCs w:val="22"/>
          <w:lang w:val="fr-FR"/>
        </w:rPr>
        <w:t>Le</w:t>
      </w:r>
      <w:r w:rsidR="00336239">
        <w:rPr>
          <w:rFonts w:asciiTheme="majorHAnsi" w:hAnsiTheme="majorHAnsi" w:cstheme="majorHAnsi"/>
          <w:b/>
          <w:szCs w:val="22"/>
          <w:lang w:val="fr-FR"/>
        </w:rPr>
        <w:t>s ventes du g</w:t>
      </w:r>
      <w:r>
        <w:rPr>
          <w:rFonts w:asciiTheme="majorHAnsi" w:hAnsiTheme="majorHAnsi" w:cstheme="majorHAnsi"/>
          <w:b/>
          <w:szCs w:val="22"/>
          <w:lang w:val="fr-FR"/>
        </w:rPr>
        <w:t xml:space="preserve">roupe </w:t>
      </w:r>
      <w:r w:rsidR="00336239">
        <w:rPr>
          <w:rFonts w:asciiTheme="majorHAnsi" w:hAnsiTheme="majorHAnsi" w:cstheme="majorHAnsi"/>
          <w:b/>
          <w:szCs w:val="22"/>
          <w:lang w:val="fr-FR"/>
        </w:rPr>
        <w:t>affichent une croissance</w:t>
      </w:r>
      <w:r>
        <w:rPr>
          <w:rFonts w:asciiTheme="majorHAnsi" w:hAnsiTheme="majorHAnsi" w:cstheme="majorHAnsi"/>
          <w:b/>
          <w:szCs w:val="22"/>
          <w:lang w:val="fr-FR"/>
        </w:rPr>
        <w:t xml:space="preserve"> organique</w:t>
      </w:r>
      <w:r w:rsidR="00336239">
        <w:rPr>
          <w:rFonts w:asciiTheme="majorHAnsi" w:hAnsiTheme="majorHAnsi" w:cstheme="majorHAnsi"/>
          <w:b/>
          <w:szCs w:val="22"/>
          <w:lang w:val="fr-FR"/>
        </w:rPr>
        <w:t xml:space="preserve"> </w:t>
      </w:r>
      <w:r>
        <w:rPr>
          <w:rFonts w:asciiTheme="majorHAnsi" w:hAnsiTheme="majorHAnsi" w:cstheme="majorHAnsi"/>
          <w:b/>
          <w:szCs w:val="22"/>
          <w:lang w:val="fr-FR"/>
        </w:rPr>
        <w:t xml:space="preserve">de +7,1% </w:t>
      </w:r>
      <w:r w:rsidR="00336239">
        <w:rPr>
          <w:rFonts w:asciiTheme="majorHAnsi" w:hAnsiTheme="majorHAnsi" w:cstheme="majorHAnsi"/>
          <w:b/>
          <w:szCs w:val="22"/>
          <w:lang w:val="fr-FR"/>
        </w:rPr>
        <w:t>pour atteindre environ</w:t>
      </w:r>
      <w:r>
        <w:rPr>
          <w:rFonts w:asciiTheme="majorHAnsi" w:hAnsiTheme="majorHAnsi" w:cstheme="majorHAnsi"/>
          <w:b/>
          <w:szCs w:val="22"/>
          <w:lang w:val="fr-FR"/>
        </w:rPr>
        <w:t xml:space="preserve"> 5,3 milliards d’euros.</w:t>
      </w:r>
    </w:p>
    <w:p w14:paraId="673D9FC4" w14:textId="77777777" w:rsidR="0012221A" w:rsidRPr="0012221A" w:rsidRDefault="0012221A" w:rsidP="0012221A">
      <w:pPr>
        <w:pStyle w:val="Paragraphedeliste"/>
        <w:numPr>
          <w:ilvl w:val="0"/>
          <w:numId w:val="19"/>
        </w:numPr>
        <w:spacing w:after="80"/>
        <w:ind w:right="-108"/>
        <w:jc w:val="left"/>
        <w:rPr>
          <w:rFonts w:asciiTheme="majorHAnsi" w:hAnsiTheme="majorHAnsi" w:cstheme="majorHAnsi"/>
          <w:b/>
          <w:szCs w:val="22"/>
          <w:lang w:val="fr-FR"/>
        </w:rPr>
      </w:pPr>
      <w:bookmarkStart w:id="1" w:name="_Hlk64363173"/>
      <w:proofErr w:type="spellStart"/>
      <w:r w:rsidRPr="0012221A">
        <w:rPr>
          <w:rFonts w:asciiTheme="majorHAnsi" w:hAnsiTheme="majorHAnsi" w:cstheme="majorHAnsi"/>
          <w:b/>
          <w:szCs w:val="22"/>
          <w:lang w:val="fr-FR"/>
        </w:rPr>
        <w:t>Adhesive</w:t>
      </w:r>
      <w:proofErr w:type="spellEnd"/>
      <w:r w:rsidRPr="0012221A">
        <w:rPr>
          <w:rFonts w:asciiTheme="majorHAnsi" w:hAnsiTheme="majorHAnsi" w:cstheme="majorHAnsi"/>
          <w:b/>
          <w:szCs w:val="22"/>
          <w:lang w:val="fr-FR"/>
        </w:rPr>
        <w:t xml:space="preserve"> Technologies : croissance organique à deux chiffres de +10,7%</w:t>
      </w:r>
    </w:p>
    <w:p w14:paraId="4227064F" w14:textId="150B939A" w:rsidR="0012221A" w:rsidRPr="0012221A" w:rsidRDefault="00025430" w:rsidP="0012221A">
      <w:pPr>
        <w:pStyle w:val="Paragraphedeliste"/>
        <w:numPr>
          <w:ilvl w:val="0"/>
          <w:numId w:val="19"/>
        </w:numPr>
        <w:spacing w:after="80"/>
        <w:ind w:right="-108"/>
        <w:jc w:val="left"/>
        <w:rPr>
          <w:rFonts w:asciiTheme="majorHAnsi" w:hAnsiTheme="majorHAnsi" w:cstheme="majorHAnsi"/>
          <w:b/>
          <w:szCs w:val="22"/>
          <w:lang w:val="fr-FR"/>
        </w:rPr>
      </w:pPr>
      <w:r>
        <w:rPr>
          <w:rFonts w:asciiTheme="majorHAnsi" w:hAnsiTheme="majorHAnsi" w:cstheme="majorHAnsi"/>
          <w:b/>
          <w:szCs w:val="22"/>
          <w:lang w:val="fr-FR"/>
        </w:rPr>
        <w:t>Beauty Care</w:t>
      </w:r>
      <w:r w:rsidR="0012221A" w:rsidRPr="0012221A">
        <w:rPr>
          <w:rFonts w:asciiTheme="majorHAnsi" w:hAnsiTheme="majorHAnsi" w:cstheme="majorHAnsi"/>
          <w:b/>
          <w:szCs w:val="22"/>
          <w:lang w:val="fr-FR"/>
        </w:rPr>
        <w:t xml:space="preserve"> : légère baisse organique de 1,2 %</w:t>
      </w:r>
    </w:p>
    <w:p w14:paraId="6E29D1F3" w14:textId="77777777" w:rsidR="0012221A" w:rsidRPr="0012221A" w:rsidRDefault="0012221A" w:rsidP="0012221A">
      <w:pPr>
        <w:pStyle w:val="Paragraphedeliste"/>
        <w:numPr>
          <w:ilvl w:val="0"/>
          <w:numId w:val="19"/>
        </w:numPr>
        <w:spacing w:after="80"/>
        <w:ind w:right="-108"/>
        <w:jc w:val="left"/>
        <w:rPr>
          <w:rFonts w:asciiTheme="majorHAnsi" w:hAnsiTheme="majorHAnsi" w:cstheme="majorHAnsi"/>
          <w:b/>
          <w:szCs w:val="22"/>
          <w:lang w:val="fr-FR"/>
        </w:rPr>
      </w:pPr>
      <w:r w:rsidRPr="0012221A">
        <w:rPr>
          <w:rFonts w:asciiTheme="majorHAnsi" w:hAnsiTheme="majorHAnsi" w:cstheme="majorHAnsi"/>
          <w:b/>
          <w:szCs w:val="22"/>
          <w:lang w:val="fr-FR"/>
        </w:rPr>
        <w:t>Laundry &amp; Home Care : très forte croissance organique de +4,9%</w:t>
      </w:r>
    </w:p>
    <w:bookmarkEnd w:id="1"/>
    <w:p w14:paraId="2C665C9C" w14:textId="02CDC012" w:rsidR="008641FB" w:rsidRPr="0012221A" w:rsidRDefault="0012221A" w:rsidP="008641FB">
      <w:pPr>
        <w:pStyle w:val="Paragraphedeliste"/>
        <w:numPr>
          <w:ilvl w:val="0"/>
          <w:numId w:val="7"/>
        </w:numPr>
        <w:spacing w:after="80"/>
        <w:ind w:left="357" w:right="-108" w:hanging="357"/>
        <w:contextualSpacing w:val="0"/>
        <w:jc w:val="left"/>
        <w:rPr>
          <w:rFonts w:asciiTheme="majorHAnsi" w:hAnsiTheme="majorHAnsi" w:cstheme="majorHAnsi"/>
          <w:b/>
          <w:szCs w:val="22"/>
          <w:lang w:val="fr-FR"/>
        </w:rPr>
      </w:pPr>
      <w:r w:rsidRPr="0012221A">
        <w:rPr>
          <w:rFonts w:asciiTheme="majorHAnsi" w:hAnsiTheme="majorHAnsi" w:cstheme="majorHAnsi"/>
          <w:b/>
          <w:szCs w:val="22"/>
          <w:lang w:val="fr-FR"/>
        </w:rPr>
        <w:t>Mise à jour des perspectives pour l’exercice 2022 – augmentation extraordinairement forte des coûts directs des m</w:t>
      </w:r>
      <w:r w:rsidR="00666BBF">
        <w:rPr>
          <w:rFonts w:asciiTheme="majorHAnsi" w:hAnsiTheme="majorHAnsi" w:cstheme="majorHAnsi"/>
          <w:b/>
          <w:szCs w:val="22"/>
          <w:lang w:val="fr-FR"/>
        </w:rPr>
        <w:t>atières premières</w:t>
      </w:r>
      <w:r w:rsidRPr="0012221A">
        <w:rPr>
          <w:rFonts w:asciiTheme="majorHAnsi" w:hAnsiTheme="majorHAnsi" w:cstheme="majorHAnsi"/>
          <w:b/>
          <w:szCs w:val="22"/>
          <w:lang w:val="fr-FR"/>
        </w:rPr>
        <w:t xml:space="preserve"> et </w:t>
      </w:r>
      <w:r w:rsidR="00666BBF">
        <w:rPr>
          <w:rFonts w:asciiTheme="majorHAnsi" w:hAnsiTheme="majorHAnsi" w:cstheme="majorHAnsi"/>
          <w:b/>
          <w:szCs w:val="22"/>
          <w:lang w:val="fr-FR"/>
        </w:rPr>
        <w:t xml:space="preserve">du transport </w:t>
      </w:r>
      <w:r w:rsidRPr="0012221A">
        <w:rPr>
          <w:rFonts w:asciiTheme="majorHAnsi" w:hAnsiTheme="majorHAnsi" w:cstheme="majorHAnsi"/>
          <w:b/>
          <w:szCs w:val="22"/>
          <w:lang w:val="fr-FR"/>
        </w:rPr>
        <w:t>et effets significatifs de l</w:t>
      </w:r>
      <w:r w:rsidR="003D4C81">
        <w:rPr>
          <w:rFonts w:asciiTheme="majorHAnsi" w:hAnsiTheme="majorHAnsi" w:cstheme="majorHAnsi"/>
          <w:b/>
          <w:szCs w:val="22"/>
          <w:lang w:val="fr-FR"/>
        </w:rPr>
        <w:t>’arrêt</w:t>
      </w:r>
      <w:r w:rsidRPr="0012221A">
        <w:rPr>
          <w:rFonts w:asciiTheme="majorHAnsi" w:hAnsiTheme="majorHAnsi" w:cstheme="majorHAnsi"/>
          <w:b/>
          <w:szCs w:val="22"/>
          <w:lang w:val="fr-FR"/>
        </w:rPr>
        <w:t xml:space="preserve"> de</w:t>
      </w:r>
      <w:r w:rsidR="003D4C81">
        <w:rPr>
          <w:rFonts w:asciiTheme="majorHAnsi" w:hAnsiTheme="majorHAnsi" w:cstheme="majorHAnsi"/>
          <w:b/>
          <w:szCs w:val="22"/>
          <w:lang w:val="fr-FR"/>
        </w:rPr>
        <w:t>s</w:t>
      </w:r>
      <w:r w:rsidRPr="0012221A">
        <w:rPr>
          <w:rFonts w:asciiTheme="majorHAnsi" w:hAnsiTheme="majorHAnsi" w:cstheme="majorHAnsi"/>
          <w:b/>
          <w:szCs w:val="22"/>
          <w:lang w:val="fr-FR"/>
        </w:rPr>
        <w:t xml:space="preserve"> activités commerciales en Russie et en Biélorussie attendus</w:t>
      </w:r>
    </w:p>
    <w:p w14:paraId="18298CD9" w14:textId="11FD696C" w:rsidR="00C20C32" w:rsidRPr="0012221A" w:rsidRDefault="0012221A" w:rsidP="00C20C32">
      <w:pPr>
        <w:pStyle w:val="Paragraphedeliste"/>
        <w:numPr>
          <w:ilvl w:val="1"/>
          <w:numId w:val="7"/>
        </w:numPr>
        <w:spacing w:after="80" w:line="266" w:lineRule="auto"/>
        <w:ind w:left="709" w:right="-108" w:hanging="283"/>
        <w:contextualSpacing w:val="0"/>
        <w:jc w:val="left"/>
        <w:rPr>
          <w:rFonts w:asciiTheme="majorHAnsi" w:hAnsiTheme="majorHAnsi" w:cstheme="majorHAnsi"/>
          <w:b/>
          <w:szCs w:val="22"/>
          <w:lang w:val="fr-FR"/>
        </w:rPr>
      </w:pPr>
      <w:r w:rsidRPr="0012221A">
        <w:rPr>
          <w:rFonts w:asciiTheme="majorHAnsi" w:hAnsiTheme="majorHAnsi" w:cstheme="majorHAnsi"/>
          <w:b/>
          <w:szCs w:val="22"/>
          <w:lang w:val="fr-FR"/>
        </w:rPr>
        <w:t>Croissance organique des ventes : +3,5 à +5,5 %</w:t>
      </w:r>
    </w:p>
    <w:p w14:paraId="7A6CFE53" w14:textId="77777777" w:rsidR="0012221A" w:rsidRPr="003F7EF4" w:rsidRDefault="0012221A" w:rsidP="0080345B">
      <w:pPr>
        <w:pStyle w:val="Paragraphedeliste"/>
        <w:numPr>
          <w:ilvl w:val="1"/>
          <w:numId w:val="7"/>
        </w:numPr>
        <w:spacing w:after="80" w:line="266" w:lineRule="auto"/>
        <w:ind w:left="709" w:right="-108" w:hanging="283"/>
        <w:contextualSpacing w:val="0"/>
        <w:jc w:val="left"/>
        <w:rPr>
          <w:rFonts w:asciiTheme="majorHAnsi" w:hAnsiTheme="majorHAnsi" w:cstheme="majorHAnsi"/>
          <w:b/>
          <w:szCs w:val="22"/>
          <w:lang w:val="fr-FR"/>
        </w:rPr>
      </w:pPr>
      <w:r w:rsidRPr="003F7EF4">
        <w:rPr>
          <w:rFonts w:asciiTheme="majorHAnsi" w:hAnsiTheme="majorHAnsi" w:cstheme="majorHAnsi"/>
          <w:b/>
          <w:szCs w:val="22"/>
          <w:lang w:val="fr-FR"/>
        </w:rPr>
        <w:t xml:space="preserve">Rendement ajusté des ventes (Marge </w:t>
      </w:r>
      <w:proofErr w:type="gramStart"/>
      <w:r w:rsidRPr="003F7EF4">
        <w:rPr>
          <w:rFonts w:asciiTheme="majorHAnsi" w:hAnsiTheme="majorHAnsi" w:cstheme="majorHAnsi"/>
          <w:b/>
          <w:szCs w:val="22"/>
          <w:lang w:val="fr-FR"/>
        </w:rPr>
        <w:t>EBIT)*</w:t>
      </w:r>
      <w:proofErr w:type="gramEnd"/>
      <w:r w:rsidRPr="003F7EF4">
        <w:rPr>
          <w:rFonts w:asciiTheme="majorHAnsi" w:hAnsiTheme="majorHAnsi" w:cstheme="majorHAnsi"/>
          <w:b/>
          <w:szCs w:val="22"/>
          <w:lang w:val="fr-FR"/>
        </w:rPr>
        <w:t xml:space="preserve"> : entre 9,0 et 11,0 %</w:t>
      </w:r>
    </w:p>
    <w:p w14:paraId="20D77AE9" w14:textId="3CA518AE" w:rsidR="00C46BAC" w:rsidRDefault="0012221A" w:rsidP="00C20C32">
      <w:pPr>
        <w:pStyle w:val="Paragraphedeliste"/>
        <w:numPr>
          <w:ilvl w:val="1"/>
          <w:numId w:val="7"/>
        </w:numPr>
        <w:spacing w:after="80" w:line="266" w:lineRule="auto"/>
        <w:ind w:left="709" w:right="-108" w:hanging="283"/>
        <w:contextualSpacing w:val="0"/>
        <w:jc w:val="left"/>
        <w:rPr>
          <w:rFonts w:asciiTheme="majorHAnsi" w:hAnsiTheme="majorHAnsi" w:cstheme="majorHAnsi"/>
          <w:b/>
          <w:szCs w:val="22"/>
          <w:lang w:val="fr-FR"/>
        </w:rPr>
      </w:pPr>
      <w:r w:rsidRPr="0012221A">
        <w:rPr>
          <w:rFonts w:asciiTheme="majorHAnsi" w:hAnsiTheme="majorHAnsi" w:cstheme="majorHAnsi"/>
          <w:b/>
          <w:szCs w:val="22"/>
          <w:lang w:val="fr-FR"/>
        </w:rPr>
        <w:t>Bénéfice ajusté par action pr</w:t>
      </w:r>
      <w:r w:rsidR="00395D26">
        <w:rPr>
          <w:rFonts w:asciiTheme="majorHAnsi" w:hAnsiTheme="majorHAnsi" w:cstheme="majorHAnsi"/>
          <w:b/>
          <w:szCs w:val="22"/>
          <w:lang w:val="fr-FR"/>
        </w:rPr>
        <w:t>éférentielle</w:t>
      </w:r>
      <w:r w:rsidRPr="0012221A">
        <w:rPr>
          <w:rFonts w:asciiTheme="majorHAnsi" w:hAnsiTheme="majorHAnsi" w:cstheme="majorHAnsi"/>
          <w:b/>
          <w:szCs w:val="22"/>
          <w:lang w:val="fr-FR"/>
        </w:rPr>
        <w:t xml:space="preserve"> (BPA)* à taux de change constants : baisse comprise </w:t>
      </w:r>
      <w:r w:rsidRPr="00F3349C">
        <w:rPr>
          <w:rFonts w:asciiTheme="majorHAnsi" w:hAnsiTheme="majorHAnsi" w:cstheme="majorHAnsi"/>
          <w:b/>
          <w:szCs w:val="22"/>
          <w:lang w:val="fr-FR"/>
        </w:rPr>
        <w:t xml:space="preserve">entre </w:t>
      </w:r>
      <w:r w:rsidR="00EA0771" w:rsidRPr="00F3349C">
        <w:rPr>
          <w:rFonts w:asciiTheme="majorHAnsi" w:hAnsiTheme="majorHAnsi" w:cstheme="majorHAnsi"/>
          <w:b/>
          <w:szCs w:val="22"/>
          <w:lang w:val="fr-FR"/>
        </w:rPr>
        <w:t xml:space="preserve">- </w:t>
      </w:r>
      <w:r w:rsidRPr="00F3349C">
        <w:rPr>
          <w:rFonts w:asciiTheme="majorHAnsi" w:hAnsiTheme="majorHAnsi" w:cstheme="majorHAnsi"/>
          <w:b/>
          <w:szCs w:val="22"/>
          <w:lang w:val="fr-FR"/>
        </w:rPr>
        <w:t xml:space="preserve">35 et </w:t>
      </w:r>
      <w:r w:rsidR="00EA0771" w:rsidRPr="00F3349C">
        <w:rPr>
          <w:rFonts w:asciiTheme="majorHAnsi" w:hAnsiTheme="majorHAnsi" w:cstheme="majorHAnsi"/>
          <w:b/>
          <w:szCs w:val="22"/>
          <w:lang w:val="fr-FR"/>
        </w:rPr>
        <w:t xml:space="preserve">- </w:t>
      </w:r>
      <w:r w:rsidRPr="00F3349C">
        <w:rPr>
          <w:rFonts w:asciiTheme="majorHAnsi" w:hAnsiTheme="majorHAnsi" w:cstheme="majorHAnsi"/>
          <w:b/>
          <w:szCs w:val="22"/>
          <w:lang w:val="fr-FR"/>
        </w:rPr>
        <w:t>15 %</w:t>
      </w:r>
      <w:bookmarkEnd w:id="0"/>
    </w:p>
    <w:p w14:paraId="47F6E53B" w14:textId="77777777" w:rsidR="0049120F" w:rsidRPr="00034AD1" w:rsidRDefault="0049120F" w:rsidP="0049120F">
      <w:pPr>
        <w:spacing w:after="80" w:line="266" w:lineRule="auto"/>
        <w:ind w:right="-108"/>
        <w:jc w:val="left"/>
        <w:rPr>
          <w:rFonts w:asciiTheme="majorHAnsi" w:hAnsiTheme="majorHAnsi" w:cstheme="majorHAnsi"/>
          <w:b/>
          <w:szCs w:val="22"/>
          <w:lang w:val="fr-FR"/>
        </w:rPr>
      </w:pPr>
    </w:p>
    <w:p w14:paraId="7B67CA90" w14:textId="2EC11AB6" w:rsidR="00EA0771" w:rsidRDefault="00735CD5" w:rsidP="00EA0771">
      <w:pPr>
        <w:rPr>
          <w:rFonts w:asciiTheme="majorHAnsi" w:hAnsiTheme="majorHAnsi" w:cstheme="majorHAnsi"/>
          <w:lang w:val="fr-FR"/>
        </w:rPr>
      </w:pPr>
      <w:r w:rsidRPr="0012221A">
        <w:rPr>
          <w:rFonts w:asciiTheme="majorHAnsi" w:hAnsiTheme="majorHAnsi" w:cstheme="majorHAnsi"/>
          <w:b/>
          <w:bCs/>
          <w:lang w:val="fr-FR"/>
        </w:rPr>
        <w:t>Düsseldorf –</w:t>
      </w:r>
      <w:r w:rsidR="009F37DE" w:rsidRPr="0012221A">
        <w:rPr>
          <w:rFonts w:asciiTheme="majorHAnsi" w:hAnsiTheme="majorHAnsi" w:cstheme="majorHAnsi"/>
          <w:b/>
          <w:bCs/>
          <w:lang w:val="fr-FR"/>
        </w:rPr>
        <w:t xml:space="preserve"> </w:t>
      </w:r>
      <w:r w:rsidR="0012221A" w:rsidRPr="0012221A">
        <w:rPr>
          <w:rFonts w:asciiTheme="majorHAnsi" w:hAnsiTheme="majorHAnsi" w:cstheme="majorHAnsi"/>
          <w:lang w:val="fr-FR"/>
        </w:rPr>
        <w:t>Sur la base de chiffres préliminaires, Henkel a réalisé un chiffre d</w:t>
      </w:r>
      <w:r w:rsidR="00336239">
        <w:rPr>
          <w:rFonts w:asciiTheme="majorHAnsi" w:hAnsiTheme="majorHAnsi" w:cstheme="majorHAnsi"/>
          <w:lang w:val="fr-FR"/>
        </w:rPr>
        <w:t>’affaires</w:t>
      </w:r>
      <w:r w:rsidR="0012221A" w:rsidRPr="0012221A">
        <w:rPr>
          <w:rFonts w:asciiTheme="majorHAnsi" w:hAnsiTheme="majorHAnsi" w:cstheme="majorHAnsi"/>
          <w:lang w:val="fr-FR"/>
        </w:rPr>
        <w:t xml:space="preserve"> total d’environ 5,3 milliards d’euros au premier trimestre. Cela correspond à une croissance organique significative des ventes de 7,1% par rapport aux attentes moyennes du marché de 4,3%. L’augmentation est principalement attribuable à une très forte évolution des prix combinée à une légère baisse des volumes.</w:t>
      </w:r>
    </w:p>
    <w:p w14:paraId="6A1EE861" w14:textId="77777777" w:rsidR="00EA0771" w:rsidRPr="00034AD1" w:rsidRDefault="00EA0771" w:rsidP="006B0F52">
      <w:pPr>
        <w:rPr>
          <w:rFonts w:asciiTheme="majorHAnsi" w:hAnsiTheme="majorHAnsi" w:cstheme="majorHAnsi"/>
          <w:lang w:val="fr-FR"/>
        </w:rPr>
      </w:pPr>
    </w:p>
    <w:p w14:paraId="7D9CD94C" w14:textId="5C7C7505" w:rsidR="003064AC" w:rsidRPr="0012221A" w:rsidRDefault="00EA0771" w:rsidP="003C36F4">
      <w:pPr>
        <w:rPr>
          <w:rFonts w:asciiTheme="majorHAnsi" w:hAnsiTheme="majorHAnsi" w:cstheme="majorHAnsi"/>
          <w:lang w:val="fr-FR"/>
        </w:rPr>
      </w:pPr>
      <w:r w:rsidRPr="006E348B">
        <w:rPr>
          <w:rFonts w:asciiTheme="majorHAnsi" w:hAnsiTheme="majorHAnsi" w:cstheme="majorHAnsi"/>
          <w:noProof/>
          <w:sz w:val="24"/>
        </w:rPr>
        <mc:AlternateContent>
          <mc:Choice Requires="wps">
            <w:drawing>
              <wp:anchor distT="45720" distB="45720" distL="114300" distR="114300" simplePos="0" relativeHeight="251659264" behindDoc="0" locked="0" layoutInCell="1" allowOverlap="1" wp14:anchorId="673DB358" wp14:editId="4D3147D3">
                <wp:simplePos x="0" y="0"/>
                <wp:positionH relativeFrom="margin">
                  <wp:posOffset>10757</wp:posOffset>
                </wp:positionH>
                <wp:positionV relativeFrom="paragraph">
                  <wp:posOffset>1364166</wp:posOffset>
                </wp:positionV>
                <wp:extent cx="4683760" cy="293298"/>
                <wp:effectExtent l="0" t="0" r="2540" b="0"/>
                <wp:wrapNone/>
                <wp:docPr id="8" name="Textfeld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83760" cy="29329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01B098B" w14:textId="77777777" w:rsidR="00EA0771" w:rsidRPr="002C0BB2" w:rsidRDefault="00EA0771" w:rsidP="00EA0771">
                            <w:pPr>
                              <w:autoSpaceDE w:val="0"/>
                              <w:autoSpaceDN w:val="0"/>
                              <w:adjustRightInd w:val="0"/>
                              <w:spacing w:line="360" w:lineRule="auto"/>
                              <w:rPr>
                                <w:sz w:val="16"/>
                                <w:szCs w:val="16"/>
                                <w:lang w:val="fr-FR"/>
                              </w:rPr>
                            </w:pPr>
                            <w:r w:rsidRPr="002C0BB2">
                              <w:rPr>
                                <w:sz w:val="16"/>
                                <w:szCs w:val="16"/>
                                <w:lang w:val="fr-FR"/>
                              </w:rPr>
                              <w:t>* Ajusté pour tenir compte des charges et des revenus non récurrents et des frais de restructuration</w:t>
                            </w:r>
                          </w:p>
                          <w:p w14:paraId="584A12CE" w14:textId="77777777" w:rsidR="00EA0771" w:rsidRPr="002C0BB2" w:rsidRDefault="00EA0771" w:rsidP="00EA0771">
                            <w:pPr>
                              <w:rPr>
                                <w:lang w:val="fr-FR"/>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73DB358" id="_x0000_t202" coordsize="21600,21600" o:spt="202" path="m,l,21600r21600,l21600,xe">
                <v:stroke joinstyle="miter"/>
                <v:path gradientshapeok="t" o:connecttype="rect"/>
              </v:shapetype>
              <v:shape id="Textfeld 8" o:spid="_x0000_s1026" type="#_x0000_t202" style="position:absolute;left:0;text-align:left;margin-left:.85pt;margin-top:107.4pt;width:368.8pt;height:23.1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" stroked="f">
                <v:textbox>
                  <w:txbxContent>
                    <w:p w14:paraId="701B098B" w14:textId="77777777" w:rsidR="00EA0771" w:rsidRPr="002C0BB2" w:rsidRDefault="00EA0771" w:rsidP="00EA0771">
                      <w:pPr>
                        <w:autoSpaceDE w:val="0"/>
                        <w:autoSpaceDN w:val="0"/>
                        <w:adjustRightInd w:val="0"/>
                        <w:spacing w:line="360" w:lineRule="auto"/>
                        <w:rPr>
                          <w:sz w:val="16"/>
                          <w:szCs w:val="16"/>
                          <w:lang w:val="fr-FR"/>
                        </w:rPr>
                      </w:pPr>
                      <w:r w:rsidRPr="002C0BB2">
                        <w:rPr>
                          <w:sz w:val="16"/>
                          <w:szCs w:val="16"/>
                          <w:lang w:val="fr-FR"/>
                        </w:rPr>
                        <w:t>* Ajusté pour tenir compte des charges et des revenus non récurrents et des frais de restructuration</w:t>
                      </w:r>
                    </w:p>
                    <w:p w14:paraId="584A12CE" w14:textId="77777777" w:rsidR="00EA0771" w:rsidRPr="002C0BB2" w:rsidRDefault="00EA0771" w:rsidP="00EA0771">
                      <w:pPr>
                        <w:rPr>
                          <w:lang w:val="fr-FR"/>
                        </w:rPr>
                      </w:pPr>
                    </w:p>
                  </w:txbxContent>
                </v:textbox>
                <w10:wrap anchorx="margin"/>
              </v:shape>
            </w:pict>
          </mc:Fallback>
        </mc:AlternateContent>
      </w:r>
      <w:r w:rsidR="0012221A" w:rsidRPr="0012221A">
        <w:rPr>
          <w:rFonts w:asciiTheme="majorHAnsi" w:hAnsiTheme="majorHAnsi" w:cstheme="majorHAnsi"/>
          <w:lang w:val="fr-FR"/>
        </w:rPr>
        <w:t xml:space="preserve">La croissance des ventes au premier trimestre a été principalement tirée </w:t>
      </w:r>
      <w:r w:rsidR="0012221A" w:rsidRPr="00F3349C">
        <w:rPr>
          <w:rFonts w:asciiTheme="majorHAnsi" w:hAnsiTheme="majorHAnsi" w:cstheme="majorHAnsi"/>
          <w:lang w:val="fr-FR"/>
        </w:rPr>
        <w:t xml:space="preserve">par </w:t>
      </w:r>
      <w:proofErr w:type="spellStart"/>
      <w:r w:rsidR="0012221A" w:rsidRPr="00F3349C">
        <w:rPr>
          <w:rFonts w:asciiTheme="majorHAnsi" w:hAnsiTheme="majorHAnsi" w:cstheme="majorHAnsi"/>
          <w:b/>
          <w:bCs/>
          <w:lang w:val="fr-FR"/>
        </w:rPr>
        <w:t>Adhesive</w:t>
      </w:r>
      <w:proofErr w:type="spellEnd"/>
      <w:r w:rsidR="0012221A" w:rsidRPr="00F3349C">
        <w:rPr>
          <w:rFonts w:asciiTheme="majorHAnsi" w:hAnsiTheme="majorHAnsi" w:cstheme="majorHAnsi"/>
          <w:b/>
          <w:bCs/>
          <w:lang w:val="fr-FR"/>
        </w:rPr>
        <w:t xml:space="preserve"> Technologies</w:t>
      </w:r>
      <w:r w:rsidR="0012221A" w:rsidRPr="00F3349C">
        <w:rPr>
          <w:rFonts w:asciiTheme="majorHAnsi" w:hAnsiTheme="majorHAnsi" w:cstheme="majorHAnsi"/>
          <w:lang w:val="fr-FR"/>
        </w:rPr>
        <w:t>, qui a réalisé une croissance organique des ventes à deux chiffres de +</w:t>
      </w:r>
      <w:r w:rsidR="0012221A" w:rsidRPr="0012221A">
        <w:rPr>
          <w:rFonts w:asciiTheme="majorHAnsi" w:hAnsiTheme="majorHAnsi" w:cstheme="majorHAnsi"/>
          <w:lang w:val="fr-FR"/>
        </w:rPr>
        <w:t>10,7% au premier trimestre sur la base de chiffres préliminaires. La croissance a été réalisée dans tous les secteurs d’activité.</w:t>
      </w:r>
      <w:r w:rsidRPr="00EA0771">
        <w:rPr>
          <w:rFonts w:asciiTheme="majorHAnsi" w:hAnsiTheme="majorHAnsi" w:cstheme="majorHAnsi"/>
          <w:noProof/>
          <w:sz w:val="24"/>
          <w:lang w:val="fr-FR"/>
        </w:rPr>
        <w:t xml:space="preserve"> </w:t>
      </w:r>
    </w:p>
    <w:p w14:paraId="0E11CD79" w14:textId="77ADDF9F" w:rsidR="003064AC" w:rsidRPr="0012221A" w:rsidRDefault="003064AC" w:rsidP="00A00DD1">
      <w:pPr>
        <w:spacing w:line="240" w:lineRule="auto"/>
        <w:jc w:val="left"/>
        <w:rPr>
          <w:rFonts w:asciiTheme="majorHAnsi" w:hAnsiTheme="majorHAnsi" w:cstheme="majorHAnsi"/>
          <w:szCs w:val="22"/>
          <w:lang w:val="fr-FR"/>
        </w:rPr>
      </w:pPr>
    </w:p>
    <w:p w14:paraId="0634254B" w14:textId="2003EE65" w:rsidR="003064AC" w:rsidRPr="0012221A" w:rsidRDefault="0012221A" w:rsidP="00A00DD1">
      <w:pPr>
        <w:rPr>
          <w:rFonts w:asciiTheme="majorHAnsi" w:hAnsiTheme="majorHAnsi" w:cstheme="majorHAnsi"/>
          <w:szCs w:val="22"/>
          <w:lang w:val="fr-FR"/>
        </w:rPr>
      </w:pPr>
      <w:r w:rsidRPr="0012221A">
        <w:rPr>
          <w:rFonts w:asciiTheme="majorHAnsi" w:hAnsiTheme="majorHAnsi" w:cstheme="majorHAnsi"/>
          <w:szCs w:val="22"/>
          <w:lang w:val="fr-FR"/>
        </w:rPr>
        <w:t>Sur la base de chiffres préliminaires, l</w:t>
      </w:r>
      <w:r w:rsidR="00E81B84">
        <w:rPr>
          <w:rFonts w:asciiTheme="majorHAnsi" w:hAnsiTheme="majorHAnsi" w:cstheme="majorHAnsi"/>
          <w:szCs w:val="22"/>
          <w:lang w:val="fr-FR"/>
        </w:rPr>
        <w:t>’activité</w:t>
      </w:r>
      <w:r w:rsidRPr="0012221A">
        <w:rPr>
          <w:rFonts w:asciiTheme="majorHAnsi" w:hAnsiTheme="majorHAnsi" w:cstheme="majorHAnsi"/>
          <w:szCs w:val="22"/>
          <w:lang w:val="fr-FR"/>
        </w:rPr>
        <w:t xml:space="preserve"> </w:t>
      </w:r>
      <w:r w:rsidRPr="0012221A">
        <w:rPr>
          <w:rFonts w:asciiTheme="majorHAnsi" w:hAnsiTheme="majorHAnsi" w:cstheme="majorHAnsi"/>
          <w:b/>
          <w:bCs/>
          <w:szCs w:val="22"/>
          <w:lang w:val="fr-FR"/>
        </w:rPr>
        <w:t>Beauty Care</w:t>
      </w:r>
      <w:r w:rsidRPr="0012221A">
        <w:rPr>
          <w:rFonts w:asciiTheme="majorHAnsi" w:hAnsiTheme="majorHAnsi" w:cstheme="majorHAnsi"/>
          <w:szCs w:val="22"/>
          <w:lang w:val="fr-FR"/>
        </w:rPr>
        <w:t xml:space="preserve"> a enregistré une légère baisse des ventes organiques </w:t>
      </w:r>
      <w:r w:rsidRPr="00F3349C">
        <w:rPr>
          <w:rFonts w:asciiTheme="majorHAnsi" w:hAnsiTheme="majorHAnsi" w:cstheme="majorHAnsi"/>
          <w:szCs w:val="22"/>
          <w:lang w:val="fr-FR"/>
        </w:rPr>
        <w:t xml:space="preserve">de </w:t>
      </w:r>
      <w:r w:rsidR="00EA0771" w:rsidRPr="00F3349C">
        <w:rPr>
          <w:rFonts w:asciiTheme="majorHAnsi" w:hAnsiTheme="majorHAnsi" w:cstheme="majorHAnsi"/>
          <w:szCs w:val="22"/>
          <w:lang w:val="fr-FR"/>
        </w:rPr>
        <w:t>-</w:t>
      </w:r>
      <w:r w:rsidR="00EA0771">
        <w:rPr>
          <w:rFonts w:asciiTheme="majorHAnsi" w:hAnsiTheme="majorHAnsi" w:cstheme="majorHAnsi"/>
          <w:szCs w:val="22"/>
          <w:lang w:val="fr-FR"/>
        </w:rPr>
        <w:t xml:space="preserve"> </w:t>
      </w:r>
      <w:r w:rsidRPr="0012221A">
        <w:rPr>
          <w:rFonts w:asciiTheme="majorHAnsi" w:hAnsiTheme="majorHAnsi" w:cstheme="majorHAnsi"/>
          <w:szCs w:val="22"/>
          <w:lang w:val="fr-FR"/>
        </w:rPr>
        <w:t xml:space="preserve">1,2%. L’activité </w:t>
      </w:r>
      <w:r w:rsidR="003D4C81">
        <w:rPr>
          <w:rFonts w:asciiTheme="majorHAnsi" w:hAnsiTheme="majorHAnsi" w:cstheme="majorHAnsi"/>
          <w:szCs w:val="22"/>
          <w:lang w:val="fr-FR"/>
        </w:rPr>
        <w:t>des</w:t>
      </w:r>
      <w:r w:rsidR="00E81B84">
        <w:rPr>
          <w:rFonts w:asciiTheme="majorHAnsi" w:hAnsiTheme="majorHAnsi" w:cstheme="majorHAnsi"/>
          <w:szCs w:val="22"/>
          <w:lang w:val="fr-FR"/>
        </w:rPr>
        <w:t xml:space="preserve"> produits à destination des s</w:t>
      </w:r>
      <w:r w:rsidR="00E81B84" w:rsidRPr="0012221A">
        <w:rPr>
          <w:rFonts w:asciiTheme="majorHAnsi" w:hAnsiTheme="majorHAnsi" w:cstheme="majorHAnsi"/>
          <w:szCs w:val="22"/>
          <w:lang w:val="fr-FR"/>
        </w:rPr>
        <w:t>alons</w:t>
      </w:r>
      <w:r w:rsidRPr="0012221A">
        <w:rPr>
          <w:rFonts w:asciiTheme="majorHAnsi" w:hAnsiTheme="majorHAnsi" w:cstheme="majorHAnsi"/>
          <w:szCs w:val="22"/>
          <w:lang w:val="fr-FR"/>
        </w:rPr>
        <w:t xml:space="preserve"> de coiffure a enregistré une croissance organique des ventes à deux chiffres. L’activité grand public a été, comme prévu, inférieure au niveau de l’année précédente, notamment en raison de la mise en œuvre des mesures d</w:t>
      </w:r>
      <w:r w:rsidR="006C144E">
        <w:rPr>
          <w:rFonts w:asciiTheme="majorHAnsi" w:hAnsiTheme="majorHAnsi" w:cstheme="majorHAnsi"/>
          <w:szCs w:val="22"/>
          <w:lang w:val="fr-FR"/>
        </w:rPr>
        <w:t>’optimisation de</w:t>
      </w:r>
      <w:r w:rsidRPr="0012221A">
        <w:rPr>
          <w:rFonts w:asciiTheme="majorHAnsi" w:hAnsiTheme="majorHAnsi" w:cstheme="majorHAnsi"/>
          <w:szCs w:val="22"/>
          <w:lang w:val="fr-FR"/>
        </w:rPr>
        <w:t xml:space="preserve"> portefeuille annoncées pour 2022.</w:t>
      </w:r>
    </w:p>
    <w:p w14:paraId="302115A9" w14:textId="4DA73A8E" w:rsidR="00B952B2" w:rsidRPr="0012221A" w:rsidRDefault="00B952B2" w:rsidP="00695DA3">
      <w:pPr>
        <w:rPr>
          <w:lang w:val="fr-FR"/>
        </w:rPr>
      </w:pPr>
    </w:p>
    <w:p w14:paraId="32681CB7" w14:textId="52839DA2" w:rsidR="00EA0771" w:rsidRPr="00397BB6" w:rsidRDefault="0012221A" w:rsidP="00EA0771">
      <w:pPr>
        <w:rPr>
          <w:lang w:val="fr-FR"/>
        </w:rPr>
      </w:pPr>
      <w:r w:rsidRPr="0012221A">
        <w:rPr>
          <w:lang w:val="fr-FR"/>
        </w:rPr>
        <w:t>Selon les chiffres préliminaires, l</w:t>
      </w:r>
      <w:r w:rsidR="00E81B84">
        <w:rPr>
          <w:lang w:val="fr-FR"/>
        </w:rPr>
        <w:t>’activité</w:t>
      </w:r>
      <w:r w:rsidRPr="0012221A">
        <w:rPr>
          <w:lang w:val="fr-FR"/>
        </w:rPr>
        <w:t xml:space="preserve"> </w:t>
      </w:r>
      <w:r w:rsidRPr="0012221A">
        <w:rPr>
          <w:b/>
          <w:bCs/>
          <w:lang w:val="fr-FR"/>
        </w:rPr>
        <w:t>Laundry &amp; Home Care</w:t>
      </w:r>
      <w:r w:rsidRPr="0012221A">
        <w:rPr>
          <w:lang w:val="fr-FR"/>
        </w:rPr>
        <w:t xml:space="preserve"> a réalisé une très forte croissance organique de ses ventes de +4,9%, portée par une croissance significative de l’activité</w:t>
      </w:r>
      <w:r w:rsidR="003D4C81">
        <w:rPr>
          <w:lang w:val="fr-FR"/>
        </w:rPr>
        <w:t xml:space="preserve"> de lessive (Laundry)</w:t>
      </w:r>
      <w:r w:rsidRPr="0012221A">
        <w:rPr>
          <w:lang w:val="fr-FR"/>
        </w:rPr>
        <w:t xml:space="preserve">. En revanche, l’activité de </w:t>
      </w:r>
      <w:r w:rsidR="00336239">
        <w:rPr>
          <w:lang w:val="fr-FR"/>
        </w:rPr>
        <w:t xml:space="preserve">l’entretien de la maison (Home Care) </w:t>
      </w:r>
      <w:r w:rsidRPr="0012221A">
        <w:rPr>
          <w:lang w:val="fr-FR"/>
        </w:rPr>
        <w:t>a enregistré une légère baisse des ventes organiques au premier trimestre</w:t>
      </w:r>
      <w:r>
        <w:rPr>
          <w:lang w:val="fr-FR"/>
        </w:rPr>
        <w:t>.</w:t>
      </w:r>
    </w:p>
    <w:p w14:paraId="1B9D72DC" w14:textId="77777777" w:rsidR="0012221A" w:rsidRPr="00034AD1" w:rsidRDefault="0012221A" w:rsidP="00695DA3">
      <w:pPr>
        <w:rPr>
          <w:rFonts w:asciiTheme="majorHAnsi" w:hAnsiTheme="majorHAnsi" w:cstheme="majorHAnsi"/>
          <w:lang w:val="fr-FR"/>
        </w:rPr>
      </w:pPr>
    </w:p>
    <w:p w14:paraId="20385C57" w14:textId="3735DBBC" w:rsidR="0075662E" w:rsidRPr="0012221A" w:rsidRDefault="0012221A" w:rsidP="00695DA3">
      <w:pPr>
        <w:rPr>
          <w:rFonts w:asciiTheme="majorHAnsi" w:hAnsiTheme="majorHAnsi" w:cstheme="majorHAnsi"/>
          <w:lang w:val="fr-FR"/>
        </w:rPr>
      </w:pPr>
      <w:r w:rsidRPr="0012221A">
        <w:rPr>
          <w:rFonts w:asciiTheme="majorHAnsi" w:hAnsiTheme="majorHAnsi" w:cstheme="majorHAnsi"/>
          <w:lang w:val="fr-FR"/>
        </w:rPr>
        <w:t>« Malgré la très bonne performance globale des ventes de Henkel au premier trimestre, l’environnement économique global a continué de se détériorer considérablement depuis le début de l’année. Les effets de la crise mondiale du COVID</w:t>
      </w:r>
      <w:r w:rsidR="003D4C81">
        <w:rPr>
          <w:rFonts w:asciiTheme="majorHAnsi" w:hAnsiTheme="majorHAnsi" w:cstheme="majorHAnsi"/>
          <w:lang w:val="fr-FR"/>
        </w:rPr>
        <w:t>-19</w:t>
      </w:r>
      <w:r w:rsidRPr="0012221A">
        <w:rPr>
          <w:rFonts w:asciiTheme="majorHAnsi" w:hAnsiTheme="majorHAnsi" w:cstheme="majorHAnsi"/>
          <w:lang w:val="fr-FR"/>
        </w:rPr>
        <w:t>, avec une situation exceptionnellement tendue sur les marchés des matières premières et dans les chaînes d’approvisionnement mondiales, ont été clairement intensifiés par la guerre en Ukraine. Les prix des mat</w:t>
      </w:r>
      <w:r w:rsidR="00666BBF">
        <w:rPr>
          <w:rFonts w:asciiTheme="majorHAnsi" w:hAnsiTheme="majorHAnsi" w:cstheme="majorHAnsi"/>
          <w:lang w:val="fr-FR"/>
        </w:rPr>
        <w:t>ières premières</w:t>
      </w:r>
      <w:r w:rsidRPr="0012221A">
        <w:rPr>
          <w:rFonts w:asciiTheme="majorHAnsi" w:hAnsiTheme="majorHAnsi" w:cstheme="majorHAnsi"/>
          <w:lang w:val="fr-FR"/>
        </w:rPr>
        <w:t xml:space="preserve"> et </w:t>
      </w:r>
      <w:r w:rsidR="00666BBF">
        <w:rPr>
          <w:rFonts w:asciiTheme="majorHAnsi" w:hAnsiTheme="majorHAnsi" w:cstheme="majorHAnsi"/>
          <w:lang w:val="fr-FR"/>
        </w:rPr>
        <w:t>les coûts du transport</w:t>
      </w:r>
      <w:r w:rsidRPr="0012221A">
        <w:rPr>
          <w:rFonts w:asciiTheme="majorHAnsi" w:hAnsiTheme="majorHAnsi" w:cstheme="majorHAnsi"/>
          <w:lang w:val="fr-FR"/>
        </w:rPr>
        <w:t xml:space="preserve"> ont </w:t>
      </w:r>
      <w:r w:rsidR="00666BBF">
        <w:rPr>
          <w:rFonts w:asciiTheme="majorHAnsi" w:hAnsiTheme="majorHAnsi" w:cstheme="majorHAnsi"/>
          <w:lang w:val="fr-FR"/>
        </w:rPr>
        <w:t>d</w:t>
      </w:r>
      <w:r w:rsidRPr="0012221A">
        <w:rPr>
          <w:rFonts w:asciiTheme="majorHAnsi" w:hAnsiTheme="majorHAnsi" w:cstheme="majorHAnsi"/>
          <w:lang w:val="fr-FR"/>
        </w:rPr>
        <w:t xml:space="preserve">onc une fois de plus augmenté de manière significative. En outre, dans le contexte de l’évolution de la guerre en Ukraine, nous avons décidé à la mi-avril de cesser nos activités commerciales en Russie. En outre, nous avons </w:t>
      </w:r>
      <w:r w:rsidRPr="00F3349C">
        <w:rPr>
          <w:rFonts w:asciiTheme="majorHAnsi" w:hAnsiTheme="majorHAnsi" w:cstheme="majorHAnsi"/>
          <w:lang w:val="fr-FR"/>
        </w:rPr>
        <w:t xml:space="preserve">décidé </w:t>
      </w:r>
      <w:r w:rsidR="00397BB6" w:rsidRPr="00F3349C">
        <w:rPr>
          <w:rFonts w:asciiTheme="majorHAnsi" w:hAnsiTheme="majorHAnsi" w:cstheme="majorHAnsi"/>
          <w:lang w:val="fr-FR"/>
        </w:rPr>
        <w:t>cesser</w:t>
      </w:r>
      <w:r w:rsidR="00397BB6">
        <w:rPr>
          <w:rFonts w:asciiTheme="majorHAnsi" w:hAnsiTheme="majorHAnsi" w:cstheme="majorHAnsi"/>
          <w:lang w:val="fr-FR"/>
        </w:rPr>
        <w:t xml:space="preserve"> </w:t>
      </w:r>
      <w:r w:rsidRPr="0012221A">
        <w:rPr>
          <w:rFonts w:asciiTheme="majorHAnsi" w:hAnsiTheme="majorHAnsi" w:cstheme="majorHAnsi"/>
          <w:lang w:val="fr-FR"/>
        </w:rPr>
        <w:t xml:space="preserve">nos activités commerciales en Biélorussie. Cela </w:t>
      </w:r>
      <w:r w:rsidR="00F3349C">
        <w:rPr>
          <w:rFonts w:asciiTheme="majorHAnsi" w:hAnsiTheme="majorHAnsi" w:cstheme="majorHAnsi"/>
          <w:lang w:val="fr-FR"/>
        </w:rPr>
        <w:t>impacte</w:t>
      </w:r>
      <w:r w:rsidR="00F559C1" w:rsidRPr="00F3349C">
        <w:rPr>
          <w:rFonts w:asciiTheme="majorHAnsi" w:hAnsiTheme="majorHAnsi" w:cstheme="majorHAnsi"/>
          <w:lang w:val="fr-FR"/>
        </w:rPr>
        <w:t xml:space="preserve"> le</w:t>
      </w:r>
      <w:r w:rsidRPr="0012221A">
        <w:rPr>
          <w:rFonts w:asciiTheme="majorHAnsi" w:hAnsiTheme="majorHAnsi" w:cstheme="majorHAnsi"/>
          <w:lang w:val="fr-FR"/>
        </w:rPr>
        <w:t xml:space="preserve"> chiffre d</w:t>
      </w:r>
      <w:r w:rsidR="00336239">
        <w:rPr>
          <w:rFonts w:asciiTheme="majorHAnsi" w:hAnsiTheme="majorHAnsi" w:cstheme="majorHAnsi"/>
          <w:lang w:val="fr-FR"/>
        </w:rPr>
        <w:t>’affaires</w:t>
      </w:r>
      <w:r w:rsidRPr="0012221A">
        <w:rPr>
          <w:rFonts w:asciiTheme="majorHAnsi" w:hAnsiTheme="majorHAnsi" w:cstheme="majorHAnsi"/>
          <w:lang w:val="fr-FR"/>
        </w:rPr>
        <w:t xml:space="preserve"> annuel total d’environ 1 milliard d’euros et plus de 2 500 employés », a déclaré Carsten </w:t>
      </w:r>
      <w:proofErr w:type="spellStart"/>
      <w:r w:rsidRPr="0012221A">
        <w:rPr>
          <w:rFonts w:asciiTheme="majorHAnsi" w:hAnsiTheme="majorHAnsi" w:cstheme="majorHAnsi"/>
          <w:lang w:val="fr-FR"/>
        </w:rPr>
        <w:t>Knobel</w:t>
      </w:r>
      <w:proofErr w:type="spellEnd"/>
      <w:r w:rsidRPr="0012221A">
        <w:rPr>
          <w:rFonts w:asciiTheme="majorHAnsi" w:hAnsiTheme="majorHAnsi" w:cstheme="majorHAnsi"/>
          <w:lang w:val="fr-FR"/>
        </w:rPr>
        <w:t>, P</w:t>
      </w:r>
      <w:r w:rsidR="00E81B84">
        <w:rPr>
          <w:rFonts w:asciiTheme="majorHAnsi" w:hAnsiTheme="majorHAnsi" w:cstheme="majorHAnsi"/>
          <w:lang w:val="fr-FR"/>
        </w:rPr>
        <w:t>résident du Comité de direction</w:t>
      </w:r>
      <w:r w:rsidRPr="0012221A">
        <w:rPr>
          <w:rFonts w:asciiTheme="majorHAnsi" w:hAnsiTheme="majorHAnsi" w:cstheme="majorHAnsi"/>
          <w:lang w:val="fr-FR"/>
        </w:rPr>
        <w:t xml:space="preserve"> de Henkel</w:t>
      </w:r>
      <w:r w:rsidR="00E81B84">
        <w:rPr>
          <w:rFonts w:asciiTheme="majorHAnsi" w:hAnsiTheme="majorHAnsi" w:cstheme="majorHAnsi"/>
          <w:lang w:val="fr-FR"/>
        </w:rPr>
        <w:t>.</w:t>
      </w:r>
    </w:p>
    <w:p w14:paraId="7E9DF47B" w14:textId="77777777" w:rsidR="00397BB6" w:rsidRPr="00034AD1" w:rsidRDefault="00397BB6" w:rsidP="00695DA3">
      <w:pPr>
        <w:rPr>
          <w:rFonts w:asciiTheme="majorHAnsi" w:hAnsiTheme="majorHAnsi" w:cstheme="majorHAnsi"/>
          <w:lang w:val="fr-FR"/>
        </w:rPr>
      </w:pPr>
    </w:p>
    <w:p w14:paraId="32551263" w14:textId="7BC971CD" w:rsidR="00DD12BD" w:rsidRDefault="0012221A" w:rsidP="006B0F52">
      <w:pPr>
        <w:rPr>
          <w:rFonts w:asciiTheme="majorHAnsi" w:hAnsiTheme="majorHAnsi" w:cstheme="majorHAnsi"/>
          <w:lang w:val="fr-FR"/>
        </w:rPr>
      </w:pPr>
      <w:r w:rsidRPr="0012221A">
        <w:rPr>
          <w:rFonts w:asciiTheme="majorHAnsi" w:hAnsiTheme="majorHAnsi" w:cstheme="majorHAnsi"/>
          <w:lang w:val="fr-FR"/>
        </w:rPr>
        <w:t xml:space="preserve">« En raison de ces développements, nous nous attendons </w:t>
      </w:r>
      <w:r w:rsidR="0092633C">
        <w:rPr>
          <w:rFonts w:asciiTheme="majorHAnsi" w:hAnsiTheme="majorHAnsi" w:cstheme="majorHAnsi"/>
          <w:lang w:val="fr-FR"/>
        </w:rPr>
        <w:t>désormais</w:t>
      </w:r>
      <w:r w:rsidRPr="0012221A">
        <w:rPr>
          <w:rFonts w:asciiTheme="majorHAnsi" w:hAnsiTheme="majorHAnsi" w:cstheme="majorHAnsi"/>
          <w:lang w:val="fr-FR"/>
        </w:rPr>
        <w:t xml:space="preserve"> à une pression nettement plus forte sur nos </w:t>
      </w:r>
      <w:r w:rsidR="00336239">
        <w:rPr>
          <w:rFonts w:asciiTheme="majorHAnsi" w:hAnsiTheme="majorHAnsi" w:cstheme="majorHAnsi"/>
          <w:lang w:val="fr-FR"/>
        </w:rPr>
        <w:t>résultats</w:t>
      </w:r>
      <w:r w:rsidRPr="0012221A">
        <w:rPr>
          <w:rFonts w:asciiTheme="majorHAnsi" w:hAnsiTheme="majorHAnsi" w:cstheme="majorHAnsi"/>
          <w:lang w:val="fr-FR"/>
        </w:rPr>
        <w:t xml:space="preserve"> pour le reste de l’année qu’au début de l’année. Par conséquent, nous avons mis à jour nos perspectives pour l’ensemble de l’année</w:t>
      </w:r>
      <w:r w:rsidR="0092633C">
        <w:rPr>
          <w:rFonts w:asciiTheme="majorHAnsi" w:hAnsiTheme="majorHAnsi" w:cstheme="majorHAnsi"/>
          <w:lang w:val="fr-FR"/>
        </w:rPr>
        <w:t xml:space="preserve"> </w:t>
      </w:r>
      <w:r w:rsidRPr="0012221A">
        <w:rPr>
          <w:rFonts w:asciiTheme="majorHAnsi" w:hAnsiTheme="majorHAnsi" w:cstheme="majorHAnsi"/>
          <w:lang w:val="fr-FR"/>
        </w:rPr>
        <w:t xml:space="preserve">», a expliqué Carsten </w:t>
      </w:r>
      <w:proofErr w:type="spellStart"/>
      <w:r w:rsidRPr="0012221A">
        <w:rPr>
          <w:rFonts w:asciiTheme="majorHAnsi" w:hAnsiTheme="majorHAnsi" w:cstheme="majorHAnsi"/>
          <w:lang w:val="fr-FR"/>
        </w:rPr>
        <w:t>Knobel</w:t>
      </w:r>
      <w:proofErr w:type="spellEnd"/>
      <w:r w:rsidRPr="0012221A">
        <w:rPr>
          <w:rFonts w:asciiTheme="majorHAnsi" w:hAnsiTheme="majorHAnsi" w:cstheme="majorHAnsi"/>
          <w:lang w:val="fr-FR"/>
        </w:rPr>
        <w:t xml:space="preserve">. En termes de </w:t>
      </w:r>
      <w:r w:rsidRPr="00F3349C">
        <w:rPr>
          <w:rFonts w:asciiTheme="majorHAnsi" w:hAnsiTheme="majorHAnsi" w:cstheme="majorHAnsi"/>
          <w:lang w:val="fr-FR"/>
        </w:rPr>
        <w:t>prix des mat</w:t>
      </w:r>
      <w:r w:rsidR="00666BBF" w:rsidRPr="00F3349C">
        <w:rPr>
          <w:rFonts w:asciiTheme="majorHAnsi" w:hAnsiTheme="majorHAnsi" w:cstheme="majorHAnsi"/>
          <w:lang w:val="fr-FR"/>
        </w:rPr>
        <w:t>ières premières</w:t>
      </w:r>
      <w:r w:rsidRPr="00F3349C">
        <w:rPr>
          <w:rFonts w:asciiTheme="majorHAnsi" w:hAnsiTheme="majorHAnsi" w:cstheme="majorHAnsi"/>
          <w:lang w:val="fr-FR"/>
        </w:rPr>
        <w:t>,</w:t>
      </w:r>
      <w:r w:rsidRPr="0012221A">
        <w:rPr>
          <w:rFonts w:asciiTheme="majorHAnsi" w:hAnsiTheme="majorHAnsi" w:cstheme="majorHAnsi"/>
          <w:lang w:val="fr-FR"/>
        </w:rPr>
        <w:t xml:space="preserve"> Henkel anticipe désormais une augmentation </w:t>
      </w:r>
      <w:r w:rsidR="0092633C">
        <w:rPr>
          <w:rFonts w:asciiTheme="majorHAnsi" w:hAnsiTheme="majorHAnsi" w:cstheme="majorHAnsi"/>
          <w:lang w:val="fr-FR"/>
        </w:rPr>
        <w:t xml:space="preserve">de l’ordre de 20% </w:t>
      </w:r>
      <w:r w:rsidRPr="0012221A">
        <w:rPr>
          <w:rFonts w:asciiTheme="majorHAnsi" w:hAnsiTheme="majorHAnsi" w:cstheme="majorHAnsi"/>
          <w:lang w:val="fr-FR"/>
        </w:rPr>
        <w:t xml:space="preserve">pour l’ensemble de l’année par rapport à la moyenne de 2021. Auparavant, on s’attendait à une augmentation de la fourchette basse de </w:t>
      </w:r>
      <w:r w:rsidR="0092633C">
        <w:rPr>
          <w:rFonts w:asciiTheme="majorHAnsi" w:hAnsiTheme="majorHAnsi" w:cstheme="majorHAnsi"/>
          <w:lang w:val="fr-FR"/>
        </w:rPr>
        <w:t xml:space="preserve">10% </w:t>
      </w:r>
      <w:r w:rsidRPr="0012221A">
        <w:rPr>
          <w:rFonts w:asciiTheme="majorHAnsi" w:hAnsiTheme="majorHAnsi" w:cstheme="majorHAnsi"/>
          <w:lang w:val="fr-FR"/>
        </w:rPr>
        <w:t>« Il s’agit de coûts supplémentaires pour l’ensemble de l’année d’environ deux milliards d’euros. Deux fois plus que ce</w:t>
      </w:r>
      <w:r w:rsidRPr="00F3349C">
        <w:rPr>
          <w:rFonts w:asciiTheme="majorHAnsi" w:hAnsiTheme="majorHAnsi" w:cstheme="majorHAnsi"/>
          <w:lang w:val="fr-FR"/>
        </w:rPr>
        <w:t xml:space="preserve"> </w:t>
      </w:r>
      <w:r w:rsidR="002A0EF2" w:rsidRPr="00F3349C">
        <w:rPr>
          <w:rFonts w:asciiTheme="majorHAnsi" w:hAnsiTheme="majorHAnsi" w:cstheme="majorHAnsi"/>
          <w:lang w:val="fr-FR"/>
        </w:rPr>
        <w:t xml:space="preserve">à quoi nous nous attendions </w:t>
      </w:r>
      <w:r w:rsidRPr="00F3349C">
        <w:rPr>
          <w:rFonts w:asciiTheme="majorHAnsi" w:hAnsiTheme="majorHAnsi" w:cstheme="majorHAnsi"/>
          <w:lang w:val="fr-FR"/>
        </w:rPr>
        <w:t>à la</w:t>
      </w:r>
      <w:r w:rsidRPr="0012221A">
        <w:rPr>
          <w:rFonts w:asciiTheme="majorHAnsi" w:hAnsiTheme="majorHAnsi" w:cstheme="majorHAnsi"/>
          <w:lang w:val="fr-FR"/>
        </w:rPr>
        <w:t xml:space="preserve"> fin du mois de janvier. Nous n’avons </w:t>
      </w:r>
      <w:r w:rsidR="006C144E">
        <w:rPr>
          <w:rFonts w:asciiTheme="majorHAnsi" w:hAnsiTheme="majorHAnsi" w:cstheme="majorHAnsi"/>
          <w:lang w:val="fr-FR"/>
        </w:rPr>
        <w:t>jamais</w:t>
      </w:r>
      <w:r w:rsidRPr="0012221A">
        <w:rPr>
          <w:rFonts w:asciiTheme="majorHAnsi" w:hAnsiTheme="majorHAnsi" w:cstheme="majorHAnsi"/>
          <w:lang w:val="fr-FR"/>
        </w:rPr>
        <w:t xml:space="preserve"> assisté à des augmentations d</w:t>
      </w:r>
      <w:r w:rsidR="00277796">
        <w:rPr>
          <w:rFonts w:asciiTheme="majorHAnsi" w:hAnsiTheme="majorHAnsi" w:cstheme="majorHAnsi"/>
          <w:lang w:val="fr-FR"/>
        </w:rPr>
        <w:t>’une</w:t>
      </w:r>
      <w:r w:rsidRPr="0012221A">
        <w:rPr>
          <w:rFonts w:asciiTheme="majorHAnsi" w:hAnsiTheme="majorHAnsi" w:cstheme="majorHAnsi"/>
          <w:lang w:val="fr-FR"/>
        </w:rPr>
        <w:t xml:space="preserve"> </w:t>
      </w:r>
      <w:r w:rsidR="00277796">
        <w:rPr>
          <w:rFonts w:asciiTheme="majorHAnsi" w:hAnsiTheme="majorHAnsi" w:cstheme="majorHAnsi"/>
          <w:lang w:val="fr-FR"/>
        </w:rPr>
        <w:t>telle</w:t>
      </w:r>
      <w:r w:rsidRPr="0012221A">
        <w:rPr>
          <w:rFonts w:asciiTheme="majorHAnsi" w:hAnsiTheme="majorHAnsi" w:cstheme="majorHAnsi"/>
          <w:lang w:val="fr-FR"/>
        </w:rPr>
        <w:t xml:space="preserve"> ampleur. Nous contr</w:t>
      </w:r>
      <w:r w:rsidR="00053FD2">
        <w:rPr>
          <w:rFonts w:asciiTheme="majorHAnsi" w:hAnsiTheme="majorHAnsi" w:cstheme="majorHAnsi"/>
          <w:lang w:val="fr-FR"/>
        </w:rPr>
        <w:t>ons</w:t>
      </w:r>
      <w:r w:rsidRPr="0012221A">
        <w:rPr>
          <w:rFonts w:asciiTheme="majorHAnsi" w:hAnsiTheme="majorHAnsi" w:cstheme="majorHAnsi"/>
          <w:lang w:val="fr-FR"/>
        </w:rPr>
        <w:t xml:space="preserve"> ces </w:t>
      </w:r>
      <w:r w:rsidR="007A1A58">
        <w:rPr>
          <w:rFonts w:asciiTheme="majorHAnsi" w:hAnsiTheme="majorHAnsi" w:cstheme="majorHAnsi"/>
          <w:lang w:val="fr-FR"/>
        </w:rPr>
        <w:t>augmentations</w:t>
      </w:r>
      <w:r w:rsidRPr="0012221A">
        <w:rPr>
          <w:rFonts w:asciiTheme="majorHAnsi" w:hAnsiTheme="majorHAnsi" w:cstheme="majorHAnsi"/>
          <w:lang w:val="fr-FR"/>
        </w:rPr>
        <w:t xml:space="preserve"> par des contre-mesures ciblées, en particulier de nouvelles augmentations de prix et des améliorations de l’efficacité. »</w:t>
      </w:r>
    </w:p>
    <w:p w14:paraId="38F4E3DD" w14:textId="77777777" w:rsidR="006B0F52" w:rsidRPr="00034AD1" w:rsidRDefault="006B0F52" w:rsidP="006B0F52">
      <w:pPr>
        <w:rPr>
          <w:rFonts w:asciiTheme="majorHAnsi" w:hAnsiTheme="majorHAnsi" w:cstheme="majorHAnsi"/>
          <w:lang w:val="fr-FR"/>
        </w:rPr>
      </w:pPr>
    </w:p>
    <w:p w14:paraId="0F69919F" w14:textId="0E2768ED" w:rsidR="002A0EF2" w:rsidRPr="002A0EF2" w:rsidRDefault="0012221A" w:rsidP="002A0EF2">
      <w:pPr>
        <w:rPr>
          <w:rFonts w:asciiTheme="majorHAnsi" w:hAnsiTheme="majorHAnsi" w:cstheme="majorHAnsi"/>
          <w:lang w:val="fr-FR"/>
        </w:rPr>
      </w:pPr>
      <w:r w:rsidRPr="0012221A">
        <w:rPr>
          <w:rFonts w:cs="Segoe UI"/>
          <w:color w:val="000000"/>
          <w:shd w:val="clear" w:color="auto" w:fill="FFFFFF"/>
          <w:lang w:val="fr-FR"/>
        </w:rPr>
        <w:t>Henkel s’attend désormais à une </w:t>
      </w:r>
      <w:r w:rsidRPr="0012221A">
        <w:rPr>
          <w:rStyle w:val="lev"/>
          <w:rFonts w:cs="Segoe UI"/>
          <w:color w:val="000000"/>
          <w:shd w:val="clear" w:color="auto" w:fill="FFFFFF"/>
          <w:lang w:val="fr-FR"/>
        </w:rPr>
        <w:t>croissance</w:t>
      </w:r>
      <w:r w:rsidRPr="0012221A">
        <w:rPr>
          <w:rFonts w:cs="Segoe UI"/>
          <w:color w:val="000000"/>
          <w:shd w:val="clear" w:color="auto" w:fill="FFFFFF"/>
          <w:lang w:val="fr-FR"/>
        </w:rPr>
        <w:t> </w:t>
      </w:r>
      <w:r w:rsidRPr="0012221A">
        <w:rPr>
          <w:rStyle w:val="lev"/>
          <w:rFonts w:cs="Segoe UI"/>
          <w:color w:val="000000"/>
          <w:shd w:val="clear" w:color="auto" w:fill="FFFFFF"/>
          <w:lang w:val="fr-FR"/>
        </w:rPr>
        <w:t>organique</w:t>
      </w:r>
      <w:r w:rsidRPr="0012221A">
        <w:rPr>
          <w:rFonts w:cs="Segoe UI"/>
          <w:color w:val="000000"/>
          <w:shd w:val="clear" w:color="auto" w:fill="FFFFFF"/>
          <w:lang w:val="fr-FR"/>
        </w:rPr>
        <w:t> des </w:t>
      </w:r>
      <w:r w:rsidRPr="0012221A">
        <w:rPr>
          <w:rStyle w:val="lev"/>
          <w:rFonts w:cs="Segoe UI"/>
          <w:color w:val="000000"/>
          <w:shd w:val="clear" w:color="auto" w:fill="FFFFFF"/>
          <w:lang w:val="fr-FR"/>
        </w:rPr>
        <w:t>ventes</w:t>
      </w:r>
      <w:r w:rsidRPr="0012221A">
        <w:rPr>
          <w:rFonts w:cs="Segoe UI"/>
          <w:color w:val="000000"/>
          <w:shd w:val="clear" w:color="auto" w:fill="FFFFFF"/>
          <w:lang w:val="fr-FR"/>
        </w:rPr>
        <w:t> </w:t>
      </w:r>
      <w:r w:rsidRPr="0012221A">
        <w:rPr>
          <w:rStyle w:val="lev"/>
          <w:rFonts w:cs="Segoe UI"/>
          <w:color w:val="000000"/>
          <w:shd w:val="clear" w:color="auto" w:fill="FFFFFF"/>
          <w:lang w:val="fr-FR"/>
        </w:rPr>
        <w:t>au</w:t>
      </w:r>
      <w:r w:rsidRPr="0012221A">
        <w:rPr>
          <w:rFonts w:cs="Segoe UI"/>
          <w:color w:val="000000"/>
          <w:shd w:val="clear" w:color="auto" w:fill="FFFFFF"/>
          <w:lang w:val="fr-FR"/>
        </w:rPr>
        <w:t> </w:t>
      </w:r>
      <w:r w:rsidRPr="0012221A">
        <w:rPr>
          <w:rStyle w:val="lev"/>
          <w:rFonts w:cs="Segoe UI"/>
          <w:color w:val="000000"/>
          <w:shd w:val="clear" w:color="auto" w:fill="FFFFFF"/>
          <w:lang w:val="fr-FR"/>
        </w:rPr>
        <w:t>niveau</w:t>
      </w:r>
      <w:r w:rsidRPr="0012221A">
        <w:rPr>
          <w:rFonts w:cs="Segoe UI"/>
          <w:color w:val="000000"/>
          <w:shd w:val="clear" w:color="auto" w:fill="FFFFFF"/>
          <w:lang w:val="fr-FR"/>
        </w:rPr>
        <w:t> </w:t>
      </w:r>
      <w:r w:rsidRPr="0012221A">
        <w:rPr>
          <w:rStyle w:val="lev"/>
          <w:rFonts w:cs="Segoe UI"/>
          <w:color w:val="000000"/>
          <w:shd w:val="clear" w:color="auto" w:fill="FFFFFF"/>
          <w:lang w:val="fr-FR"/>
        </w:rPr>
        <w:t xml:space="preserve">du </w:t>
      </w:r>
      <w:r w:rsidR="00053FD2">
        <w:rPr>
          <w:rStyle w:val="lev"/>
          <w:rFonts w:cs="Segoe UI"/>
          <w:color w:val="000000"/>
          <w:shd w:val="clear" w:color="auto" w:fill="FFFFFF"/>
          <w:lang w:val="fr-FR"/>
        </w:rPr>
        <w:t>g</w:t>
      </w:r>
      <w:r w:rsidRPr="0012221A">
        <w:rPr>
          <w:rStyle w:val="lev"/>
          <w:rFonts w:cs="Segoe UI"/>
          <w:color w:val="000000"/>
          <w:shd w:val="clear" w:color="auto" w:fill="FFFFFF"/>
          <w:lang w:val="fr-FR"/>
        </w:rPr>
        <w:t>roupe</w:t>
      </w:r>
      <w:r w:rsidRPr="0012221A">
        <w:rPr>
          <w:rFonts w:cs="Segoe UI"/>
          <w:color w:val="000000"/>
          <w:shd w:val="clear" w:color="auto" w:fill="FFFFFF"/>
          <w:lang w:val="fr-FR"/>
        </w:rPr>
        <w:t> de +3,5 à +5,5% </w:t>
      </w:r>
      <w:r w:rsidRPr="0012221A">
        <w:rPr>
          <w:rStyle w:val="lev"/>
          <w:rFonts w:cs="Segoe UI"/>
          <w:color w:val="000000"/>
          <w:shd w:val="clear" w:color="auto" w:fill="FFFFFF"/>
          <w:lang w:val="fr-FR"/>
        </w:rPr>
        <w:t>pour</w:t>
      </w:r>
      <w:r w:rsidRPr="0012221A">
        <w:rPr>
          <w:rFonts w:cs="Segoe UI"/>
          <w:color w:val="000000"/>
          <w:shd w:val="clear" w:color="auto" w:fill="FFFFFF"/>
          <w:lang w:val="fr-FR"/>
        </w:rPr>
        <w:t> </w:t>
      </w:r>
      <w:r w:rsidRPr="0012221A">
        <w:rPr>
          <w:rStyle w:val="lev"/>
          <w:rFonts w:cs="Segoe UI"/>
          <w:color w:val="000000"/>
          <w:shd w:val="clear" w:color="auto" w:fill="FFFFFF"/>
          <w:lang w:val="fr-FR"/>
        </w:rPr>
        <w:t>l’exercice</w:t>
      </w:r>
      <w:r w:rsidRPr="0012221A">
        <w:rPr>
          <w:rFonts w:cs="Segoe UI"/>
          <w:color w:val="000000"/>
          <w:shd w:val="clear" w:color="auto" w:fill="FFFFFF"/>
          <w:lang w:val="fr-FR"/>
        </w:rPr>
        <w:t> </w:t>
      </w:r>
      <w:r w:rsidRPr="0012221A">
        <w:rPr>
          <w:rStyle w:val="lev"/>
          <w:rFonts w:cs="Segoe UI"/>
          <w:color w:val="000000"/>
          <w:shd w:val="clear" w:color="auto" w:fill="FFFFFF"/>
          <w:lang w:val="fr-FR"/>
        </w:rPr>
        <w:t>2022</w:t>
      </w:r>
      <w:r w:rsidRPr="0012221A">
        <w:rPr>
          <w:rFonts w:cs="Segoe UI"/>
          <w:color w:val="000000"/>
          <w:shd w:val="clear" w:color="auto" w:fill="FFFFFF"/>
          <w:lang w:val="fr-FR"/>
        </w:rPr>
        <w:t> (auparavant : +2,0 à +4,0%). La croissance organique plus forte des ventes sera principalement tirée par l</w:t>
      </w:r>
      <w:r w:rsidR="00E81B84">
        <w:rPr>
          <w:rFonts w:cs="Segoe UI"/>
          <w:color w:val="000000"/>
          <w:shd w:val="clear" w:color="auto" w:fill="FFFFFF"/>
          <w:lang w:val="fr-FR"/>
        </w:rPr>
        <w:t>’activité</w:t>
      </w:r>
      <w:r w:rsidRPr="0012221A">
        <w:rPr>
          <w:rFonts w:cs="Segoe UI"/>
          <w:color w:val="000000"/>
          <w:shd w:val="clear" w:color="auto" w:fill="FFFFFF"/>
          <w:lang w:val="fr-FR"/>
        </w:rPr>
        <w:t> </w:t>
      </w:r>
      <w:proofErr w:type="spellStart"/>
      <w:r w:rsidRPr="0012221A">
        <w:rPr>
          <w:rStyle w:val="lev"/>
          <w:rFonts w:cs="Segoe UI"/>
          <w:color w:val="000000"/>
          <w:shd w:val="clear" w:color="auto" w:fill="FFFFFF"/>
          <w:lang w:val="fr-FR"/>
        </w:rPr>
        <w:t>Adhesive</w:t>
      </w:r>
      <w:proofErr w:type="spellEnd"/>
      <w:r w:rsidRPr="0012221A">
        <w:rPr>
          <w:rFonts w:cs="Segoe UI"/>
          <w:color w:val="000000"/>
          <w:shd w:val="clear" w:color="auto" w:fill="FFFFFF"/>
          <w:lang w:val="fr-FR"/>
        </w:rPr>
        <w:t> </w:t>
      </w:r>
      <w:r w:rsidRPr="0012221A">
        <w:rPr>
          <w:rStyle w:val="lev"/>
          <w:rFonts w:cs="Segoe UI"/>
          <w:color w:val="000000"/>
          <w:shd w:val="clear" w:color="auto" w:fill="FFFFFF"/>
          <w:lang w:val="fr-FR"/>
        </w:rPr>
        <w:t>Technologies</w:t>
      </w:r>
      <w:r w:rsidRPr="0012221A">
        <w:rPr>
          <w:rFonts w:cs="Segoe UI"/>
          <w:color w:val="000000"/>
          <w:shd w:val="clear" w:color="auto" w:fill="FFFFFF"/>
          <w:lang w:val="fr-FR"/>
        </w:rPr>
        <w:t xml:space="preserve">, pour laquelle Henkel s’attend désormais à une croissance organique des ventes comprise entre +8,0 et </w:t>
      </w:r>
      <w:r w:rsidRPr="0012221A">
        <w:rPr>
          <w:rFonts w:cs="Segoe UI"/>
          <w:color w:val="000000"/>
          <w:shd w:val="clear" w:color="auto" w:fill="FFFFFF"/>
          <w:lang w:val="fr-FR"/>
        </w:rPr>
        <w:lastRenderedPageBreak/>
        <w:t>+10,0% (</w:t>
      </w:r>
      <w:r w:rsidR="007A1A58" w:rsidRPr="0012221A">
        <w:rPr>
          <w:rFonts w:cs="Segoe UI"/>
          <w:color w:val="000000"/>
          <w:shd w:val="clear" w:color="auto" w:fill="FFFFFF"/>
          <w:lang w:val="fr-FR"/>
        </w:rPr>
        <w:t>auparavant :</w:t>
      </w:r>
      <w:r w:rsidRPr="0012221A">
        <w:rPr>
          <w:rFonts w:cs="Segoe UI"/>
          <w:color w:val="000000"/>
          <w:shd w:val="clear" w:color="auto" w:fill="FFFFFF"/>
          <w:lang w:val="fr-FR"/>
        </w:rPr>
        <w:t xml:space="preserve"> +5,0 à +7,0%), principalement en raison de la répercussion de la hausse des coûts des matières premières et d</w:t>
      </w:r>
      <w:r w:rsidR="00666BBF">
        <w:rPr>
          <w:rFonts w:cs="Segoe UI"/>
          <w:color w:val="000000"/>
          <w:shd w:val="clear" w:color="auto" w:fill="FFFFFF"/>
          <w:lang w:val="fr-FR"/>
        </w:rPr>
        <w:t>u transport</w:t>
      </w:r>
      <w:r w:rsidRPr="0012221A">
        <w:rPr>
          <w:rFonts w:cs="Segoe UI"/>
          <w:color w:val="000000"/>
          <w:shd w:val="clear" w:color="auto" w:fill="FFFFFF"/>
          <w:lang w:val="fr-FR"/>
        </w:rPr>
        <w:t xml:space="preserve"> sous la forme de prix plus élevés. Les attentes de croissance organique des ventes dans les </w:t>
      </w:r>
      <w:r w:rsidR="00E81B84">
        <w:rPr>
          <w:rFonts w:cs="Segoe UI"/>
          <w:color w:val="000000"/>
          <w:shd w:val="clear" w:color="auto" w:fill="FFFFFF"/>
          <w:lang w:val="fr-FR"/>
        </w:rPr>
        <w:t>branches</w:t>
      </w:r>
      <w:r w:rsidRPr="0012221A">
        <w:rPr>
          <w:rFonts w:cs="Segoe UI"/>
          <w:color w:val="000000"/>
          <w:shd w:val="clear" w:color="auto" w:fill="FFFFFF"/>
          <w:lang w:val="fr-FR"/>
        </w:rPr>
        <w:t xml:space="preserve"> Beauty Care et Laundry &amp; Home Care restent inchangées.</w:t>
      </w:r>
    </w:p>
    <w:p w14:paraId="51B6AF48" w14:textId="77777777" w:rsidR="002A0EF2" w:rsidRPr="00034AD1" w:rsidRDefault="002A0EF2" w:rsidP="006B0F52">
      <w:pPr>
        <w:rPr>
          <w:rFonts w:asciiTheme="majorHAnsi" w:hAnsiTheme="majorHAnsi" w:cstheme="majorHAnsi"/>
          <w:lang w:val="fr-FR"/>
        </w:rPr>
      </w:pPr>
    </w:p>
    <w:p w14:paraId="4A3D2C91" w14:textId="77F78A5C" w:rsidR="002A0EF2" w:rsidRPr="00034AD1" w:rsidRDefault="0012221A" w:rsidP="00D56BCF">
      <w:pPr>
        <w:spacing w:after="240"/>
        <w:rPr>
          <w:rFonts w:cs="Segoe UI"/>
          <w:color w:val="000000"/>
          <w:shd w:val="clear" w:color="auto" w:fill="FFFFFF"/>
          <w:lang w:val="fr-FR"/>
        </w:rPr>
      </w:pPr>
      <w:r w:rsidRPr="0012221A">
        <w:rPr>
          <w:rFonts w:cs="Segoe UI"/>
          <w:color w:val="000000"/>
          <w:shd w:val="clear" w:color="auto" w:fill="FFFFFF"/>
          <w:lang w:val="fr-FR"/>
        </w:rPr>
        <w:t>Pour </w:t>
      </w:r>
      <w:r>
        <w:rPr>
          <w:rStyle w:val="lev"/>
          <w:rFonts w:cs="Segoe UI"/>
          <w:color w:val="000000"/>
          <w:shd w:val="clear" w:color="auto" w:fill="FFFFFF"/>
          <w:lang w:val="fr-FR"/>
        </w:rPr>
        <w:t>Beauty Care</w:t>
      </w:r>
      <w:r w:rsidRPr="0012221A">
        <w:rPr>
          <w:rFonts w:cs="Segoe UI"/>
          <w:color w:val="000000"/>
          <w:shd w:val="clear" w:color="auto" w:fill="FFFFFF"/>
          <w:lang w:val="fr-FR"/>
        </w:rPr>
        <w:t>, l</w:t>
      </w:r>
      <w:r w:rsidR="00277796">
        <w:rPr>
          <w:rFonts w:cs="Segoe UI"/>
          <w:color w:val="000000"/>
          <w:shd w:val="clear" w:color="auto" w:fill="FFFFFF"/>
          <w:lang w:val="fr-FR"/>
        </w:rPr>
        <w:t xml:space="preserve">’évolution organique des ventes </w:t>
      </w:r>
      <w:r w:rsidRPr="0012221A">
        <w:rPr>
          <w:rFonts w:cs="Segoe UI"/>
          <w:color w:val="000000"/>
          <w:shd w:val="clear" w:color="auto" w:fill="FFFFFF"/>
          <w:lang w:val="fr-FR"/>
        </w:rPr>
        <w:t>devrai</w:t>
      </w:r>
      <w:r w:rsidR="00277796">
        <w:rPr>
          <w:rFonts w:cs="Segoe UI"/>
          <w:color w:val="000000"/>
          <w:shd w:val="clear" w:color="auto" w:fill="FFFFFF"/>
          <w:lang w:val="fr-FR"/>
        </w:rPr>
        <w:t xml:space="preserve">t être de </w:t>
      </w:r>
      <w:r w:rsidRPr="0012221A">
        <w:rPr>
          <w:rFonts w:cs="Segoe UI"/>
          <w:color w:val="000000"/>
          <w:shd w:val="clear" w:color="auto" w:fill="FFFFFF"/>
          <w:lang w:val="fr-FR"/>
        </w:rPr>
        <w:t xml:space="preserve">-5,0 à -3,0%. Comme annoncé, la baisse est principalement due aux mesures déjà décidées et mises en œuvre pour </w:t>
      </w:r>
      <w:r w:rsidR="00277796">
        <w:rPr>
          <w:rFonts w:cs="Segoe UI"/>
          <w:color w:val="000000"/>
          <w:shd w:val="clear" w:color="auto" w:fill="FFFFFF"/>
          <w:lang w:val="fr-FR"/>
        </w:rPr>
        <w:t>optimiser</w:t>
      </w:r>
      <w:r w:rsidRPr="0012221A">
        <w:rPr>
          <w:rFonts w:cs="Segoe UI"/>
          <w:color w:val="000000"/>
          <w:shd w:val="clear" w:color="auto" w:fill="FFFFFF"/>
          <w:lang w:val="fr-FR"/>
        </w:rPr>
        <w:t xml:space="preserve"> le portefeuille, y compris l’arrêt des activités qui ne feront pas partie du futur cœur de métier. Pour </w:t>
      </w:r>
      <w:r w:rsidRPr="0012221A">
        <w:rPr>
          <w:rStyle w:val="lev"/>
          <w:rFonts w:cs="Segoe UI"/>
          <w:color w:val="000000"/>
          <w:shd w:val="clear" w:color="auto" w:fill="FFFFFF"/>
          <w:lang w:val="fr-FR"/>
        </w:rPr>
        <w:t>Laundry</w:t>
      </w:r>
      <w:r w:rsidRPr="0012221A">
        <w:rPr>
          <w:rFonts w:cs="Segoe UI"/>
          <w:color w:val="000000"/>
          <w:shd w:val="clear" w:color="auto" w:fill="FFFFFF"/>
          <w:lang w:val="fr-FR"/>
        </w:rPr>
        <w:t> </w:t>
      </w:r>
      <w:r w:rsidRPr="0012221A">
        <w:rPr>
          <w:rStyle w:val="lev"/>
          <w:rFonts w:cs="Segoe UI"/>
          <w:color w:val="000000"/>
          <w:shd w:val="clear" w:color="auto" w:fill="FFFFFF"/>
          <w:lang w:val="fr-FR"/>
        </w:rPr>
        <w:t>&amp;</w:t>
      </w:r>
      <w:r w:rsidRPr="0012221A">
        <w:rPr>
          <w:rFonts w:cs="Segoe UI"/>
          <w:color w:val="000000"/>
          <w:shd w:val="clear" w:color="auto" w:fill="FFFFFF"/>
          <w:lang w:val="fr-FR"/>
        </w:rPr>
        <w:t> </w:t>
      </w:r>
      <w:r w:rsidRPr="0012221A">
        <w:rPr>
          <w:rStyle w:val="lev"/>
          <w:rFonts w:cs="Segoe UI"/>
          <w:color w:val="000000"/>
          <w:shd w:val="clear" w:color="auto" w:fill="FFFFFF"/>
          <w:lang w:val="fr-FR"/>
        </w:rPr>
        <w:t>Home</w:t>
      </w:r>
      <w:r w:rsidRPr="0012221A">
        <w:rPr>
          <w:rFonts w:cs="Segoe UI"/>
          <w:color w:val="000000"/>
          <w:shd w:val="clear" w:color="auto" w:fill="FFFFFF"/>
          <w:lang w:val="fr-FR"/>
        </w:rPr>
        <w:t> </w:t>
      </w:r>
      <w:r w:rsidRPr="0012221A">
        <w:rPr>
          <w:rStyle w:val="lev"/>
          <w:rFonts w:cs="Segoe UI"/>
          <w:color w:val="000000"/>
          <w:shd w:val="clear" w:color="auto" w:fill="FFFFFF"/>
          <w:lang w:val="fr-FR"/>
        </w:rPr>
        <w:t>Care,</w:t>
      </w:r>
      <w:r w:rsidRPr="0012221A">
        <w:rPr>
          <w:rFonts w:cs="Segoe UI"/>
          <w:color w:val="000000"/>
          <w:shd w:val="clear" w:color="auto" w:fill="FFFFFF"/>
          <w:lang w:val="fr-FR"/>
        </w:rPr>
        <w:t> Henkel continue de tabler sur une croissance organique de ses ventes comprise entre +2,0 et +4,0%. Compte tenu de la décision de cesser les activités de Henkel en Russie et en Biélorussie, ces pays seront exclus de la croissance organique des ventes de Henkel à partir du deuxième trimestre. »</w:t>
      </w:r>
    </w:p>
    <w:p w14:paraId="0F12FBFE" w14:textId="6359FE19" w:rsidR="00396A5D" w:rsidRDefault="002C0BB2" w:rsidP="00A00DD1">
      <w:pPr>
        <w:rPr>
          <w:rFonts w:cs="Segoe UI"/>
          <w:szCs w:val="22"/>
          <w:lang w:val="fr-FR"/>
        </w:rPr>
      </w:pPr>
      <w:r w:rsidRPr="002C0BB2">
        <w:rPr>
          <w:rFonts w:cs="Segoe UI"/>
          <w:szCs w:val="22"/>
          <w:lang w:val="fr-FR"/>
        </w:rPr>
        <w:t xml:space="preserve">Outre les effets de la </w:t>
      </w:r>
      <w:r w:rsidR="00AA0913">
        <w:rPr>
          <w:rFonts w:cs="Segoe UI"/>
          <w:szCs w:val="22"/>
          <w:lang w:val="fr-FR"/>
        </w:rPr>
        <w:t>cession</w:t>
      </w:r>
      <w:r w:rsidRPr="002C0BB2">
        <w:rPr>
          <w:rFonts w:cs="Segoe UI"/>
          <w:szCs w:val="22"/>
          <w:lang w:val="fr-FR"/>
        </w:rPr>
        <w:t xml:space="preserve"> des activités commerciales en Russie et en Biélorussie, la hausse significative des prix </w:t>
      </w:r>
      <w:r w:rsidR="007A1A58">
        <w:rPr>
          <w:rFonts w:cs="Segoe UI"/>
          <w:szCs w:val="22"/>
          <w:lang w:val="fr-FR"/>
        </w:rPr>
        <w:t xml:space="preserve">directs </w:t>
      </w:r>
      <w:r w:rsidRPr="002C0BB2">
        <w:rPr>
          <w:rFonts w:cs="Segoe UI"/>
          <w:szCs w:val="22"/>
          <w:lang w:val="fr-FR"/>
        </w:rPr>
        <w:t>des mat</w:t>
      </w:r>
      <w:r w:rsidR="00666BBF">
        <w:rPr>
          <w:rFonts w:cs="Segoe UI"/>
          <w:szCs w:val="22"/>
          <w:lang w:val="fr-FR"/>
        </w:rPr>
        <w:t>ières premières</w:t>
      </w:r>
      <w:r w:rsidRPr="002C0BB2">
        <w:rPr>
          <w:rFonts w:cs="Segoe UI"/>
          <w:szCs w:val="22"/>
          <w:lang w:val="fr-FR"/>
        </w:rPr>
        <w:t xml:space="preserve"> et </w:t>
      </w:r>
      <w:r w:rsidR="00666BBF">
        <w:rPr>
          <w:rFonts w:cs="Segoe UI"/>
          <w:szCs w:val="22"/>
          <w:lang w:val="fr-FR"/>
        </w:rPr>
        <w:t>du transport</w:t>
      </w:r>
      <w:r w:rsidRPr="002C0BB2">
        <w:rPr>
          <w:rFonts w:cs="Segoe UI"/>
          <w:szCs w:val="22"/>
          <w:lang w:val="fr-FR"/>
        </w:rPr>
        <w:t xml:space="preserve">, qui ne peut pas être entièrement compensée au cours de cet exercice, a un impact plus </w:t>
      </w:r>
      <w:r w:rsidR="00336239">
        <w:rPr>
          <w:rFonts w:cs="Segoe UI"/>
          <w:szCs w:val="22"/>
          <w:lang w:val="fr-FR"/>
        </w:rPr>
        <w:t>significatif</w:t>
      </w:r>
      <w:r w:rsidRPr="002C0BB2">
        <w:rPr>
          <w:rFonts w:cs="Segoe UI"/>
          <w:szCs w:val="22"/>
          <w:lang w:val="fr-FR"/>
        </w:rPr>
        <w:t xml:space="preserve"> sur les </w:t>
      </w:r>
      <w:r w:rsidR="00336239">
        <w:rPr>
          <w:rFonts w:cs="Segoe UI"/>
          <w:szCs w:val="22"/>
          <w:lang w:val="fr-FR"/>
        </w:rPr>
        <w:t>résultats</w:t>
      </w:r>
      <w:r w:rsidRPr="002C0BB2">
        <w:rPr>
          <w:rFonts w:cs="Segoe UI"/>
          <w:szCs w:val="22"/>
          <w:lang w:val="fr-FR"/>
        </w:rPr>
        <w:t xml:space="preserve"> que prévu</w:t>
      </w:r>
      <w:r>
        <w:rPr>
          <w:rFonts w:cs="Segoe UI"/>
          <w:szCs w:val="22"/>
          <w:lang w:val="fr-FR"/>
        </w:rPr>
        <w:t>.</w:t>
      </w:r>
    </w:p>
    <w:p w14:paraId="18D09DF5" w14:textId="77777777" w:rsidR="002C0BB2" w:rsidRPr="002C0BB2" w:rsidRDefault="002C0BB2" w:rsidP="00A00DD1">
      <w:pPr>
        <w:rPr>
          <w:rFonts w:asciiTheme="majorHAnsi" w:hAnsiTheme="majorHAnsi" w:cstheme="majorHAnsi"/>
          <w:szCs w:val="22"/>
          <w:lang w:val="fr-FR"/>
        </w:rPr>
      </w:pPr>
    </w:p>
    <w:p w14:paraId="1E422BD8" w14:textId="2D4A2D59" w:rsidR="005B538C" w:rsidRPr="002C0BB2" w:rsidRDefault="002C0BB2" w:rsidP="00A00DD1">
      <w:pPr>
        <w:rPr>
          <w:rFonts w:asciiTheme="majorHAnsi" w:hAnsiTheme="majorHAnsi" w:cstheme="majorHAnsi"/>
          <w:szCs w:val="22"/>
          <w:lang w:val="fr-FR"/>
        </w:rPr>
      </w:pPr>
      <w:r w:rsidRPr="002C0BB2">
        <w:rPr>
          <w:rFonts w:cs="Segoe UI"/>
          <w:color w:val="000000"/>
          <w:shd w:val="clear" w:color="auto" w:fill="FFFFFF"/>
          <w:lang w:val="fr-FR"/>
        </w:rPr>
        <w:t>Pour le </w:t>
      </w:r>
      <w:r w:rsidRPr="002C0BB2">
        <w:rPr>
          <w:rStyle w:val="lev"/>
          <w:rFonts w:cs="Segoe UI"/>
          <w:color w:val="000000"/>
          <w:shd w:val="clear" w:color="auto" w:fill="FFFFFF"/>
          <w:lang w:val="fr-FR"/>
        </w:rPr>
        <w:t>groupe</w:t>
      </w:r>
      <w:r w:rsidRPr="002C0BB2">
        <w:rPr>
          <w:rFonts w:cs="Segoe UI"/>
          <w:color w:val="000000"/>
          <w:shd w:val="clear" w:color="auto" w:fill="FFFFFF"/>
          <w:lang w:val="fr-FR"/>
        </w:rPr>
        <w:t> </w:t>
      </w:r>
      <w:r w:rsidRPr="002C0BB2">
        <w:rPr>
          <w:rStyle w:val="lev"/>
          <w:rFonts w:cs="Segoe UI"/>
          <w:color w:val="000000"/>
          <w:shd w:val="clear" w:color="auto" w:fill="FFFFFF"/>
          <w:lang w:val="fr-FR"/>
        </w:rPr>
        <w:t>Henkel</w:t>
      </w:r>
      <w:r w:rsidRPr="002C0BB2">
        <w:rPr>
          <w:rFonts w:cs="Segoe UI"/>
          <w:color w:val="000000"/>
          <w:shd w:val="clear" w:color="auto" w:fill="FFFFFF"/>
          <w:lang w:val="fr-FR"/>
        </w:rPr>
        <w:t>, </w:t>
      </w:r>
      <w:r w:rsidR="00277796">
        <w:rPr>
          <w:rFonts w:cs="Segoe UI"/>
          <w:color w:val="000000"/>
          <w:shd w:val="clear" w:color="auto" w:fill="FFFFFF"/>
          <w:lang w:val="fr-FR"/>
        </w:rPr>
        <w:t xml:space="preserve">le </w:t>
      </w:r>
      <w:r w:rsidRPr="002C0BB2">
        <w:rPr>
          <w:rStyle w:val="lev"/>
          <w:rFonts w:cs="Segoe UI"/>
          <w:color w:val="000000"/>
          <w:shd w:val="clear" w:color="auto" w:fill="FFFFFF"/>
          <w:lang w:val="fr-FR"/>
        </w:rPr>
        <w:t>rendement</w:t>
      </w:r>
      <w:r w:rsidRPr="002C0BB2">
        <w:rPr>
          <w:rFonts w:cs="Segoe UI"/>
          <w:color w:val="000000"/>
          <w:shd w:val="clear" w:color="auto" w:fill="FFFFFF"/>
          <w:lang w:val="fr-FR"/>
        </w:rPr>
        <w:t> </w:t>
      </w:r>
      <w:r w:rsidRPr="002C0BB2">
        <w:rPr>
          <w:rStyle w:val="lev"/>
          <w:rFonts w:cs="Segoe UI"/>
          <w:color w:val="000000"/>
          <w:shd w:val="clear" w:color="auto" w:fill="FFFFFF"/>
          <w:lang w:val="fr-FR"/>
        </w:rPr>
        <w:t>ajusté des</w:t>
      </w:r>
      <w:r w:rsidRPr="002C0BB2">
        <w:rPr>
          <w:rFonts w:cs="Segoe UI"/>
          <w:color w:val="000000"/>
          <w:shd w:val="clear" w:color="auto" w:fill="FFFFFF"/>
          <w:lang w:val="fr-FR"/>
        </w:rPr>
        <w:t> </w:t>
      </w:r>
      <w:r w:rsidRPr="002C0BB2">
        <w:rPr>
          <w:rStyle w:val="lev"/>
          <w:rFonts w:cs="Segoe UI"/>
          <w:color w:val="000000"/>
          <w:shd w:val="clear" w:color="auto" w:fill="FFFFFF"/>
          <w:lang w:val="fr-FR"/>
        </w:rPr>
        <w:t>ventes</w:t>
      </w:r>
      <w:r w:rsidRPr="002C0BB2">
        <w:rPr>
          <w:rFonts w:cs="Segoe UI"/>
          <w:color w:val="000000"/>
          <w:shd w:val="clear" w:color="auto" w:fill="FFFFFF"/>
          <w:lang w:val="fr-FR"/>
        </w:rPr>
        <w:t> </w:t>
      </w:r>
      <w:r w:rsidRPr="002C0BB2">
        <w:rPr>
          <w:rStyle w:val="lev"/>
          <w:rFonts w:cs="Segoe UI"/>
          <w:color w:val="000000"/>
          <w:shd w:val="clear" w:color="auto" w:fill="FFFFFF"/>
          <w:lang w:val="fr-FR"/>
        </w:rPr>
        <w:t>(</w:t>
      </w:r>
      <w:r w:rsidR="00277796">
        <w:rPr>
          <w:rStyle w:val="lev"/>
          <w:rFonts w:cs="Segoe UI"/>
          <w:color w:val="000000"/>
          <w:shd w:val="clear" w:color="auto" w:fill="FFFFFF"/>
          <w:lang w:val="fr-FR"/>
        </w:rPr>
        <w:t xml:space="preserve">marge </w:t>
      </w:r>
      <w:r w:rsidRPr="002C0BB2">
        <w:rPr>
          <w:rStyle w:val="lev"/>
          <w:rFonts w:cs="Segoe UI"/>
          <w:color w:val="000000"/>
          <w:shd w:val="clear" w:color="auto" w:fill="FFFFFF"/>
          <w:lang w:val="fr-FR"/>
        </w:rPr>
        <w:t>EBIT)</w:t>
      </w:r>
      <w:r w:rsidRPr="002C0BB2">
        <w:rPr>
          <w:rFonts w:cs="Segoe UI"/>
          <w:color w:val="000000"/>
          <w:shd w:val="clear" w:color="auto" w:fill="FFFFFF"/>
          <w:lang w:val="fr-FR"/>
        </w:rPr>
        <w:t> est maintenant attendu dans une fourchette inférieure de 9,0 à 11,0 % (auparavant : 11,5 à 13,5 %). Pour </w:t>
      </w:r>
      <w:proofErr w:type="spellStart"/>
      <w:r w:rsidRPr="002C0BB2">
        <w:rPr>
          <w:rStyle w:val="lev"/>
          <w:rFonts w:cs="Segoe UI"/>
          <w:color w:val="000000"/>
          <w:shd w:val="clear" w:color="auto" w:fill="FFFFFF"/>
          <w:lang w:val="fr-FR"/>
        </w:rPr>
        <w:t>Adhesive</w:t>
      </w:r>
      <w:proofErr w:type="spellEnd"/>
      <w:r w:rsidRPr="002C0BB2">
        <w:rPr>
          <w:rFonts w:cs="Segoe UI"/>
          <w:color w:val="000000"/>
          <w:shd w:val="clear" w:color="auto" w:fill="FFFFFF"/>
          <w:lang w:val="fr-FR"/>
        </w:rPr>
        <w:t> </w:t>
      </w:r>
      <w:r w:rsidRPr="002C0BB2">
        <w:rPr>
          <w:rStyle w:val="lev"/>
          <w:rFonts w:cs="Segoe UI"/>
          <w:color w:val="000000"/>
          <w:shd w:val="clear" w:color="auto" w:fill="FFFFFF"/>
          <w:lang w:val="fr-FR"/>
        </w:rPr>
        <w:t>Technologies</w:t>
      </w:r>
      <w:r w:rsidRPr="002C0BB2">
        <w:rPr>
          <w:rFonts w:cs="Segoe UI"/>
          <w:color w:val="000000"/>
          <w:shd w:val="clear" w:color="auto" w:fill="FFFFFF"/>
          <w:lang w:val="fr-FR"/>
        </w:rPr>
        <w:t xml:space="preserve">, Henkel s’attend à un rendement ajusté des ventes compris entre 13,0 et 15,0 % (auparavant : 15,0 à 17,0 %), pour </w:t>
      </w:r>
      <w:r w:rsidR="00E81B84">
        <w:rPr>
          <w:rFonts w:cs="Segoe UI"/>
          <w:color w:val="000000"/>
          <w:shd w:val="clear" w:color="auto" w:fill="FFFFFF"/>
          <w:lang w:val="fr-FR"/>
        </w:rPr>
        <w:t xml:space="preserve">l’activité </w:t>
      </w:r>
      <w:r w:rsidR="00E81B84" w:rsidRPr="00E81B84">
        <w:rPr>
          <w:rFonts w:cs="Segoe UI"/>
          <w:b/>
          <w:bCs/>
          <w:color w:val="000000"/>
          <w:shd w:val="clear" w:color="auto" w:fill="FFFFFF"/>
          <w:lang w:val="fr-FR"/>
        </w:rPr>
        <w:t>Beauty Care</w:t>
      </w:r>
      <w:r w:rsidRPr="002C0BB2">
        <w:rPr>
          <w:rFonts w:cs="Segoe UI"/>
          <w:color w:val="000000"/>
          <w:shd w:val="clear" w:color="auto" w:fill="FFFFFF"/>
          <w:lang w:val="fr-FR"/>
        </w:rPr>
        <w:t xml:space="preserve"> de l’ordre de 5,0 à 7,0 % (auparavant : 7,5 à 10,0 %) et pour </w:t>
      </w:r>
      <w:r w:rsidR="00E81B84">
        <w:rPr>
          <w:rFonts w:cs="Segoe UI"/>
          <w:color w:val="000000"/>
          <w:shd w:val="clear" w:color="auto" w:fill="FFFFFF"/>
          <w:lang w:val="fr-FR"/>
        </w:rPr>
        <w:t xml:space="preserve">l’activité </w:t>
      </w:r>
      <w:r w:rsidR="00E81B84" w:rsidRPr="00E81B84">
        <w:rPr>
          <w:rFonts w:cs="Segoe UI"/>
          <w:b/>
          <w:bCs/>
          <w:color w:val="000000"/>
          <w:shd w:val="clear" w:color="auto" w:fill="FFFFFF"/>
          <w:lang w:val="fr-FR"/>
        </w:rPr>
        <w:t>Laundry &amp; Home Care</w:t>
      </w:r>
      <w:r w:rsidR="00E81B84" w:rsidRPr="002C0BB2">
        <w:rPr>
          <w:rFonts w:cs="Segoe UI"/>
          <w:color w:val="000000"/>
          <w:shd w:val="clear" w:color="auto" w:fill="FFFFFF"/>
          <w:lang w:val="fr-FR"/>
        </w:rPr>
        <w:t xml:space="preserve"> </w:t>
      </w:r>
      <w:r w:rsidRPr="002C0BB2">
        <w:rPr>
          <w:rFonts w:cs="Segoe UI"/>
          <w:color w:val="000000"/>
          <w:shd w:val="clear" w:color="auto" w:fill="FFFFFF"/>
          <w:lang w:val="fr-FR"/>
        </w:rPr>
        <w:t>de 7,0 à 9,0 % (auparavant : 10,5 à 13,0 %).</w:t>
      </w:r>
    </w:p>
    <w:p w14:paraId="437D3D7E" w14:textId="77777777" w:rsidR="00A4166D" w:rsidRPr="00034AD1" w:rsidRDefault="00A4166D" w:rsidP="006E348B">
      <w:pPr>
        <w:spacing w:line="240" w:lineRule="auto"/>
        <w:rPr>
          <w:rFonts w:asciiTheme="majorHAnsi" w:hAnsiTheme="majorHAnsi" w:cstheme="majorHAnsi"/>
          <w:szCs w:val="22"/>
          <w:lang w:val="fr-FR"/>
        </w:rPr>
      </w:pPr>
    </w:p>
    <w:p w14:paraId="67D2AB7D" w14:textId="0DFCE661" w:rsidR="005B538C" w:rsidRPr="002C0BB2" w:rsidRDefault="002C0BB2" w:rsidP="006E348B">
      <w:pPr>
        <w:spacing w:line="240" w:lineRule="auto"/>
        <w:rPr>
          <w:rFonts w:asciiTheme="majorHAnsi" w:hAnsiTheme="majorHAnsi" w:cstheme="majorHAnsi"/>
          <w:szCs w:val="22"/>
          <w:lang w:val="fr-FR"/>
        </w:rPr>
      </w:pPr>
      <w:r w:rsidRPr="002C0BB2">
        <w:rPr>
          <w:rFonts w:cs="Segoe UI"/>
          <w:color w:val="000000"/>
          <w:shd w:val="clear" w:color="auto" w:fill="FFFFFF"/>
          <w:lang w:val="fr-FR"/>
        </w:rPr>
        <w:t>Pour </w:t>
      </w:r>
      <w:r w:rsidRPr="002C0BB2">
        <w:rPr>
          <w:rStyle w:val="lev"/>
          <w:rFonts w:cs="Segoe UI"/>
          <w:color w:val="000000"/>
          <w:shd w:val="clear" w:color="auto" w:fill="FFFFFF"/>
          <w:lang w:val="fr-FR"/>
        </w:rPr>
        <w:t>le bénéfice</w:t>
      </w:r>
      <w:r w:rsidRPr="002C0BB2">
        <w:rPr>
          <w:rFonts w:cs="Segoe UI"/>
          <w:color w:val="000000"/>
          <w:shd w:val="clear" w:color="auto" w:fill="FFFFFF"/>
          <w:lang w:val="fr-FR"/>
        </w:rPr>
        <w:t> </w:t>
      </w:r>
      <w:r w:rsidRPr="002C0BB2">
        <w:rPr>
          <w:rStyle w:val="lev"/>
          <w:rFonts w:cs="Segoe UI"/>
          <w:color w:val="000000"/>
          <w:shd w:val="clear" w:color="auto" w:fill="FFFFFF"/>
          <w:lang w:val="fr-FR"/>
        </w:rPr>
        <w:t>ajusté</w:t>
      </w:r>
      <w:r w:rsidRPr="002C0BB2">
        <w:rPr>
          <w:rFonts w:cs="Segoe UI"/>
          <w:color w:val="000000"/>
          <w:shd w:val="clear" w:color="auto" w:fill="FFFFFF"/>
          <w:lang w:val="fr-FR"/>
        </w:rPr>
        <w:t> </w:t>
      </w:r>
      <w:r w:rsidRPr="002C0BB2">
        <w:rPr>
          <w:rStyle w:val="lev"/>
          <w:rFonts w:cs="Segoe UI"/>
          <w:color w:val="000000"/>
          <w:shd w:val="clear" w:color="auto" w:fill="FFFFFF"/>
          <w:lang w:val="fr-FR"/>
        </w:rPr>
        <w:t>par</w:t>
      </w:r>
      <w:r w:rsidRPr="002C0BB2">
        <w:rPr>
          <w:rFonts w:cs="Segoe UI"/>
          <w:color w:val="000000"/>
          <w:shd w:val="clear" w:color="auto" w:fill="FFFFFF"/>
          <w:lang w:val="fr-FR"/>
        </w:rPr>
        <w:t> </w:t>
      </w:r>
      <w:r w:rsidRPr="002C0BB2">
        <w:rPr>
          <w:rStyle w:val="lev"/>
          <w:rFonts w:cs="Segoe UI"/>
          <w:color w:val="000000"/>
          <w:shd w:val="clear" w:color="auto" w:fill="FFFFFF"/>
          <w:lang w:val="fr-FR"/>
        </w:rPr>
        <w:t>action</w:t>
      </w:r>
      <w:r w:rsidRPr="002C0BB2">
        <w:rPr>
          <w:rFonts w:cs="Segoe UI"/>
          <w:color w:val="000000"/>
          <w:shd w:val="clear" w:color="auto" w:fill="FFFFFF"/>
          <w:lang w:val="fr-FR"/>
        </w:rPr>
        <w:t> </w:t>
      </w:r>
      <w:r w:rsidRPr="002C0BB2">
        <w:rPr>
          <w:rStyle w:val="lev"/>
          <w:rFonts w:cs="Segoe UI"/>
          <w:color w:val="000000"/>
          <w:shd w:val="clear" w:color="auto" w:fill="FFFFFF"/>
          <w:lang w:val="fr-FR"/>
        </w:rPr>
        <w:t>pr</w:t>
      </w:r>
      <w:r w:rsidR="00395D26">
        <w:rPr>
          <w:rStyle w:val="lev"/>
          <w:rFonts w:cs="Segoe UI"/>
          <w:color w:val="000000"/>
          <w:shd w:val="clear" w:color="auto" w:fill="FFFFFF"/>
          <w:lang w:val="fr-FR"/>
        </w:rPr>
        <w:t>éférentielle</w:t>
      </w:r>
      <w:r w:rsidRPr="002C0BB2">
        <w:rPr>
          <w:rFonts w:cs="Segoe UI"/>
          <w:color w:val="000000"/>
          <w:shd w:val="clear" w:color="auto" w:fill="FFFFFF"/>
          <w:lang w:val="fr-FR"/>
        </w:rPr>
        <w:t> </w:t>
      </w:r>
      <w:r w:rsidRPr="002C0BB2">
        <w:rPr>
          <w:rStyle w:val="lev"/>
          <w:rFonts w:cs="Segoe UI"/>
          <w:color w:val="000000"/>
          <w:shd w:val="clear" w:color="auto" w:fill="FFFFFF"/>
          <w:lang w:val="fr-FR"/>
        </w:rPr>
        <w:t>(EPS)</w:t>
      </w:r>
      <w:r w:rsidRPr="002C0BB2">
        <w:rPr>
          <w:rFonts w:cs="Segoe UI"/>
          <w:color w:val="000000"/>
          <w:shd w:val="clear" w:color="auto" w:fill="FFFFFF"/>
          <w:lang w:val="fr-FR"/>
        </w:rPr>
        <w:t> à taux de change constants, Henkel s’attend désormais à une baisse de l’ordre de 35 à 15% (auparavant : -15 à +5%).</w:t>
      </w:r>
    </w:p>
    <w:p w14:paraId="6002215A" w14:textId="5279B937" w:rsidR="00717F26" w:rsidRPr="002C0BB2" w:rsidRDefault="00717F26" w:rsidP="00697C34">
      <w:pPr>
        <w:rPr>
          <w:rFonts w:asciiTheme="majorHAnsi" w:hAnsiTheme="majorHAnsi" w:cstheme="majorHAnsi"/>
          <w:lang w:val="fr-FR"/>
        </w:rPr>
      </w:pPr>
    </w:p>
    <w:p w14:paraId="1A2635DD" w14:textId="5160796D" w:rsidR="00DE76A5" w:rsidRPr="00EE128F" w:rsidRDefault="002C0BB2" w:rsidP="00EE128F">
      <w:pPr>
        <w:pStyle w:val="Corpsdetexte"/>
        <w:spacing w:line="276" w:lineRule="auto"/>
        <w:rPr>
          <w:rFonts w:ascii="Segoe UI" w:hAnsi="Segoe UI" w:cs="Segoe UI"/>
          <w:color w:val="000000"/>
          <w:shd w:val="clear" w:color="auto" w:fill="FFFFFF"/>
          <w:lang w:val="fr-FR" w:eastAsia="en-US"/>
        </w:rPr>
      </w:pPr>
      <w:r w:rsidRPr="00EE128F">
        <w:rPr>
          <w:rFonts w:ascii="Segoe UI" w:hAnsi="Segoe UI" w:cs="Segoe UI"/>
          <w:color w:val="000000"/>
          <w:shd w:val="clear" w:color="auto" w:fill="FFFFFF"/>
          <w:lang w:val="fr-FR" w:eastAsia="en-US"/>
        </w:rPr>
        <w:t xml:space="preserve">Ces nouvelles perspectives sont basées sur l’hypothèse que les effets de la guerre en Ukraine ne s’aggraveront pas de manière significative et qu’il n’y aura pas de nouvelles fermetures généralisées d’entreprises et de productions dans l’industrie et </w:t>
      </w:r>
      <w:r w:rsidR="00AA0913" w:rsidRPr="00EE128F">
        <w:rPr>
          <w:rFonts w:ascii="Segoe UI" w:hAnsi="Segoe UI" w:cs="Segoe UI"/>
          <w:color w:val="000000"/>
          <w:shd w:val="clear" w:color="auto" w:fill="FFFFFF"/>
          <w:lang w:val="fr-FR" w:eastAsia="en-US"/>
        </w:rPr>
        <w:t xml:space="preserve">la grande </w:t>
      </w:r>
      <w:r w:rsidR="007A1A58" w:rsidRPr="00EE128F">
        <w:rPr>
          <w:rFonts w:ascii="Segoe UI" w:hAnsi="Segoe UI" w:cs="Segoe UI"/>
          <w:color w:val="000000"/>
          <w:shd w:val="clear" w:color="auto" w:fill="FFFFFF"/>
          <w:lang w:val="fr-FR" w:eastAsia="en-US"/>
        </w:rPr>
        <w:t>consommation</w:t>
      </w:r>
      <w:r w:rsidR="00AA0913" w:rsidRPr="00EE128F">
        <w:rPr>
          <w:rFonts w:ascii="Segoe UI" w:hAnsi="Segoe UI" w:cs="Segoe UI"/>
          <w:color w:val="000000"/>
          <w:shd w:val="clear" w:color="auto" w:fill="FFFFFF"/>
          <w:lang w:val="fr-FR" w:eastAsia="en-US"/>
        </w:rPr>
        <w:t xml:space="preserve"> </w:t>
      </w:r>
      <w:r w:rsidRPr="00EE128F">
        <w:rPr>
          <w:rFonts w:ascii="Segoe UI" w:hAnsi="Segoe UI" w:cs="Segoe UI"/>
          <w:color w:val="000000"/>
          <w:shd w:val="clear" w:color="auto" w:fill="FFFFFF"/>
          <w:lang w:val="fr-FR" w:eastAsia="en-US"/>
        </w:rPr>
        <w:t>en raison de la pandémie de COVID 19.</w:t>
      </w:r>
    </w:p>
    <w:p w14:paraId="3D7CA73C" w14:textId="12D8C4D1" w:rsidR="00A4166D" w:rsidRPr="00034AD1" w:rsidRDefault="00A4166D" w:rsidP="00697C34">
      <w:pPr>
        <w:rPr>
          <w:rFonts w:asciiTheme="majorHAnsi" w:hAnsiTheme="majorHAnsi" w:cstheme="majorHAnsi"/>
          <w:lang w:val="fr-FR"/>
        </w:rPr>
      </w:pPr>
    </w:p>
    <w:p w14:paraId="18DE2425" w14:textId="35FF5829" w:rsidR="00D957EB" w:rsidRPr="002C0BB2" w:rsidRDefault="002C0BB2" w:rsidP="00D957EB">
      <w:pPr>
        <w:rPr>
          <w:rFonts w:asciiTheme="majorHAnsi" w:hAnsiTheme="majorHAnsi" w:cstheme="majorHAnsi"/>
          <w:lang w:val="fr-FR"/>
        </w:rPr>
      </w:pPr>
      <w:r w:rsidRPr="002C0BB2">
        <w:rPr>
          <w:rFonts w:cs="Segoe UI"/>
          <w:color w:val="000000"/>
          <w:shd w:val="clear" w:color="auto" w:fill="FFFFFF"/>
          <w:lang w:val="fr-FR"/>
        </w:rPr>
        <w:t xml:space="preserve">« Malgré un environnement exceptionnellement difficile, nous poursuivons une stratégie de croissance ciblée. Avec notre activité </w:t>
      </w:r>
      <w:proofErr w:type="spellStart"/>
      <w:r w:rsidRPr="002C0BB2">
        <w:rPr>
          <w:rFonts w:cs="Segoe UI"/>
          <w:color w:val="000000"/>
          <w:shd w:val="clear" w:color="auto" w:fill="FFFFFF"/>
          <w:lang w:val="fr-FR"/>
        </w:rPr>
        <w:t>Adhesive</w:t>
      </w:r>
      <w:proofErr w:type="spellEnd"/>
      <w:r w:rsidRPr="002C0BB2">
        <w:rPr>
          <w:rFonts w:cs="Segoe UI"/>
          <w:color w:val="000000"/>
          <w:shd w:val="clear" w:color="auto" w:fill="FFFFFF"/>
          <w:lang w:val="fr-FR"/>
        </w:rPr>
        <w:t xml:space="preserve"> Technologies, nous sommes leader mondial et proposons des solutions innovantes dans de nombreux secteurs </w:t>
      </w:r>
      <w:r w:rsidR="00336239">
        <w:rPr>
          <w:rFonts w:cs="Segoe UI"/>
          <w:color w:val="000000"/>
          <w:shd w:val="clear" w:color="auto" w:fill="FFFFFF"/>
          <w:lang w:val="fr-FR"/>
        </w:rPr>
        <w:t>significatifs</w:t>
      </w:r>
      <w:r w:rsidRPr="002C0BB2">
        <w:rPr>
          <w:rFonts w:cs="Segoe UI"/>
          <w:color w:val="000000"/>
          <w:shd w:val="clear" w:color="auto" w:fill="FFFFFF"/>
          <w:lang w:val="fr-FR"/>
        </w:rPr>
        <w:t>, en mettant clairement l’accent sur les tendances futures telles que la mobilité, l</w:t>
      </w:r>
      <w:r w:rsidR="00395D26">
        <w:rPr>
          <w:rFonts w:cs="Segoe UI"/>
          <w:color w:val="000000"/>
          <w:shd w:val="clear" w:color="auto" w:fill="FFFFFF"/>
          <w:lang w:val="fr-FR"/>
        </w:rPr>
        <w:t>e digital</w:t>
      </w:r>
      <w:r w:rsidRPr="002C0BB2">
        <w:rPr>
          <w:rFonts w:cs="Segoe UI"/>
          <w:color w:val="000000"/>
          <w:shd w:val="clear" w:color="auto" w:fill="FFFFFF"/>
          <w:lang w:val="fr-FR"/>
        </w:rPr>
        <w:t xml:space="preserve"> et l</w:t>
      </w:r>
      <w:r w:rsidR="00395D26">
        <w:rPr>
          <w:rFonts w:cs="Segoe UI"/>
          <w:color w:val="000000"/>
          <w:shd w:val="clear" w:color="auto" w:fill="FFFFFF"/>
          <w:lang w:val="fr-FR"/>
        </w:rPr>
        <w:t>e développement durable</w:t>
      </w:r>
      <w:r w:rsidRPr="002C0BB2">
        <w:rPr>
          <w:rFonts w:cs="Segoe UI"/>
          <w:color w:val="000000"/>
          <w:shd w:val="clear" w:color="auto" w:fill="FFFFFF"/>
          <w:lang w:val="fr-FR"/>
        </w:rPr>
        <w:t xml:space="preserve">. Et en combinant nos activités grand public Laundry &amp; Home Care et Beauty Care </w:t>
      </w:r>
      <w:r w:rsidR="00053FD2">
        <w:rPr>
          <w:rFonts w:cs="Segoe UI"/>
          <w:color w:val="000000"/>
          <w:shd w:val="clear" w:color="auto" w:fill="FFFFFF"/>
          <w:lang w:val="fr-FR"/>
        </w:rPr>
        <w:t xml:space="preserve">en une même entité </w:t>
      </w:r>
      <w:r w:rsidRPr="00053FD2">
        <w:rPr>
          <w:rFonts w:cs="Segoe UI"/>
          <w:b/>
          <w:bCs/>
          <w:color w:val="000000"/>
          <w:shd w:val="clear" w:color="auto" w:fill="FFFFFF"/>
          <w:lang w:val="fr-FR"/>
        </w:rPr>
        <w:t>Henkel Consumer Brands</w:t>
      </w:r>
      <w:r w:rsidRPr="002C0BB2">
        <w:rPr>
          <w:rFonts w:cs="Segoe UI"/>
          <w:color w:val="000000"/>
          <w:shd w:val="clear" w:color="auto" w:fill="FFFFFF"/>
          <w:lang w:val="fr-FR"/>
        </w:rPr>
        <w:t>, nous créons une plate-forme multi-catégories avec un chiffre d</w:t>
      </w:r>
      <w:r w:rsidR="00336239">
        <w:rPr>
          <w:rFonts w:cs="Segoe UI"/>
          <w:color w:val="000000"/>
          <w:shd w:val="clear" w:color="auto" w:fill="FFFFFF"/>
          <w:lang w:val="fr-FR"/>
        </w:rPr>
        <w:t>’affaires</w:t>
      </w:r>
      <w:r w:rsidRPr="002C0BB2">
        <w:rPr>
          <w:rFonts w:cs="Segoe UI"/>
          <w:color w:val="000000"/>
          <w:shd w:val="clear" w:color="auto" w:fill="FFFFFF"/>
          <w:lang w:val="fr-FR"/>
        </w:rPr>
        <w:t xml:space="preserve"> d’environ 10 milliards d’euros. Notre future activité Consumer Brands devrait être établie d’ici le début de </w:t>
      </w:r>
      <w:r w:rsidR="00053FD2">
        <w:rPr>
          <w:rFonts w:cs="Segoe UI"/>
          <w:color w:val="000000"/>
          <w:shd w:val="clear" w:color="auto" w:fill="FFFFFF"/>
          <w:lang w:val="fr-FR"/>
        </w:rPr>
        <w:t xml:space="preserve">l’année </w:t>
      </w:r>
      <w:r w:rsidRPr="002C0BB2">
        <w:rPr>
          <w:rFonts w:cs="Segoe UI"/>
          <w:color w:val="000000"/>
          <w:shd w:val="clear" w:color="auto" w:fill="FFFFFF"/>
          <w:lang w:val="fr-FR"/>
        </w:rPr>
        <w:t xml:space="preserve">2023 au plus tard, fournissant </w:t>
      </w:r>
      <w:r w:rsidRPr="002C0BB2">
        <w:rPr>
          <w:rFonts w:cs="Segoe UI"/>
          <w:color w:val="000000"/>
          <w:shd w:val="clear" w:color="auto" w:fill="FFFFFF"/>
          <w:lang w:val="fr-FR"/>
        </w:rPr>
        <w:lastRenderedPageBreak/>
        <w:t xml:space="preserve">une base plus large pour optimiser notre portefeuille de </w:t>
      </w:r>
      <w:r w:rsidR="00F4301D">
        <w:rPr>
          <w:rFonts w:cs="Segoe UI"/>
          <w:color w:val="000000"/>
          <w:shd w:val="clear" w:color="auto" w:fill="FFFFFF"/>
          <w:lang w:val="fr-FR"/>
        </w:rPr>
        <w:t>façon</w:t>
      </w:r>
      <w:r w:rsidR="00395D26">
        <w:rPr>
          <w:rFonts w:cs="Segoe UI"/>
          <w:color w:val="000000"/>
          <w:shd w:val="clear" w:color="auto" w:fill="FFFFFF"/>
          <w:lang w:val="fr-FR"/>
        </w:rPr>
        <w:t xml:space="preserve"> </w:t>
      </w:r>
      <w:r w:rsidRPr="002C0BB2">
        <w:rPr>
          <w:rFonts w:cs="Segoe UI"/>
          <w:color w:val="000000"/>
          <w:shd w:val="clear" w:color="auto" w:fill="FFFFFF"/>
          <w:lang w:val="fr-FR"/>
        </w:rPr>
        <w:t xml:space="preserve">plus </w:t>
      </w:r>
      <w:r w:rsidR="00395D26">
        <w:rPr>
          <w:rFonts w:cs="Segoe UI"/>
          <w:color w:val="000000"/>
          <w:shd w:val="clear" w:color="auto" w:fill="FFFFFF"/>
          <w:lang w:val="fr-FR"/>
        </w:rPr>
        <w:t>co</w:t>
      </w:r>
      <w:r w:rsidR="00053FD2">
        <w:rPr>
          <w:rFonts w:cs="Segoe UI"/>
          <w:color w:val="000000"/>
          <w:shd w:val="clear" w:color="auto" w:fill="FFFFFF"/>
          <w:lang w:val="fr-FR"/>
        </w:rPr>
        <w:t>hérente</w:t>
      </w:r>
      <w:r w:rsidRPr="002C0BB2">
        <w:rPr>
          <w:rFonts w:cs="Segoe UI"/>
          <w:color w:val="000000"/>
          <w:shd w:val="clear" w:color="auto" w:fill="FFFFFF"/>
          <w:lang w:val="fr-FR"/>
        </w:rPr>
        <w:t xml:space="preserve"> et</w:t>
      </w:r>
      <w:r w:rsidR="00053FD2">
        <w:rPr>
          <w:rFonts w:cs="Segoe UI"/>
          <w:color w:val="000000"/>
          <w:shd w:val="clear" w:color="auto" w:fill="FFFFFF"/>
          <w:lang w:val="fr-FR"/>
        </w:rPr>
        <w:t xml:space="preserve"> </w:t>
      </w:r>
      <w:r w:rsidR="00F4301D">
        <w:rPr>
          <w:rFonts w:cs="Segoe UI"/>
          <w:color w:val="000000"/>
          <w:shd w:val="clear" w:color="auto" w:fill="FFFFFF"/>
          <w:lang w:val="fr-FR"/>
        </w:rPr>
        <w:t xml:space="preserve">le faire évoluer </w:t>
      </w:r>
      <w:r w:rsidRPr="002C0BB2">
        <w:rPr>
          <w:rFonts w:cs="Segoe UI"/>
          <w:color w:val="000000"/>
          <w:shd w:val="clear" w:color="auto" w:fill="FFFFFF"/>
          <w:lang w:val="fr-FR"/>
        </w:rPr>
        <w:t xml:space="preserve">vers un profil de croissance et de marge plus élevé », a déclaré Carsten </w:t>
      </w:r>
      <w:proofErr w:type="spellStart"/>
      <w:r w:rsidRPr="002C0BB2">
        <w:rPr>
          <w:rFonts w:cs="Segoe UI"/>
          <w:color w:val="000000"/>
          <w:shd w:val="clear" w:color="auto" w:fill="FFFFFF"/>
          <w:lang w:val="fr-FR"/>
        </w:rPr>
        <w:t>Knobel</w:t>
      </w:r>
      <w:proofErr w:type="spellEnd"/>
      <w:r w:rsidRPr="002C0BB2">
        <w:rPr>
          <w:rFonts w:cs="Segoe UI"/>
          <w:color w:val="000000"/>
          <w:shd w:val="clear" w:color="auto" w:fill="FFFFFF"/>
          <w:lang w:val="fr-FR"/>
        </w:rPr>
        <w:t>.</w:t>
      </w:r>
    </w:p>
    <w:p w14:paraId="53D598C7" w14:textId="77777777" w:rsidR="00566096" w:rsidRPr="002C0BB2" w:rsidRDefault="00566096" w:rsidP="00C439F9">
      <w:pPr>
        <w:rPr>
          <w:rStyle w:val="AboutandContactHeadline"/>
          <w:lang w:val="fr-FR"/>
        </w:rPr>
      </w:pPr>
    </w:p>
    <w:p w14:paraId="1C13AC37" w14:textId="49DD8F8D" w:rsidR="00A4166D" w:rsidRDefault="002C0BB2" w:rsidP="00EE128F">
      <w:pPr>
        <w:rPr>
          <w:rFonts w:cs="Segoe UI"/>
          <w:color w:val="000000"/>
          <w:shd w:val="clear" w:color="auto" w:fill="FFFFFF"/>
          <w:lang w:val="fr-FR"/>
        </w:rPr>
      </w:pPr>
      <w:r w:rsidRPr="002C0BB2">
        <w:rPr>
          <w:rFonts w:cs="Segoe UI"/>
          <w:color w:val="000000"/>
          <w:shd w:val="clear" w:color="auto" w:fill="FFFFFF"/>
          <w:lang w:val="fr-FR"/>
        </w:rPr>
        <w:t xml:space="preserve">Henkel publiera </w:t>
      </w:r>
      <w:r w:rsidR="00053FD2">
        <w:rPr>
          <w:rFonts w:cs="Segoe UI"/>
          <w:color w:val="000000"/>
          <w:shd w:val="clear" w:color="auto" w:fill="FFFFFF"/>
          <w:lang w:val="fr-FR"/>
        </w:rPr>
        <w:t>ses résultats</w:t>
      </w:r>
      <w:r w:rsidRPr="002C0BB2">
        <w:rPr>
          <w:rFonts w:cs="Segoe UI"/>
          <w:color w:val="000000"/>
          <w:shd w:val="clear" w:color="auto" w:fill="FFFFFF"/>
          <w:lang w:val="fr-FR"/>
        </w:rPr>
        <w:t xml:space="preserve"> </w:t>
      </w:r>
      <w:r w:rsidR="00053FD2">
        <w:rPr>
          <w:rFonts w:cs="Segoe UI"/>
          <w:color w:val="000000"/>
          <w:shd w:val="clear" w:color="auto" w:fill="FFFFFF"/>
          <w:lang w:val="fr-FR"/>
        </w:rPr>
        <w:t>du</w:t>
      </w:r>
      <w:r w:rsidRPr="002C0BB2">
        <w:rPr>
          <w:rFonts w:cs="Segoe UI"/>
          <w:color w:val="000000"/>
          <w:shd w:val="clear" w:color="auto" w:fill="FFFFFF"/>
          <w:lang w:val="fr-FR"/>
        </w:rPr>
        <w:t xml:space="preserve"> premier trimestre 2022 le 5 mai et, comme </w:t>
      </w:r>
      <w:r w:rsidRPr="00F3349C">
        <w:rPr>
          <w:rFonts w:cs="Segoe UI"/>
          <w:color w:val="000000"/>
          <w:shd w:val="clear" w:color="auto" w:fill="FFFFFF"/>
          <w:lang w:val="fr-FR"/>
        </w:rPr>
        <w:t xml:space="preserve">annoncé, </w:t>
      </w:r>
      <w:r w:rsidR="00EE128F" w:rsidRPr="00F3349C">
        <w:rPr>
          <w:rFonts w:cs="Segoe UI"/>
          <w:color w:val="000000"/>
          <w:shd w:val="clear" w:color="auto" w:fill="FFFFFF"/>
          <w:lang w:val="fr-FR"/>
        </w:rPr>
        <w:t>donnera</w:t>
      </w:r>
      <w:r w:rsidRPr="002C0BB2">
        <w:rPr>
          <w:rFonts w:cs="Segoe UI"/>
          <w:color w:val="000000"/>
          <w:shd w:val="clear" w:color="auto" w:fill="FFFFFF"/>
          <w:lang w:val="fr-FR"/>
        </w:rPr>
        <w:t xml:space="preserve"> de plus amples informations sur le processus d’intégration des deux </w:t>
      </w:r>
      <w:r w:rsidR="00053FD2">
        <w:rPr>
          <w:rFonts w:cs="Segoe UI"/>
          <w:color w:val="000000"/>
          <w:shd w:val="clear" w:color="auto" w:fill="FFFFFF"/>
          <w:lang w:val="fr-FR"/>
        </w:rPr>
        <w:t>branches ainsi que</w:t>
      </w:r>
      <w:r w:rsidRPr="002C0BB2">
        <w:rPr>
          <w:rFonts w:cs="Segoe UI"/>
          <w:color w:val="000000"/>
          <w:shd w:val="clear" w:color="auto" w:fill="FFFFFF"/>
          <w:lang w:val="fr-FR"/>
        </w:rPr>
        <w:t xml:space="preserve"> les mesures de portefeuille prévues, y compris les synergies attendues et les frais de restructuration</w:t>
      </w:r>
      <w:r w:rsidR="00053FD2">
        <w:rPr>
          <w:rFonts w:cs="Segoe UI"/>
          <w:color w:val="000000"/>
          <w:shd w:val="clear" w:color="auto" w:fill="FFFFFF"/>
          <w:lang w:val="fr-FR"/>
        </w:rPr>
        <w:t>.</w:t>
      </w:r>
    </w:p>
    <w:p w14:paraId="53D8F52E" w14:textId="4542C133" w:rsidR="00094EA2" w:rsidRDefault="00094EA2" w:rsidP="00EE128F">
      <w:pPr>
        <w:rPr>
          <w:rFonts w:cs="Segoe UI"/>
          <w:color w:val="000000"/>
          <w:shd w:val="clear" w:color="auto" w:fill="FFFFFF"/>
          <w:lang w:val="fr-FR"/>
        </w:rPr>
      </w:pPr>
    </w:p>
    <w:p w14:paraId="1BE705D1" w14:textId="77777777" w:rsidR="00094EA2" w:rsidRPr="00EE128F" w:rsidRDefault="00094EA2" w:rsidP="00EE128F">
      <w:pPr>
        <w:rPr>
          <w:rFonts w:cs="Segoe UI"/>
          <w:color w:val="000000"/>
          <w:shd w:val="clear" w:color="auto" w:fill="FFFFFF"/>
          <w:lang w:val="fr-FR"/>
        </w:rPr>
      </w:pPr>
    </w:p>
    <w:p w14:paraId="7672B958" w14:textId="77777777" w:rsidR="00742911" w:rsidRPr="00034AD1" w:rsidRDefault="00742911" w:rsidP="00742911">
      <w:pPr>
        <w:rPr>
          <w:rFonts w:asciiTheme="majorHAnsi" w:hAnsiTheme="majorHAnsi" w:cstheme="majorHAnsi"/>
          <w:b/>
          <w:bCs/>
          <w:lang w:val="fr-FR"/>
        </w:rPr>
      </w:pPr>
    </w:p>
    <w:p w14:paraId="1E6449D4" w14:textId="0175FBC5" w:rsidR="002C0BB2" w:rsidRPr="003F7EF4" w:rsidRDefault="002C0BB2" w:rsidP="002C0BB2">
      <w:pPr>
        <w:rPr>
          <w:b/>
          <w:bCs/>
          <w:sz w:val="18"/>
          <w:lang w:val="fr-FR"/>
        </w:rPr>
      </w:pPr>
      <w:r w:rsidRPr="003F7EF4">
        <w:rPr>
          <w:b/>
          <w:bCs/>
          <w:sz w:val="18"/>
          <w:lang w:val="fr-FR"/>
        </w:rPr>
        <w:t>A propos de Henkel</w:t>
      </w:r>
    </w:p>
    <w:p w14:paraId="08710750" w14:textId="5EE53CCB" w:rsidR="002C0BB2" w:rsidRDefault="002C0BB2" w:rsidP="002C0BB2">
      <w:pPr>
        <w:rPr>
          <w:sz w:val="18"/>
          <w:lang w:val="fr-FR"/>
        </w:rPr>
      </w:pPr>
      <w:r w:rsidRPr="002C0BB2">
        <w:rPr>
          <w:sz w:val="18"/>
          <w:lang w:val="fr-FR"/>
        </w:rPr>
        <w:t xml:space="preserve">Henkel est présent dans le monde entier avec un portefeuille d’activités diversifié et bien équilibré. L’entreprise détient des positions mondiales fortes dans ses trois secteurs, auprès des industriels comme des consommateurs grâce à ses marques puissantes, ses innovations et ses technologies. Le secteur </w:t>
      </w:r>
      <w:proofErr w:type="spellStart"/>
      <w:r w:rsidRPr="002C0BB2">
        <w:rPr>
          <w:sz w:val="18"/>
          <w:lang w:val="fr-FR"/>
        </w:rPr>
        <w:t>Adhesive</w:t>
      </w:r>
      <w:proofErr w:type="spellEnd"/>
      <w:r w:rsidRPr="002C0BB2">
        <w:rPr>
          <w:sz w:val="18"/>
          <w:lang w:val="fr-FR"/>
        </w:rPr>
        <w:t xml:space="preserve"> Technologies est leader mondial des adhésifs – sur tous ses segments industriels dans le monde. Avec ses activités Laundry &amp; Home Care et Beauty Care, Henkel détient des positions de leader sur un grand nombre de marchés et de catégories dans le monde. Crée en 1876, Henkel s’appuie sur plus de 140 ans de réussite. En 2021, le Groupe a réalisé un chiffre d’affaires de plus de 20 milliards d’EUR et un bénéfice d’exploitation ajusté d’environ 2,7 milliards d’euros. Henkel emploie près de 52 000 personnes à travers le monde – une équipe passionnée, riche de sa grande diversité, unie par une culture forte, la volonté de créer ensemble de la valeur durable et des valeurs d’entreprise partagées. Reconnu comme un leader en matière de développement durable, Henkel détient des positions de premier plan dans différents classements et indices internationaux. Les actions préférentielles Henkel sont listées à l’indice boursier allemand DAX. Pour en savoir plus, rendez-vous sur </w:t>
      </w:r>
      <w:hyperlink r:id="rId12" w:history="1">
        <w:r w:rsidR="00094EA2" w:rsidRPr="00D0658C">
          <w:rPr>
            <w:rStyle w:val="Lienhypertexte"/>
            <w:szCs w:val="24"/>
            <w:lang w:val="fr-FR"/>
          </w:rPr>
          <w:t>www.henkel.fr</w:t>
        </w:r>
      </w:hyperlink>
      <w:r w:rsidRPr="002C0BB2">
        <w:rPr>
          <w:sz w:val="18"/>
          <w:lang w:val="fr-FR"/>
        </w:rPr>
        <w:t>.</w:t>
      </w:r>
    </w:p>
    <w:p w14:paraId="3E69B8ED" w14:textId="400814AE" w:rsidR="00D957EB" w:rsidRPr="002C0BB2" w:rsidRDefault="00D957EB">
      <w:pPr>
        <w:spacing w:line="240" w:lineRule="auto"/>
        <w:jc w:val="left"/>
        <w:rPr>
          <w:rStyle w:val="AboutandContactBody"/>
          <w:rFonts w:asciiTheme="majorHAnsi" w:hAnsiTheme="majorHAnsi" w:cs="Calibri Light"/>
          <w:b/>
          <w:szCs w:val="18"/>
          <w:lang w:val="fr-FR"/>
        </w:rPr>
      </w:pPr>
    </w:p>
    <w:p w14:paraId="3021585C" w14:textId="36FE039E" w:rsidR="00B65DA8" w:rsidRPr="002C0BB2" w:rsidRDefault="002C0BB2" w:rsidP="00B65DA8">
      <w:pPr>
        <w:rPr>
          <w:rFonts w:asciiTheme="majorHAnsi" w:hAnsiTheme="majorHAnsi" w:cstheme="majorHAnsi"/>
          <w:lang w:val="fr-FR"/>
        </w:rPr>
      </w:pPr>
      <w:r w:rsidRPr="002C0BB2">
        <w:rPr>
          <w:rFonts w:asciiTheme="majorHAnsi" w:hAnsiTheme="majorHAnsi" w:cstheme="majorHAnsi"/>
          <w:bCs/>
          <w:sz w:val="14"/>
          <w:szCs w:val="14"/>
          <w:lang w:val="fr-FR"/>
        </w:rPr>
        <w:t xml:space="preserve">Ce document contient des prévisions fondées sur les estimations et suppositions établies par la direction d’entreprise de Henkel AG &amp; Co. </w:t>
      </w:r>
      <w:proofErr w:type="spellStart"/>
      <w:r w:rsidRPr="002C0BB2">
        <w:rPr>
          <w:rFonts w:asciiTheme="majorHAnsi" w:hAnsiTheme="majorHAnsi" w:cstheme="majorHAnsi"/>
          <w:bCs/>
          <w:sz w:val="14"/>
          <w:szCs w:val="14"/>
          <w:lang w:val="fr-FR"/>
        </w:rPr>
        <w:t>KGaA</w:t>
      </w:r>
      <w:proofErr w:type="spellEnd"/>
      <w:r w:rsidRPr="002C0BB2">
        <w:rPr>
          <w:rFonts w:asciiTheme="majorHAnsi" w:hAnsiTheme="majorHAnsi" w:cstheme="majorHAnsi"/>
          <w:bCs/>
          <w:sz w:val="14"/>
          <w:szCs w:val="14"/>
          <w:lang w:val="fr-FR"/>
        </w:rPr>
        <w:t xml:space="preserve">. Les prévisions sont caractérisées par l’emploi de termes tels que attendre, avoir l’intention, envisager, planifier, prédire, supposer, croire, estimer, anticiper, prévoir, etc. De telles affirmations ne doivent pas être conçues comme une quelconque garantie que ces prévisions vont se réaliser. La performance et les résultats futurs effectivement réalisés par Henkel AG &amp; Co. </w:t>
      </w:r>
      <w:proofErr w:type="spellStart"/>
      <w:r w:rsidRPr="002C0BB2">
        <w:rPr>
          <w:rFonts w:asciiTheme="majorHAnsi" w:hAnsiTheme="majorHAnsi" w:cstheme="majorHAnsi"/>
          <w:bCs/>
          <w:sz w:val="14"/>
          <w:szCs w:val="14"/>
          <w:lang w:val="fr-FR"/>
        </w:rPr>
        <w:t>KGaA</w:t>
      </w:r>
      <w:proofErr w:type="spellEnd"/>
      <w:r w:rsidRPr="002C0BB2">
        <w:rPr>
          <w:rFonts w:asciiTheme="majorHAnsi" w:hAnsiTheme="majorHAnsi" w:cstheme="majorHAnsi"/>
          <w:bCs/>
          <w:sz w:val="14"/>
          <w:szCs w:val="14"/>
          <w:lang w:val="fr-FR"/>
        </w:rPr>
        <w:t xml:space="preserve"> et ses filiales comportent de nombreux risques et incertitudes et peuvent par conséquent diverger sensiblement des prévisions initiales. Nombre de ces facteurs échappent au contrôle direct de Henkel et ne peuvent être évalués avec précision à l’avance, à commencer par l’environnement économique futur, et les actions des concurrents et d’autres acteurs impliqués sur les marchés. Henkel n’a pas l’intention de mettre à jour les prévisions et ne le fera jamais.</w:t>
      </w:r>
    </w:p>
    <w:p w14:paraId="0A478B01" w14:textId="77777777" w:rsidR="00B65DA8" w:rsidRPr="002C0BB2" w:rsidRDefault="00B65DA8" w:rsidP="00B65DA8">
      <w:pPr>
        <w:rPr>
          <w:rFonts w:asciiTheme="majorHAnsi" w:hAnsiTheme="majorHAnsi" w:cstheme="majorHAnsi"/>
          <w:bCs/>
          <w:sz w:val="14"/>
          <w:szCs w:val="14"/>
          <w:lang w:val="fr-FR"/>
        </w:rPr>
      </w:pPr>
    </w:p>
    <w:p w14:paraId="75AC6713" w14:textId="47E0878E" w:rsidR="00B65DA8" w:rsidRPr="002C0BB2" w:rsidRDefault="002C0BB2" w:rsidP="00B65DA8">
      <w:pPr>
        <w:rPr>
          <w:rFonts w:asciiTheme="majorHAnsi" w:hAnsiTheme="majorHAnsi" w:cstheme="majorHAnsi"/>
          <w:bCs/>
          <w:sz w:val="14"/>
          <w:szCs w:val="14"/>
          <w:lang w:val="fr-FR"/>
        </w:rPr>
      </w:pPr>
      <w:r w:rsidRPr="002C0BB2">
        <w:rPr>
          <w:rFonts w:asciiTheme="majorHAnsi" w:hAnsiTheme="majorHAnsi" w:cstheme="majorHAnsi"/>
          <w:bCs/>
          <w:sz w:val="14"/>
          <w:szCs w:val="14"/>
          <w:lang w:val="fr-FR"/>
        </w:rPr>
        <w:t xml:space="preserve">Ce document contient – dans le cadre de </w:t>
      </w:r>
      <w:proofErr w:type="spellStart"/>
      <w:r w:rsidRPr="002C0BB2">
        <w:rPr>
          <w:rFonts w:asciiTheme="majorHAnsi" w:hAnsiTheme="majorHAnsi" w:cstheme="majorHAnsi"/>
          <w:bCs/>
          <w:sz w:val="14"/>
          <w:szCs w:val="14"/>
          <w:lang w:val="fr-FR"/>
        </w:rPr>
        <w:t>reporting</w:t>
      </w:r>
      <w:proofErr w:type="spellEnd"/>
      <w:r w:rsidRPr="002C0BB2">
        <w:rPr>
          <w:rFonts w:asciiTheme="majorHAnsi" w:hAnsiTheme="majorHAnsi" w:cstheme="majorHAnsi"/>
          <w:bCs/>
          <w:sz w:val="14"/>
          <w:szCs w:val="14"/>
          <w:lang w:val="fr-FR"/>
        </w:rPr>
        <w:t xml:space="preserve"> financier en vigueur qui n’est pas clairement défini – des indicateurs financiers supplémentaires qui sont ou peuvent être des moyens alternatifs d’évaluer les performances (indicateurs dits « non GAAP »). Ces indicateurs financiers supplémentaires ne doivent pas être pris en compte isolément ou comme des moyens de mesurer les actifs nets et les positions financières de Henkel ou le résultat de ses opérations ; tels que présentés dans le cadre de ses États financiers consolidés. D’autres entreprises qui utilisent ou décrivent des indicateurs de performance portant le même nom peuvent les calculer d’une manière différente</w:t>
      </w:r>
      <w:r w:rsidR="00B65DA8" w:rsidRPr="002C0BB2">
        <w:rPr>
          <w:rFonts w:asciiTheme="majorHAnsi" w:hAnsiTheme="majorHAnsi" w:cstheme="majorHAnsi"/>
          <w:bCs/>
          <w:sz w:val="14"/>
          <w:szCs w:val="14"/>
          <w:lang w:val="fr-FR"/>
        </w:rPr>
        <w:t>.</w:t>
      </w:r>
    </w:p>
    <w:p w14:paraId="71FB2934" w14:textId="77777777" w:rsidR="00B65DA8" w:rsidRPr="002C0BB2" w:rsidRDefault="00B65DA8" w:rsidP="00B65DA8">
      <w:pPr>
        <w:rPr>
          <w:rFonts w:asciiTheme="majorHAnsi" w:hAnsiTheme="majorHAnsi" w:cstheme="majorHAnsi"/>
          <w:bCs/>
          <w:sz w:val="14"/>
          <w:szCs w:val="14"/>
          <w:lang w:val="fr-FR"/>
        </w:rPr>
      </w:pPr>
    </w:p>
    <w:p w14:paraId="4B689FE8" w14:textId="07242CE5" w:rsidR="00B65DA8" w:rsidRPr="002C0BB2" w:rsidRDefault="002C0BB2" w:rsidP="00B65DA8">
      <w:pPr>
        <w:rPr>
          <w:rFonts w:asciiTheme="majorHAnsi" w:hAnsiTheme="majorHAnsi" w:cstheme="majorHAnsi"/>
          <w:bCs/>
          <w:sz w:val="14"/>
          <w:szCs w:val="14"/>
          <w:lang w:val="fr-FR"/>
        </w:rPr>
      </w:pPr>
      <w:r w:rsidRPr="002C0BB2">
        <w:rPr>
          <w:rFonts w:asciiTheme="majorHAnsi" w:hAnsiTheme="majorHAnsi" w:cstheme="majorHAnsi"/>
          <w:bCs/>
          <w:sz w:val="14"/>
          <w:szCs w:val="14"/>
          <w:lang w:val="fr-FR"/>
        </w:rPr>
        <w:t>Ce communiqué est publié à titre informatif uniquement et ne représente pas un conseil en investissement. Ce n'est pas une offre de vente de titres ni une demande d'offre d'achat de titre</w:t>
      </w:r>
      <w:r w:rsidR="00B65DA8" w:rsidRPr="002C0BB2">
        <w:rPr>
          <w:rFonts w:asciiTheme="majorHAnsi" w:hAnsiTheme="majorHAnsi" w:cstheme="majorHAnsi"/>
          <w:bCs/>
          <w:sz w:val="14"/>
          <w:szCs w:val="14"/>
          <w:lang w:val="fr-FR"/>
        </w:rPr>
        <w:t>.</w:t>
      </w:r>
    </w:p>
    <w:p w14:paraId="110E2D02" w14:textId="10D37D51" w:rsidR="00B65DA8" w:rsidRDefault="00B65DA8">
      <w:pPr>
        <w:spacing w:line="240" w:lineRule="auto"/>
        <w:jc w:val="left"/>
        <w:rPr>
          <w:rStyle w:val="AboutandContactBody"/>
          <w:rFonts w:asciiTheme="majorHAnsi" w:hAnsiTheme="majorHAnsi" w:cs="Calibri Light"/>
          <w:b/>
          <w:szCs w:val="18"/>
          <w:lang w:val="fr-FR"/>
        </w:rPr>
      </w:pPr>
    </w:p>
    <w:p w14:paraId="1C7B34D1" w14:textId="7015E27E" w:rsidR="00F3349C" w:rsidRPr="00F3349C" w:rsidRDefault="00F3349C">
      <w:pPr>
        <w:spacing w:line="240" w:lineRule="auto"/>
        <w:jc w:val="left"/>
        <w:rPr>
          <w:rStyle w:val="Lienhypertexte"/>
          <w:rFonts w:asciiTheme="majorHAnsi" w:hAnsiTheme="majorHAnsi" w:cs="Calibri Light"/>
          <w:b/>
          <w:color w:val="000000" w:themeColor="text1"/>
          <w:lang w:val="fr-FR"/>
        </w:rPr>
      </w:pPr>
      <w:r w:rsidRPr="00F3349C">
        <w:rPr>
          <w:rStyle w:val="AboutandContactBody"/>
          <w:rFonts w:asciiTheme="majorHAnsi" w:hAnsiTheme="majorHAnsi" w:cs="Calibri Light"/>
          <w:b/>
          <w:color w:val="000000" w:themeColor="text1"/>
          <w:szCs w:val="18"/>
          <w:u w:val="single"/>
          <w:lang w:val="fr-FR"/>
        </w:rPr>
        <w:fldChar w:fldCharType="begin"/>
      </w:r>
      <w:r w:rsidRPr="00F3349C">
        <w:rPr>
          <w:rStyle w:val="AboutandContactBody"/>
          <w:rFonts w:asciiTheme="majorHAnsi" w:hAnsiTheme="majorHAnsi" w:cs="Calibri Light"/>
          <w:b/>
          <w:color w:val="000000" w:themeColor="text1"/>
          <w:szCs w:val="18"/>
          <w:u w:val="single"/>
          <w:lang w:val="fr-FR"/>
        </w:rPr>
        <w:instrText xml:space="preserve"> HYPERLINK "https://www.henkel.com/press-and-media/press-releases-and-kits/2022-04-29-henkel-achieves-significant-organic-sales-growth-in-the-first-quarter-and-updates-full-year-guidance-for-2022-1657866" </w:instrText>
      </w:r>
      <w:r w:rsidRPr="00F3349C">
        <w:rPr>
          <w:rStyle w:val="AboutandContactBody"/>
          <w:rFonts w:asciiTheme="majorHAnsi" w:hAnsiTheme="majorHAnsi" w:cs="Calibri Light"/>
          <w:b/>
          <w:color w:val="000000" w:themeColor="text1"/>
          <w:szCs w:val="18"/>
          <w:u w:val="single"/>
          <w:lang w:val="fr-FR"/>
        </w:rPr>
      </w:r>
      <w:r w:rsidRPr="00F3349C">
        <w:rPr>
          <w:rStyle w:val="AboutandContactBody"/>
          <w:rFonts w:asciiTheme="majorHAnsi" w:hAnsiTheme="majorHAnsi" w:cs="Calibri Light"/>
          <w:b/>
          <w:color w:val="000000" w:themeColor="text1"/>
          <w:szCs w:val="18"/>
          <w:u w:val="single"/>
          <w:lang w:val="fr-FR"/>
        </w:rPr>
        <w:fldChar w:fldCharType="separate"/>
      </w:r>
    </w:p>
    <w:p w14:paraId="04153E81" w14:textId="45C8951A" w:rsidR="00893006" w:rsidRPr="00F3349C" w:rsidRDefault="00F3349C" w:rsidP="00893006">
      <w:pPr>
        <w:tabs>
          <w:tab w:val="left" w:pos="1080"/>
          <w:tab w:val="left" w:pos="4500"/>
        </w:tabs>
        <w:rPr>
          <w:rStyle w:val="AboutandContactBody"/>
          <w:rFonts w:asciiTheme="majorHAnsi" w:hAnsiTheme="majorHAnsi" w:cs="Calibri Light"/>
          <w:b/>
          <w:color w:val="000000" w:themeColor="text1"/>
          <w:szCs w:val="18"/>
          <w:u w:val="single"/>
          <w:lang w:val="fr-FR"/>
        </w:rPr>
      </w:pPr>
      <w:r w:rsidRPr="00F3349C">
        <w:rPr>
          <w:rStyle w:val="Lienhypertexte"/>
          <w:rFonts w:asciiTheme="majorHAnsi" w:hAnsiTheme="majorHAnsi" w:cs="Calibri Light"/>
          <w:b/>
          <w:color w:val="000000" w:themeColor="text1"/>
          <w:lang w:val="fr-FR"/>
        </w:rPr>
        <w:t>Ce communiqué de presse en français est une traduction de la version originale en anglais</w:t>
      </w:r>
      <w:r w:rsidRPr="00F3349C">
        <w:rPr>
          <w:rStyle w:val="AboutandContactBody"/>
          <w:rFonts w:asciiTheme="majorHAnsi" w:hAnsiTheme="majorHAnsi" w:cs="Calibri Light"/>
          <w:b/>
          <w:color w:val="000000" w:themeColor="text1"/>
          <w:szCs w:val="18"/>
          <w:u w:val="single"/>
          <w:lang w:val="fr-FR"/>
        </w:rPr>
        <w:fldChar w:fldCharType="end"/>
      </w:r>
    </w:p>
    <w:p w14:paraId="78DB5186" w14:textId="77777777" w:rsidR="00F3349C" w:rsidRPr="002C0BB2" w:rsidRDefault="00F3349C" w:rsidP="00893006">
      <w:pPr>
        <w:tabs>
          <w:tab w:val="left" w:pos="1080"/>
          <w:tab w:val="left" w:pos="4500"/>
        </w:tabs>
        <w:rPr>
          <w:rStyle w:val="AboutandContactBody"/>
          <w:rFonts w:asciiTheme="majorHAnsi" w:hAnsiTheme="majorHAnsi" w:cs="Calibri Light"/>
          <w:b/>
          <w:szCs w:val="18"/>
          <w:lang w:val="fr-FR"/>
        </w:rPr>
      </w:pPr>
    </w:p>
    <w:p w14:paraId="3593971B" w14:textId="7F9C92B7" w:rsidR="00893006" w:rsidRDefault="00893006" w:rsidP="00893006">
      <w:pPr>
        <w:tabs>
          <w:tab w:val="left" w:pos="1080"/>
          <w:tab w:val="left" w:pos="4500"/>
        </w:tabs>
        <w:rPr>
          <w:rStyle w:val="AboutandContactBody"/>
          <w:rFonts w:asciiTheme="majorHAnsi" w:hAnsiTheme="majorHAnsi" w:cs="Calibri Light"/>
          <w:b/>
          <w:szCs w:val="18"/>
        </w:rPr>
      </w:pPr>
      <w:r>
        <w:rPr>
          <w:rStyle w:val="AboutandContactBody"/>
          <w:rFonts w:asciiTheme="majorHAnsi" w:hAnsiTheme="majorHAnsi" w:cs="Calibri Light"/>
          <w:b/>
          <w:szCs w:val="18"/>
        </w:rPr>
        <w:t>Contacts</w:t>
      </w:r>
    </w:p>
    <w:p w14:paraId="34B568AC" w14:textId="77777777" w:rsidR="00F3349C" w:rsidRDefault="00F3349C" w:rsidP="00893006">
      <w:pPr>
        <w:tabs>
          <w:tab w:val="left" w:pos="1080"/>
          <w:tab w:val="left" w:pos="4500"/>
        </w:tabs>
        <w:rPr>
          <w:rStyle w:val="AboutandContactBody"/>
          <w:rFonts w:asciiTheme="majorHAnsi" w:hAnsiTheme="majorHAnsi" w:cs="Calibri Light"/>
          <w:b/>
          <w:szCs w:val="18"/>
        </w:rPr>
      </w:pPr>
    </w:p>
    <w:p w14:paraId="51F355D0" w14:textId="77777777" w:rsidR="00F3349C" w:rsidRPr="00386828" w:rsidRDefault="00F3349C" w:rsidP="00F3349C">
      <w:pPr>
        <w:tabs>
          <w:tab w:val="left" w:pos="5291"/>
        </w:tabs>
        <w:rPr>
          <w:b/>
          <w:sz w:val="18"/>
          <w:szCs w:val="18"/>
        </w:rPr>
      </w:pPr>
      <w:bookmarkStart w:id="2" w:name="_Hlk96504170"/>
      <w:r w:rsidRPr="00386828">
        <w:rPr>
          <w:b/>
          <w:sz w:val="18"/>
          <w:szCs w:val="18"/>
        </w:rPr>
        <w:t xml:space="preserve">Henkel </w:t>
      </w:r>
      <w:r w:rsidRPr="00386828">
        <w:rPr>
          <w:b/>
          <w:sz w:val="18"/>
          <w:szCs w:val="18"/>
        </w:rPr>
        <w:tab/>
      </w:r>
      <w:proofErr w:type="spellStart"/>
      <w:r w:rsidRPr="00386828">
        <w:rPr>
          <w:b/>
          <w:sz w:val="18"/>
          <w:szCs w:val="18"/>
        </w:rPr>
        <w:t>Agence</w:t>
      </w:r>
      <w:proofErr w:type="spellEnd"/>
      <w:r w:rsidRPr="00386828">
        <w:rPr>
          <w:b/>
          <w:sz w:val="18"/>
          <w:szCs w:val="18"/>
        </w:rPr>
        <w:t xml:space="preserve"> </w:t>
      </w:r>
      <w:proofErr w:type="spellStart"/>
      <w:r w:rsidRPr="00386828">
        <w:rPr>
          <w:b/>
          <w:sz w:val="18"/>
          <w:szCs w:val="18"/>
        </w:rPr>
        <w:t>Burson</w:t>
      </w:r>
      <w:proofErr w:type="spellEnd"/>
      <w:r w:rsidRPr="00386828">
        <w:rPr>
          <w:b/>
          <w:sz w:val="18"/>
          <w:szCs w:val="18"/>
        </w:rPr>
        <w:t xml:space="preserve"> Cohn &amp; Wolf</w:t>
      </w:r>
    </w:p>
    <w:p w14:paraId="7F2FFE60" w14:textId="4C3F5042" w:rsidR="00F3349C" w:rsidRPr="00D10948" w:rsidRDefault="00F3349C" w:rsidP="00F3349C">
      <w:pPr>
        <w:tabs>
          <w:tab w:val="left" w:pos="5290"/>
          <w:tab w:val="left" w:pos="6036"/>
        </w:tabs>
        <w:spacing w:before="23"/>
        <w:rPr>
          <w:sz w:val="18"/>
          <w:szCs w:val="18"/>
          <w:lang w:val="fr-FR"/>
        </w:rPr>
      </w:pPr>
      <w:r w:rsidRPr="00D10948">
        <w:rPr>
          <w:sz w:val="18"/>
          <w:szCs w:val="18"/>
          <w:lang w:val="fr-FR"/>
        </w:rPr>
        <w:t xml:space="preserve">Octavie Blandin                                                                                </w:t>
      </w:r>
      <w:r>
        <w:rPr>
          <w:sz w:val="18"/>
          <w:szCs w:val="18"/>
          <w:lang w:val="fr-FR"/>
        </w:rPr>
        <w:t xml:space="preserve">  </w:t>
      </w:r>
      <w:r w:rsidRPr="00D10948">
        <w:rPr>
          <w:sz w:val="18"/>
          <w:szCs w:val="18"/>
          <w:lang w:val="fr-FR"/>
        </w:rPr>
        <w:t>Paolo Ghilardi</w:t>
      </w:r>
    </w:p>
    <w:p w14:paraId="6F3EA5B4" w14:textId="501E4B50" w:rsidR="00F3349C" w:rsidRPr="00386828" w:rsidRDefault="00F3349C" w:rsidP="00F3349C">
      <w:pPr>
        <w:tabs>
          <w:tab w:val="left" w:pos="5290"/>
          <w:tab w:val="left" w:pos="6036"/>
        </w:tabs>
        <w:spacing w:before="23"/>
        <w:rPr>
          <w:color w:val="0000FF"/>
          <w:sz w:val="18"/>
          <w:szCs w:val="18"/>
          <w:lang w:val="fr-FR"/>
        </w:rPr>
      </w:pPr>
      <w:r w:rsidRPr="00386828">
        <w:rPr>
          <w:sz w:val="18"/>
          <w:szCs w:val="18"/>
          <w:lang w:val="fr-FR"/>
        </w:rPr>
        <w:t xml:space="preserve">Tél : 01 46 84 92 45                                                            </w:t>
      </w:r>
      <w:r>
        <w:rPr>
          <w:sz w:val="18"/>
          <w:szCs w:val="18"/>
          <w:lang w:val="fr-FR"/>
        </w:rPr>
        <w:t xml:space="preserve">                </w:t>
      </w:r>
      <w:r w:rsidRPr="00386828">
        <w:rPr>
          <w:sz w:val="18"/>
          <w:szCs w:val="18"/>
          <w:lang w:val="fr-FR"/>
        </w:rPr>
        <w:t xml:space="preserve">Tél : 01 56 03 1302 </w:t>
      </w:r>
    </w:p>
    <w:p w14:paraId="5167DBE8" w14:textId="77777777" w:rsidR="00F3349C" w:rsidRPr="00D10948" w:rsidRDefault="00F3349C" w:rsidP="00F3349C">
      <w:pPr>
        <w:tabs>
          <w:tab w:val="left" w:pos="1500"/>
          <w:tab w:val="left" w:pos="5291"/>
          <w:tab w:val="left" w:pos="6036"/>
        </w:tabs>
        <w:spacing w:before="25"/>
        <w:rPr>
          <w:color w:val="000000" w:themeColor="text1"/>
          <w:sz w:val="18"/>
          <w:szCs w:val="18"/>
          <w:lang w:val="fr-FR"/>
        </w:rPr>
      </w:pPr>
      <w:r w:rsidRPr="00D10948">
        <w:rPr>
          <w:color w:val="000000" w:themeColor="text1"/>
          <w:sz w:val="18"/>
          <w:szCs w:val="18"/>
          <w:u w:val="single"/>
          <w:lang w:val="fr-FR"/>
        </w:rPr>
        <w:t>octavie.blandin@henkel.com</w:t>
      </w:r>
      <w:r w:rsidRPr="00D10948">
        <w:rPr>
          <w:color w:val="000000" w:themeColor="text1"/>
          <w:sz w:val="18"/>
          <w:szCs w:val="18"/>
          <w:lang w:val="fr-FR"/>
        </w:rPr>
        <w:tab/>
      </w:r>
      <w:hyperlink r:id="rId13" w:history="1">
        <w:r w:rsidRPr="00D10948">
          <w:rPr>
            <w:rStyle w:val="Lienhypertexte"/>
            <w:color w:val="000000" w:themeColor="text1"/>
            <w:lang w:val="fr-FR"/>
          </w:rPr>
          <w:t>paolo.ghilardi@bcw-global.com</w:t>
        </w:r>
      </w:hyperlink>
    </w:p>
    <w:bookmarkEnd w:id="2"/>
    <w:p w14:paraId="23552B25" w14:textId="78D04F20" w:rsidR="00A15D78" w:rsidRPr="00F3349C" w:rsidRDefault="00A15D78" w:rsidP="008E4CE5">
      <w:pPr>
        <w:tabs>
          <w:tab w:val="left" w:pos="1080"/>
          <w:tab w:val="left" w:pos="4500"/>
        </w:tabs>
        <w:rPr>
          <w:rStyle w:val="Lienhypertexte"/>
          <w:rFonts w:asciiTheme="majorHAnsi" w:hAnsiTheme="majorHAnsi" w:cstheme="majorHAnsi"/>
          <w:strike/>
          <w:lang w:val="fr-FR"/>
        </w:rPr>
      </w:pPr>
    </w:p>
    <w:sectPr w:rsidR="00A15D78" w:rsidRPr="00F3349C" w:rsidSect="003C36F4">
      <w:headerReference w:type="even" r:id="rId14"/>
      <w:footerReference w:type="default" r:id="rId15"/>
      <w:headerReference w:type="first" r:id="rId16"/>
      <w:footerReference w:type="first" r:id="rId17"/>
      <w:pgSz w:w="11907" w:h="16840" w:code="9"/>
      <w:pgMar w:top="1280" w:right="1411" w:bottom="1987" w:left="1411" w:header="1253" w:footer="9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A90B7C" w14:textId="77777777" w:rsidR="00F0323F" w:rsidRDefault="00F0323F">
      <w:r>
        <w:separator/>
      </w:r>
    </w:p>
  </w:endnote>
  <w:endnote w:type="continuationSeparator" w:id="0">
    <w:p w14:paraId="0C7417F3" w14:textId="77777777" w:rsidR="00F0323F" w:rsidRDefault="00F032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D10C9" w14:textId="41F309DA" w:rsidR="00CF6F33" w:rsidRPr="00112A28" w:rsidRDefault="00112A28" w:rsidP="00112A28">
    <w:pPr>
      <w:pStyle w:val="Pieddepage"/>
      <w:tabs>
        <w:tab w:val="clear" w:pos="7083"/>
        <w:tab w:val="clear" w:pos="8640"/>
        <w:tab w:val="right" w:pos="9071"/>
      </w:tabs>
      <w:jc w:val="both"/>
    </w:pPr>
    <w:r w:rsidRPr="00BF6E82">
      <w:t>Henkel AG &amp; Co. KGaA</w:t>
    </w:r>
    <w:r>
      <w:tab/>
    </w:r>
    <w:r w:rsidR="00893006">
      <w:t>Page</w:t>
    </w:r>
    <w:r w:rsidR="00EF55E6" w:rsidRPr="00BF6E82">
      <w:t xml:space="preserve"> </w:t>
    </w:r>
    <w:r w:rsidRPr="00BF6E82">
      <w:fldChar w:fldCharType="begin"/>
    </w:r>
    <w:r w:rsidRPr="00BF6E82">
      <w:instrText xml:space="preserve"> PAGE  \* Arabic  \* MERGEFORMAT </w:instrText>
    </w:r>
    <w:r w:rsidRPr="00BF6E82">
      <w:fldChar w:fldCharType="separate"/>
    </w:r>
    <w:r>
      <w:t>2</w:t>
    </w:r>
    <w:r w:rsidRPr="00BF6E82">
      <w:fldChar w:fldCharType="end"/>
    </w:r>
    <w:r w:rsidRPr="00BF6E82">
      <w:t>/</w:t>
    </w:r>
    <w:r w:rsidR="00F0323F">
      <w:fldChar w:fldCharType="begin"/>
    </w:r>
    <w:r w:rsidR="00F0323F">
      <w:instrText xml:space="preserve"> NUMPAGES  \* Arabic  \* MERGEFORMAT </w:instrText>
    </w:r>
    <w:r w:rsidR="00F0323F">
      <w:fldChar w:fldCharType="separate"/>
    </w:r>
    <w:r>
      <w:t>2</w:t>
    </w:r>
    <w:r w:rsidR="00F0323F">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A058E" w14:textId="5605B131" w:rsidR="00CF6F33" w:rsidRPr="00992A11" w:rsidRDefault="002C0BB2" w:rsidP="00992A11">
    <w:pPr>
      <w:pStyle w:val="Pieddepage"/>
    </w:pPr>
    <w:r w:rsidRPr="00386828">
      <w:drawing>
        <wp:anchor distT="0" distB="0" distL="0" distR="0" simplePos="0" relativeHeight="251660800" behindDoc="1" locked="0" layoutInCell="1" allowOverlap="1" wp14:anchorId="336B8921" wp14:editId="67494758">
          <wp:simplePos x="0" y="0"/>
          <wp:positionH relativeFrom="page">
            <wp:posOffset>895985</wp:posOffset>
          </wp:positionH>
          <wp:positionV relativeFrom="page">
            <wp:posOffset>9593831</wp:posOffset>
          </wp:positionV>
          <wp:extent cx="5552441" cy="295159"/>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5552441" cy="295159"/>
                  </a:xfrm>
                  <a:prstGeom prst="rect">
                    <a:avLst/>
                  </a:prstGeom>
                </pic:spPr>
              </pic:pic>
            </a:graphicData>
          </a:graphic>
        </wp:anchor>
      </w:drawing>
    </w:r>
    <w:r w:rsidR="00893006">
      <w:t>Page</w:t>
    </w:r>
    <w:r w:rsidR="00CF6F33" w:rsidRPr="00992A11">
      <w:t xml:space="preserve"> </w:t>
    </w:r>
    <w:r w:rsidR="00CF6F33" w:rsidRPr="00992A11">
      <w:fldChar w:fldCharType="begin"/>
    </w:r>
    <w:r w:rsidR="00CF6F33" w:rsidRPr="00992A11">
      <w:instrText xml:space="preserve"> </w:instrText>
    </w:r>
    <w:r w:rsidR="00262C05" w:rsidRPr="00992A11">
      <w:instrText>PAGE</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r w:rsidR="00CF6F33" w:rsidRPr="00992A11">
      <w:t>/</w:t>
    </w:r>
    <w:r w:rsidR="00CF6F33" w:rsidRPr="00992A11">
      <w:fldChar w:fldCharType="begin"/>
    </w:r>
    <w:r w:rsidR="00CF6F33" w:rsidRPr="00992A11">
      <w:instrText xml:space="preserve"> </w:instrText>
    </w:r>
    <w:r w:rsidR="00262C05" w:rsidRPr="00992A11">
      <w:instrText>NUMPAGES</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36201C" w14:textId="77777777" w:rsidR="00F0323F" w:rsidRDefault="00F0323F">
      <w:r>
        <w:separator/>
      </w:r>
    </w:p>
  </w:footnote>
  <w:footnote w:type="continuationSeparator" w:id="0">
    <w:p w14:paraId="6D2C425C" w14:textId="77777777" w:rsidR="00F0323F" w:rsidRDefault="00F032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ACE39" w14:textId="77777777" w:rsidR="00112A28" w:rsidRDefault="00112A28" w:rsidP="00112A28">
    <w:pPr>
      <w:pStyle w:val="En-tte"/>
      <w:jc w:val="both"/>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86010" w14:textId="59FD9569" w:rsidR="00CF6F33" w:rsidRPr="00EB46D9" w:rsidRDefault="0059722C" w:rsidP="00E87905">
    <w:pPr>
      <w:pStyle w:val="En-tte"/>
      <w:tabs>
        <w:tab w:val="clear" w:pos="2607"/>
        <w:tab w:val="clear" w:pos="4320"/>
        <w:tab w:val="left" w:pos="0"/>
      </w:tabs>
    </w:pPr>
    <w:r w:rsidRPr="00EB46D9">
      <w:rPr>
        <w:noProof/>
      </w:rPr>
      <w:drawing>
        <wp:anchor distT="0" distB="0" distL="114300" distR="114300" simplePos="0" relativeHeight="251658752" behindDoc="0" locked="1" layoutInCell="1" allowOverlap="1" wp14:anchorId="5559ED3E" wp14:editId="20ECCE45">
          <wp:simplePos x="0" y="0"/>
          <wp:positionH relativeFrom="margin">
            <wp:posOffset>5036820</wp:posOffset>
          </wp:positionH>
          <wp:positionV relativeFrom="margin">
            <wp:posOffset>-1478915</wp:posOffset>
          </wp:positionV>
          <wp:extent cx="1051560" cy="603250"/>
          <wp:effectExtent l="0" t="0" r="0" b="6350"/>
          <wp:wrapNone/>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
                    <a:extLst>
                      <a:ext uri="{28A0092B-C50C-407E-A947-70E740481C1C}">
                        <a14:useLocalDpi xmlns:a14="http://schemas.microsoft.com/office/drawing/2010/main" val="0"/>
                      </a:ext>
                    </a:extLst>
                  </a:blip>
                  <a:srcRect l="4736" t="10539" r="5063" b="12550"/>
                  <a:stretch>
                    <a:fillRect/>
                  </a:stretch>
                </pic:blipFill>
                <pic:spPr bwMode="auto">
                  <a:xfrm>
                    <a:off x="0" y="0"/>
                    <a:ext cx="1051560" cy="603250"/>
                  </a:xfrm>
                  <a:prstGeom prst="rect">
                    <a:avLst/>
                  </a:prstGeom>
                  <a:noFill/>
                </pic:spPr>
              </pic:pic>
            </a:graphicData>
          </a:graphic>
          <wp14:sizeRelH relativeFrom="page">
            <wp14:pctWidth>0</wp14:pctWidth>
          </wp14:sizeRelH>
          <wp14:sizeRelV relativeFrom="page">
            <wp14:pctHeight>0</wp14:pctHeight>
          </wp14:sizeRelV>
        </wp:anchor>
      </w:drawing>
    </w:r>
    <w:r w:rsidRPr="00EB46D9">
      <w:rPr>
        <w:noProof/>
      </w:rPr>
      <mc:AlternateContent>
        <mc:Choice Requires="wpg">
          <w:drawing>
            <wp:anchor distT="0" distB="0" distL="114300" distR="114300" simplePos="0" relativeHeight="251656704" behindDoc="0" locked="0" layoutInCell="1" allowOverlap="1" wp14:anchorId="76D561A9" wp14:editId="7310849B">
              <wp:simplePos x="0" y="0"/>
              <wp:positionH relativeFrom="page">
                <wp:posOffset>180340</wp:posOffset>
              </wp:positionH>
              <wp:positionV relativeFrom="page">
                <wp:posOffset>3780790</wp:posOffset>
              </wp:positionV>
              <wp:extent cx="179705" cy="3780155"/>
              <wp:effectExtent l="0" t="0" r="1905" b="11430"/>
              <wp:wrapNone/>
              <wp:docPr id="2"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3" name="Line 17"/>
                      <wps:cNvCnPr>
                        <a:cxnSpLocks noChangeShapeType="1"/>
                      </wps:cNvCnPr>
                      <wps:spPr bwMode="auto">
                        <a:xfrm>
                          <a:off x="0" y="5954"/>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4" name="Line 18"/>
                      <wps:cNvCnPr>
                        <a:cxnSpLocks noChangeShapeType="1"/>
                      </wps:cNvCnPr>
                      <wps:spPr bwMode="auto">
                        <a:xfrm>
                          <a:off x="0" y="8420"/>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5" name="Line 19"/>
                      <wps:cNvCnPr>
                        <a:cxnSpLocks noChangeShapeType="1"/>
                      </wps:cNvCnPr>
                      <wps:spPr bwMode="auto">
                        <a:xfrm>
                          <a:off x="0" y="11907"/>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g:wgp>
                </a:graphicData>
              </a:graphic>
              <wp14:sizeRelH relativeFrom="page">
                <wp14:pctWidth>0</wp14:pctWidth>
              </wp14:sizeRelH>
              <wp14:sizeRelV relativeFrom="page">
                <wp14:pctHeight>0</wp14:pctHeight>
              </wp14:sizeRelV>
            </wp:anchor>
          </w:drawing>
        </mc:Choice>
        <mc:Fallback xmlns:oel="http://schemas.microsoft.com/office/2019/extlst">
          <w:pict>
            <v:group w14:anchorId="2CA99ED5" id="Group 16" o:spid="_x0000_s1026" style="position:absolute;margin-left:14.2pt;margin-top:297.7pt;width:14.15pt;height:297.65pt;z-index:251656704;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" stroked="f"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" stroked="f"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" stroked="f" strokecolor="#e1000f" strokeweight=".5pt"/>
              <w10:wrap anchorx="page" anchory="page"/>
            </v:group>
          </w:pict>
        </mc:Fallback>
      </mc:AlternateContent>
    </w:r>
    <w:r w:rsidR="00E87905">
      <w:rPr>
        <w:noProof/>
      </w:rPr>
      <w:tab/>
    </w:r>
    <w:r w:rsidR="002C0BB2">
      <w:rPr>
        <w:noProof/>
      </w:rPr>
      <w:t>Communiqué de presse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614AC"/>
    <w:multiLevelType w:val="hybridMultilevel"/>
    <w:tmpl w:val="DBCE1744"/>
    <w:lvl w:ilvl="0" w:tplc="35FC6D76">
      <w:start w:val="1"/>
      <w:numFmt w:val="bullet"/>
      <w:pStyle w:val="He01FlietextAufzhlung1Ebene"/>
      <w:lvlText w:val=""/>
      <w:lvlJc w:val="left"/>
      <w:pPr>
        <w:ind w:left="360" w:hanging="360"/>
      </w:pPr>
      <w:rPr>
        <w:rFonts w:ascii="Wingdings" w:hAnsi="Wingdings" w:hint="default"/>
        <w:color w:val="D7000F"/>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2337B7E"/>
    <w:multiLevelType w:val="hybridMultilevel"/>
    <w:tmpl w:val="CF70792A"/>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38E1865"/>
    <w:multiLevelType w:val="hybridMultilevel"/>
    <w:tmpl w:val="4A063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D6A57BC"/>
    <w:multiLevelType w:val="hybridMultilevel"/>
    <w:tmpl w:val="85C68208"/>
    <w:lvl w:ilvl="0" w:tplc="04070011">
      <w:start w:val="1"/>
      <w:numFmt w:val="decimal"/>
      <w:lvlText w:val="%1)"/>
      <w:lvlJc w:val="left"/>
      <w:pPr>
        <w:ind w:left="720" w:hanging="360"/>
      </w:pPr>
      <w:rPr>
        <w:rFonts w:hint="default"/>
      </w:rPr>
    </w:lvl>
    <w:lvl w:ilvl="1" w:tplc="04070001">
      <w:start w:val="1"/>
      <w:numFmt w:val="bullet"/>
      <w:lvlText w:val=""/>
      <w:lvlJc w:val="left"/>
      <w:pPr>
        <w:ind w:left="1440" w:hanging="360"/>
      </w:pPr>
      <w:rPr>
        <w:rFonts w:ascii="Symbol" w:hAnsi="Symbol" w:hint="default"/>
      </w:rPr>
    </w:lvl>
    <w:lvl w:ilvl="2" w:tplc="0407001B">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51156E8"/>
    <w:multiLevelType w:val="hybridMultilevel"/>
    <w:tmpl w:val="DDEC27DC"/>
    <w:lvl w:ilvl="0" w:tplc="4A38C75E">
      <w:start w:val="10"/>
      <w:numFmt w:val="bullet"/>
      <w:lvlText w:val="-"/>
      <w:lvlJc w:val="left"/>
      <w:pPr>
        <w:ind w:left="720" w:hanging="360"/>
      </w:pPr>
      <w:rPr>
        <w:rFonts w:ascii="Segoe UI" w:eastAsiaTheme="minorHAnsi" w:hAnsi="Segoe UI" w:cs="Segoe U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16740AFE"/>
    <w:multiLevelType w:val="hybridMultilevel"/>
    <w:tmpl w:val="8442514E"/>
    <w:lvl w:ilvl="0" w:tplc="494C7AEE">
      <w:start w:val="1"/>
      <w:numFmt w:val="bullet"/>
      <w:pStyle w:val="He01FlietextAufzhlung2Ebene"/>
      <w:lvlText w:val="–"/>
      <w:lvlJc w:val="left"/>
      <w:pPr>
        <w:ind w:left="700" w:hanging="360"/>
      </w:pPr>
      <w:rPr>
        <w:rFonts w:ascii="Segoe UI" w:hAnsi="Segoe UI" w:hint="default"/>
        <w:color w:val="D7000F"/>
      </w:rPr>
    </w:lvl>
    <w:lvl w:ilvl="1" w:tplc="04070003" w:tentative="1">
      <w:start w:val="1"/>
      <w:numFmt w:val="bullet"/>
      <w:lvlText w:val="o"/>
      <w:lvlJc w:val="left"/>
      <w:pPr>
        <w:ind w:left="1780" w:hanging="360"/>
      </w:pPr>
      <w:rPr>
        <w:rFonts w:ascii="Courier New" w:hAnsi="Courier New" w:cs="Courier New" w:hint="default"/>
      </w:rPr>
    </w:lvl>
    <w:lvl w:ilvl="2" w:tplc="04070005" w:tentative="1">
      <w:start w:val="1"/>
      <w:numFmt w:val="bullet"/>
      <w:lvlText w:val=""/>
      <w:lvlJc w:val="left"/>
      <w:pPr>
        <w:ind w:left="2500" w:hanging="360"/>
      </w:pPr>
      <w:rPr>
        <w:rFonts w:ascii="Wingdings" w:hAnsi="Wingdings" w:hint="default"/>
      </w:rPr>
    </w:lvl>
    <w:lvl w:ilvl="3" w:tplc="04070001" w:tentative="1">
      <w:start w:val="1"/>
      <w:numFmt w:val="bullet"/>
      <w:lvlText w:val=""/>
      <w:lvlJc w:val="left"/>
      <w:pPr>
        <w:ind w:left="3220" w:hanging="360"/>
      </w:pPr>
      <w:rPr>
        <w:rFonts w:ascii="Symbol" w:hAnsi="Symbol" w:hint="default"/>
      </w:rPr>
    </w:lvl>
    <w:lvl w:ilvl="4" w:tplc="04070003" w:tentative="1">
      <w:start w:val="1"/>
      <w:numFmt w:val="bullet"/>
      <w:lvlText w:val="o"/>
      <w:lvlJc w:val="left"/>
      <w:pPr>
        <w:ind w:left="3940" w:hanging="360"/>
      </w:pPr>
      <w:rPr>
        <w:rFonts w:ascii="Courier New" w:hAnsi="Courier New" w:cs="Courier New" w:hint="default"/>
      </w:rPr>
    </w:lvl>
    <w:lvl w:ilvl="5" w:tplc="04070005" w:tentative="1">
      <w:start w:val="1"/>
      <w:numFmt w:val="bullet"/>
      <w:lvlText w:val=""/>
      <w:lvlJc w:val="left"/>
      <w:pPr>
        <w:ind w:left="4660" w:hanging="360"/>
      </w:pPr>
      <w:rPr>
        <w:rFonts w:ascii="Wingdings" w:hAnsi="Wingdings" w:hint="default"/>
      </w:rPr>
    </w:lvl>
    <w:lvl w:ilvl="6" w:tplc="04070001" w:tentative="1">
      <w:start w:val="1"/>
      <w:numFmt w:val="bullet"/>
      <w:lvlText w:val=""/>
      <w:lvlJc w:val="left"/>
      <w:pPr>
        <w:ind w:left="5380" w:hanging="360"/>
      </w:pPr>
      <w:rPr>
        <w:rFonts w:ascii="Symbol" w:hAnsi="Symbol" w:hint="default"/>
      </w:rPr>
    </w:lvl>
    <w:lvl w:ilvl="7" w:tplc="04070003" w:tentative="1">
      <w:start w:val="1"/>
      <w:numFmt w:val="bullet"/>
      <w:lvlText w:val="o"/>
      <w:lvlJc w:val="left"/>
      <w:pPr>
        <w:ind w:left="6100" w:hanging="360"/>
      </w:pPr>
      <w:rPr>
        <w:rFonts w:ascii="Courier New" w:hAnsi="Courier New" w:cs="Courier New" w:hint="default"/>
      </w:rPr>
    </w:lvl>
    <w:lvl w:ilvl="8" w:tplc="04070005" w:tentative="1">
      <w:start w:val="1"/>
      <w:numFmt w:val="bullet"/>
      <w:lvlText w:val=""/>
      <w:lvlJc w:val="left"/>
      <w:pPr>
        <w:ind w:left="6820" w:hanging="360"/>
      </w:pPr>
      <w:rPr>
        <w:rFonts w:ascii="Wingdings" w:hAnsi="Wingdings" w:hint="default"/>
      </w:rPr>
    </w:lvl>
  </w:abstractNum>
  <w:abstractNum w:abstractNumId="7" w15:restartNumberingAfterBreak="0">
    <w:nsid w:val="210B585C"/>
    <w:multiLevelType w:val="hybridMultilevel"/>
    <w:tmpl w:val="70D4F3A4"/>
    <w:lvl w:ilvl="0" w:tplc="68061C8C">
      <w:start w:val="1"/>
      <w:numFmt w:val="bullet"/>
      <w:lvlText w:val=""/>
      <w:lvlJc w:val="left"/>
      <w:pPr>
        <w:ind w:left="1004" w:hanging="360"/>
      </w:pPr>
      <w:rPr>
        <w:rFonts w:ascii="Wingdings" w:hAnsi="Wingdings" w:hint="default"/>
        <w:sz w:val="24"/>
        <w:szCs w:val="24"/>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8" w15:restartNumberingAfterBreak="0">
    <w:nsid w:val="3F4B6752"/>
    <w:multiLevelType w:val="hybridMultilevel"/>
    <w:tmpl w:val="1DAEF754"/>
    <w:lvl w:ilvl="0" w:tplc="36002C28">
      <w:start w:val="1"/>
      <w:numFmt w:val="bullet"/>
      <w:lvlText w:val=""/>
      <w:lvlJc w:val="left"/>
      <w:pPr>
        <w:ind w:left="360" w:hanging="360"/>
      </w:pPr>
      <w:rPr>
        <w:rFonts w:ascii="Wingdings" w:hAnsi="Wingdings" w:hint="default"/>
        <w:color w:val="E1000F"/>
        <w:sz w:val="24"/>
        <w:szCs w:val="24"/>
      </w:rPr>
    </w:lvl>
    <w:lvl w:ilvl="1" w:tplc="645A6B9C">
      <w:numFmt w:val="bullet"/>
      <w:lvlText w:val="-"/>
      <w:lvlJc w:val="left"/>
      <w:pPr>
        <w:ind w:left="1080" w:hanging="360"/>
      </w:pPr>
      <w:rPr>
        <w:rFonts w:ascii="Arial" w:hAnsi="Arial" w:hint="default"/>
        <w:color w:val="FF0000"/>
      </w:rPr>
    </w:lvl>
    <w:lvl w:ilvl="2" w:tplc="04070005" w:tentative="1">
      <w:start w:val="1"/>
      <w:numFmt w:val="bullet"/>
      <w:lvlText w:val=""/>
      <w:lvlJc w:val="left"/>
      <w:pPr>
        <w:ind w:left="1800" w:hanging="360"/>
      </w:pPr>
      <w:rPr>
        <w:rFonts w:ascii="Wingdings" w:hAnsi="Wingdings" w:cs="Wingdings" w:hint="default"/>
      </w:rPr>
    </w:lvl>
    <w:lvl w:ilvl="3" w:tplc="04070001" w:tentative="1">
      <w:start w:val="1"/>
      <w:numFmt w:val="bullet"/>
      <w:lvlText w:val=""/>
      <w:lvlJc w:val="left"/>
      <w:pPr>
        <w:ind w:left="2520" w:hanging="360"/>
      </w:pPr>
      <w:rPr>
        <w:rFonts w:ascii="Symbol" w:hAnsi="Symbol" w:cs="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cs="Wingdings" w:hint="default"/>
      </w:rPr>
    </w:lvl>
    <w:lvl w:ilvl="6" w:tplc="04070001" w:tentative="1">
      <w:start w:val="1"/>
      <w:numFmt w:val="bullet"/>
      <w:lvlText w:val=""/>
      <w:lvlJc w:val="left"/>
      <w:pPr>
        <w:ind w:left="4680" w:hanging="360"/>
      </w:pPr>
      <w:rPr>
        <w:rFonts w:ascii="Symbol" w:hAnsi="Symbol" w:cs="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cs="Wingdings" w:hint="default"/>
      </w:rPr>
    </w:lvl>
  </w:abstractNum>
  <w:abstractNum w:abstractNumId="9" w15:restartNumberingAfterBreak="0">
    <w:nsid w:val="40C5131F"/>
    <w:multiLevelType w:val="hybridMultilevel"/>
    <w:tmpl w:val="8F8421BE"/>
    <w:lvl w:ilvl="0" w:tplc="04070005">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10" w15:restartNumberingAfterBreak="0">
    <w:nsid w:val="4A903C5C"/>
    <w:multiLevelType w:val="hybridMultilevel"/>
    <w:tmpl w:val="CB761BBE"/>
    <w:lvl w:ilvl="0" w:tplc="645A6B9C">
      <w:numFmt w:val="bullet"/>
      <w:lvlText w:val="-"/>
      <w:lvlJc w:val="left"/>
      <w:pPr>
        <w:ind w:left="360" w:hanging="360"/>
      </w:pPr>
      <w:rPr>
        <w:rFonts w:ascii="Arial" w:hAnsi="Arial" w:hint="default"/>
        <w:color w:val="FF0000"/>
        <w:sz w:val="24"/>
        <w:szCs w:val="24"/>
      </w:rPr>
    </w:lvl>
    <w:lvl w:ilvl="1" w:tplc="FFFFFFFF">
      <w:numFmt w:val="bullet"/>
      <w:lvlText w:val="-"/>
      <w:lvlJc w:val="left"/>
      <w:pPr>
        <w:ind w:left="1080" w:hanging="360"/>
      </w:pPr>
      <w:rPr>
        <w:rFonts w:ascii="Arial" w:hAnsi="Arial" w:hint="default"/>
        <w:color w:val="FF0000"/>
      </w:rPr>
    </w:lvl>
    <w:lvl w:ilvl="2" w:tplc="FFFFFFFF" w:tentative="1">
      <w:start w:val="1"/>
      <w:numFmt w:val="bullet"/>
      <w:lvlText w:val=""/>
      <w:lvlJc w:val="left"/>
      <w:pPr>
        <w:ind w:left="1800" w:hanging="360"/>
      </w:pPr>
      <w:rPr>
        <w:rFonts w:ascii="Wingdings" w:hAnsi="Wingdings" w:cs="Wingdings" w:hint="default"/>
      </w:rPr>
    </w:lvl>
    <w:lvl w:ilvl="3" w:tplc="FFFFFFFF" w:tentative="1">
      <w:start w:val="1"/>
      <w:numFmt w:val="bullet"/>
      <w:lvlText w:val=""/>
      <w:lvlJc w:val="left"/>
      <w:pPr>
        <w:ind w:left="2520" w:hanging="360"/>
      </w:pPr>
      <w:rPr>
        <w:rFonts w:ascii="Symbol" w:hAnsi="Symbol" w:cs="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cs="Wingdings" w:hint="default"/>
      </w:rPr>
    </w:lvl>
    <w:lvl w:ilvl="6" w:tplc="FFFFFFFF" w:tentative="1">
      <w:start w:val="1"/>
      <w:numFmt w:val="bullet"/>
      <w:lvlText w:val=""/>
      <w:lvlJc w:val="left"/>
      <w:pPr>
        <w:ind w:left="4680" w:hanging="360"/>
      </w:pPr>
      <w:rPr>
        <w:rFonts w:ascii="Symbol" w:hAnsi="Symbol" w:cs="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cs="Wingdings" w:hint="default"/>
      </w:rPr>
    </w:lvl>
  </w:abstractNum>
  <w:abstractNum w:abstractNumId="11" w15:restartNumberingAfterBreak="0">
    <w:nsid w:val="549B0C97"/>
    <w:multiLevelType w:val="hybridMultilevel"/>
    <w:tmpl w:val="DCD2F366"/>
    <w:lvl w:ilvl="0" w:tplc="53A085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E5769E6"/>
    <w:multiLevelType w:val="hybridMultilevel"/>
    <w:tmpl w:val="D9E0EF28"/>
    <w:lvl w:ilvl="0" w:tplc="66AA28AA">
      <w:start w:val="1"/>
      <w:numFmt w:val="bullet"/>
      <w:lvlText w:val=""/>
      <w:lvlJc w:val="left"/>
      <w:pPr>
        <w:tabs>
          <w:tab w:val="num" w:pos="720"/>
        </w:tabs>
        <w:ind w:left="720" w:hanging="360"/>
      </w:pPr>
      <w:rPr>
        <w:rFonts w:ascii="Wingdings" w:hAnsi="Wingdings" w:hint="default"/>
      </w:rPr>
    </w:lvl>
    <w:lvl w:ilvl="1" w:tplc="477830D6" w:tentative="1">
      <w:start w:val="1"/>
      <w:numFmt w:val="bullet"/>
      <w:lvlText w:val=""/>
      <w:lvlJc w:val="left"/>
      <w:pPr>
        <w:tabs>
          <w:tab w:val="num" w:pos="1440"/>
        </w:tabs>
        <w:ind w:left="1440" w:hanging="360"/>
      </w:pPr>
      <w:rPr>
        <w:rFonts w:ascii="Wingdings" w:hAnsi="Wingdings" w:hint="default"/>
      </w:rPr>
    </w:lvl>
    <w:lvl w:ilvl="2" w:tplc="06928270" w:tentative="1">
      <w:start w:val="1"/>
      <w:numFmt w:val="bullet"/>
      <w:lvlText w:val=""/>
      <w:lvlJc w:val="left"/>
      <w:pPr>
        <w:tabs>
          <w:tab w:val="num" w:pos="2160"/>
        </w:tabs>
        <w:ind w:left="2160" w:hanging="360"/>
      </w:pPr>
      <w:rPr>
        <w:rFonts w:ascii="Wingdings" w:hAnsi="Wingdings" w:hint="default"/>
      </w:rPr>
    </w:lvl>
    <w:lvl w:ilvl="3" w:tplc="98FEE14A" w:tentative="1">
      <w:start w:val="1"/>
      <w:numFmt w:val="bullet"/>
      <w:lvlText w:val=""/>
      <w:lvlJc w:val="left"/>
      <w:pPr>
        <w:tabs>
          <w:tab w:val="num" w:pos="2880"/>
        </w:tabs>
        <w:ind w:left="2880" w:hanging="360"/>
      </w:pPr>
      <w:rPr>
        <w:rFonts w:ascii="Wingdings" w:hAnsi="Wingdings" w:hint="default"/>
      </w:rPr>
    </w:lvl>
    <w:lvl w:ilvl="4" w:tplc="65C000FE" w:tentative="1">
      <w:start w:val="1"/>
      <w:numFmt w:val="bullet"/>
      <w:lvlText w:val=""/>
      <w:lvlJc w:val="left"/>
      <w:pPr>
        <w:tabs>
          <w:tab w:val="num" w:pos="3600"/>
        </w:tabs>
        <w:ind w:left="3600" w:hanging="360"/>
      </w:pPr>
      <w:rPr>
        <w:rFonts w:ascii="Wingdings" w:hAnsi="Wingdings" w:hint="default"/>
      </w:rPr>
    </w:lvl>
    <w:lvl w:ilvl="5" w:tplc="7A7C8DFE" w:tentative="1">
      <w:start w:val="1"/>
      <w:numFmt w:val="bullet"/>
      <w:lvlText w:val=""/>
      <w:lvlJc w:val="left"/>
      <w:pPr>
        <w:tabs>
          <w:tab w:val="num" w:pos="4320"/>
        </w:tabs>
        <w:ind w:left="4320" w:hanging="360"/>
      </w:pPr>
      <w:rPr>
        <w:rFonts w:ascii="Wingdings" w:hAnsi="Wingdings" w:hint="default"/>
      </w:rPr>
    </w:lvl>
    <w:lvl w:ilvl="6" w:tplc="E3E800D2" w:tentative="1">
      <w:start w:val="1"/>
      <w:numFmt w:val="bullet"/>
      <w:lvlText w:val=""/>
      <w:lvlJc w:val="left"/>
      <w:pPr>
        <w:tabs>
          <w:tab w:val="num" w:pos="5040"/>
        </w:tabs>
        <w:ind w:left="5040" w:hanging="360"/>
      </w:pPr>
      <w:rPr>
        <w:rFonts w:ascii="Wingdings" w:hAnsi="Wingdings" w:hint="default"/>
      </w:rPr>
    </w:lvl>
    <w:lvl w:ilvl="7" w:tplc="D6ECB5B8" w:tentative="1">
      <w:start w:val="1"/>
      <w:numFmt w:val="bullet"/>
      <w:lvlText w:val=""/>
      <w:lvlJc w:val="left"/>
      <w:pPr>
        <w:tabs>
          <w:tab w:val="num" w:pos="5760"/>
        </w:tabs>
        <w:ind w:left="5760" w:hanging="360"/>
      </w:pPr>
      <w:rPr>
        <w:rFonts w:ascii="Wingdings" w:hAnsi="Wingdings" w:hint="default"/>
      </w:rPr>
    </w:lvl>
    <w:lvl w:ilvl="8" w:tplc="CF28ABAC"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1680E66"/>
    <w:multiLevelType w:val="hybridMultilevel"/>
    <w:tmpl w:val="21C29936"/>
    <w:lvl w:ilvl="0" w:tplc="36002C28">
      <w:start w:val="1"/>
      <w:numFmt w:val="bullet"/>
      <w:lvlText w:val=""/>
      <w:lvlJc w:val="left"/>
      <w:pPr>
        <w:tabs>
          <w:tab w:val="num" w:pos="720"/>
        </w:tabs>
        <w:ind w:left="720" w:hanging="360"/>
      </w:pPr>
      <w:rPr>
        <w:rFonts w:ascii="Wingdings" w:hAnsi="Wingdings" w:hint="default"/>
        <w:color w:val="E1000F"/>
        <w:sz w:val="24"/>
        <w:szCs w:val="24"/>
      </w:rPr>
    </w:lvl>
    <w:lvl w:ilvl="1" w:tplc="FFFFFFFF" w:tentative="1">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Wingdings" w:hAnsi="Wingdings" w:hint="default"/>
      </w:rPr>
    </w:lvl>
    <w:lvl w:ilvl="4" w:tplc="FFFFFFFF" w:tentative="1">
      <w:start w:val="1"/>
      <w:numFmt w:val="bullet"/>
      <w:lvlText w:val=""/>
      <w:lvlJc w:val="left"/>
      <w:pPr>
        <w:tabs>
          <w:tab w:val="num" w:pos="3600"/>
        </w:tabs>
        <w:ind w:left="3600" w:hanging="360"/>
      </w:pPr>
      <w:rPr>
        <w:rFonts w:ascii="Wingdings" w:hAnsi="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Wingdings" w:hAnsi="Wingdings" w:hint="default"/>
      </w:rPr>
    </w:lvl>
    <w:lvl w:ilvl="7" w:tplc="FFFFFFFF" w:tentative="1">
      <w:start w:val="1"/>
      <w:numFmt w:val="bullet"/>
      <w:lvlText w:val=""/>
      <w:lvlJc w:val="left"/>
      <w:pPr>
        <w:tabs>
          <w:tab w:val="num" w:pos="5760"/>
        </w:tabs>
        <w:ind w:left="5760" w:hanging="360"/>
      </w:pPr>
      <w:rPr>
        <w:rFonts w:ascii="Wingdings" w:hAnsi="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9A0646A"/>
    <w:multiLevelType w:val="multilevel"/>
    <w:tmpl w:val="4C0A89AC"/>
    <w:lvl w:ilvl="0">
      <w:start w:val="1"/>
      <w:numFmt w:val="none"/>
      <w:pStyle w:val="THe01berschrift"/>
      <w:suff w:val="nothing"/>
      <w:lvlText w:val="%1"/>
      <w:lvlJc w:val="left"/>
      <w:pPr>
        <w:ind w:left="0" w:firstLine="0"/>
      </w:pPr>
      <w:rPr>
        <w:rFonts w:hint="default"/>
      </w:rPr>
    </w:lvl>
    <w:lvl w:ilvl="1">
      <w:start w:val="1"/>
      <w:numFmt w:val="decimal"/>
      <w:pStyle w:val="THe02liFunotenummeriert"/>
      <w:lvlText w:val="%2"/>
      <w:lvlJc w:val="left"/>
      <w:pPr>
        <w:ind w:left="85" w:hanging="85"/>
      </w:pPr>
      <w:rPr>
        <w:rFonts w:hint="default"/>
        <w:vertAlign w:val="superscrip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6A89532E"/>
    <w:multiLevelType w:val="hybridMultilevel"/>
    <w:tmpl w:val="357663A0"/>
    <w:lvl w:ilvl="0" w:tplc="5FB28F00">
      <w:start w:val="1"/>
      <w:numFmt w:val="bullet"/>
      <w:lvlText w:val=""/>
      <w:lvlJc w:val="left"/>
      <w:pPr>
        <w:ind w:left="786" w:hanging="360"/>
      </w:pPr>
      <w:rPr>
        <w:rFonts w:ascii="Wingdings" w:hAnsi="Wingdings" w:hint="default"/>
        <w:sz w:val="24"/>
        <w:szCs w:val="24"/>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6B141DDE"/>
    <w:multiLevelType w:val="hybridMultilevel"/>
    <w:tmpl w:val="ECBEF02E"/>
    <w:lvl w:ilvl="0" w:tplc="FFFFFFF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Symbol" w:hAnsi="Symbol" w:hint="default"/>
      </w:rPr>
    </w:lvl>
    <w:lvl w:ilvl="2" w:tplc="04070001">
      <w:start w:val="1"/>
      <w:numFmt w:val="bullet"/>
      <w:lvlText w:val=""/>
      <w:lvlJc w:val="left"/>
      <w:pPr>
        <w:ind w:left="2160" w:hanging="180"/>
      </w:pPr>
      <w:rPr>
        <w:rFonts w:ascii="Symbol" w:hAnsi="Symbol"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6B933F95"/>
    <w:multiLevelType w:val="hybridMultilevel"/>
    <w:tmpl w:val="28D26832"/>
    <w:lvl w:ilvl="0" w:tplc="B802AF2E">
      <w:start w:val="10"/>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75522C2D"/>
    <w:multiLevelType w:val="hybridMultilevel"/>
    <w:tmpl w:val="F03259A8"/>
    <w:lvl w:ilvl="0" w:tplc="04070005">
      <w:start w:val="1"/>
      <w:numFmt w:val="bullet"/>
      <w:lvlText w:val=""/>
      <w:lvlJc w:val="left"/>
      <w:pPr>
        <w:ind w:left="720" w:hanging="360"/>
      </w:pPr>
      <w:rPr>
        <w:rFonts w:ascii="Wingdings" w:hAnsi="Wingdings"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5"/>
  </w:num>
  <w:num w:numId="4">
    <w:abstractNumId w:val="9"/>
  </w:num>
  <w:num w:numId="5">
    <w:abstractNumId w:val="7"/>
  </w:num>
  <w:num w:numId="6">
    <w:abstractNumId w:val="11"/>
  </w:num>
  <w:num w:numId="7">
    <w:abstractNumId w:val="8"/>
  </w:num>
  <w:num w:numId="8">
    <w:abstractNumId w:val="0"/>
  </w:num>
  <w:num w:numId="9">
    <w:abstractNumId w:val="14"/>
  </w:num>
  <w:num w:numId="10">
    <w:abstractNumId w:val="6"/>
  </w:num>
  <w:num w:numId="11">
    <w:abstractNumId w:val="17"/>
  </w:num>
  <w:num w:numId="12">
    <w:abstractNumId w:val="4"/>
  </w:num>
  <w:num w:numId="13">
    <w:abstractNumId w:val="16"/>
  </w:num>
  <w:num w:numId="14">
    <w:abstractNumId w:val="18"/>
  </w:num>
  <w:num w:numId="15">
    <w:abstractNumId w:val="5"/>
  </w:num>
  <w:num w:numId="16">
    <w:abstractNumId w:val="12"/>
  </w:num>
  <w:num w:numId="17">
    <w:abstractNumId w:val="13"/>
  </w:num>
  <w:num w:numId="18">
    <w:abstractNumId w:val="1"/>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PWAFVersion" w:val="5.0"/>
  </w:docVars>
  <w:rsids>
    <w:rsidRoot w:val="0033451C"/>
    <w:rsid w:val="00000839"/>
    <w:rsid w:val="00002AA4"/>
    <w:rsid w:val="0000321D"/>
    <w:rsid w:val="00005267"/>
    <w:rsid w:val="00006346"/>
    <w:rsid w:val="000069EB"/>
    <w:rsid w:val="00006A45"/>
    <w:rsid w:val="00007ACA"/>
    <w:rsid w:val="0001002C"/>
    <w:rsid w:val="00010B8E"/>
    <w:rsid w:val="0001158A"/>
    <w:rsid w:val="000117AD"/>
    <w:rsid w:val="00015E27"/>
    <w:rsid w:val="00016137"/>
    <w:rsid w:val="0001793F"/>
    <w:rsid w:val="000211FD"/>
    <w:rsid w:val="00021C67"/>
    <w:rsid w:val="000229DD"/>
    <w:rsid w:val="00023179"/>
    <w:rsid w:val="00025106"/>
    <w:rsid w:val="00025430"/>
    <w:rsid w:val="00027932"/>
    <w:rsid w:val="000301F0"/>
    <w:rsid w:val="00030202"/>
    <w:rsid w:val="00030557"/>
    <w:rsid w:val="00030701"/>
    <w:rsid w:val="00030BA0"/>
    <w:rsid w:val="00030F51"/>
    <w:rsid w:val="00031FAF"/>
    <w:rsid w:val="000343EB"/>
    <w:rsid w:val="00034AD1"/>
    <w:rsid w:val="00035A84"/>
    <w:rsid w:val="000372E0"/>
    <w:rsid w:val="0004027E"/>
    <w:rsid w:val="00040C1B"/>
    <w:rsid w:val="00040CC9"/>
    <w:rsid w:val="000423FE"/>
    <w:rsid w:val="000425ED"/>
    <w:rsid w:val="00042726"/>
    <w:rsid w:val="000442A9"/>
    <w:rsid w:val="00046B63"/>
    <w:rsid w:val="000510FC"/>
    <w:rsid w:val="00051E86"/>
    <w:rsid w:val="00052338"/>
    <w:rsid w:val="000527CE"/>
    <w:rsid w:val="00053FD2"/>
    <w:rsid w:val="00054AFE"/>
    <w:rsid w:val="00055487"/>
    <w:rsid w:val="000555E6"/>
    <w:rsid w:val="000575F9"/>
    <w:rsid w:val="000618FC"/>
    <w:rsid w:val="00062B50"/>
    <w:rsid w:val="00062CE8"/>
    <w:rsid w:val="00065D64"/>
    <w:rsid w:val="000665F3"/>
    <w:rsid w:val="00066B26"/>
    <w:rsid w:val="00067071"/>
    <w:rsid w:val="00067F67"/>
    <w:rsid w:val="0007032F"/>
    <w:rsid w:val="00070757"/>
    <w:rsid w:val="00072591"/>
    <w:rsid w:val="000725D1"/>
    <w:rsid w:val="000751A7"/>
    <w:rsid w:val="000760C4"/>
    <w:rsid w:val="0007681C"/>
    <w:rsid w:val="00076992"/>
    <w:rsid w:val="00077681"/>
    <w:rsid w:val="00077AF9"/>
    <w:rsid w:val="00080D10"/>
    <w:rsid w:val="00081241"/>
    <w:rsid w:val="00081EF8"/>
    <w:rsid w:val="00082BDE"/>
    <w:rsid w:val="0008357F"/>
    <w:rsid w:val="0008406B"/>
    <w:rsid w:val="00092814"/>
    <w:rsid w:val="00092B87"/>
    <w:rsid w:val="0009456C"/>
    <w:rsid w:val="00094EA2"/>
    <w:rsid w:val="00096AD4"/>
    <w:rsid w:val="000972B9"/>
    <w:rsid w:val="000A1F17"/>
    <w:rsid w:val="000A6808"/>
    <w:rsid w:val="000A7E38"/>
    <w:rsid w:val="000B005C"/>
    <w:rsid w:val="000B2E86"/>
    <w:rsid w:val="000B397F"/>
    <w:rsid w:val="000B50B6"/>
    <w:rsid w:val="000B52BE"/>
    <w:rsid w:val="000B598C"/>
    <w:rsid w:val="000B5D2F"/>
    <w:rsid w:val="000B6244"/>
    <w:rsid w:val="000B695A"/>
    <w:rsid w:val="000B72A8"/>
    <w:rsid w:val="000C03F4"/>
    <w:rsid w:val="000C0DB8"/>
    <w:rsid w:val="000C101C"/>
    <w:rsid w:val="000C19B8"/>
    <w:rsid w:val="000C210A"/>
    <w:rsid w:val="000C23A8"/>
    <w:rsid w:val="000C27E5"/>
    <w:rsid w:val="000C56DD"/>
    <w:rsid w:val="000C6AB3"/>
    <w:rsid w:val="000D0BE3"/>
    <w:rsid w:val="000D10D2"/>
    <w:rsid w:val="000D1672"/>
    <w:rsid w:val="000D178A"/>
    <w:rsid w:val="000D1DE8"/>
    <w:rsid w:val="000D3835"/>
    <w:rsid w:val="000D4A49"/>
    <w:rsid w:val="000D4C65"/>
    <w:rsid w:val="000D554E"/>
    <w:rsid w:val="000D6C67"/>
    <w:rsid w:val="000E1B84"/>
    <w:rsid w:val="000E2F62"/>
    <w:rsid w:val="000E3893"/>
    <w:rsid w:val="000E38ED"/>
    <w:rsid w:val="000E39B1"/>
    <w:rsid w:val="000E63FA"/>
    <w:rsid w:val="000E7D21"/>
    <w:rsid w:val="000E7F24"/>
    <w:rsid w:val="000F03BE"/>
    <w:rsid w:val="000F1757"/>
    <w:rsid w:val="000F225B"/>
    <w:rsid w:val="000F2CB4"/>
    <w:rsid w:val="000F3112"/>
    <w:rsid w:val="000F48E9"/>
    <w:rsid w:val="000F7FAF"/>
    <w:rsid w:val="00103C95"/>
    <w:rsid w:val="0010465B"/>
    <w:rsid w:val="00105975"/>
    <w:rsid w:val="00105FB6"/>
    <w:rsid w:val="00105FF3"/>
    <w:rsid w:val="00107AC4"/>
    <w:rsid w:val="00107C62"/>
    <w:rsid w:val="00111156"/>
    <w:rsid w:val="0011116D"/>
    <w:rsid w:val="00111F4D"/>
    <w:rsid w:val="00112A28"/>
    <w:rsid w:val="00112DC3"/>
    <w:rsid w:val="00115230"/>
    <w:rsid w:val="00115B5F"/>
    <w:rsid w:val="001162B4"/>
    <w:rsid w:val="001163B8"/>
    <w:rsid w:val="00117138"/>
    <w:rsid w:val="0012058F"/>
    <w:rsid w:val="0012221A"/>
    <w:rsid w:val="00122CBC"/>
    <w:rsid w:val="0012372F"/>
    <w:rsid w:val="00124A74"/>
    <w:rsid w:val="00126C65"/>
    <w:rsid w:val="00126D4A"/>
    <w:rsid w:val="001318EB"/>
    <w:rsid w:val="00131A47"/>
    <w:rsid w:val="001325BF"/>
    <w:rsid w:val="00132779"/>
    <w:rsid w:val="00132DA9"/>
    <w:rsid w:val="0013305B"/>
    <w:rsid w:val="00133B99"/>
    <w:rsid w:val="001348BE"/>
    <w:rsid w:val="0013569C"/>
    <w:rsid w:val="0014223F"/>
    <w:rsid w:val="0014352D"/>
    <w:rsid w:val="001442F5"/>
    <w:rsid w:val="001443BD"/>
    <w:rsid w:val="00144A87"/>
    <w:rsid w:val="00144D06"/>
    <w:rsid w:val="00146193"/>
    <w:rsid w:val="00151FEB"/>
    <w:rsid w:val="00153CC1"/>
    <w:rsid w:val="00153F48"/>
    <w:rsid w:val="0015653C"/>
    <w:rsid w:val="001577E9"/>
    <w:rsid w:val="0016138C"/>
    <w:rsid w:val="00161FCE"/>
    <w:rsid w:val="00162D60"/>
    <w:rsid w:val="001640D5"/>
    <w:rsid w:val="001659FB"/>
    <w:rsid w:val="001674D3"/>
    <w:rsid w:val="001677AE"/>
    <w:rsid w:val="001716FD"/>
    <w:rsid w:val="001718DB"/>
    <w:rsid w:val="00172C99"/>
    <w:rsid w:val="001731CE"/>
    <w:rsid w:val="00175A27"/>
    <w:rsid w:val="00175A52"/>
    <w:rsid w:val="00175C72"/>
    <w:rsid w:val="00175DBA"/>
    <w:rsid w:val="00175E63"/>
    <w:rsid w:val="00177238"/>
    <w:rsid w:val="001800B7"/>
    <w:rsid w:val="00181B06"/>
    <w:rsid w:val="00181D75"/>
    <w:rsid w:val="00183583"/>
    <w:rsid w:val="00184434"/>
    <w:rsid w:val="00184FE5"/>
    <w:rsid w:val="00186771"/>
    <w:rsid w:val="001958C3"/>
    <w:rsid w:val="0019635E"/>
    <w:rsid w:val="00196890"/>
    <w:rsid w:val="00197E9B"/>
    <w:rsid w:val="001A180E"/>
    <w:rsid w:val="001A1DBC"/>
    <w:rsid w:val="001A3D77"/>
    <w:rsid w:val="001B0783"/>
    <w:rsid w:val="001B1523"/>
    <w:rsid w:val="001B771D"/>
    <w:rsid w:val="001B7C20"/>
    <w:rsid w:val="001C0B32"/>
    <w:rsid w:val="001C2D66"/>
    <w:rsid w:val="001C2E62"/>
    <w:rsid w:val="001C36F7"/>
    <w:rsid w:val="001C3846"/>
    <w:rsid w:val="001C4507"/>
    <w:rsid w:val="001C4BE1"/>
    <w:rsid w:val="001D1404"/>
    <w:rsid w:val="001D1ABE"/>
    <w:rsid w:val="001D7ADF"/>
    <w:rsid w:val="001E0F71"/>
    <w:rsid w:val="001E13CE"/>
    <w:rsid w:val="001E28AF"/>
    <w:rsid w:val="001E2B9B"/>
    <w:rsid w:val="001E3D73"/>
    <w:rsid w:val="001E4CCB"/>
    <w:rsid w:val="001E6D05"/>
    <w:rsid w:val="001E73E8"/>
    <w:rsid w:val="001E7625"/>
    <w:rsid w:val="001E7C28"/>
    <w:rsid w:val="001F0257"/>
    <w:rsid w:val="001F1BDF"/>
    <w:rsid w:val="001F35F8"/>
    <w:rsid w:val="001F3E7D"/>
    <w:rsid w:val="001F4DD6"/>
    <w:rsid w:val="001F52E0"/>
    <w:rsid w:val="001F590C"/>
    <w:rsid w:val="001F7110"/>
    <w:rsid w:val="001F7E96"/>
    <w:rsid w:val="002005F5"/>
    <w:rsid w:val="002010BC"/>
    <w:rsid w:val="00201AA6"/>
    <w:rsid w:val="00202284"/>
    <w:rsid w:val="0020528D"/>
    <w:rsid w:val="0020543B"/>
    <w:rsid w:val="00205A66"/>
    <w:rsid w:val="002063CF"/>
    <w:rsid w:val="00206613"/>
    <w:rsid w:val="00207FE2"/>
    <w:rsid w:val="0021158F"/>
    <w:rsid w:val="00212488"/>
    <w:rsid w:val="002129A6"/>
    <w:rsid w:val="002157C4"/>
    <w:rsid w:val="00220628"/>
    <w:rsid w:val="002214E1"/>
    <w:rsid w:val="00224FA2"/>
    <w:rsid w:val="002260C7"/>
    <w:rsid w:val="00226640"/>
    <w:rsid w:val="002304D2"/>
    <w:rsid w:val="00232EEF"/>
    <w:rsid w:val="00233D04"/>
    <w:rsid w:val="0023469C"/>
    <w:rsid w:val="00234ABD"/>
    <w:rsid w:val="00236491"/>
    <w:rsid w:val="002364AE"/>
    <w:rsid w:val="00236C3B"/>
    <w:rsid w:val="00236E2A"/>
    <w:rsid w:val="00237F62"/>
    <w:rsid w:val="002407BF"/>
    <w:rsid w:val="00240DBF"/>
    <w:rsid w:val="00242B1B"/>
    <w:rsid w:val="00242CFA"/>
    <w:rsid w:val="00245660"/>
    <w:rsid w:val="0024586A"/>
    <w:rsid w:val="00245DA3"/>
    <w:rsid w:val="00245DAC"/>
    <w:rsid w:val="00246978"/>
    <w:rsid w:val="00247DAA"/>
    <w:rsid w:val="00247ED5"/>
    <w:rsid w:val="002502E1"/>
    <w:rsid w:val="002518A2"/>
    <w:rsid w:val="002528B3"/>
    <w:rsid w:val="00254985"/>
    <w:rsid w:val="00255B7E"/>
    <w:rsid w:val="00255E7E"/>
    <w:rsid w:val="00256174"/>
    <w:rsid w:val="00256F0C"/>
    <w:rsid w:val="00257C5D"/>
    <w:rsid w:val="00262C05"/>
    <w:rsid w:val="002647DE"/>
    <w:rsid w:val="00264E91"/>
    <w:rsid w:val="0027001E"/>
    <w:rsid w:val="002715AF"/>
    <w:rsid w:val="00271AC3"/>
    <w:rsid w:val="0027348F"/>
    <w:rsid w:val="00273CBB"/>
    <w:rsid w:val="00277796"/>
    <w:rsid w:val="00281D14"/>
    <w:rsid w:val="00282C13"/>
    <w:rsid w:val="002833D8"/>
    <w:rsid w:val="00283716"/>
    <w:rsid w:val="00283803"/>
    <w:rsid w:val="00283971"/>
    <w:rsid w:val="00286BF6"/>
    <w:rsid w:val="002932C6"/>
    <w:rsid w:val="00293C4D"/>
    <w:rsid w:val="00295D73"/>
    <w:rsid w:val="002968D9"/>
    <w:rsid w:val="002A0DF7"/>
    <w:rsid w:val="002A0EF2"/>
    <w:rsid w:val="002A1CA8"/>
    <w:rsid w:val="002A2975"/>
    <w:rsid w:val="002A29A2"/>
    <w:rsid w:val="002A460D"/>
    <w:rsid w:val="002A5EE9"/>
    <w:rsid w:val="002A60E0"/>
    <w:rsid w:val="002B0FE6"/>
    <w:rsid w:val="002B2511"/>
    <w:rsid w:val="002B687A"/>
    <w:rsid w:val="002B773B"/>
    <w:rsid w:val="002C09D5"/>
    <w:rsid w:val="002C0BB2"/>
    <w:rsid w:val="002C1344"/>
    <w:rsid w:val="002C20D6"/>
    <w:rsid w:val="002C252E"/>
    <w:rsid w:val="002C6018"/>
    <w:rsid w:val="002C6773"/>
    <w:rsid w:val="002D05A9"/>
    <w:rsid w:val="002D1CB7"/>
    <w:rsid w:val="002D1E9F"/>
    <w:rsid w:val="002D269A"/>
    <w:rsid w:val="002D292F"/>
    <w:rsid w:val="002D2A3D"/>
    <w:rsid w:val="002D5D1D"/>
    <w:rsid w:val="002D6EFD"/>
    <w:rsid w:val="002D74CF"/>
    <w:rsid w:val="002E0B17"/>
    <w:rsid w:val="002E1990"/>
    <w:rsid w:val="002E26B4"/>
    <w:rsid w:val="002E2988"/>
    <w:rsid w:val="002E411E"/>
    <w:rsid w:val="002E4FFB"/>
    <w:rsid w:val="002E7DED"/>
    <w:rsid w:val="002F0401"/>
    <w:rsid w:val="002F2C7C"/>
    <w:rsid w:val="002F31DA"/>
    <w:rsid w:val="002F563D"/>
    <w:rsid w:val="002F75CC"/>
    <w:rsid w:val="002F7CC3"/>
    <w:rsid w:val="002F7E11"/>
    <w:rsid w:val="00302CF9"/>
    <w:rsid w:val="00304087"/>
    <w:rsid w:val="003041A1"/>
    <w:rsid w:val="00304A8B"/>
    <w:rsid w:val="003057B1"/>
    <w:rsid w:val="003062AD"/>
    <w:rsid w:val="003064AC"/>
    <w:rsid w:val="00310ACD"/>
    <w:rsid w:val="0031146E"/>
    <w:rsid w:val="00311CB1"/>
    <w:rsid w:val="0031379F"/>
    <w:rsid w:val="0031621E"/>
    <w:rsid w:val="00316638"/>
    <w:rsid w:val="00316A16"/>
    <w:rsid w:val="00320909"/>
    <w:rsid w:val="00320A26"/>
    <w:rsid w:val="00321344"/>
    <w:rsid w:val="00323885"/>
    <w:rsid w:val="00325064"/>
    <w:rsid w:val="00325EC9"/>
    <w:rsid w:val="00330A28"/>
    <w:rsid w:val="00331488"/>
    <w:rsid w:val="003333AC"/>
    <w:rsid w:val="0033451C"/>
    <w:rsid w:val="003359EB"/>
    <w:rsid w:val="00336239"/>
    <w:rsid w:val="00336854"/>
    <w:rsid w:val="0033769B"/>
    <w:rsid w:val="00337AB4"/>
    <w:rsid w:val="0034015C"/>
    <w:rsid w:val="003402D8"/>
    <w:rsid w:val="003442F4"/>
    <w:rsid w:val="00350CB4"/>
    <w:rsid w:val="00351AE7"/>
    <w:rsid w:val="00353705"/>
    <w:rsid w:val="003562E8"/>
    <w:rsid w:val="003627F8"/>
    <w:rsid w:val="0036337F"/>
    <w:rsid w:val="0036357D"/>
    <w:rsid w:val="003649BC"/>
    <w:rsid w:val="00364BF6"/>
    <w:rsid w:val="00364F7E"/>
    <w:rsid w:val="00365E44"/>
    <w:rsid w:val="003662B1"/>
    <w:rsid w:val="00367AA1"/>
    <w:rsid w:val="00370A5B"/>
    <w:rsid w:val="0037148A"/>
    <w:rsid w:val="00371A15"/>
    <w:rsid w:val="0037234D"/>
    <w:rsid w:val="00372E36"/>
    <w:rsid w:val="0037380A"/>
    <w:rsid w:val="00375F7D"/>
    <w:rsid w:val="00376EE9"/>
    <w:rsid w:val="00376FFC"/>
    <w:rsid w:val="00377CBB"/>
    <w:rsid w:val="00382051"/>
    <w:rsid w:val="00382735"/>
    <w:rsid w:val="00384EDA"/>
    <w:rsid w:val="00384F62"/>
    <w:rsid w:val="00385438"/>
    <w:rsid w:val="003858E5"/>
    <w:rsid w:val="00386774"/>
    <w:rsid w:val="00387363"/>
    <w:rsid w:val="003877B6"/>
    <w:rsid w:val="00391539"/>
    <w:rsid w:val="00391A5F"/>
    <w:rsid w:val="00392F69"/>
    <w:rsid w:val="00393887"/>
    <w:rsid w:val="00394BED"/>
    <w:rsid w:val="00394C6B"/>
    <w:rsid w:val="003950C2"/>
    <w:rsid w:val="00395D26"/>
    <w:rsid w:val="00396A5D"/>
    <w:rsid w:val="00397BB6"/>
    <w:rsid w:val="003A37C1"/>
    <w:rsid w:val="003A4DB5"/>
    <w:rsid w:val="003A4E2E"/>
    <w:rsid w:val="003A4E62"/>
    <w:rsid w:val="003A5A6A"/>
    <w:rsid w:val="003B1069"/>
    <w:rsid w:val="003B306D"/>
    <w:rsid w:val="003B3700"/>
    <w:rsid w:val="003B38CC"/>
    <w:rsid w:val="003B390A"/>
    <w:rsid w:val="003B3D71"/>
    <w:rsid w:val="003B4029"/>
    <w:rsid w:val="003B4E3A"/>
    <w:rsid w:val="003C13A8"/>
    <w:rsid w:val="003C15DE"/>
    <w:rsid w:val="003C2889"/>
    <w:rsid w:val="003C36F4"/>
    <w:rsid w:val="003C3D03"/>
    <w:rsid w:val="003C4EB2"/>
    <w:rsid w:val="003C61EC"/>
    <w:rsid w:val="003C6BE1"/>
    <w:rsid w:val="003C7E16"/>
    <w:rsid w:val="003C7FDA"/>
    <w:rsid w:val="003D284B"/>
    <w:rsid w:val="003D3968"/>
    <w:rsid w:val="003D404A"/>
    <w:rsid w:val="003D42AF"/>
    <w:rsid w:val="003D46D5"/>
    <w:rsid w:val="003D48D4"/>
    <w:rsid w:val="003D4C81"/>
    <w:rsid w:val="003D67EF"/>
    <w:rsid w:val="003D715C"/>
    <w:rsid w:val="003D7726"/>
    <w:rsid w:val="003E031D"/>
    <w:rsid w:val="003E0EE6"/>
    <w:rsid w:val="003E216F"/>
    <w:rsid w:val="003E6512"/>
    <w:rsid w:val="003F19D6"/>
    <w:rsid w:val="003F1AF3"/>
    <w:rsid w:val="003F3FEF"/>
    <w:rsid w:val="003F42E1"/>
    <w:rsid w:val="003F4D8D"/>
    <w:rsid w:val="003F4F63"/>
    <w:rsid w:val="003F5784"/>
    <w:rsid w:val="003F72BB"/>
    <w:rsid w:val="003F7EF4"/>
    <w:rsid w:val="00400066"/>
    <w:rsid w:val="00401508"/>
    <w:rsid w:val="00401688"/>
    <w:rsid w:val="0040386D"/>
    <w:rsid w:val="00404066"/>
    <w:rsid w:val="00407A59"/>
    <w:rsid w:val="004104FE"/>
    <w:rsid w:val="00412332"/>
    <w:rsid w:val="00412EEE"/>
    <w:rsid w:val="004137C0"/>
    <w:rsid w:val="004138F3"/>
    <w:rsid w:val="004174D6"/>
    <w:rsid w:val="00420339"/>
    <w:rsid w:val="0042073E"/>
    <w:rsid w:val="00421F20"/>
    <w:rsid w:val="00421FB8"/>
    <w:rsid w:val="004228FF"/>
    <w:rsid w:val="00423DA8"/>
    <w:rsid w:val="00427198"/>
    <w:rsid w:val="00430747"/>
    <w:rsid w:val="004313E7"/>
    <w:rsid w:val="00432330"/>
    <w:rsid w:val="004324A7"/>
    <w:rsid w:val="004332A2"/>
    <w:rsid w:val="004339B2"/>
    <w:rsid w:val="00440010"/>
    <w:rsid w:val="0044022D"/>
    <w:rsid w:val="00441341"/>
    <w:rsid w:val="00442172"/>
    <w:rsid w:val="0044303A"/>
    <w:rsid w:val="00444A70"/>
    <w:rsid w:val="00446CE1"/>
    <w:rsid w:val="004475D1"/>
    <w:rsid w:val="0044763B"/>
    <w:rsid w:val="00452504"/>
    <w:rsid w:val="00452696"/>
    <w:rsid w:val="0045292F"/>
    <w:rsid w:val="0045600B"/>
    <w:rsid w:val="00456A53"/>
    <w:rsid w:val="004615D7"/>
    <w:rsid w:val="0046266D"/>
    <w:rsid w:val="004629B3"/>
    <w:rsid w:val="0046376E"/>
    <w:rsid w:val="0046461E"/>
    <w:rsid w:val="00465320"/>
    <w:rsid w:val="0046554B"/>
    <w:rsid w:val="0046690F"/>
    <w:rsid w:val="0046718A"/>
    <w:rsid w:val="00472FEC"/>
    <w:rsid w:val="00476F05"/>
    <w:rsid w:val="004811A1"/>
    <w:rsid w:val="00481953"/>
    <w:rsid w:val="004827DC"/>
    <w:rsid w:val="0048394C"/>
    <w:rsid w:val="00483E4A"/>
    <w:rsid w:val="004858E1"/>
    <w:rsid w:val="004864A1"/>
    <w:rsid w:val="00490A03"/>
    <w:rsid w:val="0049120F"/>
    <w:rsid w:val="00492B0A"/>
    <w:rsid w:val="0049330D"/>
    <w:rsid w:val="00493327"/>
    <w:rsid w:val="0049382E"/>
    <w:rsid w:val="0049453E"/>
    <w:rsid w:val="00494DBE"/>
    <w:rsid w:val="00495CE6"/>
    <w:rsid w:val="00496E91"/>
    <w:rsid w:val="004A144D"/>
    <w:rsid w:val="004A1D27"/>
    <w:rsid w:val="004A2D73"/>
    <w:rsid w:val="004A323C"/>
    <w:rsid w:val="004A5B62"/>
    <w:rsid w:val="004B0801"/>
    <w:rsid w:val="004B1117"/>
    <w:rsid w:val="004B130A"/>
    <w:rsid w:val="004B1A6B"/>
    <w:rsid w:val="004B447A"/>
    <w:rsid w:val="004B54E8"/>
    <w:rsid w:val="004C0138"/>
    <w:rsid w:val="004C12E8"/>
    <w:rsid w:val="004C1578"/>
    <w:rsid w:val="004C33BA"/>
    <w:rsid w:val="004C4FEB"/>
    <w:rsid w:val="004C5DA8"/>
    <w:rsid w:val="004C6B79"/>
    <w:rsid w:val="004C7345"/>
    <w:rsid w:val="004D059B"/>
    <w:rsid w:val="004D0E64"/>
    <w:rsid w:val="004D48A8"/>
    <w:rsid w:val="004D4CB6"/>
    <w:rsid w:val="004D4DCB"/>
    <w:rsid w:val="004D58F8"/>
    <w:rsid w:val="004D6873"/>
    <w:rsid w:val="004E0907"/>
    <w:rsid w:val="004E3341"/>
    <w:rsid w:val="004E4850"/>
    <w:rsid w:val="004E7FEB"/>
    <w:rsid w:val="004F033E"/>
    <w:rsid w:val="004F10C1"/>
    <w:rsid w:val="004F220D"/>
    <w:rsid w:val="004F5AD9"/>
    <w:rsid w:val="004F7F2B"/>
    <w:rsid w:val="00502E62"/>
    <w:rsid w:val="00505F85"/>
    <w:rsid w:val="0050625C"/>
    <w:rsid w:val="0050696A"/>
    <w:rsid w:val="00506B8A"/>
    <w:rsid w:val="00511803"/>
    <w:rsid w:val="005120B9"/>
    <w:rsid w:val="00515119"/>
    <w:rsid w:val="00515D7A"/>
    <w:rsid w:val="005166F6"/>
    <w:rsid w:val="0052212B"/>
    <w:rsid w:val="005230C7"/>
    <w:rsid w:val="0052565F"/>
    <w:rsid w:val="00525AEE"/>
    <w:rsid w:val="005266EA"/>
    <w:rsid w:val="005314A3"/>
    <w:rsid w:val="00534841"/>
    <w:rsid w:val="00534B46"/>
    <w:rsid w:val="00535F56"/>
    <w:rsid w:val="00537B4E"/>
    <w:rsid w:val="00540358"/>
    <w:rsid w:val="005407EC"/>
    <w:rsid w:val="00540D47"/>
    <w:rsid w:val="00542578"/>
    <w:rsid w:val="005428D7"/>
    <w:rsid w:val="00542D43"/>
    <w:rsid w:val="00542DD3"/>
    <w:rsid w:val="00542F43"/>
    <w:rsid w:val="00544715"/>
    <w:rsid w:val="0054525D"/>
    <w:rsid w:val="005463C3"/>
    <w:rsid w:val="00550864"/>
    <w:rsid w:val="00551D6C"/>
    <w:rsid w:val="0055571E"/>
    <w:rsid w:val="00555FF7"/>
    <w:rsid w:val="005567E2"/>
    <w:rsid w:val="00556F67"/>
    <w:rsid w:val="00565031"/>
    <w:rsid w:val="005652E8"/>
    <w:rsid w:val="00566096"/>
    <w:rsid w:val="00575457"/>
    <w:rsid w:val="00575BB6"/>
    <w:rsid w:val="0057667C"/>
    <w:rsid w:val="00576BDA"/>
    <w:rsid w:val="00580458"/>
    <w:rsid w:val="00581E62"/>
    <w:rsid w:val="005826DA"/>
    <w:rsid w:val="005833F0"/>
    <w:rsid w:val="00585C65"/>
    <w:rsid w:val="00586280"/>
    <w:rsid w:val="005865CC"/>
    <w:rsid w:val="005869CE"/>
    <w:rsid w:val="00586CAF"/>
    <w:rsid w:val="005873E9"/>
    <w:rsid w:val="005877E8"/>
    <w:rsid w:val="00591180"/>
    <w:rsid w:val="00591B6F"/>
    <w:rsid w:val="0059248D"/>
    <w:rsid w:val="00594DF0"/>
    <w:rsid w:val="00595613"/>
    <w:rsid w:val="00595B9C"/>
    <w:rsid w:val="0059722C"/>
    <w:rsid w:val="00597D07"/>
    <w:rsid w:val="005A16E6"/>
    <w:rsid w:val="005A1BB2"/>
    <w:rsid w:val="005A201F"/>
    <w:rsid w:val="005A30D7"/>
    <w:rsid w:val="005A3846"/>
    <w:rsid w:val="005A63CE"/>
    <w:rsid w:val="005A7E97"/>
    <w:rsid w:val="005B12AC"/>
    <w:rsid w:val="005B2CD2"/>
    <w:rsid w:val="005B4D92"/>
    <w:rsid w:val="005B4F69"/>
    <w:rsid w:val="005B538C"/>
    <w:rsid w:val="005B582B"/>
    <w:rsid w:val="005B6658"/>
    <w:rsid w:val="005B6A58"/>
    <w:rsid w:val="005C2E4C"/>
    <w:rsid w:val="005C3F32"/>
    <w:rsid w:val="005C4750"/>
    <w:rsid w:val="005C4A5B"/>
    <w:rsid w:val="005C58DB"/>
    <w:rsid w:val="005C7112"/>
    <w:rsid w:val="005D0561"/>
    <w:rsid w:val="005D0AD9"/>
    <w:rsid w:val="005D0F4D"/>
    <w:rsid w:val="005D1A67"/>
    <w:rsid w:val="005D22F6"/>
    <w:rsid w:val="005D68AA"/>
    <w:rsid w:val="005E0C30"/>
    <w:rsid w:val="005E3FBB"/>
    <w:rsid w:val="005E69D9"/>
    <w:rsid w:val="005E6F28"/>
    <w:rsid w:val="005F25E2"/>
    <w:rsid w:val="005F27F4"/>
    <w:rsid w:val="005F3239"/>
    <w:rsid w:val="005F5835"/>
    <w:rsid w:val="005F6567"/>
    <w:rsid w:val="005F7A8A"/>
    <w:rsid w:val="00600ACF"/>
    <w:rsid w:val="00601CAB"/>
    <w:rsid w:val="006034EA"/>
    <w:rsid w:val="006058ED"/>
    <w:rsid w:val="00607094"/>
    <w:rsid w:val="00607256"/>
    <w:rsid w:val="0060790C"/>
    <w:rsid w:val="00610304"/>
    <w:rsid w:val="00613322"/>
    <w:rsid w:val="006144B1"/>
    <w:rsid w:val="00615A20"/>
    <w:rsid w:val="006177FF"/>
    <w:rsid w:val="00620AF8"/>
    <w:rsid w:val="006212DD"/>
    <w:rsid w:val="00622A08"/>
    <w:rsid w:val="00625859"/>
    <w:rsid w:val="00626028"/>
    <w:rsid w:val="00626B5E"/>
    <w:rsid w:val="00626DF0"/>
    <w:rsid w:val="00627CB7"/>
    <w:rsid w:val="00631369"/>
    <w:rsid w:val="0063219D"/>
    <w:rsid w:val="00632854"/>
    <w:rsid w:val="006335F1"/>
    <w:rsid w:val="006342C5"/>
    <w:rsid w:val="006345B6"/>
    <w:rsid w:val="00635616"/>
    <w:rsid w:val="00635712"/>
    <w:rsid w:val="006368FF"/>
    <w:rsid w:val="006372E9"/>
    <w:rsid w:val="0064107F"/>
    <w:rsid w:val="0064184C"/>
    <w:rsid w:val="00641E6D"/>
    <w:rsid w:val="0064222A"/>
    <w:rsid w:val="00643D8A"/>
    <w:rsid w:val="00645A5C"/>
    <w:rsid w:val="00646C84"/>
    <w:rsid w:val="00652229"/>
    <w:rsid w:val="00652793"/>
    <w:rsid w:val="00653716"/>
    <w:rsid w:val="0066187E"/>
    <w:rsid w:val="00661F33"/>
    <w:rsid w:val="006626CA"/>
    <w:rsid w:val="00663487"/>
    <w:rsid w:val="00666BBF"/>
    <w:rsid w:val="00667CC1"/>
    <w:rsid w:val="00667E07"/>
    <w:rsid w:val="006703AB"/>
    <w:rsid w:val="00672382"/>
    <w:rsid w:val="00675835"/>
    <w:rsid w:val="00676986"/>
    <w:rsid w:val="0067716E"/>
    <w:rsid w:val="00681257"/>
    <w:rsid w:val="00682535"/>
    <w:rsid w:val="00682643"/>
    <w:rsid w:val="0068276D"/>
    <w:rsid w:val="00682EB9"/>
    <w:rsid w:val="0068441A"/>
    <w:rsid w:val="00690B19"/>
    <w:rsid w:val="00691A86"/>
    <w:rsid w:val="00695DA3"/>
    <w:rsid w:val="00696ABD"/>
    <w:rsid w:val="00697C34"/>
    <w:rsid w:val="006A0A3C"/>
    <w:rsid w:val="006A59E9"/>
    <w:rsid w:val="006A73A5"/>
    <w:rsid w:val="006A79F0"/>
    <w:rsid w:val="006B0BA1"/>
    <w:rsid w:val="006B0F52"/>
    <w:rsid w:val="006B4235"/>
    <w:rsid w:val="006B454D"/>
    <w:rsid w:val="006B47EE"/>
    <w:rsid w:val="006B499F"/>
    <w:rsid w:val="006B592A"/>
    <w:rsid w:val="006B7E62"/>
    <w:rsid w:val="006C144E"/>
    <w:rsid w:val="006C214A"/>
    <w:rsid w:val="006C33BE"/>
    <w:rsid w:val="006C5B53"/>
    <w:rsid w:val="006C7E78"/>
    <w:rsid w:val="006D098F"/>
    <w:rsid w:val="006D1BCC"/>
    <w:rsid w:val="006D20E3"/>
    <w:rsid w:val="006D4996"/>
    <w:rsid w:val="006D51A9"/>
    <w:rsid w:val="006D535B"/>
    <w:rsid w:val="006D54AB"/>
    <w:rsid w:val="006D6AC3"/>
    <w:rsid w:val="006D707D"/>
    <w:rsid w:val="006E1A97"/>
    <w:rsid w:val="006E1FA9"/>
    <w:rsid w:val="006E3006"/>
    <w:rsid w:val="006E348B"/>
    <w:rsid w:val="006E3F30"/>
    <w:rsid w:val="006E5032"/>
    <w:rsid w:val="006E5721"/>
    <w:rsid w:val="006E5881"/>
    <w:rsid w:val="006E5BDA"/>
    <w:rsid w:val="006E6365"/>
    <w:rsid w:val="006F0FC7"/>
    <w:rsid w:val="006F1848"/>
    <w:rsid w:val="006F27E7"/>
    <w:rsid w:val="006F39A9"/>
    <w:rsid w:val="006F4119"/>
    <w:rsid w:val="006F4724"/>
    <w:rsid w:val="006F50AC"/>
    <w:rsid w:val="006F643F"/>
    <w:rsid w:val="006F670F"/>
    <w:rsid w:val="006F77F3"/>
    <w:rsid w:val="00702921"/>
    <w:rsid w:val="00703272"/>
    <w:rsid w:val="007041BA"/>
    <w:rsid w:val="0070733C"/>
    <w:rsid w:val="0071028A"/>
    <w:rsid w:val="00710C5D"/>
    <w:rsid w:val="00713395"/>
    <w:rsid w:val="0071348C"/>
    <w:rsid w:val="00717273"/>
    <w:rsid w:val="00717F26"/>
    <w:rsid w:val="00720E78"/>
    <w:rsid w:val="00720FD4"/>
    <w:rsid w:val="007243F1"/>
    <w:rsid w:val="00724AF2"/>
    <w:rsid w:val="00727C2D"/>
    <w:rsid w:val="0073096C"/>
    <w:rsid w:val="0073100D"/>
    <w:rsid w:val="00731364"/>
    <w:rsid w:val="0073246B"/>
    <w:rsid w:val="007328ED"/>
    <w:rsid w:val="00732CA6"/>
    <w:rsid w:val="007333D0"/>
    <w:rsid w:val="00733429"/>
    <w:rsid w:val="00733A46"/>
    <w:rsid w:val="00735A8E"/>
    <w:rsid w:val="00735CD5"/>
    <w:rsid w:val="00735E2D"/>
    <w:rsid w:val="007419C8"/>
    <w:rsid w:val="00742398"/>
    <w:rsid w:val="00742911"/>
    <w:rsid w:val="007432A9"/>
    <w:rsid w:val="007455B9"/>
    <w:rsid w:val="00746918"/>
    <w:rsid w:val="007507B5"/>
    <w:rsid w:val="0075091D"/>
    <w:rsid w:val="00753A24"/>
    <w:rsid w:val="0075430D"/>
    <w:rsid w:val="007544FC"/>
    <w:rsid w:val="0075662E"/>
    <w:rsid w:val="00764547"/>
    <w:rsid w:val="007648C1"/>
    <w:rsid w:val="00765A93"/>
    <w:rsid w:val="00772188"/>
    <w:rsid w:val="0077222A"/>
    <w:rsid w:val="00772EDE"/>
    <w:rsid w:val="0077306F"/>
    <w:rsid w:val="00773C4A"/>
    <w:rsid w:val="007813D0"/>
    <w:rsid w:val="0078294E"/>
    <w:rsid w:val="00783799"/>
    <w:rsid w:val="007845AC"/>
    <w:rsid w:val="00785993"/>
    <w:rsid w:val="007866E2"/>
    <w:rsid w:val="00786BA3"/>
    <w:rsid w:val="00791922"/>
    <w:rsid w:val="00791AAF"/>
    <w:rsid w:val="0079202F"/>
    <w:rsid w:val="007934C3"/>
    <w:rsid w:val="00794903"/>
    <w:rsid w:val="00795AF2"/>
    <w:rsid w:val="00795E4F"/>
    <w:rsid w:val="00796410"/>
    <w:rsid w:val="007A0831"/>
    <w:rsid w:val="007A09FC"/>
    <w:rsid w:val="007A151E"/>
    <w:rsid w:val="007A1A58"/>
    <w:rsid w:val="007A1B45"/>
    <w:rsid w:val="007A2AAD"/>
    <w:rsid w:val="007A36ED"/>
    <w:rsid w:val="007A4432"/>
    <w:rsid w:val="007A53B3"/>
    <w:rsid w:val="007A5B82"/>
    <w:rsid w:val="007A784E"/>
    <w:rsid w:val="007A7E31"/>
    <w:rsid w:val="007B0792"/>
    <w:rsid w:val="007B08DF"/>
    <w:rsid w:val="007B2A5F"/>
    <w:rsid w:val="007B2DAD"/>
    <w:rsid w:val="007B4939"/>
    <w:rsid w:val="007B499C"/>
    <w:rsid w:val="007B4D4B"/>
    <w:rsid w:val="007B58C6"/>
    <w:rsid w:val="007C0646"/>
    <w:rsid w:val="007C13D5"/>
    <w:rsid w:val="007C1E9D"/>
    <w:rsid w:val="007C3AE3"/>
    <w:rsid w:val="007C474B"/>
    <w:rsid w:val="007C7432"/>
    <w:rsid w:val="007D0000"/>
    <w:rsid w:val="007D13D7"/>
    <w:rsid w:val="007D2A02"/>
    <w:rsid w:val="007D62A4"/>
    <w:rsid w:val="007E0748"/>
    <w:rsid w:val="007E1736"/>
    <w:rsid w:val="007E243B"/>
    <w:rsid w:val="007E2887"/>
    <w:rsid w:val="007E381A"/>
    <w:rsid w:val="007E44F1"/>
    <w:rsid w:val="007E65AA"/>
    <w:rsid w:val="007E6EA1"/>
    <w:rsid w:val="007E7F63"/>
    <w:rsid w:val="007F06E6"/>
    <w:rsid w:val="007F0F63"/>
    <w:rsid w:val="007F2B1E"/>
    <w:rsid w:val="007F36DC"/>
    <w:rsid w:val="007F4562"/>
    <w:rsid w:val="007F4590"/>
    <w:rsid w:val="007F62B4"/>
    <w:rsid w:val="007F7CF6"/>
    <w:rsid w:val="007F7DF9"/>
    <w:rsid w:val="0080006E"/>
    <w:rsid w:val="0080106D"/>
    <w:rsid w:val="00801517"/>
    <w:rsid w:val="00801649"/>
    <w:rsid w:val="00803A87"/>
    <w:rsid w:val="00804CE3"/>
    <w:rsid w:val="00806F73"/>
    <w:rsid w:val="00807F64"/>
    <w:rsid w:val="00813492"/>
    <w:rsid w:val="008159C7"/>
    <w:rsid w:val="0081612A"/>
    <w:rsid w:val="00817895"/>
    <w:rsid w:val="00817AE8"/>
    <w:rsid w:val="00817C08"/>
    <w:rsid w:val="00817DE8"/>
    <w:rsid w:val="008229F5"/>
    <w:rsid w:val="00822C71"/>
    <w:rsid w:val="00822D2D"/>
    <w:rsid w:val="00822D7D"/>
    <w:rsid w:val="00825B70"/>
    <w:rsid w:val="0082699A"/>
    <w:rsid w:val="00827F2A"/>
    <w:rsid w:val="00832633"/>
    <w:rsid w:val="008329B9"/>
    <w:rsid w:val="00832FC7"/>
    <w:rsid w:val="00833CEB"/>
    <w:rsid w:val="008372D2"/>
    <w:rsid w:val="00837336"/>
    <w:rsid w:val="008377BC"/>
    <w:rsid w:val="0084074C"/>
    <w:rsid w:val="008411D5"/>
    <w:rsid w:val="00844C17"/>
    <w:rsid w:val="00846017"/>
    <w:rsid w:val="00846443"/>
    <w:rsid w:val="00847726"/>
    <w:rsid w:val="00851CB1"/>
    <w:rsid w:val="00852511"/>
    <w:rsid w:val="00854685"/>
    <w:rsid w:val="00855D87"/>
    <w:rsid w:val="00857408"/>
    <w:rsid w:val="008578A9"/>
    <w:rsid w:val="0086072A"/>
    <w:rsid w:val="0086088F"/>
    <w:rsid w:val="008614F1"/>
    <w:rsid w:val="00861AA4"/>
    <w:rsid w:val="00861DEE"/>
    <w:rsid w:val="008639B3"/>
    <w:rsid w:val="00863C1A"/>
    <w:rsid w:val="00863EAC"/>
    <w:rsid w:val="008641FB"/>
    <w:rsid w:val="0086470F"/>
    <w:rsid w:val="00865126"/>
    <w:rsid w:val="0086521A"/>
    <w:rsid w:val="00865882"/>
    <w:rsid w:val="00866CDD"/>
    <w:rsid w:val="008712FE"/>
    <w:rsid w:val="0087142D"/>
    <w:rsid w:val="00872928"/>
    <w:rsid w:val="00873416"/>
    <w:rsid w:val="00873956"/>
    <w:rsid w:val="00873CF5"/>
    <w:rsid w:val="008745AB"/>
    <w:rsid w:val="00877800"/>
    <w:rsid w:val="00880E72"/>
    <w:rsid w:val="008825EE"/>
    <w:rsid w:val="0088264F"/>
    <w:rsid w:val="0088336E"/>
    <w:rsid w:val="0088596E"/>
    <w:rsid w:val="00886C54"/>
    <w:rsid w:val="008870ED"/>
    <w:rsid w:val="008877FC"/>
    <w:rsid w:val="00893006"/>
    <w:rsid w:val="0089765C"/>
    <w:rsid w:val="0089796A"/>
    <w:rsid w:val="008A004C"/>
    <w:rsid w:val="008A2375"/>
    <w:rsid w:val="008A54B6"/>
    <w:rsid w:val="008A7CDB"/>
    <w:rsid w:val="008B0906"/>
    <w:rsid w:val="008B2BCB"/>
    <w:rsid w:val="008C1B59"/>
    <w:rsid w:val="008C2A96"/>
    <w:rsid w:val="008C6041"/>
    <w:rsid w:val="008C6821"/>
    <w:rsid w:val="008C74E3"/>
    <w:rsid w:val="008C7671"/>
    <w:rsid w:val="008D0268"/>
    <w:rsid w:val="008D5EE5"/>
    <w:rsid w:val="008D76C5"/>
    <w:rsid w:val="008D7A24"/>
    <w:rsid w:val="008E0A04"/>
    <w:rsid w:val="008E0AF9"/>
    <w:rsid w:val="008E0AFA"/>
    <w:rsid w:val="008E48FD"/>
    <w:rsid w:val="008E4B17"/>
    <w:rsid w:val="008E4CE5"/>
    <w:rsid w:val="008E75D3"/>
    <w:rsid w:val="008F02E9"/>
    <w:rsid w:val="008F0CE4"/>
    <w:rsid w:val="008F125E"/>
    <w:rsid w:val="008F2B54"/>
    <w:rsid w:val="008F4C1E"/>
    <w:rsid w:val="008F4D2F"/>
    <w:rsid w:val="008F510A"/>
    <w:rsid w:val="008F6D25"/>
    <w:rsid w:val="00900235"/>
    <w:rsid w:val="00900CFC"/>
    <w:rsid w:val="00904000"/>
    <w:rsid w:val="00904FDF"/>
    <w:rsid w:val="00906292"/>
    <w:rsid w:val="00906F00"/>
    <w:rsid w:val="0090795A"/>
    <w:rsid w:val="009129C3"/>
    <w:rsid w:val="00913A99"/>
    <w:rsid w:val="00914B5B"/>
    <w:rsid w:val="00915BD4"/>
    <w:rsid w:val="00917162"/>
    <w:rsid w:val="009172B9"/>
    <w:rsid w:val="009178AA"/>
    <w:rsid w:val="00917CF6"/>
    <w:rsid w:val="00920A30"/>
    <w:rsid w:val="00922748"/>
    <w:rsid w:val="009251CC"/>
    <w:rsid w:val="00925548"/>
    <w:rsid w:val="0092633C"/>
    <w:rsid w:val="00926980"/>
    <w:rsid w:val="00926AE6"/>
    <w:rsid w:val="0092714E"/>
    <w:rsid w:val="00930986"/>
    <w:rsid w:val="00931F4C"/>
    <w:rsid w:val="009324F0"/>
    <w:rsid w:val="00934807"/>
    <w:rsid w:val="0093535F"/>
    <w:rsid w:val="00942002"/>
    <w:rsid w:val="00942359"/>
    <w:rsid w:val="00942AAE"/>
    <w:rsid w:val="009435FB"/>
    <w:rsid w:val="00947885"/>
    <w:rsid w:val="009504AB"/>
    <w:rsid w:val="00951212"/>
    <w:rsid w:val="00952168"/>
    <w:rsid w:val="009527FE"/>
    <w:rsid w:val="009529B2"/>
    <w:rsid w:val="009535A6"/>
    <w:rsid w:val="00954BB4"/>
    <w:rsid w:val="00956551"/>
    <w:rsid w:val="00960539"/>
    <w:rsid w:val="00961B24"/>
    <w:rsid w:val="00961B86"/>
    <w:rsid w:val="0096509E"/>
    <w:rsid w:val="00971FD4"/>
    <w:rsid w:val="009723B1"/>
    <w:rsid w:val="00973835"/>
    <w:rsid w:val="009739A0"/>
    <w:rsid w:val="009741E4"/>
    <w:rsid w:val="00974EE4"/>
    <w:rsid w:val="00974F29"/>
    <w:rsid w:val="00974F84"/>
    <w:rsid w:val="00976216"/>
    <w:rsid w:val="009767C7"/>
    <w:rsid w:val="00976F58"/>
    <w:rsid w:val="00977041"/>
    <w:rsid w:val="0097787E"/>
    <w:rsid w:val="00977986"/>
    <w:rsid w:val="009801ED"/>
    <w:rsid w:val="00981892"/>
    <w:rsid w:val="0098579A"/>
    <w:rsid w:val="00991475"/>
    <w:rsid w:val="009918DD"/>
    <w:rsid w:val="0099195A"/>
    <w:rsid w:val="00992A11"/>
    <w:rsid w:val="00994681"/>
    <w:rsid w:val="0099486A"/>
    <w:rsid w:val="00997AAD"/>
    <w:rsid w:val="009A0E26"/>
    <w:rsid w:val="009A16EC"/>
    <w:rsid w:val="009A1A45"/>
    <w:rsid w:val="009A1AC0"/>
    <w:rsid w:val="009A22C2"/>
    <w:rsid w:val="009A3854"/>
    <w:rsid w:val="009A420A"/>
    <w:rsid w:val="009A512F"/>
    <w:rsid w:val="009A65BD"/>
    <w:rsid w:val="009B0BA1"/>
    <w:rsid w:val="009B29B7"/>
    <w:rsid w:val="009B2C6F"/>
    <w:rsid w:val="009B3199"/>
    <w:rsid w:val="009B3B37"/>
    <w:rsid w:val="009B500D"/>
    <w:rsid w:val="009B7D1F"/>
    <w:rsid w:val="009C088E"/>
    <w:rsid w:val="009C1415"/>
    <w:rsid w:val="009C4D35"/>
    <w:rsid w:val="009C52FC"/>
    <w:rsid w:val="009C7CE1"/>
    <w:rsid w:val="009D0AC3"/>
    <w:rsid w:val="009D1165"/>
    <w:rsid w:val="009D1522"/>
    <w:rsid w:val="009D4D68"/>
    <w:rsid w:val="009D4EFE"/>
    <w:rsid w:val="009D58FB"/>
    <w:rsid w:val="009D7252"/>
    <w:rsid w:val="009E2890"/>
    <w:rsid w:val="009E4285"/>
    <w:rsid w:val="009E43AA"/>
    <w:rsid w:val="009E5EB4"/>
    <w:rsid w:val="009F00FC"/>
    <w:rsid w:val="009F16C7"/>
    <w:rsid w:val="009F1DB3"/>
    <w:rsid w:val="009F37DE"/>
    <w:rsid w:val="009F41D9"/>
    <w:rsid w:val="009F563C"/>
    <w:rsid w:val="009F610E"/>
    <w:rsid w:val="00A00DD1"/>
    <w:rsid w:val="00A00F7E"/>
    <w:rsid w:val="00A01A5D"/>
    <w:rsid w:val="00A044D6"/>
    <w:rsid w:val="00A0468C"/>
    <w:rsid w:val="00A04ADB"/>
    <w:rsid w:val="00A04F89"/>
    <w:rsid w:val="00A0538F"/>
    <w:rsid w:val="00A059A0"/>
    <w:rsid w:val="00A05F11"/>
    <w:rsid w:val="00A060EF"/>
    <w:rsid w:val="00A116E2"/>
    <w:rsid w:val="00A11E0F"/>
    <w:rsid w:val="00A141E9"/>
    <w:rsid w:val="00A15D78"/>
    <w:rsid w:val="00A1612F"/>
    <w:rsid w:val="00A161D9"/>
    <w:rsid w:val="00A171D8"/>
    <w:rsid w:val="00A175DC"/>
    <w:rsid w:val="00A207C7"/>
    <w:rsid w:val="00A20D2D"/>
    <w:rsid w:val="00A20EE2"/>
    <w:rsid w:val="00A216E5"/>
    <w:rsid w:val="00A230BB"/>
    <w:rsid w:val="00A26744"/>
    <w:rsid w:val="00A26998"/>
    <w:rsid w:val="00A26CB6"/>
    <w:rsid w:val="00A27A66"/>
    <w:rsid w:val="00A32F82"/>
    <w:rsid w:val="00A32F8B"/>
    <w:rsid w:val="00A33CF6"/>
    <w:rsid w:val="00A344E8"/>
    <w:rsid w:val="00A34D6C"/>
    <w:rsid w:val="00A3505C"/>
    <w:rsid w:val="00A3756F"/>
    <w:rsid w:val="00A37A18"/>
    <w:rsid w:val="00A40FD5"/>
    <w:rsid w:val="00A4166D"/>
    <w:rsid w:val="00A4276C"/>
    <w:rsid w:val="00A42D6F"/>
    <w:rsid w:val="00A4474B"/>
    <w:rsid w:val="00A45A62"/>
    <w:rsid w:val="00A47342"/>
    <w:rsid w:val="00A53296"/>
    <w:rsid w:val="00A5407E"/>
    <w:rsid w:val="00A54AC5"/>
    <w:rsid w:val="00A54DF6"/>
    <w:rsid w:val="00A5555B"/>
    <w:rsid w:val="00A55DC3"/>
    <w:rsid w:val="00A56D41"/>
    <w:rsid w:val="00A56DEC"/>
    <w:rsid w:val="00A60529"/>
    <w:rsid w:val="00A609C0"/>
    <w:rsid w:val="00A61353"/>
    <w:rsid w:val="00A61481"/>
    <w:rsid w:val="00A629D6"/>
    <w:rsid w:val="00A637C9"/>
    <w:rsid w:val="00A65BBF"/>
    <w:rsid w:val="00A66705"/>
    <w:rsid w:val="00A66DB1"/>
    <w:rsid w:val="00A67A92"/>
    <w:rsid w:val="00A704C5"/>
    <w:rsid w:val="00A70DC6"/>
    <w:rsid w:val="00A75C7A"/>
    <w:rsid w:val="00A75E63"/>
    <w:rsid w:val="00A81BAB"/>
    <w:rsid w:val="00A84116"/>
    <w:rsid w:val="00A842D5"/>
    <w:rsid w:val="00A877FA"/>
    <w:rsid w:val="00A87870"/>
    <w:rsid w:val="00A909D7"/>
    <w:rsid w:val="00A91A70"/>
    <w:rsid w:val="00A92F51"/>
    <w:rsid w:val="00A94D89"/>
    <w:rsid w:val="00A957F6"/>
    <w:rsid w:val="00A97316"/>
    <w:rsid w:val="00AA0799"/>
    <w:rsid w:val="00AA0913"/>
    <w:rsid w:val="00AA0D54"/>
    <w:rsid w:val="00AA1268"/>
    <w:rsid w:val="00AA1B85"/>
    <w:rsid w:val="00AA258F"/>
    <w:rsid w:val="00AA3290"/>
    <w:rsid w:val="00AA6853"/>
    <w:rsid w:val="00AB0EE9"/>
    <w:rsid w:val="00AB1CB6"/>
    <w:rsid w:val="00AB1D9A"/>
    <w:rsid w:val="00AB3C7F"/>
    <w:rsid w:val="00AB45F2"/>
    <w:rsid w:val="00AB5448"/>
    <w:rsid w:val="00AB6C95"/>
    <w:rsid w:val="00AC3540"/>
    <w:rsid w:val="00AC35B4"/>
    <w:rsid w:val="00AC4DC1"/>
    <w:rsid w:val="00AD0C22"/>
    <w:rsid w:val="00AD0C24"/>
    <w:rsid w:val="00AD442C"/>
    <w:rsid w:val="00AD44FE"/>
    <w:rsid w:val="00AD5077"/>
    <w:rsid w:val="00AD5A37"/>
    <w:rsid w:val="00AD6BF9"/>
    <w:rsid w:val="00AE05A4"/>
    <w:rsid w:val="00AE25FC"/>
    <w:rsid w:val="00AE3E1A"/>
    <w:rsid w:val="00AE400C"/>
    <w:rsid w:val="00AE48EF"/>
    <w:rsid w:val="00AE49F1"/>
    <w:rsid w:val="00AE4A1C"/>
    <w:rsid w:val="00AE4B7A"/>
    <w:rsid w:val="00AE5532"/>
    <w:rsid w:val="00AE67F4"/>
    <w:rsid w:val="00AF3411"/>
    <w:rsid w:val="00AF36C9"/>
    <w:rsid w:val="00AF79D0"/>
    <w:rsid w:val="00B05CCA"/>
    <w:rsid w:val="00B11F16"/>
    <w:rsid w:val="00B138C3"/>
    <w:rsid w:val="00B14271"/>
    <w:rsid w:val="00B15A1F"/>
    <w:rsid w:val="00B16270"/>
    <w:rsid w:val="00B17765"/>
    <w:rsid w:val="00B17B32"/>
    <w:rsid w:val="00B23C16"/>
    <w:rsid w:val="00B23C52"/>
    <w:rsid w:val="00B259E1"/>
    <w:rsid w:val="00B2685D"/>
    <w:rsid w:val="00B2695B"/>
    <w:rsid w:val="00B27006"/>
    <w:rsid w:val="00B30351"/>
    <w:rsid w:val="00B31BE4"/>
    <w:rsid w:val="00B33C2A"/>
    <w:rsid w:val="00B35967"/>
    <w:rsid w:val="00B400FE"/>
    <w:rsid w:val="00B4092D"/>
    <w:rsid w:val="00B41706"/>
    <w:rsid w:val="00B422EC"/>
    <w:rsid w:val="00B4276F"/>
    <w:rsid w:val="00B44875"/>
    <w:rsid w:val="00B46713"/>
    <w:rsid w:val="00B46B4A"/>
    <w:rsid w:val="00B47F0A"/>
    <w:rsid w:val="00B50B6B"/>
    <w:rsid w:val="00B535FF"/>
    <w:rsid w:val="00B54885"/>
    <w:rsid w:val="00B54D71"/>
    <w:rsid w:val="00B57DF5"/>
    <w:rsid w:val="00B57F9A"/>
    <w:rsid w:val="00B61D49"/>
    <w:rsid w:val="00B634AB"/>
    <w:rsid w:val="00B63624"/>
    <w:rsid w:val="00B65592"/>
    <w:rsid w:val="00B65DA8"/>
    <w:rsid w:val="00B665A1"/>
    <w:rsid w:val="00B66D10"/>
    <w:rsid w:val="00B70AA3"/>
    <w:rsid w:val="00B724E4"/>
    <w:rsid w:val="00B726D4"/>
    <w:rsid w:val="00B72CC5"/>
    <w:rsid w:val="00B75933"/>
    <w:rsid w:val="00B75D66"/>
    <w:rsid w:val="00B76B72"/>
    <w:rsid w:val="00B81618"/>
    <w:rsid w:val="00B81DEA"/>
    <w:rsid w:val="00B8214F"/>
    <w:rsid w:val="00B82B43"/>
    <w:rsid w:val="00B82B48"/>
    <w:rsid w:val="00B84E9C"/>
    <w:rsid w:val="00B85133"/>
    <w:rsid w:val="00B86A4F"/>
    <w:rsid w:val="00B91CBC"/>
    <w:rsid w:val="00B93035"/>
    <w:rsid w:val="00B945CA"/>
    <w:rsid w:val="00B952B2"/>
    <w:rsid w:val="00B9576F"/>
    <w:rsid w:val="00B958E8"/>
    <w:rsid w:val="00B95BF8"/>
    <w:rsid w:val="00B97E4A"/>
    <w:rsid w:val="00BA09B2"/>
    <w:rsid w:val="00BA0B63"/>
    <w:rsid w:val="00BA0F35"/>
    <w:rsid w:val="00BA207C"/>
    <w:rsid w:val="00BA28F3"/>
    <w:rsid w:val="00BA42DA"/>
    <w:rsid w:val="00BA42FE"/>
    <w:rsid w:val="00BA465D"/>
    <w:rsid w:val="00BA5B46"/>
    <w:rsid w:val="00BA7232"/>
    <w:rsid w:val="00BB0327"/>
    <w:rsid w:val="00BB0739"/>
    <w:rsid w:val="00BB21EC"/>
    <w:rsid w:val="00BB2D73"/>
    <w:rsid w:val="00BB32FA"/>
    <w:rsid w:val="00BB45BA"/>
    <w:rsid w:val="00BB4A3A"/>
    <w:rsid w:val="00BB5D0B"/>
    <w:rsid w:val="00BB75A4"/>
    <w:rsid w:val="00BC0995"/>
    <w:rsid w:val="00BC150B"/>
    <w:rsid w:val="00BC179A"/>
    <w:rsid w:val="00BC1ADE"/>
    <w:rsid w:val="00BC4A98"/>
    <w:rsid w:val="00BC545B"/>
    <w:rsid w:val="00BC6DE2"/>
    <w:rsid w:val="00BC6E62"/>
    <w:rsid w:val="00BD20E5"/>
    <w:rsid w:val="00BD3A53"/>
    <w:rsid w:val="00BD3AF5"/>
    <w:rsid w:val="00BD6035"/>
    <w:rsid w:val="00BD631B"/>
    <w:rsid w:val="00BD656A"/>
    <w:rsid w:val="00BD6BDE"/>
    <w:rsid w:val="00BE2210"/>
    <w:rsid w:val="00BE28C2"/>
    <w:rsid w:val="00BE2D0A"/>
    <w:rsid w:val="00BE3AD1"/>
    <w:rsid w:val="00BE47D4"/>
    <w:rsid w:val="00BE616C"/>
    <w:rsid w:val="00BE793A"/>
    <w:rsid w:val="00BE7A0B"/>
    <w:rsid w:val="00BE7BB4"/>
    <w:rsid w:val="00BF11B1"/>
    <w:rsid w:val="00BF1887"/>
    <w:rsid w:val="00BF1EC9"/>
    <w:rsid w:val="00BF2017"/>
    <w:rsid w:val="00BF2A29"/>
    <w:rsid w:val="00BF2B82"/>
    <w:rsid w:val="00BF432A"/>
    <w:rsid w:val="00BF6CB4"/>
    <w:rsid w:val="00BF6E82"/>
    <w:rsid w:val="00BF7D9B"/>
    <w:rsid w:val="00C045D1"/>
    <w:rsid w:val="00C057E5"/>
    <w:rsid w:val="00C060C7"/>
    <w:rsid w:val="00C06396"/>
    <w:rsid w:val="00C06F76"/>
    <w:rsid w:val="00C10EA4"/>
    <w:rsid w:val="00C132DD"/>
    <w:rsid w:val="00C13F7E"/>
    <w:rsid w:val="00C17A38"/>
    <w:rsid w:val="00C20C32"/>
    <w:rsid w:val="00C21897"/>
    <w:rsid w:val="00C24C17"/>
    <w:rsid w:val="00C25662"/>
    <w:rsid w:val="00C27240"/>
    <w:rsid w:val="00C31148"/>
    <w:rsid w:val="00C34829"/>
    <w:rsid w:val="00C359B3"/>
    <w:rsid w:val="00C3699C"/>
    <w:rsid w:val="00C3758F"/>
    <w:rsid w:val="00C40B88"/>
    <w:rsid w:val="00C40FD1"/>
    <w:rsid w:val="00C439F9"/>
    <w:rsid w:val="00C44489"/>
    <w:rsid w:val="00C44FC2"/>
    <w:rsid w:val="00C45028"/>
    <w:rsid w:val="00C46BAC"/>
    <w:rsid w:val="00C47D87"/>
    <w:rsid w:val="00C511CD"/>
    <w:rsid w:val="00C516A3"/>
    <w:rsid w:val="00C52F76"/>
    <w:rsid w:val="00C5376E"/>
    <w:rsid w:val="00C55AEE"/>
    <w:rsid w:val="00C5627D"/>
    <w:rsid w:val="00C5701B"/>
    <w:rsid w:val="00C60651"/>
    <w:rsid w:val="00C608C1"/>
    <w:rsid w:val="00C61161"/>
    <w:rsid w:val="00C639C2"/>
    <w:rsid w:val="00C64D40"/>
    <w:rsid w:val="00C66218"/>
    <w:rsid w:val="00C677C9"/>
    <w:rsid w:val="00C70DBC"/>
    <w:rsid w:val="00C76ECD"/>
    <w:rsid w:val="00C8065D"/>
    <w:rsid w:val="00C808A6"/>
    <w:rsid w:val="00C81B8A"/>
    <w:rsid w:val="00C83C29"/>
    <w:rsid w:val="00C84824"/>
    <w:rsid w:val="00C855DB"/>
    <w:rsid w:val="00C855F3"/>
    <w:rsid w:val="00C85A2F"/>
    <w:rsid w:val="00C86270"/>
    <w:rsid w:val="00C86B56"/>
    <w:rsid w:val="00C9128B"/>
    <w:rsid w:val="00C97091"/>
    <w:rsid w:val="00C97260"/>
    <w:rsid w:val="00CA1F0F"/>
    <w:rsid w:val="00CA2001"/>
    <w:rsid w:val="00CA6361"/>
    <w:rsid w:val="00CA69DB"/>
    <w:rsid w:val="00CA7B7C"/>
    <w:rsid w:val="00CB0160"/>
    <w:rsid w:val="00CB091B"/>
    <w:rsid w:val="00CB3782"/>
    <w:rsid w:val="00CB5B6C"/>
    <w:rsid w:val="00CB5DAE"/>
    <w:rsid w:val="00CC052E"/>
    <w:rsid w:val="00CC328D"/>
    <w:rsid w:val="00CC3A13"/>
    <w:rsid w:val="00CD0731"/>
    <w:rsid w:val="00CD0DB3"/>
    <w:rsid w:val="00CD147F"/>
    <w:rsid w:val="00CD16BE"/>
    <w:rsid w:val="00CD2268"/>
    <w:rsid w:val="00CD33A5"/>
    <w:rsid w:val="00CD4616"/>
    <w:rsid w:val="00CD56AF"/>
    <w:rsid w:val="00CD64E3"/>
    <w:rsid w:val="00CD6F17"/>
    <w:rsid w:val="00CD7D77"/>
    <w:rsid w:val="00CE087D"/>
    <w:rsid w:val="00CE33D5"/>
    <w:rsid w:val="00CE3BCE"/>
    <w:rsid w:val="00CE3F2D"/>
    <w:rsid w:val="00CE4712"/>
    <w:rsid w:val="00CF13E9"/>
    <w:rsid w:val="00CF22D9"/>
    <w:rsid w:val="00CF234D"/>
    <w:rsid w:val="00CF44F7"/>
    <w:rsid w:val="00CF4C40"/>
    <w:rsid w:val="00CF5D37"/>
    <w:rsid w:val="00CF6F33"/>
    <w:rsid w:val="00CF7D2E"/>
    <w:rsid w:val="00D00F4A"/>
    <w:rsid w:val="00D012C3"/>
    <w:rsid w:val="00D015F0"/>
    <w:rsid w:val="00D02248"/>
    <w:rsid w:val="00D024E3"/>
    <w:rsid w:val="00D04429"/>
    <w:rsid w:val="00D04E37"/>
    <w:rsid w:val="00D05723"/>
    <w:rsid w:val="00D063B8"/>
    <w:rsid w:val="00D06825"/>
    <w:rsid w:val="00D07467"/>
    <w:rsid w:val="00D07A0C"/>
    <w:rsid w:val="00D10D4D"/>
    <w:rsid w:val="00D12024"/>
    <w:rsid w:val="00D17A5E"/>
    <w:rsid w:val="00D17E3B"/>
    <w:rsid w:val="00D17FC9"/>
    <w:rsid w:val="00D2119E"/>
    <w:rsid w:val="00D2306F"/>
    <w:rsid w:val="00D23C09"/>
    <w:rsid w:val="00D23CED"/>
    <w:rsid w:val="00D241D1"/>
    <w:rsid w:val="00D24939"/>
    <w:rsid w:val="00D24BD2"/>
    <w:rsid w:val="00D250AF"/>
    <w:rsid w:val="00D2573D"/>
    <w:rsid w:val="00D260A2"/>
    <w:rsid w:val="00D26D4D"/>
    <w:rsid w:val="00D27B53"/>
    <w:rsid w:val="00D308B8"/>
    <w:rsid w:val="00D30CC6"/>
    <w:rsid w:val="00D31722"/>
    <w:rsid w:val="00D3260C"/>
    <w:rsid w:val="00D33DB5"/>
    <w:rsid w:val="00D35790"/>
    <w:rsid w:val="00D36DF7"/>
    <w:rsid w:val="00D36FDC"/>
    <w:rsid w:val="00D40ECC"/>
    <w:rsid w:val="00D42585"/>
    <w:rsid w:val="00D51350"/>
    <w:rsid w:val="00D519AF"/>
    <w:rsid w:val="00D532A9"/>
    <w:rsid w:val="00D5437A"/>
    <w:rsid w:val="00D5611E"/>
    <w:rsid w:val="00D5653B"/>
    <w:rsid w:val="00D56BCF"/>
    <w:rsid w:val="00D5726D"/>
    <w:rsid w:val="00D60843"/>
    <w:rsid w:val="00D61D6E"/>
    <w:rsid w:val="00D628AF"/>
    <w:rsid w:val="00D62EF1"/>
    <w:rsid w:val="00D6309D"/>
    <w:rsid w:val="00D6384E"/>
    <w:rsid w:val="00D644CA"/>
    <w:rsid w:val="00D64EA0"/>
    <w:rsid w:val="00D66FC2"/>
    <w:rsid w:val="00D670C9"/>
    <w:rsid w:val="00D7044E"/>
    <w:rsid w:val="00D757DD"/>
    <w:rsid w:val="00D76C7E"/>
    <w:rsid w:val="00D771DE"/>
    <w:rsid w:val="00D7776D"/>
    <w:rsid w:val="00D77875"/>
    <w:rsid w:val="00D834F1"/>
    <w:rsid w:val="00D83609"/>
    <w:rsid w:val="00D83DCD"/>
    <w:rsid w:val="00D84494"/>
    <w:rsid w:val="00D876D6"/>
    <w:rsid w:val="00D90BBF"/>
    <w:rsid w:val="00D90EE9"/>
    <w:rsid w:val="00D92179"/>
    <w:rsid w:val="00D922C6"/>
    <w:rsid w:val="00D927DF"/>
    <w:rsid w:val="00D9293F"/>
    <w:rsid w:val="00D92DE7"/>
    <w:rsid w:val="00D93598"/>
    <w:rsid w:val="00D93FDD"/>
    <w:rsid w:val="00D94A39"/>
    <w:rsid w:val="00D957EB"/>
    <w:rsid w:val="00DA1E18"/>
    <w:rsid w:val="00DA2009"/>
    <w:rsid w:val="00DA3801"/>
    <w:rsid w:val="00DA7769"/>
    <w:rsid w:val="00DB05B1"/>
    <w:rsid w:val="00DB2781"/>
    <w:rsid w:val="00DB2823"/>
    <w:rsid w:val="00DB2D74"/>
    <w:rsid w:val="00DB36E9"/>
    <w:rsid w:val="00DB3786"/>
    <w:rsid w:val="00DB4782"/>
    <w:rsid w:val="00DB59E8"/>
    <w:rsid w:val="00DB5A79"/>
    <w:rsid w:val="00DB7756"/>
    <w:rsid w:val="00DC1530"/>
    <w:rsid w:val="00DC1F08"/>
    <w:rsid w:val="00DC2465"/>
    <w:rsid w:val="00DC523F"/>
    <w:rsid w:val="00DC7D48"/>
    <w:rsid w:val="00DD12BD"/>
    <w:rsid w:val="00DD145A"/>
    <w:rsid w:val="00DD17B7"/>
    <w:rsid w:val="00DD1A30"/>
    <w:rsid w:val="00DD33C9"/>
    <w:rsid w:val="00DD512E"/>
    <w:rsid w:val="00DD5274"/>
    <w:rsid w:val="00DD531B"/>
    <w:rsid w:val="00DD55B9"/>
    <w:rsid w:val="00DD58D5"/>
    <w:rsid w:val="00DD5EC8"/>
    <w:rsid w:val="00DE0C42"/>
    <w:rsid w:val="00DE112C"/>
    <w:rsid w:val="00DE1177"/>
    <w:rsid w:val="00DE1C50"/>
    <w:rsid w:val="00DE2CEA"/>
    <w:rsid w:val="00DE33CF"/>
    <w:rsid w:val="00DE52C8"/>
    <w:rsid w:val="00DE6154"/>
    <w:rsid w:val="00DE61C7"/>
    <w:rsid w:val="00DE63BD"/>
    <w:rsid w:val="00DE6A3C"/>
    <w:rsid w:val="00DE74F4"/>
    <w:rsid w:val="00DE76A5"/>
    <w:rsid w:val="00DE7F97"/>
    <w:rsid w:val="00DF1010"/>
    <w:rsid w:val="00DF1C80"/>
    <w:rsid w:val="00DF2002"/>
    <w:rsid w:val="00DF25F5"/>
    <w:rsid w:val="00DF5298"/>
    <w:rsid w:val="00DF5AEA"/>
    <w:rsid w:val="00DF63F6"/>
    <w:rsid w:val="00DF7BD0"/>
    <w:rsid w:val="00E0174F"/>
    <w:rsid w:val="00E0219D"/>
    <w:rsid w:val="00E0374B"/>
    <w:rsid w:val="00E03EAA"/>
    <w:rsid w:val="00E04784"/>
    <w:rsid w:val="00E07D11"/>
    <w:rsid w:val="00E10B28"/>
    <w:rsid w:val="00E117FD"/>
    <w:rsid w:val="00E13747"/>
    <w:rsid w:val="00E14758"/>
    <w:rsid w:val="00E21088"/>
    <w:rsid w:val="00E2166F"/>
    <w:rsid w:val="00E21C2A"/>
    <w:rsid w:val="00E22C40"/>
    <w:rsid w:val="00E23E29"/>
    <w:rsid w:val="00E24632"/>
    <w:rsid w:val="00E25AEA"/>
    <w:rsid w:val="00E30D26"/>
    <w:rsid w:val="00E30DEF"/>
    <w:rsid w:val="00E30ED2"/>
    <w:rsid w:val="00E31276"/>
    <w:rsid w:val="00E31B77"/>
    <w:rsid w:val="00E32102"/>
    <w:rsid w:val="00E34666"/>
    <w:rsid w:val="00E3600B"/>
    <w:rsid w:val="00E36A66"/>
    <w:rsid w:val="00E37B51"/>
    <w:rsid w:val="00E37F70"/>
    <w:rsid w:val="00E4017F"/>
    <w:rsid w:val="00E41377"/>
    <w:rsid w:val="00E41985"/>
    <w:rsid w:val="00E446C1"/>
    <w:rsid w:val="00E446D4"/>
    <w:rsid w:val="00E461C4"/>
    <w:rsid w:val="00E46BCD"/>
    <w:rsid w:val="00E50A53"/>
    <w:rsid w:val="00E5376C"/>
    <w:rsid w:val="00E53786"/>
    <w:rsid w:val="00E545D7"/>
    <w:rsid w:val="00E547FE"/>
    <w:rsid w:val="00E5669C"/>
    <w:rsid w:val="00E57DDC"/>
    <w:rsid w:val="00E6024E"/>
    <w:rsid w:val="00E60ECA"/>
    <w:rsid w:val="00E613AB"/>
    <w:rsid w:val="00E61705"/>
    <w:rsid w:val="00E61783"/>
    <w:rsid w:val="00E62786"/>
    <w:rsid w:val="00E663B6"/>
    <w:rsid w:val="00E6780D"/>
    <w:rsid w:val="00E752AE"/>
    <w:rsid w:val="00E758B9"/>
    <w:rsid w:val="00E811FD"/>
    <w:rsid w:val="00E81620"/>
    <w:rsid w:val="00E81B84"/>
    <w:rsid w:val="00E81BA3"/>
    <w:rsid w:val="00E82191"/>
    <w:rsid w:val="00E828EE"/>
    <w:rsid w:val="00E83A2E"/>
    <w:rsid w:val="00E84236"/>
    <w:rsid w:val="00E8452A"/>
    <w:rsid w:val="00E85569"/>
    <w:rsid w:val="00E856AF"/>
    <w:rsid w:val="00E86B83"/>
    <w:rsid w:val="00E86C57"/>
    <w:rsid w:val="00E87905"/>
    <w:rsid w:val="00E87C64"/>
    <w:rsid w:val="00E93A01"/>
    <w:rsid w:val="00E93FF8"/>
    <w:rsid w:val="00E940AE"/>
    <w:rsid w:val="00E944C0"/>
    <w:rsid w:val="00E94EB6"/>
    <w:rsid w:val="00E95755"/>
    <w:rsid w:val="00E95CA8"/>
    <w:rsid w:val="00E96643"/>
    <w:rsid w:val="00E96EAF"/>
    <w:rsid w:val="00EA0771"/>
    <w:rsid w:val="00EA1434"/>
    <w:rsid w:val="00EA1752"/>
    <w:rsid w:val="00EA3BCC"/>
    <w:rsid w:val="00EA3DCD"/>
    <w:rsid w:val="00EA3FFE"/>
    <w:rsid w:val="00EA539B"/>
    <w:rsid w:val="00EA55B4"/>
    <w:rsid w:val="00EA5A89"/>
    <w:rsid w:val="00EA5BDB"/>
    <w:rsid w:val="00EA63E6"/>
    <w:rsid w:val="00EA63FA"/>
    <w:rsid w:val="00EB051C"/>
    <w:rsid w:val="00EB46D9"/>
    <w:rsid w:val="00EB5823"/>
    <w:rsid w:val="00EB64C3"/>
    <w:rsid w:val="00EB7099"/>
    <w:rsid w:val="00EC0BBF"/>
    <w:rsid w:val="00EC0E64"/>
    <w:rsid w:val="00EC142D"/>
    <w:rsid w:val="00EC1E16"/>
    <w:rsid w:val="00EC22F4"/>
    <w:rsid w:val="00EC2DD1"/>
    <w:rsid w:val="00EC52DA"/>
    <w:rsid w:val="00EC5459"/>
    <w:rsid w:val="00EC7003"/>
    <w:rsid w:val="00EC7100"/>
    <w:rsid w:val="00ED0024"/>
    <w:rsid w:val="00ED0EA0"/>
    <w:rsid w:val="00ED0F85"/>
    <w:rsid w:val="00ED136E"/>
    <w:rsid w:val="00ED1BD7"/>
    <w:rsid w:val="00ED2B5C"/>
    <w:rsid w:val="00ED3269"/>
    <w:rsid w:val="00ED3A18"/>
    <w:rsid w:val="00ED75D1"/>
    <w:rsid w:val="00ED75FE"/>
    <w:rsid w:val="00ED7836"/>
    <w:rsid w:val="00ED7A67"/>
    <w:rsid w:val="00EE020F"/>
    <w:rsid w:val="00EE128F"/>
    <w:rsid w:val="00EE1A8C"/>
    <w:rsid w:val="00EE2E77"/>
    <w:rsid w:val="00EE44AE"/>
    <w:rsid w:val="00EE4643"/>
    <w:rsid w:val="00EE529F"/>
    <w:rsid w:val="00EE7F1A"/>
    <w:rsid w:val="00EF09BC"/>
    <w:rsid w:val="00EF1330"/>
    <w:rsid w:val="00EF15FF"/>
    <w:rsid w:val="00EF2293"/>
    <w:rsid w:val="00EF26B3"/>
    <w:rsid w:val="00EF32C6"/>
    <w:rsid w:val="00EF38D2"/>
    <w:rsid w:val="00EF55E6"/>
    <w:rsid w:val="00EF5707"/>
    <w:rsid w:val="00EF70EC"/>
    <w:rsid w:val="00EF7111"/>
    <w:rsid w:val="00EF71D6"/>
    <w:rsid w:val="00EF73DA"/>
    <w:rsid w:val="00EF75DB"/>
    <w:rsid w:val="00EF7D1A"/>
    <w:rsid w:val="00F02759"/>
    <w:rsid w:val="00F0323F"/>
    <w:rsid w:val="00F037FB"/>
    <w:rsid w:val="00F0448F"/>
    <w:rsid w:val="00F0716C"/>
    <w:rsid w:val="00F072E2"/>
    <w:rsid w:val="00F105AE"/>
    <w:rsid w:val="00F108A8"/>
    <w:rsid w:val="00F11830"/>
    <w:rsid w:val="00F135BE"/>
    <w:rsid w:val="00F15475"/>
    <w:rsid w:val="00F216E1"/>
    <w:rsid w:val="00F22FE6"/>
    <w:rsid w:val="00F24B37"/>
    <w:rsid w:val="00F25DC4"/>
    <w:rsid w:val="00F266D2"/>
    <w:rsid w:val="00F26E64"/>
    <w:rsid w:val="00F270E9"/>
    <w:rsid w:val="00F27440"/>
    <w:rsid w:val="00F275C0"/>
    <w:rsid w:val="00F317B5"/>
    <w:rsid w:val="00F322CF"/>
    <w:rsid w:val="00F3349C"/>
    <w:rsid w:val="00F346B6"/>
    <w:rsid w:val="00F36145"/>
    <w:rsid w:val="00F37BDD"/>
    <w:rsid w:val="00F41503"/>
    <w:rsid w:val="00F41AA3"/>
    <w:rsid w:val="00F4301D"/>
    <w:rsid w:val="00F44B8B"/>
    <w:rsid w:val="00F44D82"/>
    <w:rsid w:val="00F4532C"/>
    <w:rsid w:val="00F46207"/>
    <w:rsid w:val="00F466C8"/>
    <w:rsid w:val="00F469A9"/>
    <w:rsid w:val="00F46B50"/>
    <w:rsid w:val="00F46DD7"/>
    <w:rsid w:val="00F47C20"/>
    <w:rsid w:val="00F47DDB"/>
    <w:rsid w:val="00F50B46"/>
    <w:rsid w:val="00F50D1F"/>
    <w:rsid w:val="00F512A1"/>
    <w:rsid w:val="00F51545"/>
    <w:rsid w:val="00F532A5"/>
    <w:rsid w:val="00F54163"/>
    <w:rsid w:val="00F559C1"/>
    <w:rsid w:val="00F56043"/>
    <w:rsid w:val="00F56BD8"/>
    <w:rsid w:val="00F57E26"/>
    <w:rsid w:val="00F6171A"/>
    <w:rsid w:val="00F628E9"/>
    <w:rsid w:val="00F635FC"/>
    <w:rsid w:val="00F63D03"/>
    <w:rsid w:val="00F65615"/>
    <w:rsid w:val="00F65E2F"/>
    <w:rsid w:val="00F6703D"/>
    <w:rsid w:val="00F67DF1"/>
    <w:rsid w:val="00F67DF6"/>
    <w:rsid w:val="00F7054E"/>
    <w:rsid w:val="00F72C76"/>
    <w:rsid w:val="00F742C5"/>
    <w:rsid w:val="00F74C74"/>
    <w:rsid w:val="00F75193"/>
    <w:rsid w:val="00F754FF"/>
    <w:rsid w:val="00F7562B"/>
    <w:rsid w:val="00F82079"/>
    <w:rsid w:val="00F8309B"/>
    <w:rsid w:val="00F833C9"/>
    <w:rsid w:val="00F861F1"/>
    <w:rsid w:val="00F86BE2"/>
    <w:rsid w:val="00F90064"/>
    <w:rsid w:val="00F937B9"/>
    <w:rsid w:val="00F94217"/>
    <w:rsid w:val="00F9586C"/>
    <w:rsid w:val="00F96AFD"/>
    <w:rsid w:val="00FA07F4"/>
    <w:rsid w:val="00FA0AB1"/>
    <w:rsid w:val="00FA114A"/>
    <w:rsid w:val="00FA1398"/>
    <w:rsid w:val="00FA1A9C"/>
    <w:rsid w:val="00FA2778"/>
    <w:rsid w:val="00FA2E19"/>
    <w:rsid w:val="00FA359C"/>
    <w:rsid w:val="00FA3DC6"/>
    <w:rsid w:val="00FA697F"/>
    <w:rsid w:val="00FA7545"/>
    <w:rsid w:val="00FA7726"/>
    <w:rsid w:val="00FB07A3"/>
    <w:rsid w:val="00FB3846"/>
    <w:rsid w:val="00FB3D87"/>
    <w:rsid w:val="00FB5521"/>
    <w:rsid w:val="00FB610D"/>
    <w:rsid w:val="00FC27C2"/>
    <w:rsid w:val="00FC27C8"/>
    <w:rsid w:val="00FC4477"/>
    <w:rsid w:val="00FC46FB"/>
    <w:rsid w:val="00FC72C9"/>
    <w:rsid w:val="00FC7B66"/>
    <w:rsid w:val="00FD0C2F"/>
    <w:rsid w:val="00FD106C"/>
    <w:rsid w:val="00FD2BD3"/>
    <w:rsid w:val="00FD3349"/>
    <w:rsid w:val="00FD3DEF"/>
    <w:rsid w:val="00FD45B3"/>
    <w:rsid w:val="00FD4CCA"/>
    <w:rsid w:val="00FD6C53"/>
    <w:rsid w:val="00FE01B7"/>
    <w:rsid w:val="00FE234B"/>
    <w:rsid w:val="00FE24FA"/>
    <w:rsid w:val="00FE2A9E"/>
    <w:rsid w:val="00FE34B3"/>
    <w:rsid w:val="00FE46B7"/>
    <w:rsid w:val="00FE575B"/>
    <w:rsid w:val="00FF0278"/>
    <w:rsid w:val="00FF0374"/>
    <w:rsid w:val="00FF0420"/>
    <w:rsid w:val="00FF53B5"/>
    <w:rsid w:val="00FF6419"/>
    <w:rsid w:val="00FF6E54"/>
    <w:rsid w:val="00FF7E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B409AA"/>
  <w15:chartTrackingRefBased/>
  <w15:docId w15:val="{FC10EDE9-391A-4A9D-B917-0294A12E5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Segoe UI" w:eastAsia="Times New Roman" w:hAnsi="Segoe UI" w:cs="Times New Roman"/>
        <w:sz w:val="18"/>
        <w:szCs w:val="24"/>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qFormat="1"/>
    <w:lsdException w:name="Subtitle" w:qFormat="1"/>
    <w:lsdException w:name="Strong" w:uiPriority="22" w:qFormat="1"/>
    <w:lsdException w:name="Emphasis" w:qFormat="1"/>
    <w:lsdException w:name="Plain Text" w:uiPriority="99"/>
    <w:lsdException w:name="HTML Preformatted" w:semiHidden="1" w:unhideWhenUsed="1"/>
    <w:lsdException w:name="HTML Samp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34"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A2975"/>
    <w:pPr>
      <w:spacing w:line="276" w:lineRule="auto"/>
      <w:jc w:val="both"/>
    </w:pPr>
    <w:rPr>
      <w:sz w:val="22"/>
    </w:rPr>
  </w:style>
  <w:style w:type="paragraph" w:styleId="Titre1">
    <w:name w:val="heading 1"/>
    <w:basedOn w:val="Normal"/>
    <w:next w:val="Normal"/>
    <w:link w:val="Titre1Car"/>
    <w:uiPriority w:val="99"/>
    <w:qFormat/>
    <w:rsid w:val="00097261"/>
    <w:pPr>
      <w:keepNext/>
      <w:spacing w:line="420" w:lineRule="atLeast"/>
      <w:outlineLvl w:val="0"/>
    </w:pPr>
    <w:rPr>
      <w:rFonts w:cs="Arial"/>
      <w:b/>
      <w:bCs/>
      <w:kern w:val="32"/>
      <w:sz w:val="36"/>
      <w:szCs w:val="32"/>
    </w:rPr>
  </w:style>
  <w:style w:type="paragraph" w:styleId="Titre2">
    <w:name w:val="heading 2"/>
    <w:basedOn w:val="Normal"/>
    <w:next w:val="Normal"/>
    <w:qFormat/>
    <w:rsid w:val="003F46B0"/>
    <w:pPr>
      <w:keepNext/>
      <w:outlineLvl w:val="1"/>
    </w:pPr>
    <w:rPr>
      <w:rFonts w:cs="Arial"/>
      <w:bCs/>
      <w:iCs/>
      <w:color w:val="E1000F"/>
      <w:szCs w:val="28"/>
    </w:rPr>
  </w:style>
  <w:style w:type="paragraph" w:styleId="Titre3">
    <w:name w:val="heading 3"/>
    <w:basedOn w:val="Titre2"/>
    <w:next w:val="Normal"/>
    <w:qFormat/>
    <w:rsid w:val="006F1596"/>
    <w:pPr>
      <w:outlineLvl w:val="2"/>
    </w:pPr>
    <w:rPr>
      <w:color w:val="auto"/>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rsid w:val="00C3758F"/>
    <w:pPr>
      <w:tabs>
        <w:tab w:val="left" w:pos="2607"/>
        <w:tab w:val="center" w:pos="4320"/>
        <w:tab w:val="right" w:pos="9356"/>
      </w:tabs>
      <w:spacing w:before="1440" w:line="100" w:lineRule="atLeast"/>
      <w:jc w:val="right"/>
    </w:pPr>
    <w:rPr>
      <w:rFonts w:cs="Segoe UI"/>
      <w:b/>
      <w:bCs/>
      <w:color w:val="3E3C3C"/>
      <w:sz w:val="40"/>
      <w:szCs w:val="40"/>
    </w:rPr>
  </w:style>
  <w:style w:type="paragraph" w:styleId="Pieddepage">
    <w:name w:val="footer"/>
    <w:basedOn w:val="Normal"/>
    <w:link w:val="PieddepageCar"/>
    <w:uiPriority w:val="99"/>
    <w:rsid w:val="00992A11"/>
    <w:pPr>
      <w:tabs>
        <w:tab w:val="right" w:pos="7083"/>
        <w:tab w:val="right" w:pos="8640"/>
      </w:tabs>
      <w:spacing w:line="180" w:lineRule="atLeast"/>
      <w:jc w:val="right"/>
    </w:pPr>
    <w:rPr>
      <w:bCs/>
      <w:noProof/>
      <w:sz w:val="12"/>
    </w:rPr>
  </w:style>
  <w:style w:type="paragraph" w:customStyle="1" w:styleId="Intro">
    <w:name w:val="Intro"/>
    <w:basedOn w:val="Normal"/>
    <w:rsid w:val="006F1596"/>
    <w:pPr>
      <w:spacing w:after="300"/>
    </w:pPr>
    <w:rPr>
      <w:color w:val="415055"/>
      <w:sz w:val="24"/>
    </w:rPr>
  </w:style>
  <w:style w:type="paragraph" w:customStyle="1" w:styleId="NumBullet">
    <w:name w:val="Num_Bullet"/>
    <w:basedOn w:val="Normal"/>
    <w:rsid w:val="00576BC8"/>
    <w:pPr>
      <w:numPr>
        <w:numId w:val="1"/>
      </w:numPr>
      <w:tabs>
        <w:tab w:val="clear" w:pos="567"/>
        <w:tab w:val="left" w:pos="357"/>
      </w:tabs>
      <w:ind w:left="357" w:hanging="357"/>
    </w:pPr>
  </w:style>
  <w:style w:type="paragraph" w:customStyle="1" w:styleId="Page1Name">
    <w:name w:val="Page1_Name"/>
    <w:basedOn w:val="Normal"/>
    <w:rsid w:val="004F237B"/>
    <w:pPr>
      <w:spacing w:after="420" w:line="360" w:lineRule="atLeast"/>
    </w:pPr>
    <w:rPr>
      <w:b/>
      <w:sz w:val="30"/>
    </w:rPr>
  </w:style>
  <w:style w:type="paragraph" w:customStyle="1" w:styleId="Page1Title">
    <w:name w:val="Page1_Title"/>
    <w:basedOn w:val="Normal"/>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Grilledutableau">
    <w:name w:val="Table Grid"/>
    <w:basedOn w:val="TableauNormal"/>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al"/>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Normal"/>
    <w:rsid w:val="0048435F"/>
    <w:pPr>
      <w:spacing w:line="300" w:lineRule="atLeast"/>
    </w:pPr>
    <w:rPr>
      <w:sz w:val="24"/>
    </w:rPr>
  </w:style>
  <w:style w:type="character" w:customStyle="1" w:styleId="Titre1Car">
    <w:name w:val="Titre 1 Car"/>
    <w:link w:val="Titre1"/>
    <w:uiPriority w:val="99"/>
    <w:locked/>
    <w:rsid w:val="00B422EC"/>
    <w:rPr>
      <w:rFonts w:ascii="Arial" w:hAnsi="Arial" w:cs="Arial"/>
      <w:b/>
      <w:bCs/>
      <w:kern w:val="32"/>
      <w:sz w:val="36"/>
      <w:szCs w:val="32"/>
      <w:lang w:val="de-DE"/>
    </w:rPr>
  </w:style>
  <w:style w:type="character" w:styleId="Lienhypertexte">
    <w:name w:val="Hyperlink"/>
    <w:rsid w:val="00336854"/>
    <w:rPr>
      <w:rFonts w:ascii="Segoe UI" w:hAnsi="Segoe UI"/>
      <w:color w:val="0000FF"/>
      <w:sz w:val="18"/>
      <w:szCs w:val="18"/>
      <w:u w:val="single"/>
    </w:rPr>
  </w:style>
  <w:style w:type="paragraph" w:customStyle="1" w:styleId="MittleresRaster1-Akzent21">
    <w:name w:val="Mittleres Raster 1 - Akzent 21"/>
    <w:basedOn w:val="Normal"/>
    <w:uiPriority w:val="34"/>
    <w:qFormat/>
    <w:rsid w:val="00B422EC"/>
    <w:pPr>
      <w:ind w:left="720"/>
    </w:pPr>
  </w:style>
  <w:style w:type="paragraph" w:styleId="Textedebulles">
    <w:name w:val="Balloon Text"/>
    <w:basedOn w:val="Normal"/>
    <w:link w:val="TextedebullesCar"/>
    <w:rsid w:val="00336854"/>
    <w:pPr>
      <w:spacing w:line="240" w:lineRule="auto"/>
    </w:pPr>
    <w:rPr>
      <w:sz w:val="18"/>
      <w:szCs w:val="18"/>
    </w:rPr>
  </w:style>
  <w:style w:type="character" w:customStyle="1" w:styleId="TextedebullesCar">
    <w:name w:val="Texte de bulles Car"/>
    <w:link w:val="Textedebulles"/>
    <w:rsid w:val="00336854"/>
    <w:rPr>
      <w:rFonts w:ascii="Segoe UI" w:hAnsi="Segoe UI"/>
      <w:sz w:val="18"/>
      <w:szCs w:val="18"/>
      <w:lang w:val="de-DE"/>
    </w:rPr>
  </w:style>
  <w:style w:type="paragraph" w:customStyle="1" w:styleId="MittlereListe2-Akzent21">
    <w:name w:val="Mittlere Liste 2 - Akzent 21"/>
    <w:hidden/>
    <w:uiPriority w:val="99"/>
    <w:semiHidden/>
    <w:rsid w:val="002E0B17"/>
    <w:rPr>
      <w:rFonts w:ascii="Arial" w:hAnsi="Arial"/>
      <w:lang w:val="de-DE"/>
    </w:rPr>
  </w:style>
  <w:style w:type="character" w:customStyle="1" w:styleId="PieddepageCar">
    <w:name w:val="Pied de page Car"/>
    <w:link w:val="Pieddepage"/>
    <w:uiPriority w:val="99"/>
    <w:rsid w:val="00992A11"/>
    <w:rPr>
      <w:rFonts w:ascii="Segoe UI" w:hAnsi="Segoe UI"/>
      <w:bCs/>
      <w:noProof/>
      <w:sz w:val="12"/>
      <w:szCs w:val="24"/>
      <w:lang w:val="de-DE"/>
    </w:rPr>
  </w:style>
  <w:style w:type="character" w:styleId="Mentionnonrsolue">
    <w:name w:val="Unresolved Mention"/>
    <w:uiPriority w:val="99"/>
    <w:unhideWhenUsed/>
    <w:rsid w:val="000C210A"/>
    <w:rPr>
      <w:color w:val="605E5C"/>
      <w:shd w:val="clear" w:color="auto" w:fill="E1DFDD"/>
    </w:rPr>
  </w:style>
  <w:style w:type="paragraph" w:customStyle="1" w:styleId="Style12ptJustifiedLinespacing15lines">
    <w:name w:val="Style 12 pt Justified Line spacing:  1.5 lines"/>
    <w:basedOn w:val="Normal"/>
    <w:rsid w:val="00974F84"/>
    <w:rPr>
      <w:szCs w:val="20"/>
    </w:rPr>
  </w:style>
  <w:style w:type="paragraph" w:customStyle="1" w:styleId="Style12ptJustifiedLinespacing15lines1">
    <w:name w:val="Style 12 pt Justified Line spacing:  1.5 lines1"/>
    <w:basedOn w:val="Normal"/>
    <w:rsid w:val="00974F84"/>
    <w:pPr>
      <w:spacing w:before="120"/>
    </w:pPr>
    <w:rPr>
      <w:szCs w:val="20"/>
    </w:rPr>
  </w:style>
  <w:style w:type="character" w:customStyle="1" w:styleId="Headline">
    <w:name w:val="Headline"/>
    <w:basedOn w:val="Policepardfaut"/>
    <w:rsid w:val="00A3756F"/>
    <w:rPr>
      <w:b/>
      <w:bCs/>
      <w:sz w:val="32"/>
    </w:rPr>
  </w:style>
  <w:style w:type="paragraph" w:customStyle="1" w:styleId="MonthDayYear">
    <w:name w:val="Month Day Year"/>
    <w:basedOn w:val="Normal"/>
    <w:rsid w:val="00643D8A"/>
    <w:pPr>
      <w:spacing w:before="120"/>
      <w:ind w:right="-1"/>
      <w:jc w:val="right"/>
    </w:pPr>
    <w:rPr>
      <w:szCs w:val="20"/>
    </w:rPr>
  </w:style>
  <w:style w:type="paragraph" w:customStyle="1" w:styleId="Topline">
    <w:name w:val="Topline"/>
    <w:basedOn w:val="Normal"/>
    <w:qFormat/>
    <w:rsid w:val="00472FEC"/>
    <w:pPr>
      <w:spacing w:before="560" w:after="560"/>
    </w:pPr>
    <w:rPr>
      <w:rFonts w:cs="Segoe UI"/>
      <w:szCs w:val="22"/>
    </w:rPr>
  </w:style>
  <w:style w:type="character" w:customStyle="1" w:styleId="AboutandContactBody">
    <w:name w:val="About and Contact Body"/>
    <w:basedOn w:val="Policepardfaut"/>
    <w:rsid w:val="00336854"/>
    <w:rPr>
      <w:rFonts w:ascii="Segoe UI" w:hAnsi="Segoe UI"/>
      <w:sz w:val="18"/>
    </w:rPr>
  </w:style>
  <w:style w:type="character" w:customStyle="1" w:styleId="AboutandContactHeadline">
    <w:name w:val="About and Contact Headline"/>
    <w:basedOn w:val="Policepardfaut"/>
    <w:rsid w:val="00336854"/>
    <w:rPr>
      <w:rFonts w:ascii="Segoe UI" w:hAnsi="Segoe UI"/>
      <w:b/>
      <w:bCs/>
      <w:sz w:val="18"/>
    </w:rPr>
  </w:style>
  <w:style w:type="paragraph" w:styleId="Paragraphedeliste">
    <w:name w:val="List Paragraph"/>
    <w:basedOn w:val="Normal"/>
    <w:uiPriority w:val="34"/>
    <w:qFormat/>
    <w:rsid w:val="00635616"/>
    <w:pPr>
      <w:ind w:left="720"/>
      <w:contextualSpacing/>
    </w:pPr>
  </w:style>
  <w:style w:type="character" w:styleId="Marquedecommentaire">
    <w:name w:val="annotation reference"/>
    <w:uiPriority w:val="99"/>
    <w:rsid w:val="00846017"/>
    <w:rPr>
      <w:sz w:val="16"/>
      <w:szCs w:val="16"/>
    </w:rPr>
  </w:style>
  <w:style w:type="paragraph" w:styleId="Commentaire">
    <w:name w:val="annotation text"/>
    <w:basedOn w:val="Normal"/>
    <w:link w:val="CommentaireCar"/>
    <w:uiPriority w:val="99"/>
    <w:rsid w:val="00846017"/>
    <w:pPr>
      <w:spacing w:line="260" w:lineRule="atLeast"/>
      <w:jc w:val="left"/>
    </w:pPr>
    <w:rPr>
      <w:rFonts w:ascii="Arial" w:hAnsi="Arial"/>
      <w:sz w:val="20"/>
      <w:szCs w:val="20"/>
      <w:lang w:val="de-DE"/>
    </w:rPr>
  </w:style>
  <w:style w:type="character" w:customStyle="1" w:styleId="CommentaireCar">
    <w:name w:val="Commentaire Car"/>
    <w:basedOn w:val="Policepardfaut"/>
    <w:link w:val="Commentaire"/>
    <w:uiPriority w:val="99"/>
    <w:rsid w:val="00846017"/>
    <w:rPr>
      <w:rFonts w:ascii="Arial" w:hAnsi="Arial"/>
      <w:sz w:val="20"/>
      <w:szCs w:val="20"/>
      <w:lang w:val="de-DE"/>
    </w:rPr>
  </w:style>
  <w:style w:type="paragraph" w:styleId="Objetducommentaire">
    <w:name w:val="annotation subject"/>
    <w:basedOn w:val="Commentaire"/>
    <w:next w:val="Commentaire"/>
    <w:link w:val="ObjetducommentaireCar"/>
    <w:rsid w:val="0020528D"/>
    <w:pPr>
      <w:spacing w:line="240" w:lineRule="auto"/>
      <w:jc w:val="both"/>
    </w:pPr>
    <w:rPr>
      <w:rFonts w:ascii="Segoe UI" w:hAnsi="Segoe UI"/>
      <w:b/>
      <w:bCs/>
      <w:lang w:val="en-US"/>
    </w:rPr>
  </w:style>
  <w:style w:type="character" w:customStyle="1" w:styleId="ObjetducommentaireCar">
    <w:name w:val="Objet du commentaire Car"/>
    <w:basedOn w:val="CommentaireCar"/>
    <w:link w:val="Objetducommentaire"/>
    <w:rsid w:val="0020528D"/>
    <w:rPr>
      <w:rFonts w:ascii="Arial" w:hAnsi="Arial"/>
      <w:b/>
      <w:bCs/>
      <w:sz w:val="20"/>
      <w:szCs w:val="20"/>
      <w:lang w:val="de-DE"/>
    </w:rPr>
  </w:style>
  <w:style w:type="paragraph" w:customStyle="1" w:styleId="He01FlietextAufzhlung1Ebene">
    <w:name w:val="_He_01_Fließtext Aufzählung 1. Ebene"/>
    <w:next w:val="Normal"/>
    <w:qFormat/>
    <w:rsid w:val="0001002C"/>
    <w:pPr>
      <w:numPr>
        <w:numId w:val="8"/>
      </w:numPr>
      <w:spacing w:after="113"/>
      <w:ind w:left="357" w:hanging="357"/>
    </w:pPr>
    <w:rPr>
      <w:rFonts w:eastAsiaTheme="minorHAnsi" w:cstheme="minorBidi"/>
      <w:sz w:val="22"/>
      <w:szCs w:val="22"/>
      <w:lang w:val="de-DE"/>
    </w:rPr>
  </w:style>
  <w:style w:type="character" w:styleId="lev">
    <w:name w:val="Strong"/>
    <w:basedOn w:val="Policepardfaut"/>
    <w:uiPriority w:val="22"/>
    <w:qFormat/>
    <w:rsid w:val="00271AC3"/>
    <w:rPr>
      <w:b/>
      <w:bCs/>
    </w:rPr>
  </w:style>
  <w:style w:type="paragraph" w:customStyle="1" w:styleId="He01FlietextAufzhlung2Ebene">
    <w:name w:val="_He_01_Fließtext Aufzählung 2. Ebene"/>
    <w:next w:val="Normal"/>
    <w:qFormat/>
    <w:rsid w:val="000760C4"/>
    <w:pPr>
      <w:numPr>
        <w:numId w:val="10"/>
      </w:numPr>
      <w:spacing w:after="160"/>
    </w:pPr>
    <w:rPr>
      <w:rFonts w:eastAsiaTheme="minorHAnsi" w:cstheme="minorBidi"/>
      <w:sz w:val="22"/>
      <w:szCs w:val="22"/>
      <w:lang w:val="de-DE"/>
    </w:rPr>
  </w:style>
  <w:style w:type="paragraph" w:customStyle="1" w:styleId="THe01berschrift">
    <w:name w:val="T_He_01_Überschrift"/>
    <w:next w:val="Normal"/>
    <w:qFormat/>
    <w:rsid w:val="000760C4"/>
    <w:pPr>
      <w:numPr>
        <w:numId w:val="9"/>
      </w:numPr>
      <w:spacing w:after="160" w:line="259" w:lineRule="auto"/>
    </w:pPr>
    <w:rPr>
      <w:rFonts w:eastAsiaTheme="minorHAnsi" w:cstheme="minorBidi"/>
      <w:b/>
      <w:color w:val="5F6973"/>
      <w:sz w:val="24"/>
      <w:szCs w:val="22"/>
      <w:lang w:val="de-DE"/>
    </w:rPr>
  </w:style>
  <w:style w:type="paragraph" w:customStyle="1" w:styleId="THe02liFunotenummeriert">
    <w:name w:val="T_He_02_li Fußnote nummeriert"/>
    <w:qFormat/>
    <w:rsid w:val="000760C4"/>
    <w:pPr>
      <w:numPr>
        <w:ilvl w:val="1"/>
        <w:numId w:val="9"/>
      </w:numPr>
      <w:spacing w:before="20" w:after="20" w:line="259" w:lineRule="auto"/>
      <w:contextualSpacing/>
    </w:pPr>
    <w:rPr>
      <w:rFonts w:eastAsiaTheme="minorHAnsi" w:cstheme="minorBidi"/>
      <w:color w:val="5F6973"/>
      <w:sz w:val="14"/>
      <w:szCs w:val="22"/>
      <w:lang w:val="de-DE"/>
    </w:rPr>
  </w:style>
  <w:style w:type="character" w:styleId="Appelnotedebasdep">
    <w:name w:val="footnote reference"/>
    <w:basedOn w:val="Policepardfaut"/>
    <w:uiPriority w:val="99"/>
    <w:unhideWhenUsed/>
    <w:rsid w:val="000760C4"/>
    <w:rPr>
      <w:vertAlign w:val="superscript"/>
    </w:rPr>
  </w:style>
  <w:style w:type="paragraph" w:styleId="Rvision">
    <w:name w:val="Revision"/>
    <w:hidden/>
    <w:uiPriority w:val="62"/>
    <w:unhideWhenUsed/>
    <w:rsid w:val="002C6018"/>
    <w:rPr>
      <w:sz w:val="22"/>
    </w:rPr>
  </w:style>
  <w:style w:type="character" w:styleId="Mention">
    <w:name w:val="Mention"/>
    <w:basedOn w:val="Policepardfaut"/>
    <w:uiPriority w:val="99"/>
    <w:unhideWhenUsed/>
    <w:rsid w:val="0067716E"/>
    <w:rPr>
      <w:color w:val="2B579A"/>
      <w:shd w:val="clear" w:color="auto" w:fill="E1DFDD"/>
    </w:rPr>
  </w:style>
  <w:style w:type="paragraph" w:styleId="Textebrut">
    <w:name w:val="Plain Text"/>
    <w:basedOn w:val="Normal"/>
    <w:link w:val="TextebrutCar"/>
    <w:uiPriority w:val="99"/>
    <w:unhideWhenUsed/>
    <w:rsid w:val="00A75E63"/>
    <w:pPr>
      <w:spacing w:line="240" w:lineRule="auto"/>
      <w:jc w:val="left"/>
    </w:pPr>
    <w:rPr>
      <w:rFonts w:ascii="Calibri" w:eastAsiaTheme="minorHAnsi" w:hAnsi="Calibri" w:cs="Calibri"/>
      <w:szCs w:val="22"/>
      <w:lang w:val="de-DE"/>
    </w:rPr>
  </w:style>
  <w:style w:type="character" w:customStyle="1" w:styleId="TextebrutCar">
    <w:name w:val="Texte brut Car"/>
    <w:basedOn w:val="Policepardfaut"/>
    <w:link w:val="Textebrut"/>
    <w:uiPriority w:val="99"/>
    <w:rsid w:val="00A75E63"/>
    <w:rPr>
      <w:rFonts w:ascii="Calibri" w:eastAsiaTheme="minorHAnsi" w:hAnsi="Calibri" w:cs="Calibri"/>
      <w:sz w:val="22"/>
      <w:szCs w:val="22"/>
      <w:lang w:val="de-DE"/>
    </w:rPr>
  </w:style>
  <w:style w:type="paragraph" w:customStyle="1" w:styleId="Default">
    <w:name w:val="Default"/>
    <w:rsid w:val="008C2A96"/>
    <w:pPr>
      <w:autoSpaceDE w:val="0"/>
      <w:autoSpaceDN w:val="0"/>
      <w:adjustRightInd w:val="0"/>
    </w:pPr>
    <w:rPr>
      <w:rFonts w:ascii="Arial" w:hAnsi="Arial" w:cs="Arial"/>
      <w:color w:val="000000"/>
      <w:sz w:val="24"/>
      <w:lang w:val="de-DE"/>
    </w:rPr>
  </w:style>
  <w:style w:type="paragraph" w:styleId="Corpsdetexte">
    <w:name w:val="Body Text"/>
    <w:basedOn w:val="Normal"/>
    <w:link w:val="CorpsdetexteCar"/>
    <w:rsid w:val="00BF11B1"/>
    <w:pPr>
      <w:spacing w:line="360" w:lineRule="auto"/>
    </w:pPr>
    <w:rPr>
      <w:rFonts w:ascii="Arial" w:hAnsi="Arial"/>
      <w:lang w:val="de-DE" w:eastAsia="de-DE"/>
    </w:rPr>
  </w:style>
  <w:style w:type="character" w:customStyle="1" w:styleId="CorpsdetexteCar">
    <w:name w:val="Corps de texte Car"/>
    <w:basedOn w:val="Policepardfaut"/>
    <w:link w:val="Corpsdetexte"/>
    <w:rsid w:val="00BF11B1"/>
    <w:rPr>
      <w:rFonts w:ascii="Arial" w:hAnsi="Arial"/>
      <w:sz w:val="22"/>
      <w:lang w:val="de-DE" w:eastAsia="de-DE"/>
    </w:rPr>
  </w:style>
  <w:style w:type="paragraph" w:styleId="NormalWeb">
    <w:name w:val="Normal (Web)"/>
    <w:basedOn w:val="Normal"/>
    <w:rsid w:val="002C0BB2"/>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424878">
      <w:bodyDiv w:val="1"/>
      <w:marLeft w:val="0"/>
      <w:marRight w:val="0"/>
      <w:marTop w:val="0"/>
      <w:marBottom w:val="0"/>
      <w:divBdr>
        <w:top w:val="none" w:sz="0" w:space="0" w:color="auto"/>
        <w:left w:val="none" w:sz="0" w:space="0" w:color="auto"/>
        <w:bottom w:val="none" w:sz="0" w:space="0" w:color="auto"/>
        <w:right w:val="none" w:sz="0" w:space="0" w:color="auto"/>
      </w:divBdr>
    </w:div>
    <w:div w:id="526649554">
      <w:bodyDiv w:val="1"/>
      <w:marLeft w:val="0"/>
      <w:marRight w:val="0"/>
      <w:marTop w:val="0"/>
      <w:marBottom w:val="0"/>
      <w:divBdr>
        <w:top w:val="none" w:sz="0" w:space="0" w:color="auto"/>
        <w:left w:val="none" w:sz="0" w:space="0" w:color="auto"/>
        <w:bottom w:val="none" w:sz="0" w:space="0" w:color="auto"/>
        <w:right w:val="none" w:sz="0" w:space="0" w:color="auto"/>
      </w:divBdr>
    </w:div>
    <w:div w:id="545877286">
      <w:bodyDiv w:val="1"/>
      <w:marLeft w:val="0"/>
      <w:marRight w:val="0"/>
      <w:marTop w:val="0"/>
      <w:marBottom w:val="0"/>
      <w:divBdr>
        <w:top w:val="none" w:sz="0" w:space="0" w:color="auto"/>
        <w:left w:val="none" w:sz="0" w:space="0" w:color="auto"/>
        <w:bottom w:val="none" w:sz="0" w:space="0" w:color="auto"/>
        <w:right w:val="none" w:sz="0" w:space="0" w:color="auto"/>
      </w:divBdr>
    </w:div>
    <w:div w:id="548342616">
      <w:bodyDiv w:val="1"/>
      <w:marLeft w:val="0"/>
      <w:marRight w:val="0"/>
      <w:marTop w:val="0"/>
      <w:marBottom w:val="0"/>
      <w:divBdr>
        <w:top w:val="none" w:sz="0" w:space="0" w:color="auto"/>
        <w:left w:val="none" w:sz="0" w:space="0" w:color="auto"/>
        <w:bottom w:val="none" w:sz="0" w:space="0" w:color="auto"/>
        <w:right w:val="none" w:sz="0" w:space="0" w:color="auto"/>
      </w:divBdr>
    </w:div>
    <w:div w:id="625892518">
      <w:bodyDiv w:val="1"/>
      <w:marLeft w:val="0"/>
      <w:marRight w:val="0"/>
      <w:marTop w:val="0"/>
      <w:marBottom w:val="0"/>
      <w:divBdr>
        <w:top w:val="none" w:sz="0" w:space="0" w:color="auto"/>
        <w:left w:val="none" w:sz="0" w:space="0" w:color="auto"/>
        <w:bottom w:val="none" w:sz="0" w:space="0" w:color="auto"/>
        <w:right w:val="none" w:sz="0" w:space="0" w:color="auto"/>
      </w:divBdr>
    </w:div>
    <w:div w:id="630719065">
      <w:bodyDiv w:val="1"/>
      <w:marLeft w:val="0"/>
      <w:marRight w:val="0"/>
      <w:marTop w:val="0"/>
      <w:marBottom w:val="0"/>
      <w:divBdr>
        <w:top w:val="none" w:sz="0" w:space="0" w:color="auto"/>
        <w:left w:val="none" w:sz="0" w:space="0" w:color="auto"/>
        <w:bottom w:val="none" w:sz="0" w:space="0" w:color="auto"/>
        <w:right w:val="none" w:sz="0" w:space="0" w:color="auto"/>
      </w:divBdr>
    </w:div>
    <w:div w:id="678435962">
      <w:bodyDiv w:val="1"/>
      <w:marLeft w:val="0"/>
      <w:marRight w:val="0"/>
      <w:marTop w:val="0"/>
      <w:marBottom w:val="0"/>
      <w:divBdr>
        <w:top w:val="none" w:sz="0" w:space="0" w:color="auto"/>
        <w:left w:val="none" w:sz="0" w:space="0" w:color="auto"/>
        <w:bottom w:val="none" w:sz="0" w:space="0" w:color="auto"/>
        <w:right w:val="none" w:sz="0" w:space="0" w:color="auto"/>
      </w:divBdr>
    </w:div>
    <w:div w:id="747700639">
      <w:bodyDiv w:val="1"/>
      <w:marLeft w:val="0"/>
      <w:marRight w:val="0"/>
      <w:marTop w:val="0"/>
      <w:marBottom w:val="0"/>
      <w:divBdr>
        <w:top w:val="none" w:sz="0" w:space="0" w:color="auto"/>
        <w:left w:val="none" w:sz="0" w:space="0" w:color="auto"/>
        <w:bottom w:val="none" w:sz="0" w:space="0" w:color="auto"/>
        <w:right w:val="none" w:sz="0" w:space="0" w:color="auto"/>
      </w:divBdr>
    </w:div>
    <w:div w:id="810557211">
      <w:bodyDiv w:val="1"/>
      <w:marLeft w:val="0"/>
      <w:marRight w:val="0"/>
      <w:marTop w:val="0"/>
      <w:marBottom w:val="0"/>
      <w:divBdr>
        <w:top w:val="none" w:sz="0" w:space="0" w:color="auto"/>
        <w:left w:val="none" w:sz="0" w:space="0" w:color="auto"/>
        <w:bottom w:val="none" w:sz="0" w:space="0" w:color="auto"/>
        <w:right w:val="none" w:sz="0" w:space="0" w:color="auto"/>
      </w:divBdr>
    </w:div>
    <w:div w:id="830367474">
      <w:bodyDiv w:val="1"/>
      <w:marLeft w:val="0"/>
      <w:marRight w:val="0"/>
      <w:marTop w:val="0"/>
      <w:marBottom w:val="0"/>
      <w:divBdr>
        <w:top w:val="none" w:sz="0" w:space="0" w:color="auto"/>
        <w:left w:val="none" w:sz="0" w:space="0" w:color="auto"/>
        <w:bottom w:val="none" w:sz="0" w:space="0" w:color="auto"/>
        <w:right w:val="none" w:sz="0" w:space="0" w:color="auto"/>
      </w:divBdr>
    </w:div>
    <w:div w:id="939878459">
      <w:bodyDiv w:val="1"/>
      <w:marLeft w:val="0"/>
      <w:marRight w:val="0"/>
      <w:marTop w:val="0"/>
      <w:marBottom w:val="0"/>
      <w:divBdr>
        <w:top w:val="none" w:sz="0" w:space="0" w:color="auto"/>
        <w:left w:val="none" w:sz="0" w:space="0" w:color="auto"/>
        <w:bottom w:val="none" w:sz="0" w:space="0" w:color="auto"/>
        <w:right w:val="none" w:sz="0" w:space="0" w:color="auto"/>
      </w:divBdr>
    </w:div>
    <w:div w:id="955062170">
      <w:bodyDiv w:val="1"/>
      <w:marLeft w:val="0"/>
      <w:marRight w:val="0"/>
      <w:marTop w:val="0"/>
      <w:marBottom w:val="0"/>
      <w:divBdr>
        <w:top w:val="none" w:sz="0" w:space="0" w:color="auto"/>
        <w:left w:val="none" w:sz="0" w:space="0" w:color="auto"/>
        <w:bottom w:val="none" w:sz="0" w:space="0" w:color="auto"/>
        <w:right w:val="none" w:sz="0" w:space="0" w:color="auto"/>
      </w:divBdr>
      <w:divsChild>
        <w:div w:id="1696230907">
          <w:marLeft w:val="259"/>
          <w:marRight w:val="0"/>
          <w:marTop w:val="0"/>
          <w:marBottom w:val="120"/>
          <w:divBdr>
            <w:top w:val="none" w:sz="0" w:space="0" w:color="auto"/>
            <w:left w:val="none" w:sz="0" w:space="0" w:color="auto"/>
            <w:bottom w:val="none" w:sz="0" w:space="0" w:color="auto"/>
            <w:right w:val="none" w:sz="0" w:space="0" w:color="auto"/>
          </w:divBdr>
        </w:div>
        <w:div w:id="1204831618">
          <w:marLeft w:val="259"/>
          <w:marRight w:val="0"/>
          <w:marTop w:val="0"/>
          <w:marBottom w:val="120"/>
          <w:divBdr>
            <w:top w:val="none" w:sz="0" w:space="0" w:color="auto"/>
            <w:left w:val="none" w:sz="0" w:space="0" w:color="auto"/>
            <w:bottom w:val="none" w:sz="0" w:space="0" w:color="auto"/>
            <w:right w:val="none" w:sz="0" w:space="0" w:color="auto"/>
          </w:divBdr>
        </w:div>
      </w:divsChild>
    </w:div>
    <w:div w:id="1011303110">
      <w:bodyDiv w:val="1"/>
      <w:marLeft w:val="0"/>
      <w:marRight w:val="0"/>
      <w:marTop w:val="0"/>
      <w:marBottom w:val="0"/>
      <w:divBdr>
        <w:top w:val="none" w:sz="0" w:space="0" w:color="auto"/>
        <w:left w:val="none" w:sz="0" w:space="0" w:color="auto"/>
        <w:bottom w:val="none" w:sz="0" w:space="0" w:color="auto"/>
        <w:right w:val="none" w:sz="0" w:space="0" w:color="auto"/>
      </w:divBdr>
    </w:div>
    <w:div w:id="1017538436">
      <w:bodyDiv w:val="1"/>
      <w:marLeft w:val="0"/>
      <w:marRight w:val="0"/>
      <w:marTop w:val="0"/>
      <w:marBottom w:val="0"/>
      <w:divBdr>
        <w:top w:val="none" w:sz="0" w:space="0" w:color="auto"/>
        <w:left w:val="none" w:sz="0" w:space="0" w:color="auto"/>
        <w:bottom w:val="none" w:sz="0" w:space="0" w:color="auto"/>
        <w:right w:val="none" w:sz="0" w:space="0" w:color="auto"/>
      </w:divBdr>
    </w:div>
    <w:div w:id="1021319316">
      <w:bodyDiv w:val="1"/>
      <w:marLeft w:val="0"/>
      <w:marRight w:val="0"/>
      <w:marTop w:val="0"/>
      <w:marBottom w:val="0"/>
      <w:divBdr>
        <w:top w:val="none" w:sz="0" w:space="0" w:color="auto"/>
        <w:left w:val="none" w:sz="0" w:space="0" w:color="auto"/>
        <w:bottom w:val="none" w:sz="0" w:space="0" w:color="auto"/>
        <w:right w:val="none" w:sz="0" w:space="0" w:color="auto"/>
      </w:divBdr>
    </w:div>
    <w:div w:id="1290235698">
      <w:bodyDiv w:val="1"/>
      <w:marLeft w:val="0"/>
      <w:marRight w:val="0"/>
      <w:marTop w:val="0"/>
      <w:marBottom w:val="0"/>
      <w:divBdr>
        <w:top w:val="none" w:sz="0" w:space="0" w:color="auto"/>
        <w:left w:val="none" w:sz="0" w:space="0" w:color="auto"/>
        <w:bottom w:val="none" w:sz="0" w:space="0" w:color="auto"/>
        <w:right w:val="none" w:sz="0" w:space="0" w:color="auto"/>
      </w:divBdr>
    </w:div>
    <w:div w:id="1303580746">
      <w:bodyDiv w:val="1"/>
      <w:marLeft w:val="0"/>
      <w:marRight w:val="0"/>
      <w:marTop w:val="0"/>
      <w:marBottom w:val="0"/>
      <w:divBdr>
        <w:top w:val="none" w:sz="0" w:space="0" w:color="auto"/>
        <w:left w:val="none" w:sz="0" w:space="0" w:color="auto"/>
        <w:bottom w:val="none" w:sz="0" w:space="0" w:color="auto"/>
        <w:right w:val="none" w:sz="0" w:space="0" w:color="auto"/>
      </w:divBdr>
    </w:div>
    <w:div w:id="1350109325">
      <w:bodyDiv w:val="1"/>
      <w:marLeft w:val="0"/>
      <w:marRight w:val="0"/>
      <w:marTop w:val="0"/>
      <w:marBottom w:val="0"/>
      <w:divBdr>
        <w:top w:val="none" w:sz="0" w:space="0" w:color="auto"/>
        <w:left w:val="none" w:sz="0" w:space="0" w:color="auto"/>
        <w:bottom w:val="none" w:sz="0" w:space="0" w:color="auto"/>
        <w:right w:val="none" w:sz="0" w:space="0" w:color="auto"/>
      </w:divBdr>
    </w:div>
    <w:div w:id="1374620896">
      <w:bodyDiv w:val="1"/>
      <w:marLeft w:val="0"/>
      <w:marRight w:val="0"/>
      <w:marTop w:val="0"/>
      <w:marBottom w:val="0"/>
      <w:divBdr>
        <w:top w:val="none" w:sz="0" w:space="0" w:color="auto"/>
        <w:left w:val="none" w:sz="0" w:space="0" w:color="auto"/>
        <w:bottom w:val="none" w:sz="0" w:space="0" w:color="auto"/>
        <w:right w:val="none" w:sz="0" w:space="0" w:color="auto"/>
      </w:divBdr>
    </w:div>
    <w:div w:id="1510833819">
      <w:bodyDiv w:val="1"/>
      <w:marLeft w:val="0"/>
      <w:marRight w:val="0"/>
      <w:marTop w:val="0"/>
      <w:marBottom w:val="0"/>
      <w:divBdr>
        <w:top w:val="none" w:sz="0" w:space="0" w:color="auto"/>
        <w:left w:val="none" w:sz="0" w:space="0" w:color="auto"/>
        <w:bottom w:val="none" w:sz="0" w:space="0" w:color="auto"/>
        <w:right w:val="none" w:sz="0" w:space="0" w:color="auto"/>
      </w:divBdr>
    </w:div>
    <w:div w:id="1546261199">
      <w:bodyDiv w:val="1"/>
      <w:marLeft w:val="0"/>
      <w:marRight w:val="0"/>
      <w:marTop w:val="0"/>
      <w:marBottom w:val="0"/>
      <w:divBdr>
        <w:top w:val="none" w:sz="0" w:space="0" w:color="auto"/>
        <w:left w:val="none" w:sz="0" w:space="0" w:color="auto"/>
        <w:bottom w:val="none" w:sz="0" w:space="0" w:color="auto"/>
        <w:right w:val="none" w:sz="0" w:space="0" w:color="auto"/>
      </w:divBdr>
    </w:div>
    <w:div w:id="1571041686">
      <w:bodyDiv w:val="1"/>
      <w:marLeft w:val="0"/>
      <w:marRight w:val="0"/>
      <w:marTop w:val="0"/>
      <w:marBottom w:val="0"/>
      <w:divBdr>
        <w:top w:val="none" w:sz="0" w:space="0" w:color="auto"/>
        <w:left w:val="none" w:sz="0" w:space="0" w:color="auto"/>
        <w:bottom w:val="none" w:sz="0" w:space="0" w:color="auto"/>
        <w:right w:val="none" w:sz="0" w:space="0" w:color="auto"/>
      </w:divBdr>
    </w:div>
    <w:div w:id="1646201243">
      <w:bodyDiv w:val="1"/>
      <w:marLeft w:val="0"/>
      <w:marRight w:val="0"/>
      <w:marTop w:val="0"/>
      <w:marBottom w:val="0"/>
      <w:divBdr>
        <w:top w:val="none" w:sz="0" w:space="0" w:color="auto"/>
        <w:left w:val="none" w:sz="0" w:space="0" w:color="auto"/>
        <w:bottom w:val="none" w:sz="0" w:space="0" w:color="auto"/>
        <w:right w:val="none" w:sz="0" w:space="0" w:color="auto"/>
      </w:divBdr>
    </w:div>
    <w:div w:id="1857771390">
      <w:bodyDiv w:val="1"/>
      <w:marLeft w:val="0"/>
      <w:marRight w:val="0"/>
      <w:marTop w:val="0"/>
      <w:marBottom w:val="0"/>
      <w:divBdr>
        <w:top w:val="none" w:sz="0" w:space="0" w:color="auto"/>
        <w:left w:val="none" w:sz="0" w:space="0" w:color="auto"/>
        <w:bottom w:val="none" w:sz="0" w:space="0" w:color="auto"/>
        <w:right w:val="none" w:sz="0" w:space="0" w:color="auto"/>
      </w:divBdr>
    </w:div>
    <w:div w:id="1892156694">
      <w:bodyDiv w:val="1"/>
      <w:marLeft w:val="0"/>
      <w:marRight w:val="0"/>
      <w:marTop w:val="0"/>
      <w:marBottom w:val="0"/>
      <w:divBdr>
        <w:top w:val="none" w:sz="0" w:space="0" w:color="auto"/>
        <w:left w:val="none" w:sz="0" w:space="0" w:color="auto"/>
        <w:bottom w:val="none" w:sz="0" w:space="0" w:color="auto"/>
        <w:right w:val="none" w:sz="0" w:space="0" w:color="auto"/>
      </w:divBdr>
    </w:div>
    <w:div w:id="1908883313">
      <w:bodyDiv w:val="1"/>
      <w:marLeft w:val="0"/>
      <w:marRight w:val="0"/>
      <w:marTop w:val="0"/>
      <w:marBottom w:val="0"/>
      <w:divBdr>
        <w:top w:val="none" w:sz="0" w:space="0" w:color="auto"/>
        <w:left w:val="none" w:sz="0" w:space="0" w:color="auto"/>
        <w:bottom w:val="none" w:sz="0" w:space="0" w:color="auto"/>
        <w:right w:val="none" w:sz="0" w:space="0" w:color="auto"/>
      </w:divBdr>
    </w:div>
    <w:div w:id="1946618366">
      <w:bodyDiv w:val="1"/>
      <w:marLeft w:val="0"/>
      <w:marRight w:val="0"/>
      <w:marTop w:val="0"/>
      <w:marBottom w:val="0"/>
      <w:divBdr>
        <w:top w:val="none" w:sz="0" w:space="0" w:color="auto"/>
        <w:left w:val="none" w:sz="0" w:space="0" w:color="auto"/>
        <w:bottom w:val="none" w:sz="0" w:space="0" w:color="auto"/>
        <w:right w:val="none" w:sz="0" w:space="0" w:color="auto"/>
      </w:divBdr>
    </w:div>
    <w:div w:id="2013604992">
      <w:bodyDiv w:val="1"/>
      <w:marLeft w:val="0"/>
      <w:marRight w:val="0"/>
      <w:marTop w:val="0"/>
      <w:marBottom w:val="0"/>
      <w:divBdr>
        <w:top w:val="none" w:sz="0" w:space="0" w:color="auto"/>
        <w:left w:val="none" w:sz="0" w:space="0" w:color="auto"/>
        <w:bottom w:val="none" w:sz="0" w:space="0" w:color="auto"/>
        <w:right w:val="none" w:sz="0" w:space="0" w:color="auto"/>
      </w:divBdr>
      <w:divsChild>
        <w:div w:id="331104911">
          <w:marLeft w:val="0"/>
          <w:marRight w:val="0"/>
          <w:marTop w:val="0"/>
          <w:marBottom w:val="0"/>
          <w:divBdr>
            <w:top w:val="none" w:sz="0" w:space="0" w:color="auto"/>
            <w:left w:val="none" w:sz="0" w:space="0" w:color="auto"/>
            <w:bottom w:val="none" w:sz="0" w:space="0" w:color="auto"/>
            <w:right w:val="none" w:sz="0" w:space="0" w:color="auto"/>
          </w:divBdr>
        </w:div>
        <w:div w:id="2009089232">
          <w:marLeft w:val="0"/>
          <w:marRight w:val="0"/>
          <w:marTop w:val="0"/>
          <w:marBottom w:val="0"/>
          <w:divBdr>
            <w:top w:val="none" w:sz="0" w:space="0" w:color="auto"/>
            <w:left w:val="none" w:sz="0" w:space="0" w:color="auto"/>
            <w:bottom w:val="none" w:sz="0" w:space="0" w:color="auto"/>
            <w:right w:val="none" w:sz="0" w:space="0" w:color="auto"/>
          </w:divBdr>
        </w:div>
        <w:div w:id="237326346">
          <w:marLeft w:val="0"/>
          <w:marRight w:val="0"/>
          <w:marTop w:val="0"/>
          <w:marBottom w:val="0"/>
          <w:divBdr>
            <w:top w:val="none" w:sz="0" w:space="0" w:color="auto"/>
            <w:left w:val="none" w:sz="0" w:space="0" w:color="auto"/>
            <w:bottom w:val="none" w:sz="0" w:space="0" w:color="auto"/>
            <w:right w:val="none" w:sz="0" w:space="0" w:color="auto"/>
          </w:divBdr>
        </w:div>
        <w:div w:id="881399477">
          <w:marLeft w:val="0"/>
          <w:marRight w:val="0"/>
          <w:marTop w:val="0"/>
          <w:marBottom w:val="0"/>
          <w:divBdr>
            <w:top w:val="none" w:sz="0" w:space="0" w:color="auto"/>
            <w:left w:val="none" w:sz="0" w:space="0" w:color="auto"/>
            <w:bottom w:val="none" w:sz="0" w:space="0" w:color="auto"/>
            <w:right w:val="none" w:sz="0" w:space="0" w:color="auto"/>
          </w:divBdr>
        </w:div>
        <w:div w:id="430466892">
          <w:marLeft w:val="0"/>
          <w:marRight w:val="0"/>
          <w:marTop w:val="0"/>
          <w:marBottom w:val="0"/>
          <w:divBdr>
            <w:top w:val="none" w:sz="0" w:space="0" w:color="auto"/>
            <w:left w:val="none" w:sz="0" w:space="0" w:color="auto"/>
            <w:bottom w:val="none" w:sz="0" w:space="0" w:color="auto"/>
            <w:right w:val="none" w:sz="0" w:space="0" w:color="auto"/>
          </w:divBdr>
        </w:div>
        <w:div w:id="1927032988">
          <w:marLeft w:val="0"/>
          <w:marRight w:val="0"/>
          <w:marTop w:val="0"/>
          <w:marBottom w:val="0"/>
          <w:divBdr>
            <w:top w:val="none" w:sz="0" w:space="0" w:color="auto"/>
            <w:left w:val="none" w:sz="0" w:space="0" w:color="auto"/>
            <w:bottom w:val="none" w:sz="0" w:space="0" w:color="auto"/>
            <w:right w:val="none" w:sz="0" w:space="0" w:color="auto"/>
          </w:divBdr>
        </w:div>
      </w:divsChild>
    </w:div>
    <w:div w:id="2028746284">
      <w:bodyDiv w:val="1"/>
      <w:marLeft w:val="0"/>
      <w:marRight w:val="0"/>
      <w:marTop w:val="0"/>
      <w:marBottom w:val="0"/>
      <w:divBdr>
        <w:top w:val="none" w:sz="0" w:space="0" w:color="auto"/>
        <w:left w:val="none" w:sz="0" w:space="0" w:color="auto"/>
        <w:bottom w:val="none" w:sz="0" w:space="0" w:color="auto"/>
        <w:right w:val="none" w:sz="0" w:space="0" w:color="auto"/>
      </w:divBdr>
    </w:div>
    <w:div w:id="2115713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paolo.ghilardi@bcw-global.co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henkel.fr"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rohng\AppData\Local\Temp\Temp1_Completed.zip\Completed\segoe-Henkel-press-release-template-2020-english.dotx" TargetMode="External"/></Relationships>
</file>

<file path=word/theme/theme1.xml><?xml version="1.0" encoding="utf-8"?>
<a:theme xmlns:a="http://schemas.openxmlformats.org/drawingml/2006/main" name="Henkel Theme">
  <a:themeElements>
    <a:clrScheme name="Custom 4">
      <a:dk1>
        <a:srgbClr val="000000"/>
      </a:dk1>
      <a:lt1>
        <a:srgbClr val="FFFFFF"/>
      </a:lt1>
      <a:dk2>
        <a:srgbClr val="E1000F"/>
      </a:dk2>
      <a:lt2>
        <a:srgbClr val="E6E7E7"/>
      </a:lt2>
      <a:accent1>
        <a:srgbClr val="5F6973"/>
      </a:accent1>
      <a:accent2>
        <a:srgbClr val="AFB4B9"/>
      </a:accent2>
      <a:accent3>
        <a:srgbClr val="00AA75"/>
      </a:accent3>
      <a:accent4>
        <a:srgbClr val="004C79"/>
      </a:accent4>
      <a:accent5>
        <a:srgbClr val="9A141B"/>
      </a:accent5>
      <a:accent6>
        <a:srgbClr val="FFDB23"/>
      </a:accent6>
      <a:hlink>
        <a:srgbClr val="0563C1"/>
      </a:hlink>
      <a:folHlink>
        <a:srgbClr val="954F72"/>
      </a:folHlink>
    </a:clrScheme>
    <a:fontScheme name="Henkel Template">
      <a:majorFont>
        <a:latin typeface="Segoe UI"/>
        <a:ea typeface=""/>
        <a:cs typeface=""/>
      </a:majorFont>
      <a:minorFont>
        <a:latin typeface="Segoe UI"/>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rgbClr val="ED1C24"/>
        </a:solidFill>
        <a:ln>
          <a:noFill/>
        </a:ln>
        <a:extLst>
          <a:ext uri="{91240B29-F687-4F45-9708-019B960494DF}">
            <a14:hiddenLine xmlns:a14="http://schemas.microsoft.com/office/drawing/2010/main" w="9525">
              <a:solidFill>
                <a:srgbClr val="000000"/>
              </a:solidFill>
              <a:round/>
              <a:headEnd/>
              <a:tailEnd/>
            </a14:hiddenLine>
          </a:ext>
        </a:extLst>
      </a:spPr>
      <a:bodyPr rot="0" vert="horz" wrap="square" lIns="91440" tIns="45720" rIns="91440" bIns="45720" anchor="t" anchorCtr="0" upright="1">
        <a:noAutofit/>
      </a:bodyPr>
      <a:lstStyle/>
    </a:spDef>
    <a:lnDef>
      <a:spPr bwMode="auto">
        <a:xfrm>
          <a:off x="0" y="0"/>
          <a:ext cx="1" cy="1"/>
        </a:xfrm>
        <a:custGeom>
          <a:avLst/>
          <a:gdLst/>
          <a:ahLst/>
          <a:cxnLst/>
          <a:rect l="0" t="0" r="0" b="0"/>
          <a:pathLst/>
        </a:custGeom>
        <a:solidFill>
          <a:schemeClr val="bg1"/>
        </a:solidFill>
        <a:ln w="9525" cap="flat" cmpd="sng" algn="ctr">
          <a:solidFill>
            <a:schemeClr val="tx1"/>
          </a:solidFill>
          <a:prstDash val="solid"/>
          <a:round/>
          <a:headEnd type="none" w="med" len="med"/>
          <a:tailEnd type="none" w="med" len="med"/>
        </a:ln>
        <a:effectLst/>
        <a:extLst>
          <a:ext uri="{AF507438-7753-43E0-B8FC-AC1667EBCBE1}">
            <a14:hiddenEffects xmlns:a14="http://schemas.microsoft.com/office/drawing/2010/main">
              <a:effectLst>
                <a:outerShdw dist="35921" dir="2700000" algn="ctr" rotWithShape="0">
                  <a:schemeClr val="bg2"/>
                </a:outerShdw>
              </a:effectLst>
            </a14:hiddenEffects>
          </a:ext>
        </a:extLst>
      </a:spPr>
      <a:bodyPr vert="horz" wrap="none" lIns="90000" tIns="46800" rIns="90000" bIns="46800" numCol="1" anchor="ctr" anchorCtr="0" compatLnSpc="1">
        <a:prstTxWarp prst="textNoShape">
          <a:avLst/>
        </a:prstTxWarp>
      </a:bodyPr>
      <a:lstStyle>
        <a:defPPr marL="0" marR="0" indent="0" algn="ctr" defTabSz="914400" rtl="0" eaLnBrk="1" fontAlgn="base" latinLnBrk="0" hangingPunct="1">
          <a:lnSpc>
            <a:spcPct val="105000"/>
          </a:lnSpc>
          <a:spcBef>
            <a:spcPct val="0"/>
          </a:spcBef>
          <a:spcAft>
            <a:spcPct val="0"/>
          </a:spcAft>
          <a:buClr>
            <a:schemeClr val="tx2"/>
          </a:buClr>
          <a:buSzPct val="120000"/>
          <a:buFontTx/>
          <a:buNone/>
          <a:tabLst/>
          <a:defRPr kumimoji="0" lang="de-DE" sz="2000" b="0" i="0" u="none" strike="noStrike" cap="none" normalizeH="0" baseline="0" smtClean="0">
            <a:ln>
              <a:noFill/>
            </a:ln>
            <a:solidFill>
              <a:schemeClr val="tx1"/>
            </a:solidFill>
            <a:effectLst/>
            <a:latin typeface="Arial" charset="0"/>
            <a:cs typeface="Arial" charset="0"/>
          </a:defRPr>
        </a:defPPr>
      </a:lstStyle>
    </a:lnDef>
  </a:objectDefaults>
  <a:extraClrSchemeLst>
    <a:extraClrScheme>
      <a:clrScheme name="Standarddesign 1">
        <a:dk1>
          <a:srgbClr val="000000"/>
        </a:dk1>
        <a:lt1>
          <a:srgbClr val="FFFFFF"/>
        </a:lt1>
        <a:dk2>
          <a:srgbClr val="E1000F"/>
        </a:dk2>
        <a:lt2>
          <a:srgbClr val="CDD2D2"/>
        </a:lt2>
        <a:accent1>
          <a:srgbClr val="AFB4B9"/>
        </a:accent1>
        <a:accent2>
          <a:srgbClr val="828C96"/>
        </a:accent2>
        <a:accent3>
          <a:srgbClr val="FFFFFF"/>
        </a:accent3>
        <a:accent4>
          <a:srgbClr val="000000"/>
        </a:accent4>
        <a:accent5>
          <a:srgbClr val="D4D6D9"/>
        </a:accent5>
        <a:accent6>
          <a:srgbClr val="757E87"/>
        </a:accent6>
        <a:hlink>
          <a:srgbClr val="5F6973"/>
        </a:hlink>
        <a:folHlink>
          <a:srgbClr val="0078C8"/>
        </a:folHlink>
      </a:clrScheme>
      <a:clrMap bg1="lt1" tx1="dk1" bg2="lt2" tx2="dk2" accent1="accent1" accent2="accent2" accent3="accent3" accent4="accent4" accent5="accent5" accent6="accent6" hlink="hlink" folHlink="folHlink"/>
    </a:extraClrScheme>
  </a:extraClrSchemeLst>
  <a:custClrLst>
    <a:custClr name="Henkel Red">
      <a:srgbClr val="E1000F"/>
    </a:custClr>
    <a:custClr name="White">
      <a:srgbClr val="FFFFFF"/>
    </a:custClr>
    <a:custClr name="Black">
      <a:srgbClr val="000000"/>
    </a:custClr>
    <a:custClr name="Grey 1">
      <a:srgbClr val="5F6973"/>
    </a:custClr>
    <a:custClr name="Grey 2">
      <a:srgbClr val="AFB4B9"/>
    </a:custClr>
    <a:custClr name="Grey 3">
      <a:srgbClr val="E6E7E7"/>
    </a:custClr>
    <a:custClr name="Green">
      <a:srgbClr val="00AA75"/>
    </a:custClr>
    <a:custClr name="Blue">
      <a:srgbClr val="004C79"/>
    </a:custClr>
    <a:custClr name="Accent Dark Red">
      <a:srgbClr val="9A141B"/>
    </a:custClr>
    <a:custClr name="Accent Yellow 1">
      <a:srgbClr val="FFDB23"/>
    </a:custClr>
    <a:custClr name="Accent Yellow 2">
      <a:srgbClr val="FCF092"/>
    </a:custClr>
    <a:custClr name="Accent Green">
      <a:srgbClr val="A7DC92"/>
    </a:custClr>
    <a:custClr name="Accent Blue 1">
      <a:srgbClr val="55CAD3"/>
    </a:custClr>
    <a:custClr name="Accent Blue 2">
      <a:srgbClr val="0078C8"/>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SharedContentType xmlns="Microsoft.SharePoint.Taxonomy.ContentTypeSync" SourceId="72f792e8-4dad-42c1-ad63-44982727bf4d" ContentTypeId="0x01" PreviousValue="false"/>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kument" ma:contentTypeID="0x01010078C412AB7BD75244A4AD465861CD4C6E" ma:contentTypeVersion="15" ma:contentTypeDescription="Ein neues Dokument erstellen." ma:contentTypeScope="" ma:versionID="30c94d3d590abbc1c7f1f873fbf997f4">
  <xsd:schema xmlns:xsd="http://www.w3.org/2001/XMLSchema" xmlns:xs="http://www.w3.org/2001/XMLSchema" xmlns:p="http://schemas.microsoft.com/office/2006/metadata/properties" xmlns:ns2="2b1ed756-d086-4fdf-a17a-21742199d804" xmlns:ns3="33270825-9502-4f44-99e1-0b2736f161aa" targetNamespace="http://schemas.microsoft.com/office/2006/metadata/properties" ma:root="true" ma:fieldsID="aaf756f4cabb56f143f934642514658d" ns2:_="" ns3:_="">
    <xsd:import namespace="2b1ed756-d086-4fdf-a17a-21742199d804"/>
    <xsd:import namespace="33270825-9502-4f44-99e1-0b2736f161aa"/>
    <xsd:element name="properties">
      <xsd:complexType>
        <xsd:sequence>
          <xsd:element name="documentManagement">
            <xsd:complexType>
              <xsd:all>
                <xsd:element ref="ns2:MediaServiceMetadata" minOccurs="0"/>
                <xsd:element ref="ns2:MediaServiceFastMetadata" minOccurs="0"/>
                <xsd:element ref="ns2:MediaServiceEventHashCode" minOccurs="0"/>
                <xsd:element ref="ns2:MediaServiceGenerationTime" minOccurs="0"/>
                <xsd:element ref="ns2:MediaServiceAutoTags" minOccurs="0"/>
                <xsd:element ref="ns2:MediaServiceOCR"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1ed756-d086-4fdf-a17a-21742199d80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3270825-9502-4f44-99e1-0b2736f161aa" elementFormDefault="qualified">
    <xsd:import namespace="http://schemas.microsoft.com/office/2006/documentManagement/types"/>
    <xsd:import namespace="http://schemas.microsoft.com/office/infopath/2007/PartnerControls"/>
    <xsd:element name="SharedWithUsers" ma:index="1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3245D12-BDB4-413F-ABB3-2AF0CF323A3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5F5E823-FD9A-4CF5-8C4B-A2151B3E8DB5}">
  <ds:schemaRefs>
    <ds:schemaRef ds:uri="http://schemas.openxmlformats.org/officeDocument/2006/bibliography"/>
  </ds:schemaRefs>
</ds:datastoreItem>
</file>

<file path=customXml/itemProps3.xml><?xml version="1.0" encoding="utf-8"?>
<ds:datastoreItem xmlns:ds="http://schemas.openxmlformats.org/officeDocument/2006/customXml" ds:itemID="{70E590B4-7A0D-4F62-ACD8-2A023F14A264}">
  <ds:schemaRefs>
    <ds:schemaRef ds:uri="Microsoft.SharePoint.Taxonomy.ContentTypeSync"/>
  </ds:schemaRefs>
</ds:datastoreItem>
</file>

<file path=customXml/itemProps4.xml><?xml version="1.0" encoding="utf-8"?>
<ds:datastoreItem xmlns:ds="http://schemas.openxmlformats.org/officeDocument/2006/customXml" ds:itemID="{EC226D13-73FC-4A7A-93C2-AC11939BB4A9}">
  <ds:schemaRefs>
    <ds:schemaRef ds:uri="http://schemas.microsoft.com/sharepoint/v3/contenttype/forms"/>
  </ds:schemaRefs>
</ds:datastoreItem>
</file>

<file path=customXml/itemProps5.xml><?xml version="1.0" encoding="utf-8"?>
<ds:datastoreItem xmlns:ds="http://schemas.openxmlformats.org/officeDocument/2006/customXml" ds:itemID="{5BCA636F-E1C7-4757-B62D-6D35007CAD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1ed756-d086-4fdf-a17a-21742199d804"/>
    <ds:schemaRef ds:uri="33270825-9502-4f44-99e1-0b2736f161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segoe-Henkel-press-release-template-2020-english.dotx</Template>
  <TotalTime>0</TotalTime>
  <Pages>4</Pages>
  <Words>1848</Words>
  <Characters>10168</Characters>
  <Application>Microsoft Office Word</Application>
  <DocSecurity>0</DocSecurity>
  <Lines>84</Lines>
  <Paragraphs>23</Paragraphs>
  <ScaleCrop>false</ScaleCrop>
  <HeadingPairs>
    <vt:vector size="6" baseType="variant">
      <vt:variant>
        <vt:lpstr>Titre</vt:lpstr>
      </vt:variant>
      <vt:variant>
        <vt:i4>1</vt:i4>
      </vt:variant>
      <vt:variant>
        <vt:lpstr>Titel</vt:lpstr>
      </vt:variant>
      <vt:variant>
        <vt:i4>1</vt:i4>
      </vt:variant>
      <vt:variant>
        <vt:lpstr>Title</vt:lpstr>
      </vt:variant>
      <vt:variant>
        <vt:i4>1</vt:i4>
      </vt:variant>
    </vt:vector>
  </HeadingPairs>
  <TitlesOfParts>
    <vt:vector size="3" baseType="lpstr">
      <vt:lpstr/>
      <vt:lpstr/>
      <vt:lpstr/>
    </vt:vector>
  </TitlesOfParts>
  <Company/>
  <LinksUpToDate>false</LinksUpToDate>
  <CharactersWithSpaces>11993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Wulf Klueppelholz</dc:creator>
  <cp:lastModifiedBy>Octavie Blandin</cp:lastModifiedBy>
  <cp:revision>2</cp:revision>
  <cp:lastPrinted>2022-04-29T05:59:00Z</cp:lastPrinted>
  <dcterms:created xsi:type="dcterms:W3CDTF">2022-04-29T10:31:00Z</dcterms:created>
  <dcterms:modified xsi:type="dcterms:W3CDTF">2022-04-29T10:31:00Z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0x01010078C412AB7BD75244A4AD465861CD4C6E</vt:lpwstr>
  </property>
</Properties>
</file>