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710" w14:textId="03F20DCE" w:rsidR="00F22FE6" w:rsidRPr="00C511CD" w:rsidRDefault="00F22FE6" w:rsidP="006B454D">
      <w:pPr>
        <w:pStyle w:val="MonthDayYear"/>
        <w:tabs>
          <w:tab w:val="left" w:pos="557"/>
          <w:tab w:val="left" w:pos="7513"/>
          <w:tab w:val="right" w:pos="9086"/>
        </w:tabs>
        <w:jc w:val="both"/>
      </w:pPr>
    </w:p>
    <w:p w14:paraId="55D5E39A" w14:textId="38E552A6" w:rsidR="00B422EC" w:rsidRPr="001F41D4" w:rsidRDefault="00F22FE6" w:rsidP="006B454D">
      <w:pPr>
        <w:pStyle w:val="MonthDayYear"/>
        <w:tabs>
          <w:tab w:val="left" w:pos="557"/>
          <w:tab w:val="left" w:pos="7513"/>
          <w:tab w:val="right" w:pos="9086"/>
        </w:tabs>
        <w:jc w:val="both"/>
        <w:rPr>
          <w:lang w:val="hu"/>
        </w:rPr>
      </w:pPr>
      <w:r>
        <w:rPr>
          <w:lang w:val="hu"/>
        </w:rPr>
        <w:tab/>
      </w:r>
      <w:r>
        <w:rPr>
          <w:lang w:val="hu"/>
        </w:rPr>
        <w:tab/>
        <w:t>2022. április 29</w:t>
      </w:r>
    </w:p>
    <w:p w14:paraId="1B586FF9" w14:textId="29CEE2B3" w:rsidR="00A75C7A" w:rsidRPr="001F41D4" w:rsidRDefault="00A75C7A" w:rsidP="002D1E9F">
      <w:pPr>
        <w:pStyle w:val="Topline"/>
        <w:spacing w:after="120"/>
        <w:rPr>
          <w:rFonts w:asciiTheme="majorHAnsi" w:hAnsiTheme="majorHAnsi" w:cstheme="majorHAnsi"/>
          <w:lang w:val="hu"/>
        </w:rPr>
      </w:pPr>
      <w:r>
        <w:rPr>
          <w:rFonts w:asciiTheme="majorHAnsi" w:hAnsiTheme="majorHAnsi" w:cstheme="majorHAnsi"/>
          <w:lang w:val="hu"/>
        </w:rPr>
        <w:t>A Henkel az első negyedéves értékesítési teljesítményét az előzetes adatok alapján teszi közzé</w:t>
      </w:r>
    </w:p>
    <w:p w14:paraId="0A82AD03" w14:textId="3F632EF8" w:rsidR="00CD6F17" w:rsidRPr="001F41D4" w:rsidRDefault="00CD6F17" w:rsidP="009F394C">
      <w:pPr>
        <w:spacing w:after="80"/>
        <w:ind w:right="-108"/>
        <w:rPr>
          <w:rStyle w:val="Headline"/>
          <w:lang w:val="hu"/>
        </w:rPr>
      </w:pPr>
      <w:bookmarkStart w:id="0" w:name="_Hlk43712519"/>
      <w:r>
        <w:rPr>
          <w:rStyle w:val="Headline"/>
          <w:lang w:val="hu"/>
        </w:rPr>
        <w:t>A He</w:t>
      </w:r>
      <w:r w:rsidR="009F394C">
        <w:rPr>
          <w:rStyle w:val="Headline"/>
          <w:lang w:val="hu"/>
        </w:rPr>
        <w:t>nkel jelentős szerves árbevétel-</w:t>
      </w:r>
      <w:r>
        <w:rPr>
          <w:rStyle w:val="Headline"/>
          <w:lang w:val="hu"/>
        </w:rPr>
        <w:t xml:space="preserve">növekedést ért el az első </w:t>
      </w:r>
      <w:r w:rsidR="009F394C">
        <w:rPr>
          <w:rStyle w:val="Headline"/>
          <w:lang w:val="hu"/>
        </w:rPr>
        <w:t>negyedévben, és frissítette</w:t>
      </w:r>
      <w:r>
        <w:rPr>
          <w:rStyle w:val="Headline"/>
          <w:lang w:val="hu"/>
        </w:rPr>
        <w:t xml:space="preserve"> a 2022-es évre vonatkozó iránymutatást</w:t>
      </w:r>
      <w:r>
        <w:rPr>
          <w:rStyle w:val="Headline"/>
          <w:b w:val="0"/>
          <w:bCs w:val="0"/>
          <w:lang w:val="hu"/>
        </w:rPr>
        <w:br/>
      </w:r>
    </w:p>
    <w:p w14:paraId="69766FE6" w14:textId="33D68373" w:rsidR="00632854" w:rsidRPr="001F41D4" w:rsidRDefault="00CD6F17" w:rsidP="009F394C">
      <w:pPr>
        <w:pStyle w:val="ListParagraph"/>
        <w:numPr>
          <w:ilvl w:val="0"/>
          <w:numId w:val="7"/>
        </w:numPr>
        <w:spacing w:after="80"/>
        <w:ind w:left="357" w:right="-108" w:hanging="357"/>
        <w:contextualSpacing w:val="0"/>
        <w:rPr>
          <w:rFonts w:asciiTheme="majorHAnsi" w:hAnsiTheme="majorHAnsi" w:cstheme="majorHAnsi"/>
          <w:b/>
          <w:szCs w:val="22"/>
          <w:lang w:val="hu"/>
        </w:rPr>
      </w:pPr>
      <w:r>
        <w:rPr>
          <w:rFonts w:asciiTheme="majorHAnsi" w:hAnsiTheme="majorHAnsi" w:cstheme="majorHAnsi"/>
          <w:b/>
          <w:bCs/>
          <w:szCs w:val="22"/>
          <w:lang w:val="hu"/>
        </w:rPr>
        <w:t>A csoport árbevétele szervesen +7,1 százalékkal, mintegy 5,3 milliárd euróra nőtt</w:t>
      </w:r>
    </w:p>
    <w:p w14:paraId="07147262" w14:textId="20200B16" w:rsidR="00601CAB" w:rsidRPr="001F41D4" w:rsidRDefault="00632854"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lang w:val="hu"/>
        </w:rPr>
      </w:pPr>
      <w:r>
        <w:rPr>
          <w:rFonts w:asciiTheme="majorHAnsi" w:hAnsiTheme="majorHAnsi" w:cstheme="majorHAnsi"/>
          <w:b/>
          <w:bCs/>
          <w:szCs w:val="22"/>
          <w:lang w:val="hu"/>
        </w:rPr>
        <w:t xml:space="preserve">Az </w:t>
      </w:r>
      <w:proofErr w:type="spellStart"/>
      <w:r>
        <w:rPr>
          <w:rFonts w:asciiTheme="majorHAnsi" w:hAnsiTheme="majorHAnsi" w:cstheme="majorHAnsi"/>
          <w:b/>
          <w:bCs/>
          <w:szCs w:val="22"/>
          <w:lang w:val="hu"/>
        </w:rPr>
        <w:t>Adhesive</w:t>
      </w:r>
      <w:proofErr w:type="spellEnd"/>
      <w:r>
        <w:rPr>
          <w:rFonts w:asciiTheme="majorHAnsi" w:hAnsiTheme="majorHAnsi" w:cstheme="majorHAnsi"/>
          <w:b/>
          <w:bCs/>
          <w:szCs w:val="22"/>
          <w:lang w:val="hu"/>
        </w:rPr>
        <w:t xml:space="preserve"> Technologies</w:t>
      </w:r>
      <w:r w:rsidR="009F394C">
        <w:rPr>
          <w:rFonts w:asciiTheme="majorHAnsi" w:hAnsiTheme="majorHAnsi" w:cstheme="majorHAnsi"/>
          <w:b/>
          <w:bCs/>
          <w:szCs w:val="22"/>
          <w:lang w:val="hu"/>
        </w:rPr>
        <w:t xml:space="preserve"> kétszámjegyű szerves árbevétel-</w:t>
      </w:r>
      <w:r>
        <w:rPr>
          <w:rFonts w:asciiTheme="majorHAnsi" w:hAnsiTheme="majorHAnsi" w:cstheme="majorHAnsi"/>
          <w:b/>
          <w:bCs/>
          <w:szCs w:val="22"/>
          <w:lang w:val="hu"/>
        </w:rPr>
        <w:t xml:space="preserve">növekedése +10,7 százalék </w:t>
      </w:r>
    </w:p>
    <w:p w14:paraId="7098DA43" w14:textId="2830920C" w:rsidR="00601CAB" w:rsidRPr="00CD6F17" w:rsidRDefault="00632854"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rPr>
      </w:pPr>
      <w:proofErr w:type="spellStart"/>
      <w:r>
        <w:rPr>
          <w:rFonts w:asciiTheme="majorHAnsi" w:hAnsiTheme="majorHAnsi" w:cstheme="majorHAnsi"/>
          <w:b/>
          <w:bCs/>
          <w:szCs w:val="22"/>
          <w:lang w:val="hu"/>
        </w:rPr>
        <w:t>Beauty</w:t>
      </w:r>
      <w:proofErr w:type="spellEnd"/>
      <w:r>
        <w:rPr>
          <w:rFonts w:asciiTheme="majorHAnsi" w:hAnsiTheme="majorHAnsi" w:cstheme="majorHAnsi"/>
          <w:b/>
          <w:bCs/>
          <w:szCs w:val="22"/>
          <w:lang w:val="hu"/>
        </w:rPr>
        <w:t xml:space="preserve"> </w:t>
      </w:r>
      <w:proofErr w:type="spellStart"/>
      <w:r>
        <w:rPr>
          <w:rFonts w:asciiTheme="majorHAnsi" w:hAnsiTheme="majorHAnsi" w:cstheme="majorHAnsi"/>
          <w:b/>
          <w:bCs/>
          <w:szCs w:val="22"/>
          <w:lang w:val="hu"/>
        </w:rPr>
        <w:t>Care</w:t>
      </w:r>
      <w:proofErr w:type="spellEnd"/>
      <w:r>
        <w:rPr>
          <w:rFonts w:asciiTheme="majorHAnsi" w:hAnsiTheme="majorHAnsi" w:cstheme="majorHAnsi"/>
          <w:b/>
          <w:bCs/>
          <w:szCs w:val="22"/>
          <w:lang w:val="hu"/>
        </w:rPr>
        <w:t>: enyhe szerves csökkenés, -1,2 százalék</w:t>
      </w:r>
    </w:p>
    <w:p w14:paraId="58EF6E75" w14:textId="7201976D" w:rsidR="00C46BAC" w:rsidRPr="00B724E4" w:rsidRDefault="00632854"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rPr>
      </w:pPr>
      <w:proofErr w:type="spellStart"/>
      <w:r>
        <w:rPr>
          <w:rFonts w:asciiTheme="majorHAnsi" w:hAnsiTheme="majorHAnsi" w:cstheme="majorHAnsi"/>
          <w:b/>
          <w:bCs/>
          <w:szCs w:val="22"/>
          <w:lang w:val="hu"/>
        </w:rPr>
        <w:t>Laundry</w:t>
      </w:r>
      <w:proofErr w:type="spellEnd"/>
      <w:r>
        <w:rPr>
          <w:rFonts w:asciiTheme="majorHAnsi" w:hAnsiTheme="majorHAnsi" w:cstheme="majorHAnsi"/>
          <w:b/>
          <w:bCs/>
          <w:szCs w:val="22"/>
          <w:lang w:val="hu"/>
        </w:rPr>
        <w:t xml:space="preserve"> &amp; Home </w:t>
      </w:r>
      <w:proofErr w:type="spellStart"/>
      <w:r>
        <w:rPr>
          <w:rFonts w:asciiTheme="majorHAnsi" w:hAnsiTheme="majorHAnsi" w:cstheme="majorHAnsi"/>
          <w:b/>
          <w:bCs/>
          <w:szCs w:val="22"/>
          <w:lang w:val="hu"/>
        </w:rPr>
        <w:t>Care</w:t>
      </w:r>
      <w:proofErr w:type="spellEnd"/>
      <w:r>
        <w:rPr>
          <w:rFonts w:asciiTheme="majorHAnsi" w:hAnsiTheme="majorHAnsi" w:cstheme="majorHAnsi"/>
          <w:b/>
          <w:bCs/>
          <w:szCs w:val="22"/>
          <w:lang w:val="hu"/>
        </w:rPr>
        <w:t>: nagyon erős, +4,9 százalékos szerves növekedés</w:t>
      </w:r>
    </w:p>
    <w:p w14:paraId="2C665C9C" w14:textId="0A9FEB36" w:rsidR="008641FB" w:rsidRPr="00727C2D" w:rsidRDefault="008641FB" w:rsidP="009F394C">
      <w:pPr>
        <w:pStyle w:val="ListParagraph"/>
        <w:numPr>
          <w:ilvl w:val="0"/>
          <w:numId w:val="7"/>
        </w:numPr>
        <w:spacing w:after="80"/>
        <w:ind w:left="357" w:right="-108" w:hanging="357"/>
        <w:contextualSpacing w:val="0"/>
        <w:rPr>
          <w:rFonts w:asciiTheme="majorHAnsi" w:hAnsiTheme="majorHAnsi" w:cstheme="majorHAnsi"/>
          <w:b/>
          <w:szCs w:val="22"/>
        </w:rPr>
      </w:pPr>
      <w:bookmarkStart w:id="1" w:name="_Hlk64363173"/>
      <w:r>
        <w:rPr>
          <w:rFonts w:asciiTheme="majorHAnsi" w:hAnsiTheme="majorHAnsi" w:cstheme="majorHAnsi"/>
          <w:b/>
          <w:bCs/>
          <w:szCs w:val="22"/>
          <w:lang w:val="hu"/>
        </w:rPr>
        <w:t xml:space="preserve">Frissített kilátások a 2022-es pénzügyi évre </w:t>
      </w:r>
      <w:bookmarkEnd w:id="1"/>
      <w:r>
        <w:rPr>
          <w:rFonts w:asciiTheme="majorHAnsi" w:hAnsiTheme="majorHAnsi" w:cstheme="majorHAnsi"/>
          <w:b/>
          <w:bCs/>
          <w:szCs w:val="22"/>
          <w:lang w:val="hu"/>
        </w:rPr>
        <w:t xml:space="preserve">– rendkívül erősen emelkednek a közvetlen anyag- és </w:t>
      </w:r>
      <w:proofErr w:type="gramStart"/>
      <w:r>
        <w:rPr>
          <w:rFonts w:asciiTheme="majorHAnsi" w:hAnsiTheme="majorHAnsi" w:cstheme="majorHAnsi"/>
          <w:b/>
          <w:bCs/>
          <w:szCs w:val="22"/>
          <w:lang w:val="hu"/>
        </w:rPr>
        <w:t>logisztikai költségek,</w:t>
      </w:r>
      <w:proofErr w:type="gramEnd"/>
      <w:r>
        <w:rPr>
          <w:rFonts w:asciiTheme="majorHAnsi" w:hAnsiTheme="majorHAnsi" w:cstheme="majorHAnsi"/>
          <w:b/>
          <w:bCs/>
          <w:szCs w:val="22"/>
          <w:lang w:val="hu"/>
        </w:rPr>
        <w:t xml:space="preserve"> és jelentős hatások várhatók az oroszországi és fehéroroszországi üzleti tevékenységek megszüntetéséből</w:t>
      </w:r>
    </w:p>
    <w:p w14:paraId="18298CD9" w14:textId="57EF71E1" w:rsidR="00C20C32" w:rsidRPr="00B724E4" w:rsidRDefault="009F394C"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rPr>
      </w:pPr>
      <w:r>
        <w:rPr>
          <w:rFonts w:asciiTheme="majorHAnsi" w:hAnsiTheme="majorHAnsi" w:cstheme="majorHAnsi"/>
          <w:b/>
          <w:bCs/>
          <w:szCs w:val="22"/>
          <w:lang w:val="hu"/>
        </w:rPr>
        <w:t>Szerves árbevétel-</w:t>
      </w:r>
      <w:r w:rsidR="00C20C32">
        <w:rPr>
          <w:rFonts w:asciiTheme="majorHAnsi" w:hAnsiTheme="majorHAnsi" w:cstheme="majorHAnsi"/>
          <w:b/>
          <w:bCs/>
          <w:szCs w:val="22"/>
          <w:lang w:val="hu"/>
        </w:rPr>
        <w:t>növekedés: +3,5 és +5,5 százalék</w:t>
      </w:r>
    </w:p>
    <w:p w14:paraId="0D0D14B0" w14:textId="673C48F8" w:rsidR="00C20C32" w:rsidRPr="00B724E4" w:rsidRDefault="00B724E4"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rPr>
      </w:pPr>
      <w:r>
        <w:rPr>
          <w:rFonts w:asciiTheme="majorHAnsi" w:hAnsiTheme="majorHAnsi" w:cstheme="majorHAnsi"/>
          <w:b/>
          <w:bCs/>
          <w:szCs w:val="22"/>
          <w:lang w:val="hu"/>
        </w:rPr>
        <w:t>Korrigált árbevét</w:t>
      </w:r>
      <w:r w:rsidR="009F394C">
        <w:rPr>
          <w:rFonts w:asciiTheme="majorHAnsi" w:hAnsiTheme="majorHAnsi" w:cstheme="majorHAnsi"/>
          <w:b/>
          <w:bCs/>
          <w:szCs w:val="22"/>
          <w:lang w:val="hu"/>
        </w:rPr>
        <w:t xml:space="preserve">el-arányos megtérülés (EBIT </w:t>
      </w:r>
      <w:proofErr w:type="spellStart"/>
      <w:proofErr w:type="gramStart"/>
      <w:r w:rsidR="009F394C">
        <w:rPr>
          <w:rFonts w:asciiTheme="majorHAnsi" w:hAnsiTheme="majorHAnsi" w:cstheme="majorHAnsi"/>
          <w:b/>
          <w:bCs/>
          <w:szCs w:val="22"/>
          <w:lang w:val="hu"/>
        </w:rPr>
        <w:t>marzs</w:t>
      </w:r>
      <w:proofErr w:type="spellEnd"/>
      <w:r>
        <w:rPr>
          <w:rFonts w:asciiTheme="majorHAnsi" w:hAnsiTheme="majorHAnsi" w:cstheme="majorHAnsi"/>
          <w:b/>
          <w:bCs/>
          <w:szCs w:val="22"/>
          <w:lang w:val="hu"/>
        </w:rPr>
        <w:t>)*</w:t>
      </w:r>
      <w:proofErr w:type="gramEnd"/>
      <w:r>
        <w:rPr>
          <w:rFonts w:asciiTheme="majorHAnsi" w:hAnsiTheme="majorHAnsi" w:cstheme="majorHAnsi"/>
          <w:b/>
          <w:bCs/>
          <w:szCs w:val="22"/>
          <w:lang w:val="hu"/>
        </w:rPr>
        <w:t>: 9,0 és 11,0 százalék között</w:t>
      </w:r>
    </w:p>
    <w:p w14:paraId="49DF4BB9" w14:textId="7EB4DAF4" w:rsidR="00C20C32" w:rsidRPr="0001793F" w:rsidRDefault="0014420A" w:rsidP="009F394C">
      <w:pPr>
        <w:pStyle w:val="ListParagraph"/>
        <w:numPr>
          <w:ilvl w:val="1"/>
          <w:numId w:val="7"/>
        </w:numPr>
        <w:spacing w:after="80" w:line="266" w:lineRule="auto"/>
        <w:ind w:left="709" w:right="-108" w:hanging="283"/>
        <w:contextualSpacing w:val="0"/>
        <w:rPr>
          <w:rFonts w:asciiTheme="majorHAnsi" w:hAnsiTheme="majorHAnsi" w:cstheme="majorHAnsi"/>
          <w:b/>
          <w:szCs w:val="22"/>
        </w:rPr>
      </w:pPr>
      <w:r>
        <w:rPr>
          <w:rFonts w:cs="Cambria"/>
          <w:b/>
          <w:bCs/>
          <w:szCs w:val="22"/>
          <w:lang w:val="hu-HU"/>
        </w:rPr>
        <w:t>Á</w:t>
      </w:r>
      <w:r w:rsidRPr="00937F3E">
        <w:rPr>
          <w:rFonts w:cs="Cambria"/>
          <w:b/>
          <w:bCs/>
          <w:szCs w:val="22"/>
          <w:lang w:val="hu-HU"/>
        </w:rPr>
        <w:t>rfolyamhatás</w:t>
      </w:r>
      <w:r>
        <w:rPr>
          <w:rFonts w:cs="Cambria"/>
          <w:b/>
          <w:bCs/>
          <w:szCs w:val="22"/>
          <w:lang w:val="hu-HU"/>
        </w:rPr>
        <w:t>ok</w:t>
      </w:r>
      <w:r w:rsidRPr="00937F3E">
        <w:rPr>
          <w:rFonts w:cs="Cambria"/>
          <w:b/>
          <w:bCs/>
          <w:szCs w:val="22"/>
          <w:lang w:val="hu-HU"/>
        </w:rPr>
        <w:t xml:space="preserve">tól megtisztítva </w:t>
      </w:r>
      <w:r w:rsidR="0001793F">
        <w:rPr>
          <w:rFonts w:asciiTheme="majorHAnsi" w:hAnsiTheme="majorHAnsi" w:cstheme="majorHAnsi"/>
          <w:b/>
          <w:bCs/>
          <w:szCs w:val="22"/>
          <w:lang w:val="hu"/>
        </w:rPr>
        <w:t>az egy elsőbbségi részvényre</w:t>
      </w:r>
      <w:r w:rsidR="005E294E">
        <w:rPr>
          <w:rFonts w:asciiTheme="majorHAnsi" w:hAnsiTheme="majorHAnsi" w:cstheme="majorHAnsi"/>
          <w:b/>
          <w:bCs/>
          <w:szCs w:val="22"/>
          <w:lang w:val="hu"/>
        </w:rPr>
        <w:t xml:space="preserve"> </w:t>
      </w:r>
      <w:r w:rsidR="0001793F">
        <w:rPr>
          <w:rFonts w:asciiTheme="majorHAnsi" w:hAnsiTheme="majorHAnsi" w:cstheme="majorHAnsi"/>
          <w:b/>
          <w:bCs/>
          <w:szCs w:val="22"/>
          <w:lang w:val="hu"/>
        </w:rPr>
        <w:t xml:space="preserve">korrigált </w:t>
      </w:r>
      <w:r w:rsidR="005E294E">
        <w:rPr>
          <w:rFonts w:asciiTheme="majorHAnsi" w:hAnsiTheme="majorHAnsi" w:cstheme="majorHAnsi"/>
          <w:b/>
          <w:bCs/>
          <w:szCs w:val="22"/>
          <w:lang w:val="hu"/>
        </w:rPr>
        <w:t>hozama</w:t>
      </w:r>
      <w:r w:rsidR="0001793F">
        <w:rPr>
          <w:rFonts w:asciiTheme="majorHAnsi" w:hAnsiTheme="majorHAnsi" w:cstheme="majorHAnsi"/>
          <w:b/>
          <w:bCs/>
          <w:szCs w:val="22"/>
          <w:lang w:val="hu"/>
        </w:rPr>
        <w:t xml:space="preserve"> (EPS) *</w:t>
      </w:r>
      <w:r w:rsidR="009F394C">
        <w:rPr>
          <w:rFonts w:asciiTheme="majorHAnsi" w:hAnsiTheme="majorHAnsi" w:cstheme="majorHAnsi"/>
          <w:b/>
          <w:bCs/>
          <w:szCs w:val="22"/>
          <w:lang w:val="hu"/>
        </w:rPr>
        <w:t xml:space="preserve"> </w:t>
      </w:r>
      <w:r w:rsidR="0001793F">
        <w:rPr>
          <w:rFonts w:asciiTheme="majorHAnsi" w:hAnsiTheme="majorHAnsi" w:cstheme="majorHAnsi"/>
          <w:b/>
          <w:bCs/>
          <w:szCs w:val="22"/>
          <w:lang w:val="hu"/>
        </w:rPr>
        <w:t>csökkenés a -35 és -15 százalék közötti tartományban</w:t>
      </w:r>
    </w:p>
    <w:bookmarkEnd w:id="0"/>
    <w:p w14:paraId="20D77AE9" w14:textId="121AB1EB" w:rsidR="00C46BAC" w:rsidRPr="0001793F" w:rsidRDefault="00C46BAC" w:rsidP="00C20C32">
      <w:pPr>
        <w:spacing w:after="80"/>
        <w:ind w:right="-108"/>
        <w:jc w:val="left"/>
        <w:rPr>
          <w:rFonts w:asciiTheme="majorHAnsi" w:hAnsiTheme="majorHAnsi" w:cstheme="majorHAnsi"/>
          <w:b/>
          <w:szCs w:val="22"/>
        </w:rPr>
      </w:pPr>
    </w:p>
    <w:p w14:paraId="7F9A7656" w14:textId="6F6CC44C" w:rsidR="00B61D49" w:rsidRPr="001F41D4" w:rsidRDefault="00735CD5" w:rsidP="006B0F52">
      <w:pPr>
        <w:rPr>
          <w:rFonts w:asciiTheme="majorHAnsi" w:hAnsiTheme="majorHAnsi" w:cstheme="majorHAnsi"/>
          <w:lang w:val="hu"/>
        </w:rPr>
      </w:pPr>
      <w:r>
        <w:rPr>
          <w:rFonts w:asciiTheme="majorHAnsi" w:hAnsiTheme="majorHAnsi" w:cstheme="majorHAnsi"/>
          <w:b/>
          <w:bCs/>
          <w:lang w:val="hu"/>
        </w:rPr>
        <w:t>Düsseldorf</w:t>
      </w:r>
      <w:r>
        <w:rPr>
          <w:rFonts w:asciiTheme="majorHAnsi" w:hAnsiTheme="majorHAnsi" w:cstheme="majorHAnsi"/>
          <w:lang w:val="hu"/>
        </w:rPr>
        <w:t xml:space="preserve"> – Az előzetes adatok alapján a Henkel összesen mintegy 5,3 milliárd eurós árbevételt ért el az első negyedévben. Ez jelentős, 7,1 százalékos szerves árbevétel-növekedésnek felel meg az átlagos 4,3 százalékos piaci várakozáshoz képest. A növekedés hátterében elsősorban a nagyon erős ártendencia és a volumen enyhe visszaesése állt.</w:t>
      </w:r>
    </w:p>
    <w:p w14:paraId="4384969C" w14:textId="0532E6B6" w:rsidR="00906F00" w:rsidRPr="001F41D4" w:rsidRDefault="00906F00" w:rsidP="006B0F52">
      <w:pPr>
        <w:rPr>
          <w:rFonts w:asciiTheme="majorHAnsi" w:hAnsiTheme="majorHAnsi" w:cstheme="majorHAnsi"/>
          <w:lang w:val="hu"/>
        </w:rPr>
      </w:pPr>
    </w:p>
    <w:p w14:paraId="7D9CD94C" w14:textId="4ADEC869" w:rsidR="003064AC" w:rsidRPr="001F41D4" w:rsidRDefault="0001793F" w:rsidP="003C36F4">
      <w:pPr>
        <w:rPr>
          <w:rFonts w:asciiTheme="majorHAnsi" w:hAnsiTheme="majorHAnsi" w:cstheme="majorHAnsi"/>
          <w:lang w:val="hu"/>
        </w:rPr>
      </w:pPr>
      <w:r>
        <w:rPr>
          <w:rFonts w:asciiTheme="majorHAnsi" w:hAnsiTheme="majorHAnsi" w:cstheme="majorHAnsi"/>
          <w:lang w:val="hu"/>
        </w:rPr>
        <w:t xml:space="preserve">Az első negyedévi árbevétel növekedés motorja elsősorban az </w:t>
      </w:r>
      <w:proofErr w:type="spellStart"/>
      <w:r>
        <w:rPr>
          <w:rFonts w:asciiTheme="majorHAnsi" w:hAnsiTheme="majorHAnsi" w:cstheme="majorHAnsi"/>
          <w:b/>
          <w:bCs/>
          <w:lang w:val="hu"/>
        </w:rPr>
        <w:t>Adhesive</w:t>
      </w:r>
      <w:proofErr w:type="spellEnd"/>
      <w:r>
        <w:rPr>
          <w:rFonts w:asciiTheme="majorHAnsi" w:hAnsiTheme="majorHAnsi" w:cstheme="majorHAnsi"/>
          <w:b/>
          <w:bCs/>
          <w:lang w:val="hu"/>
        </w:rPr>
        <w:t xml:space="preserve"> Technologies</w:t>
      </w:r>
      <w:r>
        <w:rPr>
          <w:rFonts w:asciiTheme="majorHAnsi" w:hAnsiTheme="majorHAnsi" w:cstheme="majorHAnsi"/>
          <w:lang w:val="hu"/>
        </w:rPr>
        <w:t xml:space="preserve"> volt, amely az első negyedévben az előzetes adatok alapján kétszámjegyű, +10,7 százalékos szerves növekedést ért el. Növekedést sikerült elérni minden üzleti területen.</w:t>
      </w:r>
    </w:p>
    <w:p w14:paraId="0E11CD79" w14:textId="48EA68E1" w:rsidR="003064AC" w:rsidRPr="001F41D4" w:rsidRDefault="009F394C" w:rsidP="00A00DD1">
      <w:pPr>
        <w:spacing w:line="240" w:lineRule="auto"/>
        <w:jc w:val="left"/>
        <w:rPr>
          <w:rFonts w:asciiTheme="majorHAnsi" w:hAnsiTheme="majorHAnsi" w:cstheme="majorHAnsi"/>
          <w:szCs w:val="22"/>
          <w:lang w:val="hu"/>
        </w:rPr>
      </w:pPr>
      <w:r>
        <w:rPr>
          <w:sz w:val="16"/>
          <w:szCs w:val="16"/>
          <w:lang w:val="hu"/>
        </w:rPr>
        <w:lastRenderedPageBreak/>
        <w:t>* Az egyszeri költségekkel és bevétellel, valamint a szerkezetátalakítási költségekkel kiigazítva.</w:t>
      </w:r>
    </w:p>
    <w:p w14:paraId="61CC3882" w14:textId="77777777" w:rsidR="009F394C" w:rsidRDefault="009F394C" w:rsidP="00A00DD1">
      <w:pPr>
        <w:rPr>
          <w:rFonts w:asciiTheme="majorHAnsi" w:hAnsiTheme="majorHAnsi" w:cstheme="majorHAnsi"/>
          <w:szCs w:val="22"/>
          <w:lang w:val="hu"/>
        </w:rPr>
      </w:pPr>
    </w:p>
    <w:p w14:paraId="0634254B" w14:textId="64AAAB1B" w:rsidR="003064AC" w:rsidRPr="001F41D4" w:rsidRDefault="00E752AE" w:rsidP="00A00DD1">
      <w:pPr>
        <w:rPr>
          <w:rFonts w:asciiTheme="majorHAnsi" w:hAnsiTheme="majorHAnsi" w:cstheme="majorHAnsi"/>
          <w:szCs w:val="22"/>
          <w:lang w:val="hu"/>
        </w:rPr>
      </w:pPr>
      <w:r>
        <w:rPr>
          <w:rFonts w:asciiTheme="majorHAnsi" w:hAnsiTheme="majorHAnsi" w:cstheme="majorHAnsi"/>
          <w:szCs w:val="22"/>
          <w:lang w:val="hu"/>
        </w:rPr>
        <w:t xml:space="preserve">Az előzetes adatok alapján a </w:t>
      </w:r>
      <w:proofErr w:type="spellStart"/>
      <w:r>
        <w:rPr>
          <w:rFonts w:asciiTheme="majorHAnsi" w:hAnsiTheme="majorHAnsi" w:cstheme="majorHAnsi"/>
          <w:b/>
          <w:bCs/>
          <w:szCs w:val="22"/>
          <w:lang w:val="hu"/>
        </w:rPr>
        <w:t>Beauty</w:t>
      </w:r>
      <w:proofErr w:type="spellEnd"/>
      <w:r>
        <w:rPr>
          <w:rFonts w:asciiTheme="majorHAnsi" w:hAnsiTheme="majorHAnsi" w:cstheme="majorHAnsi"/>
          <w:b/>
          <w:bCs/>
          <w:szCs w:val="22"/>
          <w:lang w:val="hu"/>
        </w:rPr>
        <w:t xml:space="preserve"> </w:t>
      </w:r>
      <w:proofErr w:type="spellStart"/>
      <w:r>
        <w:rPr>
          <w:rFonts w:asciiTheme="majorHAnsi" w:hAnsiTheme="majorHAnsi" w:cstheme="majorHAnsi"/>
          <w:b/>
          <w:bCs/>
          <w:szCs w:val="22"/>
          <w:lang w:val="hu"/>
        </w:rPr>
        <w:t>Care</w:t>
      </w:r>
      <w:proofErr w:type="spellEnd"/>
      <w:r>
        <w:rPr>
          <w:rFonts w:asciiTheme="majorHAnsi" w:hAnsiTheme="majorHAnsi" w:cstheme="majorHAnsi"/>
          <w:b/>
          <w:bCs/>
          <w:szCs w:val="22"/>
          <w:lang w:val="hu"/>
        </w:rPr>
        <w:t xml:space="preserve"> </w:t>
      </w:r>
      <w:r>
        <w:rPr>
          <w:rFonts w:asciiTheme="majorHAnsi" w:hAnsiTheme="majorHAnsi" w:cstheme="majorHAnsi"/>
          <w:szCs w:val="22"/>
          <w:lang w:val="hu"/>
        </w:rPr>
        <w:t>üzletág enyhe, -1</w:t>
      </w:r>
      <w:r w:rsidR="009F394C">
        <w:rPr>
          <w:rFonts w:asciiTheme="majorHAnsi" w:hAnsiTheme="majorHAnsi" w:cstheme="majorHAnsi"/>
          <w:szCs w:val="22"/>
          <w:lang w:val="hu"/>
        </w:rPr>
        <w:t>,2 százalékos szerves árbevétel-</w:t>
      </w:r>
      <w:r>
        <w:rPr>
          <w:rFonts w:asciiTheme="majorHAnsi" w:hAnsiTheme="majorHAnsi" w:cstheme="majorHAnsi"/>
          <w:szCs w:val="22"/>
          <w:lang w:val="hu"/>
        </w:rPr>
        <w:t>c</w:t>
      </w:r>
      <w:r w:rsidR="009F394C">
        <w:rPr>
          <w:rFonts w:asciiTheme="majorHAnsi" w:hAnsiTheme="majorHAnsi" w:cstheme="majorHAnsi"/>
          <w:szCs w:val="22"/>
          <w:lang w:val="hu"/>
        </w:rPr>
        <w:t xml:space="preserve">sökkenést könyvelhetett el.  A </w:t>
      </w:r>
      <w:proofErr w:type="spellStart"/>
      <w:r w:rsidR="009F394C">
        <w:rPr>
          <w:rFonts w:asciiTheme="majorHAnsi" w:hAnsiTheme="majorHAnsi" w:cstheme="majorHAnsi"/>
          <w:szCs w:val="22"/>
          <w:lang w:val="hu"/>
        </w:rPr>
        <w:t>H</w:t>
      </w:r>
      <w:r>
        <w:rPr>
          <w:rFonts w:asciiTheme="majorHAnsi" w:hAnsiTheme="majorHAnsi" w:cstheme="majorHAnsi"/>
          <w:szCs w:val="22"/>
          <w:lang w:val="hu"/>
        </w:rPr>
        <w:t>air</w:t>
      </w:r>
      <w:proofErr w:type="spellEnd"/>
      <w:r>
        <w:rPr>
          <w:rFonts w:asciiTheme="majorHAnsi" w:hAnsiTheme="majorHAnsi" w:cstheme="majorHAnsi"/>
          <w:szCs w:val="22"/>
          <w:lang w:val="hu"/>
        </w:rPr>
        <w:t xml:space="preserve"> Salon üzletág kétszámjegyű szerves árbevétel-növekedést ért el. A fogyasztói üzletág a várakozásoknak megfelelően elmaradt az előző évi szinttől, elsősorban a 2022-re bejelentett portfólióintézkedések megvalósítása miatt.</w:t>
      </w:r>
    </w:p>
    <w:p w14:paraId="302115A9" w14:textId="77777777" w:rsidR="00B952B2" w:rsidRPr="001F41D4" w:rsidRDefault="00B952B2" w:rsidP="00695DA3">
      <w:pPr>
        <w:rPr>
          <w:lang w:val="hu"/>
        </w:rPr>
      </w:pPr>
    </w:p>
    <w:p w14:paraId="25C9A115" w14:textId="7AC69A79" w:rsidR="00695DA3" w:rsidRPr="001F41D4" w:rsidRDefault="00695DA3" w:rsidP="00695DA3">
      <w:pPr>
        <w:rPr>
          <w:lang w:val="hu"/>
        </w:rPr>
      </w:pPr>
      <w:r>
        <w:rPr>
          <w:lang w:val="hu"/>
        </w:rPr>
        <w:t xml:space="preserve">Az előzetes adatok szerint a </w:t>
      </w:r>
      <w:proofErr w:type="spellStart"/>
      <w:r>
        <w:rPr>
          <w:b/>
          <w:bCs/>
          <w:lang w:val="hu"/>
        </w:rPr>
        <w:t>Laundry</w:t>
      </w:r>
      <w:proofErr w:type="spellEnd"/>
      <w:r>
        <w:rPr>
          <w:b/>
          <w:bCs/>
          <w:lang w:val="hu"/>
        </w:rPr>
        <w:t xml:space="preserve"> &amp; Home </w:t>
      </w:r>
      <w:proofErr w:type="spellStart"/>
      <w:r>
        <w:rPr>
          <w:b/>
          <w:bCs/>
          <w:lang w:val="hu"/>
        </w:rPr>
        <w:t>Care</w:t>
      </w:r>
      <w:proofErr w:type="spellEnd"/>
      <w:r>
        <w:rPr>
          <w:lang w:val="hu"/>
        </w:rPr>
        <w:t xml:space="preserve"> üzletág rendkívül erős, +4,9 százalékos szerves árbevétel-növekedést ért el, ami a </w:t>
      </w:r>
      <w:proofErr w:type="spellStart"/>
      <w:r>
        <w:rPr>
          <w:lang w:val="hu"/>
        </w:rPr>
        <w:t>Laundry</w:t>
      </w:r>
      <w:proofErr w:type="spellEnd"/>
      <w:r>
        <w:rPr>
          <w:lang w:val="hu"/>
        </w:rPr>
        <w:t xml:space="preserve"> üzletág jelentős növekedésének köszönhető. Ezzel szemben a Home </w:t>
      </w:r>
      <w:proofErr w:type="spellStart"/>
      <w:r>
        <w:rPr>
          <w:lang w:val="hu"/>
        </w:rPr>
        <w:t>Care</w:t>
      </w:r>
      <w:proofErr w:type="spellEnd"/>
      <w:r>
        <w:rPr>
          <w:lang w:val="hu"/>
        </w:rPr>
        <w:t xml:space="preserve"> üzletág enyhe szerves árbevétel-csökkenést könyvelhetett el az első negyedévben. </w:t>
      </w:r>
    </w:p>
    <w:p w14:paraId="1F64D2D6" w14:textId="79F91309" w:rsidR="00695DA3" w:rsidRPr="001F41D4" w:rsidRDefault="00695DA3" w:rsidP="006B0F52">
      <w:pPr>
        <w:rPr>
          <w:rFonts w:asciiTheme="majorHAnsi" w:hAnsiTheme="majorHAnsi" w:cstheme="majorHAnsi"/>
          <w:lang w:val="hu"/>
        </w:rPr>
      </w:pPr>
    </w:p>
    <w:p w14:paraId="20385C57" w14:textId="63234DFF" w:rsidR="0075662E" w:rsidRPr="001F41D4" w:rsidRDefault="00695DA3" w:rsidP="00695DA3">
      <w:pPr>
        <w:rPr>
          <w:rFonts w:asciiTheme="majorHAnsi" w:hAnsiTheme="majorHAnsi" w:cstheme="majorHAnsi"/>
          <w:lang w:val="hu"/>
        </w:rPr>
      </w:pPr>
      <w:r>
        <w:rPr>
          <w:rFonts w:asciiTheme="majorHAnsi" w:hAnsiTheme="majorHAnsi" w:cstheme="majorHAnsi"/>
          <w:lang w:val="hu"/>
        </w:rPr>
        <w:t xml:space="preserve">„Annak ellenére, hogy a Henkel összességében nagyon jó értékesítési teljesítményt ért el az első negyedévben, az általános gazdasági környezet drámai mértékben tovább romlott az év eleje óta. A nyersanyagpiacokon és a globális ellátási láncokban rendkívül feszült helyzettel járó globális COVID-válság hatásait egyértelműen felerősítette az ukrajnai háború. Az </w:t>
      </w:r>
      <w:r w:rsidR="009F394C">
        <w:rPr>
          <w:rFonts w:asciiTheme="majorHAnsi" w:hAnsiTheme="majorHAnsi" w:cstheme="majorHAnsi"/>
          <w:lang w:val="hu"/>
        </w:rPr>
        <w:t>alap</w:t>
      </w:r>
      <w:r>
        <w:rPr>
          <w:rFonts w:asciiTheme="majorHAnsi" w:hAnsiTheme="majorHAnsi" w:cstheme="majorHAnsi"/>
          <w:lang w:val="hu"/>
        </w:rPr>
        <w:t>anyagok és a logisztika árai ezért ismét jelentősen emelkedtek. Emellett az ukrajnai háború fejleményei alapján április közepén úgy döntöttünk, hogy kilépünk oroszországi</w:t>
      </w:r>
      <w:r w:rsidR="009F394C">
        <w:rPr>
          <w:rFonts w:asciiTheme="majorHAnsi" w:hAnsiTheme="majorHAnsi" w:cstheme="majorHAnsi"/>
          <w:lang w:val="hu"/>
        </w:rPr>
        <w:t xml:space="preserve"> és </w:t>
      </w:r>
      <w:proofErr w:type="gramStart"/>
      <w:r w:rsidR="009F394C">
        <w:rPr>
          <w:rFonts w:asciiTheme="majorHAnsi" w:hAnsiTheme="majorHAnsi" w:cstheme="majorHAnsi"/>
          <w:lang w:val="hu"/>
        </w:rPr>
        <w:t xml:space="preserve">fehéroroszországi </w:t>
      </w:r>
      <w:r>
        <w:rPr>
          <w:rFonts w:asciiTheme="majorHAnsi" w:hAnsiTheme="majorHAnsi" w:cstheme="majorHAnsi"/>
          <w:lang w:val="hu"/>
        </w:rPr>
        <w:t xml:space="preserve"> üzleti</w:t>
      </w:r>
      <w:proofErr w:type="gramEnd"/>
      <w:r>
        <w:rPr>
          <w:rFonts w:asciiTheme="majorHAnsi" w:hAnsiTheme="majorHAnsi" w:cstheme="majorHAnsi"/>
          <w:lang w:val="hu"/>
        </w:rPr>
        <w:t xml:space="preserve"> tevékenységeinkből. Ez körülbelül 1 milliárd eurós teljes éves árbevételt és több mint 2500 alkalmazottat érint” – mondta </w:t>
      </w:r>
      <w:proofErr w:type="spellStart"/>
      <w:r>
        <w:rPr>
          <w:rFonts w:asciiTheme="majorHAnsi" w:hAnsiTheme="majorHAnsi" w:cstheme="majorHAnsi"/>
          <w:lang w:val="hu"/>
        </w:rPr>
        <w:t>Carsten</w:t>
      </w:r>
      <w:proofErr w:type="spellEnd"/>
      <w:r>
        <w:rPr>
          <w:rFonts w:asciiTheme="majorHAnsi" w:hAnsiTheme="majorHAnsi" w:cstheme="majorHAnsi"/>
          <w:lang w:val="hu"/>
        </w:rPr>
        <w:t xml:space="preserve"> </w:t>
      </w:r>
      <w:proofErr w:type="spellStart"/>
      <w:r>
        <w:rPr>
          <w:rFonts w:asciiTheme="majorHAnsi" w:hAnsiTheme="majorHAnsi" w:cstheme="majorHAnsi"/>
          <w:lang w:val="hu"/>
        </w:rPr>
        <w:t>Knobel</w:t>
      </w:r>
      <w:proofErr w:type="spellEnd"/>
      <w:r>
        <w:rPr>
          <w:rFonts w:asciiTheme="majorHAnsi" w:hAnsiTheme="majorHAnsi" w:cstheme="majorHAnsi"/>
          <w:lang w:val="hu"/>
        </w:rPr>
        <w:t xml:space="preserve">, a Henkel </w:t>
      </w:r>
      <w:r w:rsidR="009F394C">
        <w:rPr>
          <w:rFonts w:asciiTheme="majorHAnsi" w:hAnsiTheme="majorHAnsi" w:cstheme="majorHAnsi"/>
          <w:lang w:val="hu"/>
        </w:rPr>
        <w:t>igazgatóságának elnöke</w:t>
      </w:r>
      <w:r>
        <w:rPr>
          <w:rFonts w:asciiTheme="majorHAnsi" w:hAnsiTheme="majorHAnsi" w:cstheme="majorHAnsi"/>
          <w:lang w:val="hu"/>
        </w:rPr>
        <w:t xml:space="preserve">. </w:t>
      </w:r>
    </w:p>
    <w:p w14:paraId="54DCD72F" w14:textId="77777777" w:rsidR="0075662E" w:rsidRPr="001F41D4" w:rsidRDefault="0075662E" w:rsidP="00695DA3">
      <w:pPr>
        <w:rPr>
          <w:rFonts w:asciiTheme="majorHAnsi" w:hAnsiTheme="majorHAnsi" w:cstheme="majorHAnsi"/>
          <w:lang w:val="hu"/>
        </w:rPr>
      </w:pPr>
    </w:p>
    <w:p w14:paraId="32551263" w14:textId="4097D43A" w:rsidR="00DD12BD" w:rsidRPr="001F41D4" w:rsidRDefault="0075662E" w:rsidP="006B0F52">
      <w:pPr>
        <w:rPr>
          <w:rFonts w:asciiTheme="majorHAnsi" w:hAnsiTheme="majorHAnsi" w:cstheme="majorHAnsi"/>
          <w:lang w:val="hu"/>
        </w:rPr>
      </w:pPr>
      <w:r>
        <w:rPr>
          <w:rFonts w:asciiTheme="majorHAnsi" w:hAnsiTheme="majorHAnsi" w:cstheme="majorHAnsi"/>
          <w:lang w:val="hu"/>
        </w:rPr>
        <w:t>„Ezeknek a fejleményeknek köszönhetően az év hátralévő részében most arra számítunk, hogy lényegesen n</w:t>
      </w:r>
      <w:r w:rsidR="009F394C">
        <w:rPr>
          <w:rFonts w:asciiTheme="majorHAnsi" w:hAnsiTheme="majorHAnsi" w:cstheme="majorHAnsi"/>
          <w:lang w:val="hu"/>
        </w:rPr>
        <w:t xml:space="preserve">agyobb nyomás nehezedik majd </w:t>
      </w:r>
      <w:r>
        <w:rPr>
          <w:rFonts w:asciiTheme="majorHAnsi" w:hAnsiTheme="majorHAnsi" w:cstheme="majorHAnsi"/>
          <w:lang w:val="hu"/>
        </w:rPr>
        <w:t xml:space="preserve">üzleti eredményeikre, mint az év elején. Ezért ennek megfelelően frissítettük egész évre vonatkozó kilátásainkat” – magyarázta </w:t>
      </w:r>
      <w:proofErr w:type="spellStart"/>
      <w:r>
        <w:rPr>
          <w:rFonts w:asciiTheme="majorHAnsi" w:hAnsiTheme="majorHAnsi" w:cstheme="majorHAnsi"/>
          <w:lang w:val="hu"/>
        </w:rPr>
        <w:t>Carsten</w:t>
      </w:r>
      <w:proofErr w:type="spellEnd"/>
      <w:r>
        <w:rPr>
          <w:rFonts w:asciiTheme="majorHAnsi" w:hAnsiTheme="majorHAnsi" w:cstheme="majorHAnsi"/>
          <w:lang w:val="hu"/>
        </w:rPr>
        <w:t xml:space="preserve"> </w:t>
      </w:r>
      <w:proofErr w:type="spellStart"/>
      <w:r>
        <w:rPr>
          <w:rFonts w:asciiTheme="majorHAnsi" w:hAnsiTheme="majorHAnsi" w:cstheme="majorHAnsi"/>
          <w:lang w:val="hu"/>
        </w:rPr>
        <w:t>Knobel</w:t>
      </w:r>
      <w:proofErr w:type="spellEnd"/>
      <w:r>
        <w:rPr>
          <w:rFonts w:asciiTheme="majorHAnsi" w:hAnsiTheme="majorHAnsi" w:cstheme="majorHAnsi"/>
          <w:lang w:val="hu"/>
        </w:rPr>
        <w:t xml:space="preserve">. Ami az </w:t>
      </w:r>
      <w:r>
        <w:rPr>
          <w:rFonts w:asciiTheme="majorHAnsi" w:hAnsiTheme="majorHAnsi" w:cstheme="majorHAnsi"/>
          <w:b/>
          <w:bCs/>
          <w:lang w:val="hu"/>
        </w:rPr>
        <w:t>anyagárakat</w:t>
      </w:r>
      <w:r>
        <w:rPr>
          <w:rFonts w:asciiTheme="majorHAnsi" w:hAnsiTheme="majorHAnsi" w:cstheme="majorHAnsi"/>
          <w:lang w:val="hu"/>
        </w:rPr>
        <w:t xml:space="preserve"> illeti, a Henkel most a húsz százalékos sáv közepén számol emelkedéssel a teljes évre vonatkozóan a 2021-es átlaghoz képest. Korábban a tíz százalékos tartomány alsó sávjában történő emelkedésre számítottak. „Eze</w:t>
      </w:r>
      <w:r w:rsidR="00383964">
        <w:rPr>
          <w:rFonts w:asciiTheme="majorHAnsi" w:hAnsiTheme="majorHAnsi" w:cstheme="majorHAnsi"/>
          <w:lang w:val="hu"/>
        </w:rPr>
        <w:t>n</w:t>
      </w:r>
      <w:r>
        <w:rPr>
          <w:rFonts w:asciiTheme="majorHAnsi" w:hAnsiTheme="majorHAnsi" w:cstheme="majorHAnsi"/>
          <w:lang w:val="hu"/>
        </w:rPr>
        <w:t xml:space="preserve"> többletköltségek a teljes évre vonatkozóan, min</w:t>
      </w:r>
      <w:r w:rsidR="009F394C">
        <w:rPr>
          <w:rFonts w:asciiTheme="majorHAnsi" w:hAnsiTheme="majorHAnsi" w:cstheme="majorHAnsi"/>
          <w:lang w:val="hu"/>
        </w:rPr>
        <w:t>tegy kétmilliárd eurós összeget tesznek ki</w:t>
      </w:r>
      <w:r>
        <w:rPr>
          <w:rFonts w:asciiTheme="majorHAnsi" w:hAnsiTheme="majorHAnsi" w:cstheme="majorHAnsi"/>
          <w:lang w:val="hu"/>
        </w:rPr>
        <w:t>. Kétszer annyi</w:t>
      </w:r>
      <w:r w:rsidR="009F394C">
        <w:rPr>
          <w:rFonts w:asciiTheme="majorHAnsi" w:hAnsiTheme="majorHAnsi" w:cstheme="majorHAnsi"/>
          <w:lang w:val="hu"/>
        </w:rPr>
        <w:t>t</w:t>
      </w:r>
      <w:r>
        <w:rPr>
          <w:rFonts w:asciiTheme="majorHAnsi" w:hAnsiTheme="majorHAnsi" w:cstheme="majorHAnsi"/>
          <w:lang w:val="hu"/>
        </w:rPr>
        <w:t>, mint amit január végén feltételeztünk. Ilyen mértékű növekedésnek még nem lehettünk tanúi. Ezeket a fejleményeket célzott ellenintézkedésekkel, különösen további áremelésekkel és hatékonyságjavításokkal ellensúlyozzuk."</w:t>
      </w:r>
    </w:p>
    <w:p w14:paraId="38F4E3DD" w14:textId="77777777" w:rsidR="006B0F52" w:rsidRPr="001F41D4" w:rsidRDefault="006B0F52" w:rsidP="006B0F52">
      <w:pPr>
        <w:rPr>
          <w:rFonts w:asciiTheme="majorHAnsi" w:hAnsiTheme="majorHAnsi" w:cstheme="majorHAnsi"/>
          <w:lang w:val="hu"/>
        </w:rPr>
      </w:pPr>
    </w:p>
    <w:p w14:paraId="24FAF913" w14:textId="77777777" w:rsidR="000B50B6" w:rsidRPr="001F41D4" w:rsidRDefault="00DD12BD" w:rsidP="006B0F52">
      <w:pPr>
        <w:rPr>
          <w:rFonts w:asciiTheme="majorHAnsi" w:hAnsiTheme="majorHAnsi" w:cstheme="majorHAnsi"/>
          <w:lang w:val="hu"/>
        </w:rPr>
      </w:pPr>
      <w:r>
        <w:rPr>
          <w:rFonts w:asciiTheme="majorHAnsi" w:hAnsiTheme="majorHAnsi" w:cstheme="majorHAnsi"/>
          <w:lang w:val="hu"/>
        </w:rPr>
        <w:t xml:space="preserve">A Henkel most +3,5 és +5,5 százalék közötti </w:t>
      </w:r>
      <w:r>
        <w:rPr>
          <w:rFonts w:asciiTheme="majorHAnsi" w:hAnsiTheme="majorHAnsi" w:cstheme="majorHAnsi"/>
          <w:b/>
          <w:bCs/>
          <w:lang w:val="hu"/>
        </w:rPr>
        <w:t>szerves árbevétel-növekedést</w:t>
      </w:r>
      <w:r>
        <w:rPr>
          <w:rFonts w:asciiTheme="majorHAnsi" w:hAnsiTheme="majorHAnsi" w:cstheme="majorHAnsi"/>
          <w:lang w:val="hu"/>
        </w:rPr>
        <w:t xml:space="preserve"> vár </w:t>
      </w:r>
      <w:r>
        <w:rPr>
          <w:rFonts w:asciiTheme="majorHAnsi" w:hAnsiTheme="majorHAnsi" w:cstheme="majorHAnsi"/>
          <w:b/>
          <w:bCs/>
          <w:lang w:val="hu"/>
        </w:rPr>
        <w:t>csoportszinten</w:t>
      </w:r>
      <w:r>
        <w:rPr>
          <w:rFonts w:asciiTheme="majorHAnsi" w:hAnsiTheme="majorHAnsi" w:cstheme="majorHAnsi"/>
          <w:lang w:val="hu"/>
        </w:rPr>
        <w:t xml:space="preserve"> a </w:t>
      </w:r>
      <w:r>
        <w:rPr>
          <w:rFonts w:asciiTheme="majorHAnsi" w:hAnsiTheme="majorHAnsi" w:cstheme="majorHAnsi"/>
          <w:b/>
          <w:bCs/>
          <w:lang w:val="hu"/>
        </w:rPr>
        <w:t xml:space="preserve">2022-es pénzügyi évben </w:t>
      </w:r>
      <w:r>
        <w:rPr>
          <w:rFonts w:asciiTheme="majorHAnsi" w:hAnsiTheme="majorHAnsi" w:cstheme="majorHAnsi"/>
          <w:lang w:val="hu"/>
        </w:rPr>
        <w:t xml:space="preserve">(korábban: +2,0 és +4,0 százalék között). Az erőteljesebb szerves árbevétel-növekedés mögött elsősorban az </w:t>
      </w:r>
      <w:proofErr w:type="spellStart"/>
      <w:r>
        <w:rPr>
          <w:rFonts w:asciiTheme="majorHAnsi" w:hAnsiTheme="majorHAnsi" w:cstheme="majorHAnsi"/>
          <w:b/>
          <w:bCs/>
          <w:lang w:val="hu"/>
        </w:rPr>
        <w:t>Adhesive</w:t>
      </w:r>
      <w:proofErr w:type="spellEnd"/>
      <w:r>
        <w:rPr>
          <w:rFonts w:asciiTheme="majorHAnsi" w:hAnsiTheme="majorHAnsi" w:cstheme="majorHAnsi"/>
          <w:b/>
          <w:bCs/>
          <w:lang w:val="hu"/>
        </w:rPr>
        <w:t xml:space="preserve"> Technologies</w:t>
      </w:r>
      <w:r>
        <w:rPr>
          <w:rFonts w:asciiTheme="majorHAnsi" w:hAnsiTheme="majorHAnsi" w:cstheme="majorHAnsi"/>
          <w:lang w:val="hu"/>
        </w:rPr>
        <w:t xml:space="preserve"> üzletág áll, amelynél a Henkel most +8,0 és +10,0 százalék (korábban: +5,0 és +7,0 százalék) közötti szerves árbevétel-növekedést vár, elsősorban a magasabb nyersanyag- és logisztikai költségek magasabb árak formájában történő áthárítása miatt. A </w:t>
      </w:r>
      <w:proofErr w:type="spellStart"/>
      <w:r>
        <w:rPr>
          <w:rFonts w:asciiTheme="majorHAnsi" w:hAnsiTheme="majorHAnsi" w:cstheme="majorHAnsi"/>
          <w:lang w:val="hu"/>
        </w:rPr>
        <w:t>Beauty</w:t>
      </w:r>
      <w:proofErr w:type="spellEnd"/>
      <w:r>
        <w:rPr>
          <w:rFonts w:asciiTheme="majorHAnsi" w:hAnsiTheme="majorHAnsi" w:cstheme="majorHAnsi"/>
          <w:lang w:val="hu"/>
        </w:rPr>
        <w:t xml:space="preserve"> </w:t>
      </w:r>
      <w:proofErr w:type="spellStart"/>
      <w:r>
        <w:rPr>
          <w:rFonts w:asciiTheme="majorHAnsi" w:hAnsiTheme="majorHAnsi" w:cstheme="majorHAnsi"/>
          <w:lang w:val="hu"/>
        </w:rPr>
        <w:t>Care</w:t>
      </w:r>
      <w:proofErr w:type="spellEnd"/>
      <w:r>
        <w:rPr>
          <w:rFonts w:asciiTheme="majorHAnsi" w:hAnsiTheme="majorHAnsi" w:cstheme="majorHAnsi"/>
          <w:lang w:val="hu"/>
        </w:rPr>
        <w:t xml:space="preserve"> és a </w:t>
      </w:r>
      <w:proofErr w:type="spellStart"/>
      <w:r>
        <w:rPr>
          <w:rFonts w:asciiTheme="majorHAnsi" w:hAnsiTheme="majorHAnsi" w:cstheme="majorHAnsi"/>
          <w:lang w:val="hu"/>
        </w:rPr>
        <w:t>Laundry</w:t>
      </w:r>
      <w:proofErr w:type="spellEnd"/>
      <w:r>
        <w:rPr>
          <w:rFonts w:asciiTheme="majorHAnsi" w:hAnsiTheme="majorHAnsi" w:cstheme="majorHAnsi"/>
          <w:lang w:val="hu"/>
        </w:rPr>
        <w:t xml:space="preserve"> &amp; Home </w:t>
      </w:r>
      <w:proofErr w:type="spellStart"/>
      <w:r>
        <w:rPr>
          <w:rFonts w:asciiTheme="majorHAnsi" w:hAnsiTheme="majorHAnsi" w:cstheme="majorHAnsi"/>
          <w:lang w:val="hu"/>
        </w:rPr>
        <w:t>Care</w:t>
      </w:r>
      <w:proofErr w:type="spellEnd"/>
      <w:r>
        <w:rPr>
          <w:rFonts w:asciiTheme="majorHAnsi" w:hAnsiTheme="majorHAnsi" w:cstheme="majorHAnsi"/>
          <w:lang w:val="hu"/>
        </w:rPr>
        <w:t xml:space="preserve"> üzletágak szerves árbevétel-növekedésére vonatkozó várakozások változatlanok maradnak. </w:t>
      </w:r>
    </w:p>
    <w:p w14:paraId="59EA06B5" w14:textId="77777777" w:rsidR="000B50B6" w:rsidRPr="001F41D4" w:rsidRDefault="000B50B6" w:rsidP="006B0F52">
      <w:pPr>
        <w:rPr>
          <w:rFonts w:asciiTheme="majorHAnsi" w:hAnsiTheme="majorHAnsi" w:cstheme="majorHAnsi"/>
          <w:lang w:val="hu"/>
        </w:rPr>
      </w:pPr>
    </w:p>
    <w:p w14:paraId="44D3B576" w14:textId="77777777" w:rsidR="000B50B6" w:rsidRPr="001F41D4" w:rsidRDefault="000B50B6" w:rsidP="006B0F52">
      <w:pPr>
        <w:rPr>
          <w:rFonts w:asciiTheme="majorHAnsi" w:hAnsiTheme="majorHAnsi" w:cstheme="majorHAnsi"/>
          <w:lang w:val="hu"/>
        </w:rPr>
      </w:pPr>
    </w:p>
    <w:p w14:paraId="20D132B7" w14:textId="26245E65" w:rsidR="006B0F52" w:rsidRPr="001F41D4" w:rsidRDefault="00FE24FA" w:rsidP="00D56BCF">
      <w:pPr>
        <w:spacing w:after="240"/>
        <w:rPr>
          <w:lang w:val="hu"/>
        </w:rPr>
      </w:pPr>
      <w:r>
        <w:rPr>
          <w:rFonts w:asciiTheme="majorHAnsi" w:hAnsiTheme="majorHAnsi"/>
          <w:lang w:val="hu"/>
        </w:rPr>
        <w:t xml:space="preserve">A </w:t>
      </w:r>
      <w:proofErr w:type="spellStart"/>
      <w:r>
        <w:rPr>
          <w:rFonts w:asciiTheme="majorHAnsi" w:hAnsiTheme="majorHAnsi"/>
          <w:b/>
          <w:bCs/>
          <w:lang w:val="hu"/>
        </w:rPr>
        <w:t>Beauty</w:t>
      </w:r>
      <w:proofErr w:type="spellEnd"/>
      <w:r>
        <w:rPr>
          <w:rFonts w:asciiTheme="majorHAnsi" w:hAnsiTheme="majorHAnsi"/>
          <w:b/>
          <w:bCs/>
          <w:lang w:val="hu"/>
        </w:rPr>
        <w:t xml:space="preserve"> </w:t>
      </w:r>
      <w:proofErr w:type="spellStart"/>
      <w:r>
        <w:rPr>
          <w:rFonts w:asciiTheme="majorHAnsi" w:hAnsiTheme="majorHAnsi"/>
          <w:b/>
          <w:bCs/>
          <w:lang w:val="hu"/>
        </w:rPr>
        <w:t>Care</w:t>
      </w:r>
      <w:proofErr w:type="spellEnd"/>
      <w:r>
        <w:rPr>
          <w:rFonts w:asciiTheme="majorHAnsi" w:hAnsiTheme="majorHAnsi"/>
          <w:lang w:val="hu"/>
        </w:rPr>
        <w:t xml:space="preserve"> esetében a szerves árbevétel várhatóan -5,0 és -3,0 százalék között alakul. Amint azt bejelentettük, a visszaesés elsősorban a portfóliójavítás érdekében már elhatározott és végrehajtott intézkedéseknek tudható be, beleértve a jövőbeni alaptevékenységbe nem tartozó tevékenységek beszüntetését is. A</w:t>
      </w:r>
      <w:r>
        <w:rPr>
          <w:rFonts w:asciiTheme="majorHAnsi" w:hAnsiTheme="majorHAnsi"/>
          <w:b/>
          <w:bCs/>
          <w:lang w:val="hu"/>
        </w:rPr>
        <w:t xml:space="preserve"> </w:t>
      </w:r>
      <w:proofErr w:type="spellStart"/>
      <w:r>
        <w:rPr>
          <w:rFonts w:asciiTheme="majorHAnsi" w:hAnsiTheme="majorHAnsi"/>
          <w:b/>
          <w:bCs/>
          <w:lang w:val="hu"/>
        </w:rPr>
        <w:t>Laundry</w:t>
      </w:r>
      <w:proofErr w:type="spellEnd"/>
      <w:r>
        <w:rPr>
          <w:rFonts w:asciiTheme="majorHAnsi" w:hAnsiTheme="majorHAnsi"/>
          <w:lang w:val="hu"/>
        </w:rPr>
        <w:t xml:space="preserve"> </w:t>
      </w:r>
      <w:r>
        <w:rPr>
          <w:rFonts w:asciiTheme="majorHAnsi" w:hAnsiTheme="majorHAnsi"/>
          <w:b/>
          <w:bCs/>
          <w:lang w:val="hu"/>
        </w:rPr>
        <w:t>&amp;</w:t>
      </w:r>
      <w:r>
        <w:rPr>
          <w:rFonts w:asciiTheme="majorHAnsi" w:hAnsiTheme="majorHAnsi"/>
          <w:lang w:val="hu"/>
        </w:rPr>
        <w:t xml:space="preserve"> </w:t>
      </w:r>
      <w:r>
        <w:rPr>
          <w:rFonts w:asciiTheme="majorHAnsi" w:hAnsiTheme="majorHAnsi"/>
          <w:b/>
          <w:bCs/>
          <w:lang w:val="hu"/>
        </w:rPr>
        <w:t>Home</w:t>
      </w:r>
      <w:r>
        <w:rPr>
          <w:rFonts w:asciiTheme="majorHAnsi" w:hAnsiTheme="majorHAnsi"/>
          <w:lang w:val="hu"/>
        </w:rPr>
        <w:t xml:space="preserve"> </w:t>
      </w:r>
      <w:proofErr w:type="spellStart"/>
      <w:r>
        <w:rPr>
          <w:rFonts w:asciiTheme="majorHAnsi" w:hAnsiTheme="majorHAnsi"/>
          <w:b/>
          <w:bCs/>
          <w:lang w:val="hu"/>
        </w:rPr>
        <w:t>Care</w:t>
      </w:r>
      <w:proofErr w:type="spellEnd"/>
      <w:r>
        <w:rPr>
          <w:rFonts w:asciiTheme="majorHAnsi" w:hAnsiTheme="majorHAnsi"/>
          <w:lang w:val="hu"/>
        </w:rPr>
        <w:t xml:space="preserve"> üzletág esetében a Henkel továbbra is a +2.0 – +4.0 százalékos tartományban számít szerves árbevétel-növekedésre. </w:t>
      </w:r>
      <w:r>
        <w:rPr>
          <w:lang w:val="hu"/>
        </w:rPr>
        <w:t>A Henkel oroszországi és fehéroroszor</w:t>
      </w:r>
      <w:r w:rsidR="00A02B60">
        <w:rPr>
          <w:lang w:val="hu"/>
        </w:rPr>
        <w:t>szági üzleti tevékenységeinek</w:t>
      </w:r>
      <w:r>
        <w:rPr>
          <w:lang w:val="hu"/>
        </w:rPr>
        <w:t xml:space="preserve"> beszüntetésére vonatkozó döntés fényében ezek az országok a második negyedévtől ki lesznek zárva a Henkel szerves árbevétel-növekedéséből.”</w:t>
      </w:r>
    </w:p>
    <w:p w14:paraId="47FBC7C2" w14:textId="7E6D9488" w:rsidR="00396A5D" w:rsidRPr="001F41D4" w:rsidRDefault="00396A5D" w:rsidP="00396A5D">
      <w:pPr>
        <w:rPr>
          <w:rFonts w:cs="Segoe UI"/>
          <w:szCs w:val="22"/>
          <w:lang w:val="hu"/>
        </w:rPr>
      </w:pPr>
      <w:r>
        <w:rPr>
          <w:rFonts w:cs="Segoe UI"/>
          <w:szCs w:val="22"/>
          <w:lang w:val="hu"/>
        </w:rPr>
        <w:t>Az oroszországi és fehéroroszországi üzleti tevékenységből való kilépés hatásai mellett a korábban vártnál nagyobb hatást gyakorol az eredményre a közvetlen anyag- és logisztikai árak jelentős emelkedése, amelyet ebben a pénzügyi évben nem lehet teljes mértékben ellensúlyozni.</w:t>
      </w:r>
    </w:p>
    <w:p w14:paraId="0F12FBFE" w14:textId="77777777" w:rsidR="00396A5D" w:rsidRPr="001F41D4" w:rsidRDefault="00396A5D" w:rsidP="00A00DD1">
      <w:pPr>
        <w:rPr>
          <w:rFonts w:asciiTheme="majorHAnsi" w:hAnsiTheme="majorHAnsi" w:cstheme="majorHAnsi"/>
          <w:szCs w:val="22"/>
          <w:lang w:val="hu"/>
        </w:rPr>
      </w:pPr>
    </w:p>
    <w:p w14:paraId="1E422BD8" w14:textId="3EE073DE" w:rsidR="005B538C" w:rsidRPr="001F41D4" w:rsidRDefault="005B538C" w:rsidP="00A00DD1">
      <w:pPr>
        <w:rPr>
          <w:rFonts w:asciiTheme="majorHAnsi" w:hAnsiTheme="majorHAnsi" w:cstheme="majorHAnsi"/>
          <w:szCs w:val="22"/>
          <w:lang w:val="hu"/>
        </w:rPr>
      </w:pPr>
      <w:r>
        <w:rPr>
          <w:rFonts w:asciiTheme="majorHAnsi" w:hAnsiTheme="majorHAnsi" w:cstheme="majorHAnsi"/>
          <w:szCs w:val="22"/>
          <w:lang w:val="hu"/>
        </w:rPr>
        <w:t xml:space="preserve">A </w:t>
      </w:r>
      <w:r>
        <w:rPr>
          <w:rFonts w:asciiTheme="majorHAnsi" w:hAnsiTheme="majorHAnsi" w:cstheme="majorHAnsi"/>
          <w:b/>
          <w:bCs/>
          <w:szCs w:val="22"/>
          <w:lang w:val="hu"/>
        </w:rPr>
        <w:t xml:space="preserve">Henkel csoport esetében a korrigált árbevétel-arányos megtérülés (EBIT </w:t>
      </w:r>
      <w:proofErr w:type="spellStart"/>
      <w:r w:rsidR="00A02B60">
        <w:rPr>
          <w:rFonts w:asciiTheme="majorHAnsi" w:hAnsiTheme="majorHAnsi" w:cstheme="majorHAnsi"/>
          <w:b/>
          <w:bCs/>
          <w:szCs w:val="22"/>
          <w:lang w:val="hu"/>
        </w:rPr>
        <w:t>marzs</w:t>
      </w:r>
      <w:proofErr w:type="spellEnd"/>
      <w:r>
        <w:rPr>
          <w:rFonts w:asciiTheme="majorHAnsi" w:hAnsiTheme="majorHAnsi" w:cstheme="majorHAnsi"/>
          <w:b/>
          <w:bCs/>
          <w:szCs w:val="22"/>
          <w:lang w:val="hu"/>
        </w:rPr>
        <w:t>)</w:t>
      </w:r>
      <w:r>
        <w:rPr>
          <w:rFonts w:asciiTheme="majorHAnsi" w:hAnsiTheme="majorHAnsi" w:cstheme="majorHAnsi"/>
          <w:szCs w:val="22"/>
          <w:lang w:val="hu"/>
        </w:rPr>
        <w:t xml:space="preserve"> most alacsonyabb, 9,0-11,0 százalékos tartományban várható (korábban: 11</w:t>
      </w:r>
      <w:r w:rsidR="00A02B60">
        <w:rPr>
          <w:rFonts w:asciiTheme="majorHAnsi" w:hAnsiTheme="majorHAnsi" w:cstheme="majorHAnsi"/>
          <w:szCs w:val="22"/>
          <w:lang w:val="hu"/>
        </w:rPr>
        <w:t>,5 – 13,</w:t>
      </w:r>
      <w:r>
        <w:rPr>
          <w:rFonts w:asciiTheme="majorHAnsi" w:hAnsiTheme="majorHAnsi" w:cstheme="majorHAnsi"/>
          <w:szCs w:val="22"/>
          <w:lang w:val="hu"/>
        </w:rPr>
        <w:t xml:space="preserve">5 százalék). Az </w:t>
      </w:r>
      <w:proofErr w:type="spellStart"/>
      <w:r>
        <w:rPr>
          <w:rFonts w:asciiTheme="majorHAnsi" w:hAnsiTheme="majorHAnsi" w:cstheme="majorHAnsi"/>
          <w:b/>
          <w:bCs/>
          <w:szCs w:val="22"/>
          <w:lang w:val="hu"/>
        </w:rPr>
        <w:t>Adhesive</w:t>
      </w:r>
      <w:proofErr w:type="spellEnd"/>
      <w:r>
        <w:rPr>
          <w:rFonts w:asciiTheme="majorHAnsi" w:hAnsiTheme="majorHAnsi" w:cstheme="majorHAnsi"/>
          <w:b/>
          <w:bCs/>
          <w:szCs w:val="22"/>
          <w:lang w:val="hu"/>
        </w:rPr>
        <w:t xml:space="preserve"> Technologies </w:t>
      </w:r>
      <w:r>
        <w:rPr>
          <w:rFonts w:asciiTheme="majorHAnsi" w:hAnsiTheme="majorHAnsi" w:cstheme="majorHAnsi"/>
          <w:szCs w:val="22"/>
          <w:lang w:val="hu"/>
        </w:rPr>
        <w:t>esetében a Henkel 13,0 és 15,0 százalék közötti (korábban: 15,0-17,0 százalék), a</w:t>
      </w:r>
      <w:r>
        <w:rPr>
          <w:rFonts w:asciiTheme="majorHAnsi" w:hAnsiTheme="majorHAnsi" w:cstheme="majorHAnsi"/>
          <w:b/>
          <w:bCs/>
          <w:szCs w:val="22"/>
          <w:lang w:val="hu"/>
        </w:rPr>
        <w:t xml:space="preserve"> </w:t>
      </w:r>
      <w:proofErr w:type="spellStart"/>
      <w:r>
        <w:rPr>
          <w:rFonts w:asciiTheme="majorHAnsi" w:hAnsiTheme="majorHAnsi" w:cstheme="majorHAnsi"/>
          <w:b/>
          <w:bCs/>
          <w:szCs w:val="22"/>
          <w:lang w:val="hu"/>
        </w:rPr>
        <w:t>Beauty</w:t>
      </w:r>
      <w:proofErr w:type="spellEnd"/>
      <w:r>
        <w:rPr>
          <w:rFonts w:asciiTheme="majorHAnsi" w:hAnsiTheme="majorHAnsi" w:cstheme="majorHAnsi"/>
          <w:b/>
          <w:bCs/>
          <w:szCs w:val="22"/>
          <w:lang w:val="hu"/>
        </w:rPr>
        <w:t xml:space="preserve"> </w:t>
      </w:r>
      <w:proofErr w:type="spellStart"/>
      <w:r>
        <w:rPr>
          <w:rFonts w:asciiTheme="majorHAnsi" w:hAnsiTheme="majorHAnsi" w:cstheme="majorHAnsi"/>
          <w:b/>
          <w:bCs/>
          <w:szCs w:val="22"/>
          <w:lang w:val="hu"/>
        </w:rPr>
        <w:t>Care</w:t>
      </w:r>
      <w:proofErr w:type="spellEnd"/>
      <w:r>
        <w:rPr>
          <w:rFonts w:asciiTheme="majorHAnsi" w:hAnsiTheme="majorHAnsi" w:cstheme="majorHAnsi"/>
          <w:szCs w:val="22"/>
          <w:lang w:val="hu"/>
        </w:rPr>
        <w:t xml:space="preserve"> esetében 5,0-7,0 százalék (korábban: 7,5–10,0 százalék), a </w:t>
      </w:r>
      <w:proofErr w:type="spellStart"/>
      <w:r>
        <w:rPr>
          <w:rFonts w:asciiTheme="majorHAnsi" w:hAnsiTheme="majorHAnsi" w:cstheme="majorHAnsi"/>
          <w:b/>
          <w:bCs/>
          <w:szCs w:val="22"/>
          <w:lang w:val="hu"/>
        </w:rPr>
        <w:t>Laundry</w:t>
      </w:r>
      <w:proofErr w:type="spellEnd"/>
      <w:r>
        <w:rPr>
          <w:rFonts w:asciiTheme="majorHAnsi" w:hAnsiTheme="majorHAnsi" w:cstheme="majorHAnsi"/>
          <w:b/>
          <w:bCs/>
          <w:szCs w:val="22"/>
          <w:lang w:val="hu"/>
        </w:rPr>
        <w:t xml:space="preserve"> &amp; Home </w:t>
      </w:r>
      <w:proofErr w:type="spellStart"/>
      <w:r>
        <w:rPr>
          <w:rFonts w:asciiTheme="majorHAnsi" w:hAnsiTheme="majorHAnsi" w:cstheme="majorHAnsi"/>
          <w:b/>
          <w:bCs/>
          <w:szCs w:val="22"/>
          <w:lang w:val="hu"/>
        </w:rPr>
        <w:t>Care</w:t>
      </w:r>
      <w:proofErr w:type="spellEnd"/>
      <w:r>
        <w:rPr>
          <w:rFonts w:asciiTheme="majorHAnsi" w:hAnsiTheme="majorHAnsi" w:cstheme="majorHAnsi"/>
          <w:szCs w:val="22"/>
          <w:lang w:val="hu"/>
        </w:rPr>
        <w:t xml:space="preserve"> esetében pedig 7,0–9,0 százalék (korábban: 10.5 - 13.0 százalék) korrigált árbevétel-arányos megtérülést vár.</w:t>
      </w:r>
    </w:p>
    <w:p w14:paraId="63BBF66A" w14:textId="77777777" w:rsidR="005B538C" w:rsidRPr="001F41D4" w:rsidRDefault="005B538C" w:rsidP="006E348B">
      <w:pPr>
        <w:spacing w:line="240" w:lineRule="auto"/>
        <w:rPr>
          <w:rFonts w:asciiTheme="majorHAnsi" w:hAnsiTheme="majorHAnsi" w:cstheme="majorHAnsi"/>
          <w:szCs w:val="22"/>
          <w:lang w:val="hu"/>
        </w:rPr>
      </w:pPr>
    </w:p>
    <w:p w14:paraId="67D2AB7D" w14:textId="7CADFF2A" w:rsidR="005B538C" w:rsidRPr="001F41D4" w:rsidRDefault="005B538C" w:rsidP="006E348B">
      <w:pPr>
        <w:spacing w:line="240" w:lineRule="auto"/>
        <w:rPr>
          <w:rFonts w:asciiTheme="majorHAnsi" w:hAnsiTheme="majorHAnsi" w:cstheme="majorHAnsi"/>
          <w:szCs w:val="22"/>
          <w:lang w:val="hu"/>
        </w:rPr>
      </w:pPr>
      <w:r>
        <w:rPr>
          <w:rFonts w:asciiTheme="majorHAnsi" w:hAnsiTheme="majorHAnsi" w:cstheme="majorHAnsi"/>
          <w:szCs w:val="22"/>
          <w:lang w:val="hu"/>
        </w:rPr>
        <w:t xml:space="preserve">Az </w:t>
      </w:r>
      <w:r w:rsidR="00A02B60" w:rsidRPr="0051348C">
        <w:rPr>
          <w:b/>
          <w:bCs/>
          <w:szCs w:val="22"/>
          <w:lang w:val="hu"/>
        </w:rPr>
        <w:t>elsőbbségi részvények korrigált hozama</w:t>
      </w:r>
      <w:r>
        <w:rPr>
          <w:rFonts w:asciiTheme="majorHAnsi" w:hAnsiTheme="majorHAnsi" w:cstheme="majorHAnsi"/>
          <w:b/>
          <w:bCs/>
          <w:szCs w:val="22"/>
          <w:lang w:val="hu"/>
        </w:rPr>
        <w:t xml:space="preserve"> (EPS) </w:t>
      </w:r>
      <w:r>
        <w:rPr>
          <w:rFonts w:asciiTheme="majorHAnsi" w:hAnsiTheme="majorHAnsi" w:cstheme="majorHAnsi"/>
          <w:szCs w:val="22"/>
          <w:lang w:val="hu"/>
        </w:rPr>
        <w:t xml:space="preserve">vonatkozásában, </w:t>
      </w:r>
      <w:r w:rsidR="0014420A" w:rsidRPr="0014420A">
        <w:rPr>
          <w:rFonts w:cs="Cambria"/>
          <w:szCs w:val="22"/>
          <w:lang w:val="hu-HU"/>
        </w:rPr>
        <w:t>árfolyamhatásoktól megtisztítva</w:t>
      </w:r>
      <w:r>
        <w:rPr>
          <w:rFonts w:asciiTheme="majorHAnsi" w:hAnsiTheme="majorHAnsi" w:cstheme="majorHAnsi"/>
          <w:szCs w:val="22"/>
          <w:lang w:val="hu"/>
        </w:rPr>
        <w:t xml:space="preserve"> a Henkel most -35 és -15 százalék (korábban -15 és +5 százalék között) közötti csökkenést vár.</w:t>
      </w:r>
    </w:p>
    <w:p w14:paraId="6002215A" w14:textId="5279B937" w:rsidR="00717F26" w:rsidRPr="001F41D4" w:rsidRDefault="00717F26" w:rsidP="00697C34">
      <w:pPr>
        <w:rPr>
          <w:rFonts w:asciiTheme="majorHAnsi" w:hAnsiTheme="majorHAnsi" w:cstheme="majorHAnsi"/>
          <w:lang w:val="hu"/>
        </w:rPr>
      </w:pPr>
    </w:p>
    <w:p w14:paraId="1A2635DD" w14:textId="057786BA" w:rsidR="00DE76A5" w:rsidRPr="001F41D4" w:rsidRDefault="00247ED5" w:rsidP="0064184C">
      <w:pPr>
        <w:pStyle w:val="BodyText"/>
        <w:spacing w:line="240" w:lineRule="auto"/>
        <w:rPr>
          <w:rFonts w:ascii="Segoe UI" w:hAnsi="Segoe UI" w:cs="Segoe UI"/>
          <w:szCs w:val="22"/>
          <w:lang w:val="hu"/>
        </w:rPr>
      </w:pPr>
      <w:r>
        <w:rPr>
          <w:rFonts w:ascii="Segoe UI" w:hAnsi="Segoe UI" w:cs="Segoe UI"/>
          <w:szCs w:val="22"/>
          <w:lang w:val="hu"/>
        </w:rPr>
        <w:t xml:space="preserve">Az új kilátások azon a feltételezésen alapulnak, hogy az ukrajnai háború hatásai nem súlyosbodnak jelentősen, és a COVID 19 világjárvány miatt nem következnek be új széles körű üzleti és termelési lezárások az iparban és a kiskereskedelemben. </w:t>
      </w:r>
    </w:p>
    <w:p w14:paraId="22C353F1" w14:textId="77777777" w:rsidR="00247ED5" w:rsidRPr="001F41D4" w:rsidRDefault="00247ED5" w:rsidP="00697C34">
      <w:pPr>
        <w:rPr>
          <w:rFonts w:asciiTheme="majorHAnsi" w:hAnsiTheme="majorHAnsi" w:cstheme="majorHAnsi"/>
          <w:lang w:val="hu"/>
        </w:rPr>
      </w:pPr>
    </w:p>
    <w:p w14:paraId="18DE2425" w14:textId="529916F4" w:rsidR="00D957EB" w:rsidRPr="001F41D4" w:rsidRDefault="00D957EB" w:rsidP="00D957EB">
      <w:pPr>
        <w:rPr>
          <w:rFonts w:asciiTheme="majorHAnsi" w:hAnsiTheme="majorHAnsi" w:cstheme="majorHAnsi"/>
          <w:lang w:val="hu"/>
        </w:rPr>
      </w:pPr>
      <w:r>
        <w:rPr>
          <w:rFonts w:asciiTheme="majorHAnsi" w:hAnsiTheme="majorHAnsi" w:cstheme="majorHAnsi"/>
          <w:lang w:val="hu"/>
        </w:rPr>
        <w:t xml:space="preserve">„A rendkívül nehéz környezet ellenére a céltudatos növekedés stratégiáját követjük. </w:t>
      </w:r>
      <w:proofErr w:type="spellStart"/>
      <w:r>
        <w:rPr>
          <w:rFonts w:asciiTheme="majorHAnsi" w:hAnsiTheme="majorHAnsi" w:cstheme="majorHAnsi"/>
          <w:lang w:val="hu"/>
        </w:rPr>
        <w:t>Adhesive</w:t>
      </w:r>
      <w:proofErr w:type="spellEnd"/>
      <w:r>
        <w:rPr>
          <w:rFonts w:asciiTheme="majorHAnsi" w:hAnsiTheme="majorHAnsi" w:cstheme="majorHAnsi"/>
          <w:lang w:val="hu"/>
        </w:rPr>
        <w:t xml:space="preserve"> Technologies üzletágunkkal világszerte vezető szerepet töltünk be, és számos fontos iparágban kínálunk innovatív megoldásokat, egyértelműen a jövőbeli trendekre, például a mobilitásra, a kapcsolódásra és a fenntarthatóságra összpontosítva. A </w:t>
      </w:r>
      <w:proofErr w:type="spellStart"/>
      <w:r>
        <w:rPr>
          <w:rFonts w:asciiTheme="majorHAnsi" w:hAnsiTheme="majorHAnsi" w:cstheme="majorHAnsi"/>
          <w:lang w:val="hu"/>
        </w:rPr>
        <w:t>Laundry</w:t>
      </w:r>
      <w:proofErr w:type="spellEnd"/>
      <w:r>
        <w:rPr>
          <w:rFonts w:asciiTheme="majorHAnsi" w:hAnsiTheme="majorHAnsi" w:cstheme="majorHAnsi"/>
          <w:lang w:val="hu"/>
        </w:rPr>
        <w:t xml:space="preserve"> &amp; Home </w:t>
      </w:r>
      <w:proofErr w:type="spellStart"/>
      <w:r>
        <w:rPr>
          <w:rFonts w:asciiTheme="majorHAnsi" w:hAnsiTheme="majorHAnsi" w:cstheme="majorHAnsi"/>
          <w:lang w:val="hu"/>
        </w:rPr>
        <w:t>Care</w:t>
      </w:r>
      <w:proofErr w:type="spellEnd"/>
      <w:r>
        <w:rPr>
          <w:rFonts w:asciiTheme="majorHAnsi" w:hAnsiTheme="majorHAnsi" w:cstheme="majorHAnsi"/>
          <w:lang w:val="hu"/>
        </w:rPr>
        <w:t xml:space="preserve"> and </w:t>
      </w:r>
      <w:proofErr w:type="spellStart"/>
      <w:r>
        <w:rPr>
          <w:rFonts w:asciiTheme="majorHAnsi" w:hAnsiTheme="majorHAnsi" w:cstheme="majorHAnsi"/>
          <w:lang w:val="hu"/>
        </w:rPr>
        <w:t>Beauty</w:t>
      </w:r>
      <w:proofErr w:type="spellEnd"/>
      <w:r>
        <w:rPr>
          <w:rFonts w:asciiTheme="majorHAnsi" w:hAnsiTheme="majorHAnsi" w:cstheme="majorHAnsi"/>
          <w:lang w:val="hu"/>
        </w:rPr>
        <w:t xml:space="preserve"> </w:t>
      </w:r>
      <w:proofErr w:type="spellStart"/>
      <w:r>
        <w:rPr>
          <w:rFonts w:asciiTheme="majorHAnsi" w:hAnsiTheme="majorHAnsi" w:cstheme="majorHAnsi"/>
          <w:lang w:val="hu"/>
        </w:rPr>
        <w:t>Care</w:t>
      </w:r>
      <w:proofErr w:type="spellEnd"/>
      <w:r>
        <w:rPr>
          <w:rFonts w:asciiTheme="majorHAnsi" w:hAnsiTheme="majorHAnsi" w:cstheme="majorHAnsi"/>
          <w:lang w:val="hu"/>
        </w:rPr>
        <w:t xml:space="preserve"> fogyasztói üzletágaink Henkel Consumer </w:t>
      </w:r>
      <w:proofErr w:type="spellStart"/>
      <w:r>
        <w:rPr>
          <w:rFonts w:asciiTheme="majorHAnsi" w:hAnsiTheme="majorHAnsi" w:cstheme="majorHAnsi"/>
          <w:lang w:val="hu"/>
        </w:rPr>
        <w:t>Brands</w:t>
      </w:r>
      <w:proofErr w:type="spellEnd"/>
      <w:r>
        <w:rPr>
          <w:rFonts w:asciiTheme="majorHAnsi" w:hAnsiTheme="majorHAnsi" w:cstheme="majorHAnsi"/>
          <w:lang w:val="hu"/>
        </w:rPr>
        <w:t xml:space="preserve"> néven történő egyesítése révén pedig egy több kategóriás platformot hozunk létre, mintegy 10 milliárd eurós árbevétellel. A jövőbeli Consumer </w:t>
      </w:r>
      <w:proofErr w:type="spellStart"/>
      <w:r>
        <w:rPr>
          <w:rFonts w:asciiTheme="majorHAnsi" w:hAnsiTheme="majorHAnsi" w:cstheme="majorHAnsi"/>
          <w:lang w:val="hu"/>
        </w:rPr>
        <w:t>Brands</w:t>
      </w:r>
      <w:proofErr w:type="spellEnd"/>
      <w:r>
        <w:rPr>
          <w:rFonts w:asciiTheme="majorHAnsi" w:hAnsiTheme="majorHAnsi" w:cstheme="majorHAnsi"/>
          <w:lang w:val="hu"/>
        </w:rPr>
        <w:t xml:space="preserve"> üzletágunk várhatóan legkésőbb 2023 elejére létrejön, szélesebb alapot biztosítva portfóliónk még következetesebb optimalizálásához, valamint magasabb növekedési és árrésprofilra történő fejlesztéséhez" - mondta </w:t>
      </w:r>
      <w:proofErr w:type="spellStart"/>
      <w:r>
        <w:rPr>
          <w:rFonts w:asciiTheme="majorHAnsi" w:hAnsiTheme="majorHAnsi" w:cstheme="majorHAnsi"/>
          <w:lang w:val="hu"/>
        </w:rPr>
        <w:t>Carsten</w:t>
      </w:r>
      <w:proofErr w:type="spellEnd"/>
      <w:r>
        <w:rPr>
          <w:rFonts w:asciiTheme="majorHAnsi" w:hAnsiTheme="majorHAnsi" w:cstheme="majorHAnsi"/>
          <w:lang w:val="hu"/>
        </w:rPr>
        <w:t xml:space="preserve"> </w:t>
      </w:r>
      <w:proofErr w:type="spellStart"/>
      <w:r>
        <w:rPr>
          <w:rFonts w:asciiTheme="majorHAnsi" w:hAnsiTheme="majorHAnsi" w:cstheme="majorHAnsi"/>
          <w:lang w:val="hu"/>
        </w:rPr>
        <w:t>Knobel</w:t>
      </w:r>
      <w:proofErr w:type="spellEnd"/>
      <w:r>
        <w:rPr>
          <w:rFonts w:asciiTheme="majorHAnsi" w:hAnsiTheme="majorHAnsi" w:cstheme="majorHAnsi"/>
          <w:lang w:val="hu"/>
        </w:rPr>
        <w:t>.</w:t>
      </w:r>
    </w:p>
    <w:p w14:paraId="53D598C7" w14:textId="77777777" w:rsidR="00566096" w:rsidRPr="001F41D4" w:rsidRDefault="00566096" w:rsidP="00C439F9">
      <w:pPr>
        <w:rPr>
          <w:rStyle w:val="AboutandContactHeadline"/>
          <w:lang w:val="hu"/>
        </w:rPr>
      </w:pPr>
    </w:p>
    <w:p w14:paraId="3CA78B46" w14:textId="4E6DBD60" w:rsidR="00566096" w:rsidRDefault="00D957EB" w:rsidP="00742911">
      <w:pPr>
        <w:rPr>
          <w:rFonts w:asciiTheme="majorHAnsi" w:hAnsiTheme="majorHAnsi" w:cstheme="majorHAnsi"/>
          <w:lang w:val="hu"/>
        </w:rPr>
      </w:pPr>
      <w:r>
        <w:rPr>
          <w:rFonts w:asciiTheme="majorHAnsi" w:hAnsiTheme="majorHAnsi" w:cstheme="majorHAnsi"/>
          <w:lang w:val="hu"/>
        </w:rPr>
        <w:lastRenderedPageBreak/>
        <w:t>A Henkel 2022 első negyedévére vonatkozó jelentését május 5-én teszi közzé, és a bejelentetteknek megfelelően további tájékoztatást nyújtanak a két üzletág integrációs folyamatáról és a tervezett portfólióintézkedésekről, beleértve a várható szinergiákat és az átszervezési költségeket is.</w:t>
      </w:r>
    </w:p>
    <w:p w14:paraId="6306F42C" w14:textId="1ACF17C7" w:rsidR="00A02B60" w:rsidRDefault="00A02B60" w:rsidP="00742911">
      <w:pPr>
        <w:rPr>
          <w:rFonts w:asciiTheme="majorHAnsi" w:hAnsiTheme="majorHAnsi" w:cstheme="majorHAnsi"/>
          <w:lang w:val="hu"/>
        </w:rPr>
      </w:pPr>
    </w:p>
    <w:p w14:paraId="15CFF2E7" w14:textId="77777777" w:rsidR="00A02B60" w:rsidRDefault="00A02B60" w:rsidP="00742911">
      <w:pPr>
        <w:rPr>
          <w:rFonts w:asciiTheme="majorHAnsi" w:hAnsiTheme="majorHAnsi" w:cstheme="majorHAnsi"/>
          <w:lang w:val="hu"/>
        </w:rPr>
      </w:pPr>
    </w:p>
    <w:p w14:paraId="702C0F7F" w14:textId="77777777" w:rsidR="00A02B60" w:rsidRDefault="00A02B60" w:rsidP="00A02B60">
      <w:pPr>
        <w:rPr>
          <w:rStyle w:val="AboutandContactHeadline"/>
          <w:lang w:val="en-GB"/>
        </w:rPr>
      </w:pPr>
      <w:r w:rsidRPr="00E4017F">
        <w:rPr>
          <w:rStyle w:val="AboutandContactHeadline"/>
          <w:lang w:val="en-GB"/>
        </w:rPr>
        <w:t>About Henkel</w:t>
      </w:r>
    </w:p>
    <w:p w14:paraId="655B6515" w14:textId="77777777" w:rsidR="00A02B60" w:rsidRPr="004C6B79" w:rsidRDefault="00A02B60" w:rsidP="00A02B60">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Pr="0078294E">
        <w:rPr>
          <w:rStyle w:val="AboutandContactBody"/>
        </w:rPr>
        <w:t>In 2021, Henkel reported sales of more than 20 billion euros</w:t>
      </w:r>
      <w:r>
        <w:rPr>
          <w:rStyle w:val="AboutandContactBody"/>
        </w:rPr>
        <w:t xml:space="preserve"> and an adjusted operating profit of about </w:t>
      </w:r>
      <w:r>
        <w:rPr>
          <w:rStyle w:val="AboutandContactBody"/>
        </w:rPr>
        <w:br/>
        <w:t>2.7 billion euros</w:t>
      </w:r>
      <w:r w:rsidRPr="0078294E">
        <w:rPr>
          <w:rStyle w:val="AboutandContactBody"/>
        </w:rPr>
        <w:t>.</w:t>
      </w:r>
      <w:r>
        <w:rPr>
          <w:rStyle w:val="AboutandContactBody"/>
        </w:rPr>
        <w:t xml:space="preserve"> The company</w:t>
      </w:r>
      <w:r w:rsidRPr="0078294E">
        <w:rPr>
          <w:rStyle w:val="AboutandContactBody"/>
        </w:rPr>
        <w:t xml:space="preserve"> employs </w:t>
      </w:r>
      <w:r>
        <w:rPr>
          <w:rStyle w:val="AboutandContactBody"/>
        </w:rPr>
        <w:t>more than</w:t>
      </w:r>
      <w:r w:rsidRPr="0078294E">
        <w:rPr>
          <w:rStyle w:val="AboutandContactBody"/>
        </w:rPr>
        <w:t xml:space="preserve"> 5</w:t>
      </w:r>
      <w:r>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rPr>
          <w:t>www.henkel.com</w:t>
        </w:r>
      </w:hyperlink>
      <w:r w:rsidRPr="00682643">
        <w:rPr>
          <w:rStyle w:val="AboutandContactBody"/>
        </w:rPr>
        <w:t>.</w:t>
      </w:r>
    </w:p>
    <w:p w14:paraId="7E41D0D5" w14:textId="77777777" w:rsidR="00A02B60" w:rsidRDefault="00A02B60" w:rsidP="00A02B60">
      <w:pPr>
        <w:spacing w:line="240" w:lineRule="auto"/>
        <w:jc w:val="left"/>
        <w:rPr>
          <w:rStyle w:val="AboutandContactBody"/>
          <w:rFonts w:asciiTheme="majorHAnsi" w:hAnsiTheme="majorHAnsi" w:cs="Calibri Light"/>
          <w:b/>
          <w:szCs w:val="18"/>
        </w:rPr>
      </w:pPr>
    </w:p>
    <w:p w14:paraId="3DF58566" w14:textId="77777777" w:rsidR="00A02B60" w:rsidRDefault="00A02B60" w:rsidP="00A02B60">
      <w:pPr>
        <w:rPr>
          <w:rFonts w:asciiTheme="majorHAnsi" w:hAnsiTheme="majorHAnsi" w:cstheme="majorHAnsi"/>
        </w:rPr>
      </w:pPr>
      <w:r>
        <w:rPr>
          <w:rFonts w:asciiTheme="majorHAnsi" w:hAnsiTheme="majorHAnsi" w:cstheme="majorHAnsi"/>
          <w:bCs/>
          <w:sz w:val="14"/>
          <w:szCs w:val="14"/>
        </w:rPr>
        <w:t xml:space="preserve">This information contains forward-looking statements which are based on current estimates and assumptions made by the corporate management of Henkel AG &amp; Co. </w:t>
      </w:r>
      <w:proofErr w:type="spellStart"/>
      <w:r>
        <w:rPr>
          <w:rFonts w:asciiTheme="majorHAnsi" w:hAnsiTheme="majorHAnsi" w:cstheme="majorHAnsi"/>
          <w:bCs/>
          <w:sz w:val="14"/>
          <w:szCs w:val="14"/>
        </w:rPr>
        <w:t>KGaA</w:t>
      </w:r>
      <w:proofErr w:type="spellEnd"/>
      <w:r>
        <w:rPr>
          <w:rFonts w:asciiTheme="majorHAnsi" w:hAnsiTheme="majorHAnsi" w:cstheme="majorHAnsi"/>
          <w:bCs/>
          <w:sz w:val="14"/>
          <w:szCs w:val="14"/>
        </w:rPr>
        <w:t xml:space="preserve">. Statements with respect to the future are characterized </w:t>
      </w:r>
      <w:proofErr w:type="gramStart"/>
      <w:r>
        <w:rPr>
          <w:rFonts w:asciiTheme="majorHAnsi" w:hAnsiTheme="majorHAnsi" w:cstheme="majorHAnsi"/>
          <w:bCs/>
          <w:sz w:val="14"/>
          <w:szCs w:val="14"/>
        </w:rPr>
        <w:t>by the use of</w:t>
      </w:r>
      <w:proofErr w:type="gramEnd"/>
      <w:r>
        <w:rPr>
          <w:rFonts w:asciiTheme="majorHAnsi" w:hAnsiTheme="majorHAnsi" w:cstheme="majorHAnsi"/>
          <w:bCs/>
          <w:sz w:val="14"/>
          <w:szCs w:val="14"/>
        </w:rPr>
        <w:t xml:space="preserve"> words such as “expect”, “intend”, “plan”, “anticipate”, “believe”, “estimate”, and similar terms. Such statements are not to be understood as in any way guaranteeing that those expectations will turn out to be accurate. Future performance and results actually achieved by Henkel AG &amp; Co. </w:t>
      </w:r>
      <w:proofErr w:type="spellStart"/>
      <w:proofErr w:type="gramStart"/>
      <w:r>
        <w:rPr>
          <w:rFonts w:asciiTheme="majorHAnsi" w:hAnsiTheme="majorHAnsi" w:cstheme="majorHAnsi"/>
          <w:bCs/>
          <w:sz w:val="14"/>
          <w:szCs w:val="14"/>
        </w:rPr>
        <w:t>KGaA</w:t>
      </w:r>
      <w:proofErr w:type="spellEnd"/>
      <w:proofErr w:type="gramEnd"/>
      <w:r>
        <w:rPr>
          <w:rFonts w:asciiTheme="majorHAnsi" w:hAnsiTheme="majorHAnsi" w:cstheme="majorHAnsi"/>
          <w:bCs/>
          <w:sz w:val="14"/>
          <w:szCs w:val="14"/>
        </w:rPr>
        <w:t xml:space="preserve">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0F0B6403" w14:textId="77777777" w:rsidR="00A02B60" w:rsidRDefault="00A02B60" w:rsidP="00A02B60">
      <w:pPr>
        <w:rPr>
          <w:rFonts w:asciiTheme="majorHAnsi" w:hAnsiTheme="majorHAnsi" w:cstheme="majorHAnsi"/>
          <w:bCs/>
          <w:sz w:val="14"/>
          <w:szCs w:val="14"/>
        </w:rPr>
      </w:pPr>
    </w:p>
    <w:p w14:paraId="43088548" w14:textId="77777777" w:rsidR="00A02B60" w:rsidRDefault="00A02B60" w:rsidP="00A02B60">
      <w:pPr>
        <w:rPr>
          <w:rFonts w:asciiTheme="majorHAnsi" w:hAnsiTheme="majorHAnsi" w:cstheme="majorHAnsi"/>
          <w:bCs/>
          <w:sz w:val="14"/>
          <w:szCs w:val="14"/>
        </w:rPr>
      </w:pPr>
      <w:r>
        <w:rPr>
          <w:rFonts w:asciiTheme="majorHAnsi" w:hAnsiTheme="majorHAnsi" w:cstheme="majorHAnsi"/>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38EDEBDB" w14:textId="77777777" w:rsidR="00A02B60" w:rsidRDefault="00A02B60" w:rsidP="00A02B60">
      <w:pPr>
        <w:rPr>
          <w:rFonts w:asciiTheme="majorHAnsi" w:hAnsiTheme="majorHAnsi" w:cstheme="majorHAnsi"/>
          <w:bCs/>
          <w:sz w:val="14"/>
          <w:szCs w:val="14"/>
        </w:rPr>
      </w:pPr>
    </w:p>
    <w:p w14:paraId="1A7DFC17" w14:textId="77777777" w:rsidR="00A02B60" w:rsidRDefault="00A02B60" w:rsidP="00A02B60">
      <w:pPr>
        <w:rPr>
          <w:rFonts w:asciiTheme="majorHAnsi" w:hAnsiTheme="majorHAnsi" w:cstheme="majorHAnsi"/>
          <w:bCs/>
          <w:sz w:val="14"/>
          <w:szCs w:val="14"/>
        </w:rPr>
      </w:pPr>
      <w:r>
        <w:rPr>
          <w:rFonts w:asciiTheme="majorHAnsi" w:hAnsiTheme="majorHAnsi" w:cstheme="majorHAnsi"/>
          <w:bCs/>
          <w:sz w:val="14"/>
          <w:szCs w:val="14"/>
        </w:rPr>
        <w:t>This document has been issued for information purposes only and is not intended to constitute an investment advice or an offer to sell, or a solicitation of an offer to buy, any securities.</w:t>
      </w:r>
    </w:p>
    <w:p w14:paraId="6E3CB56D" w14:textId="77777777" w:rsidR="00A02B60" w:rsidRDefault="00A02B60" w:rsidP="00A02B60">
      <w:pPr>
        <w:spacing w:line="240" w:lineRule="auto"/>
        <w:jc w:val="left"/>
        <w:rPr>
          <w:rStyle w:val="AboutandContactBody"/>
          <w:rFonts w:asciiTheme="majorHAnsi" w:hAnsiTheme="majorHAnsi" w:cs="Calibri Light"/>
          <w:b/>
          <w:szCs w:val="18"/>
        </w:rPr>
      </w:pPr>
    </w:p>
    <w:p w14:paraId="2A0903D8" w14:textId="77777777" w:rsidR="00A02B60" w:rsidRDefault="00A02B60" w:rsidP="00A02B60">
      <w:pPr>
        <w:tabs>
          <w:tab w:val="left" w:pos="1080"/>
          <w:tab w:val="left" w:pos="4500"/>
        </w:tabs>
        <w:rPr>
          <w:rStyle w:val="AboutandContactBody"/>
          <w:rFonts w:asciiTheme="majorHAnsi" w:hAnsiTheme="majorHAnsi" w:cs="Calibri Light"/>
          <w:b/>
          <w:szCs w:val="18"/>
        </w:rPr>
      </w:pPr>
    </w:p>
    <w:p w14:paraId="36E54904" w14:textId="77777777" w:rsidR="00A02B60" w:rsidRDefault="00A02B60" w:rsidP="00A02B60">
      <w:pPr>
        <w:tabs>
          <w:tab w:val="left" w:pos="1080"/>
          <w:tab w:val="left" w:pos="4500"/>
        </w:tabs>
        <w:rPr>
          <w:rStyle w:val="AboutandContactBody"/>
          <w:rFonts w:asciiTheme="majorHAnsi" w:hAnsiTheme="majorHAnsi" w:cs="Calibri Light"/>
          <w:b/>
          <w:szCs w:val="18"/>
        </w:rPr>
      </w:pPr>
      <w:r>
        <w:rPr>
          <w:rStyle w:val="AboutandContactBody"/>
          <w:rFonts w:asciiTheme="majorHAnsi" w:hAnsiTheme="majorHAnsi" w:cs="Calibri Light"/>
          <w:b/>
          <w:szCs w:val="18"/>
        </w:rPr>
        <w:t>Contacts</w:t>
      </w:r>
    </w:p>
    <w:p w14:paraId="152EE63D" w14:textId="77777777" w:rsidR="00A02B60" w:rsidRDefault="00A02B60" w:rsidP="00A02B60">
      <w:pPr>
        <w:tabs>
          <w:tab w:val="left" w:pos="1080"/>
          <w:tab w:val="left" w:pos="4500"/>
        </w:tabs>
        <w:rPr>
          <w:rStyle w:val="AboutandContactBody"/>
          <w:rFonts w:asciiTheme="majorHAnsi" w:hAnsiTheme="majorHAnsi" w:cs="Calibri Light"/>
          <w:b/>
          <w:szCs w:val="18"/>
        </w:rPr>
      </w:pPr>
    </w:p>
    <w:p w14:paraId="43436616" w14:textId="77777777" w:rsidR="00A02B60" w:rsidRDefault="00A02B60" w:rsidP="00A02B60">
      <w:pPr>
        <w:tabs>
          <w:tab w:val="left" w:pos="1080"/>
          <w:tab w:val="left" w:pos="4500"/>
        </w:tabs>
        <w:rPr>
          <w:rStyle w:val="AboutandContactBody"/>
          <w:rFonts w:asciiTheme="majorHAnsi" w:hAnsiTheme="majorHAnsi" w:cs="Calibri Light"/>
          <w:b/>
          <w:szCs w:val="18"/>
        </w:rPr>
      </w:pPr>
      <w:r>
        <w:rPr>
          <w:rStyle w:val="AboutandContactBody"/>
          <w:rFonts w:asciiTheme="majorHAnsi" w:hAnsiTheme="majorHAnsi" w:cs="Calibri Light"/>
          <w:b/>
          <w:szCs w:val="18"/>
        </w:rPr>
        <w:t>Investors &amp; Analysts</w:t>
      </w:r>
      <w:r>
        <w:rPr>
          <w:rStyle w:val="AboutandContactBody"/>
          <w:rFonts w:asciiTheme="majorHAnsi" w:hAnsiTheme="majorHAnsi" w:cs="Calibri Light"/>
          <w:szCs w:val="18"/>
        </w:rPr>
        <w:tab/>
      </w:r>
      <w:r>
        <w:rPr>
          <w:rStyle w:val="AboutandContactBody"/>
          <w:rFonts w:asciiTheme="majorHAnsi" w:hAnsiTheme="majorHAnsi" w:cs="Calibri Light"/>
          <w:b/>
          <w:szCs w:val="18"/>
        </w:rPr>
        <w:t>Press &amp; Media</w:t>
      </w:r>
    </w:p>
    <w:p w14:paraId="0BB02F1D" w14:textId="77777777" w:rsidR="00A02B60" w:rsidRDefault="00A02B60" w:rsidP="00A02B60">
      <w:pPr>
        <w:tabs>
          <w:tab w:val="left" w:pos="1080"/>
          <w:tab w:val="left" w:pos="4500"/>
        </w:tabs>
        <w:rPr>
          <w:rStyle w:val="AboutandContactBody"/>
          <w:rFonts w:asciiTheme="majorHAnsi" w:hAnsiTheme="majorHAnsi" w:cs="Calibri Light"/>
          <w:szCs w:val="18"/>
        </w:rPr>
      </w:pPr>
    </w:p>
    <w:p w14:paraId="010C2C34" w14:textId="77777777" w:rsidR="00A02B60" w:rsidRDefault="00A02B60" w:rsidP="00A02B60">
      <w:pPr>
        <w:tabs>
          <w:tab w:val="left" w:pos="1080"/>
          <w:tab w:val="left" w:pos="4500"/>
        </w:tabs>
        <w:spacing w:line="264" w:lineRule="auto"/>
        <w:rPr>
          <w:rStyle w:val="AboutandContactBody"/>
          <w:rFonts w:asciiTheme="majorHAnsi" w:hAnsiTheme="majorHAnsi" w:cs="Calibri Light"/>
          <w:b/>
          <w:szCs w:val="18"/>
        </w:rPr>
      </w:pPr>
      <w:r>
        <w:rPr>
          <w:rStyle w:val="AboutandContactBody"/>
          <w:rFonts w:asciiTheme="majorHAnsi" w:hAnsiTheme="majorHAnsi" w:cs="Calibri Light"/>
          <w:b/>
          <w:szCs w:val="18"/>
        </w:rPr>
        <w:t xml:space="preserve">Manuel </w:t>
      </w:r>
      <w:proofErr w:type="spellStart"/>
      <w:r>
        <w:rPr>
          <w:rStyle w:val="AboutandContactBody"/>
          <w:rFonts w:asciiTheme="majorHAnsi" w:hAnsiTheme="majorHAnsi" w:cs="Calibri Light"/>
          <w:b/>
          <w:szCs w:val="18"/>
        </w:rPr>
        <w:t>Bösing</w:t>
      </w:r>
      <w:proofErr w:type="spellEnd"/>
      <w:r>
        <w:rPr>
          <w:rStyle w:val="AboutandContactBody"/>
          <w:rFonts w:asciiTheme="majorHAnsi" w:hAnsiTheme="majorHAnsi" w:cs="Calibri Light"/>
          <w:szCs w:val="18"/>
        </w:rPr>
        <w:tab/>
      </w:r>
      <w:r>
        <w:rPr>
          <w:rStyle w:val="AboutandContactBody"/>
          <w:rFonts w:asciiTheme="majorHAnsi" w:hAnsiTheme="majorHAnsi" w:cs="Calibri Light"/>
          <w:b/>
          <w:szCs w:val="18"/>
        </w:rPr>
        <w:t xml:space="preserve">Lars </w:t>
      </w:r>
      <w:proofErr w:type="spellStart"/>
      <w:r>
        <w:rPr>
          <w:rStyle w:val="AboutandContactBody"/>
          <w:rFonts w:asciiTheme="majorHAnsi" w:hAnsiTheme="majorHAnsi" w:cs="Calibri Light"/>
          <w:b/>
          <w:szCs w:val="18"/>
        </w:rPr>
        <w:t>Witteck</w:t>
      </w:r>
      <w:proofErr w:type="spellEnd"/>
    </w:p>
    <w:p w14:paraId="4B087100"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Phone:</w:t>
      </w:r>
      <w:r>
        <w:rPr>
          <w:rStyle w:val="AboutandContactBody"/>
          <w:rFonts w:asciiTheme="majorHAnsi" w:hAnsiTheme="majorHAnsi" w:cs="Calibri Light"/>
          <w:szCs w:val="18"/>
        </w:rPr>
        <w:tab/>
        <w:t>+49 211 797 - 6459</w:t>
      </w:r>
      <w:r>
        <w:rPr>
          <w:rStyle w:val="AboutandContactBody"/>
          <w:rFonts w:asciiTheme="majorHAnsi" w:hAnsiTheme="majorHAnsi" w:cs="Calibri Light"/>
          <w:szCs w:val="18"/>
        </w:rPr>
        <w:tab/>
        <w:t>Phone:</w:t>
      </w:r>
      <w:r>
        <w:rPr>
          <w:rStyle w:val="AboutandContactBody"/>
          <w:rFonts w:asciiTheme="majorHAnsi" w:hAnsiTheme="majorHAnsi" w:cs="Calibri Light"/>
          <w:szCs w:val="18"/>
        </w:rPr>
        <w:tab/>
        <w:t>+49 211 797 - 2606</w:t>
      </w:r>
    </w:p>
    <w:p w14:paraId="1DE3E9FD"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 xml:space="preserve">Email: </w:t>
      </w:r>
      <w:r>
        <w:rPr>
          <w:rStyle w:val="AboutandContactBody"/>
          <w:rFonts w:asciiTheme="majorHAnsi" w:hAnsiTheme="majorHAnsi" w:cs="Calibri Light"/>
          <w:szCs w:val="18"/>
        </w:rPr>
        <w:tab/>
      </w:r>
      <w:hyperlink r:id="rId13" w:history="1">
        <w:r>
          <w:rPr>
            <w:rStyle w:val="Hyperlink"/>
            <w:rFonts w:asciiTheme="majorHAnsi" w:hAnsiTheme="majorHAnsi" w:cs="Calibri Light"/>
          </w:rPr>
          <w:t>manuel.boesing@henkel.com</w:t>
        </w:r>
      </w:hyperlink>
      <w:r>
        <w:rPr>
          <w:rStyle w:val="AboutandContactBody"/>
          <w:rFonts w:asciiTheme="majorHAnsi" w:hAnsiTheme="majorHAnsi" w:cs="Calibri Light"/>
          <w:szCs w:val="18"/>
        </w:rPr>
        <w:tab/>
        <w:t>Email:</w:t>
      </w:r>
      <w:r>
        <w:rPr>
          <w:rStyle w:val="AboutandContactBody"/>
          <w:rFonts w:asciiTheme="majorHAnsi" w:hAnsiTheme="majorHAnsi" w:cs="Calibri Light"/>
          <w:szCs w:val="18"/>
        </w:rPr>
        <w:tab/>
      </w:r>
      <w:hyperlink r:id="rId14" w:history="1">
        <w:r>
          <w:rPr>
            <w:rStyle w:val="Hyperlink"/>
            <w:rFonts w:asciiTheme="majorHAnsi" w:hAnsiTheme="majorHAnsi" w:cs="Calibri Light"/>
          </w:rPr>
          <w:t>lars.witteck@henkel.com</w:t>
        </w:r>
      </w:hyperlink>
    </w:p>
    <w:p w14:paraId="4B945DCF" w14:textId="77777777" w:rsidR="00A02B60" w:rsidRDefault="00A02B60" w:rsidP="00A02B60">
      <w:pPr>
        <w:tabs>
          <w:tab w:val="left" w:pos="1080"/>
          <w:tab w:val="left" w:pos="4500"/>
        </w:tabs>
        <w:spacing w:line="264" w:lineRule="auto"/>
        <w:rPr>
          <w:rStyle w:val="AboutandContactBody"/>
          <w:rFonts w:asciiTheme="majorHAnsi" w:hAnsiTheme="majorHAnsi" w:cs="Calibri Light"/>
          <w:szCs w:val="18"/>
        </w:rPr>
      </w:pPr>
    </w:p>
    <w:p w14:paraId="15DFB24E" w14:textId="77777777" w:rsidR="00A02B60" w:rsidRDefault="00A02B60" w:rsidP="00A02B60">
      <w:pPr>
        <w:tabs>
          <w:tab w:val="left" w:pos="1080"/>
          <w:tab w:val="left" w:pos="4500"/>
        </w:tabs>
        <w:spacing w:line="264" w:lineRule="auto"/>
        <w:rPr>
          <w:rStyle w:val="AboutandContactBody"/>
          <w:rFonts w:asciiTheme="majorHAnsi" w:hAnsiTheme="majorHAnsi" w:cs="Calibri Light"/>
          <w:szCs w:val="18"/>
        </w:rPr>
      </w:pPr>
      <w:r>
        <w:rPr>
          <w:rStyle w:val="AboutandContactBody"/>
          <w:rFonts w:asciiTheme="majorHAnsi" w:hAnsiTheme="majorHAnsi" w:cs="Calibri Light"/>
          <w:b/>
          <w:szCs w:val="18"/>
        </w:rPr>
        <w:t>Jennifer Ott</w:t>
      </w:r>
      <w:r>
        <w:rPr>
          <w:rStyle w:val="AboutandContactBody"/>
          <w:rFonts w:asciiTheme="majorHAnsi" w:hAnsiTheme="majorHAnsi" w:cs="Calibri Light"/>
          <w:b/>
          <w:szCs w:val="18"/>
        </w:rPr>
        <w:tab/>
      </w:r>
      <w:r>
        <w:rPr>
          <w:rStyle w:val="AboutandContactBody"/>
          <w:rFonts w:asciiTheme="majorHAnsi" w:hAnsiTheme="majorHAnsi" w:cs="Calibri Light"/>
          <w:b/>
          <w:szCs w:val="18"/>
        </w:rPr>
        <w:tab/>
        <w:t xml:space="preserve">Wulf </w:t>
      </w:r>
      <w:proofErr w:type="spellStart"/>
      <w:r>
        <w:rPr>
          <w:rStyle w:val="AboutandContactBody"/>
          <w:rFonts w:asciiTheme="majorHAnsi" w:hAnsiTheme="majorHAnsi" w:cs="Calibri Light"/>
          <w:b/>
          <w:szCs w:val="18"/>
        </w:rPr>
        <w:t>Klüppelholz</w:t>
      </w:r>
      <w:proofErr w:type="spellEnd"/>
    </w:p>
    <w:p w14:paraId="41C82796"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Phone:</w:t>
      </w:r>
      <w:r>
        <w:rPr>
          <w:rStyle w:val="AboutandContactBody"/>
          <w:rFonts w:asciiTheme="majorHAnsi" w:hAnsiTheme="majorHAnsi" w:cs="Calibri Light"/>
          <w:szCs w:val="18"/>
        </w:rPr>
        <w:tab/>
        <w:t>+49 211 797 - 2756</w:t>
      </w:r>
      <w:r>
        <w:rPr>
          <w:rStyle w:val="AboutandContactBody"/>
          <w:rFonts w:asciiTheme="majorHAnsi" w:hAnsiTheme="majorHAnsi" w:cs="Calibri Light"/>
          <w:szCs w:val="18"/>
        </w:rPr>
        <w:tab/>
        <w:t>Phone:</w:t>
      </w:r>
      <w:r>
        <w:rPr>
          <w:rStyle w:val="AboutandContactBody"/>
          <w:rFonts w:asciiTheme="majorHAnsi" w:hAnsiTheme="majorHAnsi" w:cs="Calibri Light"/>
          <w:szCs w:val="18"/>
        </w:rPr>
        <w:tab/>
        <w:t>+49 211 797 - 1875</w:t>
      </w:r>
    </w:p>
    <w:p w14:paraId="36A389BF"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 xml:space="preserve">Email: </w:t>
      </w:r>
      <w:r>
        <w:rPr>
          <w:rStyle w:val="AboutandContactBody"/>
          <w:rFonts w:asciiTheme="majorHAnsi" w:hAnsiTheme="majorHAnsi" w:cs="Calibri Light"/>
          <w:szCs w:val="18"/>
        </w:rPr>
        <w:tab/>
      </w:r>
      <w:hyperlink r:id="rId15" w:history="1">
        <w:r>
          <w:rPr>
            <w:rStyle w:val="Hyperlink"/>
            <w:rFonts w:asciiTheme="majorHAnsi" w:hAnsiTheme="majorHAnsi" w:cs="Calibri Light"/>
          </w:rPr>
          <w:t>jennifer.ott@henkel.com</w:t>
        </w:r>
      </w:hyperlink>
      <w:r>
        <w:rPr>
          <w:rStyle w:val="AboutandContactBody"/>
          <w:rFonts w:asciiTheme="majorHAnsi" w:hAnsiTheme="majorHAnsi" w:cs="Calibri Light"/>
          <w:szCs w:val="18"/>
        </w:rPr>
        <w:tab/>
        <w:t>Email:</w:t>
      </w:r>
      <w:r>
        <w:rPr>
          <w:rStyle w:val="AboutandContactBody"/>
          <w:rFonts w:asciiTheme="majorHAnsi" w:hAnsiTheme="majorHAnsi" w:cs="Calibri Light"/>
          <w:szCs w:val="18"/>
        </w:rPr>
        <w:tab/>
      </w:r>
      <w:hyperlink r:id="rId16" w:history="1">
        <w:r>
          <w:rPr>
            <w:rStyle w:val="Hyperlink"/>
            <w:rFonts w:asciiTheme="majorHAnsi" w:hAnsiTheme="majorHAnsi" w:cs="Calibri Light"/>
          </w:rPr>
          <w:t>wulf.klueppelholz@henkel.com</w:t>
        </w:r>
      </w:hyperlink>
    </w:p>
    <w:p w14:paraId="3AE83F93" w14:textId="77777777" w:rsidR="00A02B60" w:rsidRDefault="00A02B60" w:rsidP="00A02B60">
      <w:pPr>
        <w:tabs>
          <w:tab w:val="left" w:pos="1080"/>
          <w:tab w:val="left" w:pos="4500"/>
        </w:tabs>
        <w:spacing w:line="264" w:lineRule="auto"/>
        <w:rPr>
          <w:rStyle w:val="AboutandContactBody"/>
          <w:rFonts w:asciiTheme="majorHAnsi" w:hAnsiTheme="majorHAnsi" w:cs="Calibri Light"/>
          <w:szCs w:val="18"/>
        </w:rPr>
      </w:pPr>
    </w:p>
    <w:p w14:paraId="7ADBC669" w14:textId="77777777" w:rsidR="00A02B60" w:rsidRDefault="00A02B60" w:rsidP="00A02B60">
      <w:pPr>
        <w:tabs>
          <w:tab w:val="left" w:pos="1080"/>
          <w:tab w:val="left" w:pos="4500"/>
        </w:tabs>
        <w:spacing w:line="264" w:lineRule="auto"/>
        <w:rPr>
          <w:rStyle w:val="AboutandContactBody"/>
          <w:rFonts w:asciiTheme="majorHAnsi" w:hAnsiTheme="majorHAnsi" w:cs="Calibri Light"/>
          <w:szCs w:val="18"/>
        </w:rPr>
      </w:pPr>
      <w:r>
        <w:rPr>
          <w:rStyle w:val="AboutandContactBody"/>
          <w:rFonts w:asciiTheme="majorHAnsi" w:hAnsiTheme="majorHAnsi" w:cs="Calibri Light"/>
          <w:b/>
          <w:szCs w:val="18"/>
        </w:rPr>
        <w:t>Dr. Dennis Starke</w:t>
      </w:r>
      <w:r>
        <w:rPr>
          <w:rStyle w:val="AboutandContactBody"/>
          <w:rFonts w:asciiTheme="majorHAnsi" w:hAnsiTheme="majorHAnsi" w:cs="Calibri Light"/>
          <w:b/>
          <w:szCs w:val="18"/>
        </w:rPr>
        <w:tab/>
        <w:t>Hanna Philipps</w:t>
      </w:r>
    </w:p>
    <w:p w14:paraId="5C57AC72"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Phone:</w:t>
      </w:r>
      <w:r>
        <w:rPr>
          <w:rStyle w:val="AboutandContactBody"/>
          <w:rFonts w:asciiTheme="majorHAnsi" w:hAnsiTheme="majorHAnsi" w:cs="Calibri Light"/>
          <w:szCs w:val="18"/>
        </w:rPr>
        <w:tab/>
        <w:t>+49 211 797 - 5601</w:t>
      </w:r>
      <w:r>
        <w:rPr>
          <w:rStyle w:val="AboutandContactBody"/>
          <w:rFonts w:asciiTheme="majorHAnsi" w:hAnsiTheme="majorHAnsi" w:cs="Calibri Light"/>
          <w:szCs w:val="18"/>
        </w:rPr>
        <w:tab/>
        <w:t>Phone:</w:t>
      </w:r>
      <w:r>
        <w:rPr>
          <w:rStyle w:val="AboutandContactBody"/>
          <w:rFonts w:asciiTheme="majorHAnsi" w:hAnsiTheme="majorHAnsi" w:cs="Calibri Light"/>
          <w:szCs w:val="18"/>
        </w:rPr>
        <w:tab/>
        <w:t>+49 211 797 - 3626</w:t>
      </w:r>
    </w:p>
    <w:p w14:paraId="2A7F6676" w14:textId="77777777" w:rsidR="00A02B60" w:rsidRDefault="00A02B60" w:rsidP="00A02B60">
      <w:pPr>
        <w:tabs>
          <w:tab w:val="left" w:pos="709"/>
          <w:tab w:val="left" w:pos="4500"/>
          <w:tab w:val="left" w:pos="5245"/>
        </w:tabs>
        <w:spacing w:line="264" w:lineRule="auto"/>
        <w:rPr>
          <w:rStyle w:val="AboutandContactBody"/>
          <w:rFonts w:asciiTheme="majorHAnsi" w:hAnsiTheme="majorHAnsi" w:cs="Calibri Light"/>
          <w:szCs w:val="18"/>
        </w:rPr>
      </w:pPr>
      <w:r>
        <w:rPr>
          <w:rStyle w:val="AboutandContactBody"/>
          <w:rFonts w:asciiTheme="majorHAnsi" w:hAnsiTheme="majorHAnsi" w:cs="Calibri Light"/>
          <w:szCs w:val="18"/>
        </w:rPr>
        <w:t>Email:</w:t>
      </w:r>
      <w:r>
        <w:rPr>
          <w:rStyle w:val="AboutandContactBody"/>
          <w:rFonts w:asciiTheme="majorHAnsi" w:hAnsiTheme="majorHAnsi" w:cs="Calibri Light"/>
          <w:szCs w:val="18"/>
        </w:rPr>
        <w:tab/>
      </w:r>
      <w:hyperlink r:id="rId17" w:history="1">
        <w:r>
          <w:rPr>
            <w:rStyle w:val="Hyperlink"/>
            <w:rFonts w:asciiTheme="majorHAnsi" w:hAnsiTheme="majorHAnsi" w:cs="Calibri Light"/>
          </w:rPr>
          <w:t>dennis.starke@henkel.com</w:t>
        </w:r>
      </w:hyperlink>
      <w:r>
        <w:rPr>
          <w:rStyle w:val="Hyperlink"/>
          <w:rFonts w:asciiTheme="majorHAnsi" w:hAnsiTheme="majorHAnsi" w:cs="Calibri Light"/>
          <w:u w:val="none"/>
        </w:rPr>
        <w:tab/>
      </w:r>
      <w:r>
        <w:rPr>
          <w:rStyle w:val="AboutandContactBody"/>
          <w:rFonts w:asciiTheme="majorHAnsi" w:hAnsiTheme="majorHAnsi" w:cs="Calibri Light"/>
          <w:szCs w:val="18"/>
        </w:rPr>
        <w:t>Email:</w:t>
      </w:r>
      <w:r>
        <w:rPr>
          <w:rStyle w:val="AboutandContactBody"/>
          <w:rFonts w:asciiTheme="majorHAnsi" w:hAnsiTheme="majorHAnsi" w:cs="Calibri Light"/>
          <w:szCs w:val="18"/>
        </w:rPr>
        <w:tab/>
      </w:r>
      <w:hyperlink r:id="rId18" w:history="1">
        <w:r>
          <w:rPr>
            <w:rStyle w:val="Hyperlink"/>
            <w:rFonts w:asciiTheme="majorHAnsi" w:hAnsiTheme="majorHAnsi" w:cs="Calibri Light"/>
          </w:rPr>
          <w:t>hanna.philipps@henkel.com</w:t>
        </w:r>
      </w:hyperlink>
    </w:p>
    <w:p w14:paraId="748A768F" w14:textId="77777777" w:rsidR="00A02B60" w:rsidRDefault="00A02B60" w:rsidP="00A02B60">
      <w:pPr>
        <w:tabs>
          <w:tab w:val="left" w:pos="1080"/>
          <w:tab w:val="left" w:pos="4500"/>
        </w:tabs>
        <w:spacing w:line="264" w:lineRule="auto"/>
        <w:rPr>
          <w:rStyle w:val="AboutandContactBody"/>
          <w:rFonts w:asciiTheme="majorHAnsi" w:hAnsiTheme="majorHAnsi" w:cs="Calibri Light"/>
          <w:szCs w:val="18"/>
        </w:rPr>
      </w:pPr>
    </w:p>
    <w:p w14:paraId="7EF346E7" w14:textId="77777777" w:rsidR="00A02B60" w:rsidRDefault="0014420A" w:rsidP="00A02B60">
      <w:pPr>
        <w:tabs>
          <w:tab w:val="left" w:pos="1080"/>
          <w:tab w:val="left" w:pos="4500"/>
        </w:tabs>
        <w:spacing w:line="264" w:lineRule="auto"/>
        <w:rPr>
          <w:rStyle w:val="Hyperlink"/>
          <w:rFonts w:asciiTheme="majorHAnsi" w:hAnsiTheme="majorHAnsi" w:cs="Calibri Light"/>
        </w:rPr>
      </w:pPr>
      <w:hyperlink r:id="rId19" w:history="1">
        <w:r w:rsidR="00A02B60">
          <w:rPr>
            <w:rStyle w:val="Hyperlink"/>
            <w:rFonts w:asciiTheme="majorHAnsi" w:hAnsiTheme="majorHAnsi" w:cs="Calibri Light"/>
          </w:rPr>
          <w:t>www.henkel.com/press</w:t>
        </w:r>
      </w:hyperlink>
    </w:p>
    <w:p w14:paraId="55F40EF7" w14:textId="77777777" w:rsidR="00A02B60" w:rsidRDefault="0014420A" w:rsidP="00A02B60">
      <w:pPr>
        <w:tabs>
          <w:tab w:val="left" w:pos="1080"/>
          <w:tab w:val="left" w:pos="4500"/>
        </w:tabs>
        <w:spacing w:line="264" w:lineRule="auto"/>
        <w:rPr>
          <w:rStyle w:val="Hyperlink"/>
          <w:rFonts w:asciiTheme="majorHAnsi" w:hAnsiTheme="majorHAnsi" w:cs="Calibri Light"/>
        </w:rPr>
      </w:pPr>
      <w:hyperlink r:id="rId20" w:history="1">
        <w:r w:rsidR="00A02B60">
          <w:rPr>
            <w:rStyle w:val="Hyperlink"/>
            <w:rFonts w:asciiTheme="majorHAnsi" w:hAnsiTheme="majorHAnsi" w:cs="Calibri Light"/>
          </w:rPr>
          <w:t>www.henkel.com/</w:t>
        </w:r>
      </w:hyperlink>
      <w:r w:rsidR="00A02B60">
        <w:rPr>
          <w:rStyle w:val="Hyperlink"/>
          <w:rFonts w:asciiTheme="majorHAnsi" w:hAnsiTheme="majorHAnsi" w:cs="Calibri Light"/>
        </w:rPr>
        <w:t>ir</w:t>
      </w:r>
    </w:p>
    <w:p w14:paraId="3044AE89" w14:textId="77777777" w:rsidR="00A02B60" w:rsidRPr="001F41D4" w:rsidRDefault="00A02B60" w:rsidP="00742911">
      <w:pPr>
        <w:rPr>
          <w:rFonts w:asciiTheme="majorHAnsi" w:hAnsiTheme="majorHAnsi" w:cstheme="majorHAnsi"/>
          <w:lang w:val="hu"/>
        </w:rPr>
      </w:pPr>
    </w:p>
    <w:p w14:paraId="6B2D3463" w14:textId="06228C73" w:rsidR="00A116E2" w:rsidRPr="001F41D4" w:rsidRDefault="00A116E2">
      <w:pPr>
        <w:spacing w:line="240" w:lineRule="auto"/>
        <w:jc w:val="left"/>
        <w:rPr>
          <w:rFonts w:asciiTheme="majorHAnsi" w:hAnsiTheme="majorHAnsi" w:cstheme="majorHAnsi"/>
          <w:b/>
          <w:bCs/>
          <w:lang w:val="hu"/>
        </w:rPr>
      </w:pPr>
      <w:r>
        <w:rPr>
          <w:rFonts w:asciiTheme="majorHAnsi" w:hAnsiTheme="majorHAnsi" w:cstheme="majorHAnsi"/>
          <w:b/>
          <w:bCs/>
          <w:lang w:val="hu"/>
        </w:rPr>
        <w:br w:type="page"/>
      </w:r>
    </w:p>
    <w:sectPr w:rsidR="00A116E2" w:rsidRPr="001F41D4" w:rsidSect="003C36F4">
      <w:headerReference w:type="even" r:id="rId21"/>
      <w:footerReference w:type="default" r:id="rId22"/>
      <w:headerReference w:type="first" r:id="rId23"/>
      <w:footerReference w:type="first" r:id="rId24"/>
      <w:pgSz w:w="11907" w:h="16840" w:code="9"/>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696" w14:textId="77777777" w:rsidR="002646B8" w:rsidRDefault="002646B8">
      <w:r>
        <w:separator/>
      </w:r>
    </w:p>
  </w:endnote>
  <w:endnote w:type="continuationSeparator" w:id="0">
    <w:p w14:paraId="2533A773" w14:textId="77777777" w:rsidR="002646B8" w:rsidRDefault="0026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B691786" w:rsidR="00CF6F33" w:rsidRPr="00112A28" w:rsidRDefault="00112A28" w:rsidP="00112A28">
    <w:pPr>
      <w:pStyle w:val="Footer"/>
      <w:tabs>
        <w:tab w:val="clear" w:pos="7083"/>
        <w:tab w:val="clear" w:pos="8640"/>
        <w:tab w:val="right" w:pos="9071"/>
      </w:tabs>
      <w:jc w:val="both"/>
    </w:pPr>
    <w:r>
      <w:rPr>
        <w:bCs w:val="0"/>
        <w:lang w:val="hu"/>
      </w:rPr>
      <w:t>Henkel AG &amp; Co. KGaA</w:t>
    </w:r>
    <w:r>
      <w:rPr>
        <w:bCs w:val="0"/>
        <w:lang w:val="hu"/>
      </w:rPr>
      <w:tab/>
      <w:t>Oldal</w:t>
    </w:r>
    <w:r>
      <w:rPr>
        <w:bCs w:val="0"/>
        <w:lang w:val="hu"/>
      </w:rPr>
      <w:fldChar w:fldCharType="begin"/>
    </w:r>
    <w:r>
      <w:rPr>
        <w:bCs w:val="0"/>
        <w:lang w:val="hu"/>
      </w:rPr>
      <w:instrText xml:space="preserve"> PAGE  \* Arabic  \* MERGEFORMAT </w:instrText>
    </w:r>
    <w:r>
      <w:rPr>
        <w:bCs w:val="0"/>
        <w:lang w:val="hu"/>
      </w:rPr>
      <w:fldChar w:fldCharType="separate"/>
    </w:r>
    <w:r w:rsidR="00A02B60">
      <w:rPr>
        <w:bCs w:val="0"/>
        <w:lang w:val="hu"/>
      </w:rPr>
      <w:t>4</w:t>
    </w:r>
    <w:r>
      <w:rPr>
        <w:bCs w:val="0"/>
        <w:lang w:val="hu"/>
      </w:rPr>
      <w:fldChar w:fldCharType="end"/>
    </w:r>
    <w:r>
      <w:rPr>
        <w:bCs w:val="0"/>
        <w:lang w:val="hu"/>
      </w:rPr>
      <w:t>/</w:t>
    </w:r>
    <w:fldSimple w:instr=" NUMPAGES  \* Arabic  \* MERGEFORMAT ">
      <w:r w:rsidR="00A02B60" w:rsidRPr="00A02B60">
        <w:rPr>
          <w:bCs w:val="0"/>
          <w:lang w:val="hu"/>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53906DD" w:rsidR="00CF6F33" w:rsidRPr="00992A11" w:rsidRDefault="0059722C" w:rsidP="00992A11">
    <w:pPr>
      <w:pStyle w:val="Footer"/>
    </w:pPr>
    <w:bookmarkStart w:id="2" w:name="_Hlk505758583"/>
    <w:r>
      <w:rPr>
        <w:bCs w:val="0"/>
        <w:lang w:val="hu-HU" w:eastAsia="hu-HU"/>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Pr>
        <w:bCs w:val="0"/>
        <w:lang w:val="hu"/>
      </w:rPr>
      <w:t>Oldal</w:t>
    </w:r>
    <w:r>
      <w:rPr>
        <w:bCs w:val="0"/>
        <w:lang w:val="hu"/>
      </w:rPr>
      <w:fldChar w:fldCharType="begin"/>
    </w:r>
    <w:r>
      <w:rPr>
        <w:bCs w:val="0"/>
        <w:lang w:val="hu"/>
      </w:rPr>
      <w:instrText xml:space="preserve"> PAGE  \* Arabic  \* MERGEFORMAT </w:instrText>
    </w:r>
    <w:r>
      <w:rPr>
        <w:bCs w:val="0"/>
        <w:lang w:val="hu"/>
      </w:rPr>
      <w:fldChar w:fldCharType="separate"/>
    </w:r>
    <w:r w:rsidR="00A02B60">
      <w:rPr>
        <w:bCs w:val="0"/>
        <w:lang w:val="hu"/>
      </w:rPr>
      <w:t>1</w:t>
    </w:r>
    <w:r>
      <w:rPr>
        <w:bCs w:val="0"/>
        <w:lang w:val="hu"/>
      </w:rPr>
      <w:fldChar w:fldCharType="end"/>
    </w:r>
    <w:r>
      <w:rPr>
        <w:bCs w:val="0"/>
        <w:lang w:val="hu"/>
      </w:rPr>
      <w:t>/</w:t>
    </w:r>
    <w:r>
      <w:rPr>
        <w:bCs w:val="0"/>
        <w:lang w:val="hu"/>
      </w:rPr>
      <w:fldChar w:fldCharType="begin"/>
    </w:r>
    <w:r>
      <w:rPr>
        <w:bCs w:val="0"/>
        <w:lang w:val="hu"/>
      </w:rPr>
      <w:instrText xml:space="preserve"> NUMPAGES  \* Arabic  \* MERGEFORMAT </w:instrText>
    </w:r>
    <w:r>
      <w:rPr>
        <w:bCs w:val="0"/>
        <w:lang w:val="hu"/>
      </w:rPr>
      <w:fldChar w:fldCharType="separate"/>
    </w:r>
    <w:r w:rsidR="00A02B60">
      <w:rPr>
        <w:bCs w:val="0"/>
        <w:lang w:val="hu"/>
      </w:rPr>
      <w:t>6</w:t>
    </w:r>
    <w:r>
      <w:rPr>
        <w:bCs w:val="0"/>
        <w:lang w:val="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1C35" w14:textId="77777777" w:rsidR="002646B8" w:rsidRDefault="002646B8">
      <w:r>
        <w:separator/>
      </w:r>
    </w:p>
  </w:footnote>
  <w:footnote w:type="continuationSeparator" w:id="0">
    <w:p w14:paraId="29889664" w14:textId="77777777" w:rsidR="002646B8" w:rsidRDefault="0026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A0FE1DB" w:rsidR="00CF6F33" w:rsidRPr="00EB46D9" w:rsidRDefault="0059722C" w:rsidP="00E87905">
    <w:pPr>
      <w:pStyle w:val="Header"/>
      <w:tabs>
        <w:tab w:val="clear" w:pos="2607"/>
        <w:tab w:val="clear" w:pos="4320"/>
        <w:tab w:val="left" w:pos="0"/>
      </w:tabs>
    </w:pPr>
    <w:r>
      <w:rPr>
        <w:b w:val="0"/>
        <w:bCs w:val="0"/>
        <w:noProof/>
        <w:lang w:val="hu-HU" w:eastAsia="hu-HU"/>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lang w:val="hu-HU" w:eastAsia="hu-HU"/>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A99ED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Pr>
        <w:b w:val="0"/>
        <w:bCs w:val="0"/>
        <w:noProof/>
        <w:lang w:val="hu"/>
      </w:rPr>
      <w:tab/>
    </w:r>
    <w:r>
      <w:rPr>
        <w:noProof/>
        <w:lang w:val="hu"/>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9"/>
  </w:num>
  <w:num w:numId="5">
    <w:abstractNumId w:val="7"/>
  </w:num>
  <w:num w:numId="6">
    <w:abstractNumId w:val="10"/>
  </w:num>
  <w:num w:numId="7">
    <w:abstractNumId w:val="8"/>
  </w:num>
  <w:num w:numId="8">
    <w:abstractNumId w:val="0"/>
  </w:num>
  <w:num w:numId="9">
    <w:abstractNumId w:val="13"/>
  </w:num>
  <w:num w:numId="10">
    <w:abstractNumId w:val="6"/>
  </w:num>
  <w:num w:numId="11">
    <w:abstractNumId w:val="16"/>
  </w:num>
  <w:num w:numId="12">
    <w:abstractNumId w:val="4"/>
  </w:num>
  <w:num w:numId="13">
    <w:abstractNumId w:val="15"/>
  </w:num>
  <w:num w:numId="14">
    <w:abstractNumId w:val="17"/>
  </w:num>
  <w:num w:numId="15">
    <w:abstractNumId w:val="5"/>
  </w:num>
  <w:num w:numId="16">
    <w:abstractNumId w:val="11"/>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48BE"/>
    <w:rsid w:val="0013569C"/>
    <w:rsid w:val="0014223F"/>
    <w:rsid w:val="0014352D"/>
    <w:rsid w:val="0014420A"/>
    <w:rsid w:val="001442F5"/>
    <w:rsid w:val="001443BD"/>
    <w:rsid w:val="00144A87"/>
    <w:rsid w:val="00144D06"/>
    <w:rsid w:val="00146193"/>
    <w:rsid w:val="00151FEB"/>
    <w:rsid w:val="00153F48"/>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C28"/>
    <w:rsid w:val="001F0257"/>
    <w:rsid w:val="001F1BDF"/>
    <w:rsid w:val="001F35F8"/>
    <w:rsid w:val="001F3E7D"/>
    <w:rsid w:val="001F41D4"/>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6B8"/>
    <w:rsid w:val="002647DE"/>
    <w:rsid w:val="00264E91"/>
    <w:rsid w:val="0027001E"/>
    <w:rsid w:val="002715AF"/>
    <w:rsid w:val="00271AC3"/>
    <w:rsid w:val="0027348F"/>
    <w:rsid w:val="00273CBB"/>
    <w:rsid w:val="00274F9C"/>
    <w:rsid w:val="00281D14"/>
    <w:rsid w:val="00282C13"/>
    <w:rsid w:val="002833D8"/>
    <w:rsid w:val="00283716"/>
    <w:rsid w:val="00283803"/>
    <w:rsid w:val="00283971"/>
    <w:rsid w:val="00286BF6"/>
    <w:rsid w:val="002932C6"/>
    <w:rsid w:val="00293C4D"/>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28A5"/>
    <w:rsid w:val="00383964"/>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726"/>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04FE"/>
    <w:rsid w:val="00411B81"/>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294E"/>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E62"/>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733C"/>
    <w:rsid w:val="0071028A"/>
    <w:rsid w:val="00710C5D"/>
    <w:rsid w:val="00713395"/>
    <w:rsid w:val="0071348C"/>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52C1"/>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106D"/>
    <w:rsid w:val="00801517"/>
    <w:rsid w:val="00801649"/>
    <w:rsid w:val="00803A87"/>
    <w:rsid w:val="00803BCD"/>
    <w:rsid w:val="00804CE3"/>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765C"/>
    <w:rsid w:val="0089796A"/>
    <w:rsid w:val="008A004C"/>
    <w:rsid w:val="008A2375"/>
    <w:rsid w:val="008A54B6"/>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394C"/>
    <w:rsid w:val="009F41D9"/>
    <w:rsid w:val="009F563C"/>
    <w:rsid w:val="009F610E"/>
    <w:rsid w:val="00A00DD1"/>
    <w:rsid w:val="00A00F7E"/>
    <w:rsid w:val="00A01A5D"/>
    <w:rsid w:val="00A02B60"/>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296"/>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411"/>
    <w:rsid w:val="00AF36C9"/>
    <w:rsid w:val="00AF79D0"/>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9B"/>
    <w:rsid w:val="00C045D1"/>
    <w:rsid w:val="00C057E5"/>
    <w:rsid w:val="00C060C7"/>
    <w:rsid w:val="00C06396"/>
    <w:rsid w:val="00C06F76"/>
    <w:rsid w:val="00C10EA4"/>
    <w:rsid w:val="00C132DD"/>
    <w:rsid w:val="00C13F7E"/>
    <w:rsid w:val="00C17A38"/>
    <w:rsid w:val="00C20C32"/>
    <w:rsid w:val="00C21897"/>
    <w:rsid w:val="00C24C17"/>
    <w:rsid w:val="00C25662"/>
    <w:rsid w:val="00C27240"/>
    <w:rsid w:val="00C31148"/>
    <w:rsid w:val="00C34829"/>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328D"/>
    <w:rsid w:val="00CC3A13"/>
    <w:rsid w:val="00CD0731"/>
    <w:rsid w:val="00CD0DB3"/>
    <w:rsid w:val="00CD147F"/>
    <w:rsid w:val="00CD16BE"/>
    <w:rsid w:val="00CD2268"/>
    <w:rsid w:val="00CD2495"/>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7A8"/>
    <w:rsid w:val="00DB2823"/>
    <w:rsid w:val="00DB2D74"/>
    <w:rsid w:val="00DB36E9"/>
    <w:rsid w:val="00DB3786"/>
    <w:rsid w:val="00DB3B15"/>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E29"/>
    <w:rsid w:val="00E24632"/>
    <w:rsid w:val="00E25AEA"/>
    <w:rsid w:val="00E30D26"/>
    <w:rsid w:val="00E30DEF"/>
    <w:rsid w:val="00E30ED2"/>
    <w:rsid w:val="00E31276"/>
    <w:rsid w:val="00E31B77"/>
    <w:rsid w:val="00E32102"/>
    <w:rsid w:val="00E34666"/>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216E1"/>
    <w:rsid w:val="00F22FE6"/>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5615"/>
    <w:rsid w:val="00F65E2F"/>
    <w:rsid w:val="00F6703D"/>
    <w:rsid w:val="00F67DF1"/>
    <w:rsid w:val="00F67DF6"/>
    <w:rsid w:val="00F7054E"/>
    <w:rsid w:val="00F72C76"/>
    <w:rsid w:val="00F742C5"/>
    <w:rsid w:val="00F74C74"/>
    <w:rsid w:val="00F75193"/>
    <w:rsid w:val="00F754FF"/>
    <w:rsid w:val="00F7562B"/>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592A"/>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Feloldatlanmegemlts1">
    <w:name w:val="Feloldatlan megemlítés1"/>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customStyle="1" w:styleId="Megemlts1">
    <w:name w:val="Megemlítés1"/>
    <w:basedOn w:val="DefaultParagraphFont"/>
    <w:uiPriority w:val="99"/>
    <w:unhideWhenUsed/>
    <w:rsid w:val="0067716E"/>
    <w:rPr>
      <w:color w:val="2B579A"/>
      <w:shd w:val="clear" w:color="auto" w:fill="E1DFDD"/>
    </w:rPr>
  </w:style>
  <w:style w:type="paragraph" w:styleId="PlainText">
    <w:name w:val="Plain Text"/>
    <w:basedOn w:val="Normal"/>
    <w:link w:val="PlainTextChar"/>
    <w:uiPriority w:val="99"/>
    <w:unhideWhenUsed/>
    <w:rsid w:val="00A75E63"/>
    <w:pPr>
      <w:spacing w:line="240" w:lineRule="auto"/>
      <w:jc w:val="left"/>
    </w:pPr>
    <w:rPr>
      <w:rFonts w:ascii="Calibri" w:eastAsiaTheme="minorHAnsi" w:hAnsi="Calibri" w:cs="Calibri"/>
      <w:szCs w:val="22"/>
      <w:lang w:val="de-DE"/>
    </w:rPr>
  </w:style>
  <w:style w:type="character" w:customStyle="1" w:styleId="PlainTextChar">
    <w:name w:val="Plain Text Char"/>
    <w:basedOn w:val="DefaultParagraphFont"/>
    <w:link w:val="PlainText"/>
    <w:uiPriority w:val="99"/>
    <w:rsid w:val="00A75E63"/>
    <w:rPr>
      <w:rFonts w:ascii="Calibri" w:eastAsiaTheme="minorHAnsi" w:hAnsi="Calibri" w:cs="Calibri"/>
      <w:sz w:val="22"/>
      <w:szCs w:val="22"/>
      <w:lang w:val="de-DE"/>
    </w:rPr>
  </w:style>
  <w:style w:type="paragraph" w:customStyle="1" w:styleId="Default">
    <w:name w:val="Default"/>
    <w:rsid w:val="008C2A96"/>
    <w:pPr>
      <w:autoSpaceDE w:val="0"/>
      <w:autoSpaceDN w:val="0"/>
      <w:adjustRightInd w:val="0"/>
    </w:pPr>
    <w:rPr>
      <w:rFonts w:ascii="Arial" w:hAnsi="Arial" w:cs="Arial"/>
      <w:color w:val="000000"/>
      <w:sz w:val="24"/>
      <w:lang w:val="de-DE"/>
    </w:rPr>
  </w:style>
  <w:style w:type="paragraph" w:styleId="BodyText">
    <w:name w:val="Body Text"/>
    <w:basedOn w:val="Normal"/>
    <w:link w:val="BodyTextChar"/>
    <w:rsid w:val="00BF11B1"/>
    <w:pPr>
      <w:spacing w:line="360" w:lineRule="auto"/>
    </w:pPr>
    <w:rPr>
      <w:rFonts w:ascii="Arial" w:hAnsi="Arial"/>
      <w:lang w:val="de-DE" w:eastAsia="de-DE"/>
    </w:rPr>
  </w:style>
  <w:style w:type="character" w:customStyle="1" w:styleId="BodyTextChar">
    <w:name w:val="Body Text Char"/>
    <w:basedOn w:val="DefaultParagraphFont"/>
    <w:link w:val="BodyText"/>
    <w:rsid w:val="00BF11B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nuel.boesing@henkel.com" TargetMode="External"/><Relationship Id="rId18" Type="http://schemas.openxmlformats.org/officeDocument/2006/relationships/hyperlink" Target="mailto:hanna.philipps@henk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yperlink" Target="mailto:dennis.starke@henk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ulf.klueppelholz@henkel.com" TargetMode="External"/><Relationship Id="rId20" Type="http://schemas.openxmlformats.org/officeDocument/2006/relationships/hyperlink" Target="http://www.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ennifer.ott@henkel.com"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witteck@henke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BAF50-1F43-4652-BACE-FE6CEC77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1449</Words>
  <Characters>9949</Characters>
  <Application>Microsoft Office Word</Application>
  <DocSecurity>0</DocSecurity>
  <Lines>82</Lines>
  <Paragraphs>22</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Dorottya Dispiter</cp:lastModifiedBy>
  <cp:revision>10</cp:revision>
  <cp:lastPrinted>2022-04-29T05:59:00Z</cp:lastPrinted>
  <dcterms:created xsi:type="dcterms:W3CDTF">2022-04-29T08:10:00Z</dcterms:created>
  <dcterms:modified xsi:type="dcterms:W3CDTF">2022-04-29T11:46:00Z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