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F488B93" w:rsidR="00B422EC" w:rsidRPr="00FF0403" w:rsidRDefault="00702C4C" w:rsidP="00643D8A">
      <w:pPr>
        <w:pStyle w:val="MonthDayYear"/>
        <w:rPr>
          <w:lang w:val="pl-PL"/>
        </w:rPr>
      </w:pPr>
      <w:r>
        <w:rPr>
          <w:lang w:val="pl-PL"/>
        </w:rPr>
        <w:t>29 kwietnia</w:t>
      </w:r>
      <w:r w:rsidR="0091309C">
        <w:rPr>
          <w:lang w:val="pl-PL"/>
        </w:rPr>
        <w:t xml:space="preserve"> 2022</w:t>
      </w:r>
      <w:r>
        <w:rPr>
          <w:lang w:val="pl-PL"/>
        </w:rPr>
        <w:t xml:space="preserve"> r.</w:t>
      </w:r>
    </w:p>
    <w:p w14:paraId="6146C7E3" w14:textId="77777777" w:rsidR="0091309C" w:rsidRPr="0091309C" w:rsidRDefault="0091309C" w:rsidP="0091309C">
      <w:pPr>
        <w:widowControl w:val="0"/>
        <w:autoSpaceDE w:val="0"/>
        <w:autoSpaceDN w:val="0"/>
        <w:spacing w:before="233" w:line="240" w:lineRule="auto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>Henkel ogłasza wyniki sprzedaży za pierwszy kwartał roku obrotowego na podstawie wstępnych danych</w:t>
      </w:r>
    </w:p>
    <w:p w14:paraId="1D8319E4" w14:textId="524219D3" w:rsidR="0091309C" w:rsidRPr="0091309C" w:rsidRDefault="0091309C" w:rsidP="0091309C">
      <w:pPr>
        <w:widowControl w:val="0"/>
        <w:autoSpaceDE w:val="0"/>
        <w:autoSpaceDN w:val="0"/>
        <w:spacing w:before="240" w:after="240"/>
        <w:rPr>
          <w:rFonts w:eastAsia="Segoe UI" w:cs="Segoe UI"/>
          <w:b/>
          <w:bCs/>
          <w:sz w:val="28"/>
          <w:szCs w:val="22"/>
          <w:lang w:val="pl-PL"/>
        </w:rPr>
      </w:pPr>
      <w:r w:rsidRPr="0091309C">
        <w:rPr>
          <w:rFonts w:eastAsia="Segoe UI" w:cs="Segoe UI"/>
          <w:b/>
          <w:bCs/>
          <w:sz w:val="28"/>
          <w:szCs w:val="22"/>
          <w:lang w:val="pl-PL"/>
        </w:rPr>
        <w:t>Firma Henkel wypracowała w pierwszym kwartale 2022 r. znaczny wzrost przychodów ze sprzedaży w ujęciu organicznym i zaktualizowa</w:t>
      </w:r>
      <w:r w:rsidR="00702C4C">
        <w:rPr>
          <w:rFonts w:eastAsia="Segoe UI" w:cs="Segoe UI"/>
          <w:b/>
          <w:bCs/>
          <w:sz w:val="28"/>
          <w:szCs w:val="22"/>
          <w:lang w:val="pl-PL"/>
        </w:rPr>
        <w:t>ła</w:t>
      </w:r>
      <w:r w:rsidRPr="0091309C">
        <w:rPr>
          <w:rFonts w:eastAsia="Segoe UI" w:cs="Segoe UI"/>
          <w:b/>
          <w:bCs/>
          <w:sz w:val="28"/>
          <w:szCs w:val="22"/>
          <w:lang w:val="pl-PL"/>
        </w:rPr>
        <w:t xml:space="preserve"> prognozę wyników całorocznych</w:t>
      </w:r>
    </w:p>
    <w:p w14:paraId="0C7BF0E6" w14:textId="170CF3FF" w:rsidR="0091309C" w:rsidRPr="0091309C" w:rsidRDefault="0091309C" w:rsidP="0091309C">
      <w:pPr>
        <w:widowControl w:val="0"/>
        <w:numPr>
          <w:ilvl w:val="0"/>
          <w:numId w:val="7"/>
        </w:numPr>
        <w:tabs>
          <w:tab w:val="left" w:pos="469"/>
          <w:tab w:val="left" w:pos="470"/>
        </w:tabs>
        <w:autoSpaceDE w:val="0"/>
        <w:autoSpaceDN w:val="0"/>
        <w:spacing w:before="79" w:line="360" w:lineRule="auto"/>
        <w:ind w:hanging="359"/>
        <w:rPr>
          <w:rFonts w:eastAsia="Segoe UI" w:cs="Segoe UI"/>
          <w:b/>
          <w:szCs w:val="22"/>
          <w:lang w:val="pl-PL"/>
        </w:rPr>
      </w:pPr>
      <w:r w:rsidRPr="0091309C">
        <w:rPr>
          <w:rFonts w:eastAsia="Segoe UI" w:cs="Segoe UI"/>
          <w:b/>
          <w:bCs/>
          <w:szCs w:val="22"/>
          <w:lang w:val="pl-PL"/>
        </w:rPr>
        <w:t>Wzrost przychodów ze sprzedaży Grupy w ujęciu organicznym o 7,1%, do około 5,3 mld euro</w:t>
      </w:r>
    </w:p>
    <w:p w14:paraId="09D54C7F" w14:textId="66F93B9A" w:rsidR="0091309C" w:rsidRPr="0091309C" w:rsidRDefault="0091309C" w:rsidP="0091309C">
      <w:pPr>
        <w:widowControl w:val="0"/>
        <w:numPr>
          <w:ilvl w:val="1"/>
          <w:numId w:val="7"/>
        </w:numPr>
        <w:tabs>
          <w:tab w:val="left" w:pos="819"/>
          <w:tab w:val="left" w:pos="820"/>
        </w:tabs>
        <w:autoSpaceDE w:val="0"/>
        <w:autoSpaceDN w:val="0"/>
        <w:spacing w:before="125" w:line="360" w:lineRule="auto"/>
        <w:ind w:hanging="282"/>
        <w:rPr>
          <w:rFonts w:eastAsia="Segoe UI" w:cs="Segoe UI"/>
          <w:b/>
          <w:szCs w:val="22"/>
          <w:lang w:val="pl-PL"/>
        </w:rPr>
      </w:pPr>
      <w:r w:rsidRPr="0091309C">
        <w:rPr>
          <w:rFonts w:eastAsia="Segoe UI" w:cs="Segoe UI"/>
          <w:b/>
          <w:bCs/>
          <w:szCs w:val="22"/>
          <w:lang w:val="pl-PL"/>
        </w:rPr>
        <w:t xml:space="preserve">Sektor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Adhesive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Technologies (kleje budowlane i konsumenckie oraz kleje i technologie dla przemysłu): dwucyfrowy wzrost w ujęciu organicznym na poziomie 10,7%</w:t>
      </w:r>
    </w:p>
    <w:p w14:paraId="56E46CAB" w14:textId="0270651B" w:rsidR="0091309C" w:rsidRPr="0091309C" w:rsidRDefault="0091309C" w:rsidP="0091309C">
      <w:pPr>
        <w:widowControl w:val="0"/>
        <w:numPr>
          <w:ilvl w:val="1"/>
          <w:numId w:val="7"/>
        </w:numPr>
        <w:tabs>
          <w:tab w:val="left" w:pos="819"/>
          <w:tab w:val="left" w:pos="820"/>
        </w:tabs>
        <w:autoSpaceDE w:val="0"/>
        <w:autoSpaceDN w:val="0"/>
        <w:spacing w:before="111" w:line="360" w:lineRule="auto"/>
        <w:ind w:hanging="282"/>
        <w:rPr>
          <w:rFonts w:eastAsia="Segoe UI" w:cs="Segoe UI"/>
          <w:b/>
          <w:szCs w:val="22"/>
          <w:lang w:val="pl-PL"/>
        </w:rPr>
      </w:pPr>
      <w:r w:rsidRPr="0091309C">
        <w:rPr>
          <w:rFonts w:eastAsia="Segoe UI" w:cs="Segoe UI"/>
          <w:b/>
          <w:bCs/>
          <w:szCs w:val="22"/>
          <w:lang w:val="pl-PL"/>
        </w:rPr>
        <w:t xml:space="preserve">Sektor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Beauty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(kosmetyki): niewielki spadek w ujęciu organicznym o 1,2%</w:t>
      </w:r>
    </w:p>
    <w:p w14:paraId="1429AF5F" w14:textId="79845289" w:rsidR="0091309C" w:rsidRPr="0091309C" w:rsidRDefault="0091309C" w:rsidP="0091309C">
      <w:pPr>
        <w:widowControl w:val="0"/>
        <w:numPr>
          <w:ilvl w:val="1"/>
          <w:numId w:val="7"/>
        </w:numPr>
        <w:tabs>
          <w:tab w:val="left" w:pos="819"/>
          <w:tab w:val="left" w:pos="820"/>
        </w:tabs>
        <w:autoSpaceDE w:val="0"/>
        <w:autoSpaceDN w:val="0"/>
        <w:spacing w:before="110" w:line="360" w:lineRule="auto"/>
        <w:ind w:hanging="282"/>
        <w:rPr>
          <w:rFonts w:eastAsia="Segoe UI" w:cs="Segoe UI"/>
          <w:b/>
          <w:szCs w:val="22"/>
          <w:lang w:val="pl-PL"/>
        </w:rPr>
      </w:pPr>
      <w:r w:rsidRPr="0091309C">
        <w:rPr>
          <w:rFonts w:eastAsia="Segoe UI" w:cs="Segoe UI"/>
          <w:b/>
          <w:bCs/>
          <w:szCs w:val="22"/>
          <w:lang w:val="pl-PL"/>
        </w:rPr>
        <w:t xml:space="preserve">Sektor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Laundry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&amp; Home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(środki piorące i czystości): bardzo duży wzrost w ujęciu organicznym </w:t>
      </w:r>
      <w:r w:rsidR="00ED7494">
        <w:rPr>
          <w:rFonts w:eastAsia="Segoe UI" w:cs="Segoe UI"/>
          <w:b/>
          <w:bCs/>
          <w:szCs w:val="22"/>
          <w:lang w:val="pl-PL"/>
        </w:rPr>
        <w:t>w wysokości</w:t>
      </w:r>
      <w:r w:rsidRPr="0091309C">
        <w:rPr>
          <w:rFonts w:eastAsia="Segoe UI" w:cs="Segoe UI"/>
          <w:b/>
          <w:bCs/>
          <w:szCs w:val="22"/>
          <w:lang w:val="pl-PL"/>
        </w:rPr>
        <w:t xml:space="preserve"> 4,9%</w:t>
      </w:r>
    </w:p>
    <w:p w14:paraId="1E397B6C" w14:textId="19E73166" w:rsidR="0091309C" w:rsidRPr="0091309C" w:rsidRDefault="0091309C" w:rsidP="00F84B1E">
      <w:pPr>
        <w:widowControl w:val="0"/>
        <w:numPr>
          <w:ilvl w:val="0"/>
          <w:numId w:val="7"/>
        </w:numPr>
        <w:tabs>
          <w:tab w:val="left" w:pos="469"/>
          <w:tab w:val="left" w:pos="470"/>
        </w:tabs>
        <w:autoSpaceDE w:val="0"/>
        <w:autoSpaceDN w:val="0"/>
        <w:spacing w:before="113" w:line="360" w:lineRule="auto"/>
        <w:ind w:left="465" w:hanging="357"/>
        <w:rPr>
          <w:rFonts w:eastAsia="Segoe UI" w:cs="Segoe UI"/>
          <w:b/>
          <w:szCs w:val="22"/>
          <w:lang w:val="pl-PL"/>
        </w:rPr>
      </w:pPr>
      <w:r w:rsidRPr="0091309C">
        <w:rPr>
          <w:rFonts w:eastAsia="Segoe UI" w:cs="Segoe UI"/>
          <w:b/>
          <w:bCs/>
          <w:szCs w:val="22"/>
          <w:lang w:val="pl-PL"/>
        </w:rPr>
        <w:t>Zaktualizowana prognoza na rok obrotowy 2022 – niezwykle silny wzrost</w:t>
      </w:r>
      <w:r w:rsidR="00F84B1E">
        <w:rPr>
          <w:rFonts w:eastAsia="Segoe UI" w:cs="Segoe UI"/>
          <w:b/>
          <w:bCs/>
          <w:szCs w:val="22"/>
          <w:lang w:val="pl-PL"/>
        </w:rPr>
        <w:t xml:space="preserve"> </w:t>
      </w:r>
      <w:r w:rsidRPr="0091309C">
        <w:rPr>
          <w:rFonts w:eastAsia="Segoe UI" w:cs="Segoe UI"/>
          <w:b/>
          <w:bCs/>
          <w:szCs w:val="22"/>
          <w:lang w:val="pl-PL"/>
        </w:rPr>
        <w:t xml:space="preserve">kosztów materiałów bezpośrednich i logistyki oraz </w:t>
      </w:r>
      <w:r w:rsidR="00ED7494">
        <w:rPr>
          <w:rFonts w:eastAsia="Segoe UI" w:cs="Segoe UI"/>
          <w:b/>
          <w:bCs/>
          <w:szCs w:val="22"/>
          <w:lang w:val="pl-PL"/>
        </w:rPr>
        <w:t xml:space="preserve">przewidywane </w:t>
      </w:r>
      <w:r w:rsidRPr="0091309C">
        <w:rPr>
          <w:rFonts w:eastAsia="Segoe UI" w:cs="Segoe UI"/>
          <w:b/>
          <w:bCs/>
          <w:szCs w:val="22"/>
          <w:lang w:val="pl-PL"/>
        </w:rPr>
        <w:t>znaczące skutki zakończenia działalności firmy w Rosji</w:t>
      </w:r>
      <w:r w:rsidR="007E006D">
        <w:rPr>
          <w:rFonts w:eastAsia="Segoe UI" w:cs="Segoe UI"/>
          <w:b/>
          <w:bCs/>
          <w:szCs w:val="22"/>
          <w:lang w:val="pl-PL"/>
        </w:rPr>
        <w:t xml:space="preserve">, a także </w:t>
      </w:r>
      <w:r w:rsidRPr="0091309C">
        <w:rPr>
          <w:rFonts w:eastAsia="Segoe UI" w:cs="Segoe UI"/>
          <w:b/>
          <w:bCs/>
          <w:szCs w:val="22"/>
          <w:lang w:val="pl-PL"/>
        </w:rPr>
        <w:t>na Białorusi</w:t>
      </w:r>
    </w:p>
    <w:p w14:paraId="1E40A2A5" w14:textId="555ECB67" w:rsidR="0091309C" w:rsidRPr="0091309C" w:rsidRDefault="0091309C" w:rsidP="0091309C">
      <w:pPr>
        <w:widowControl w:val="0"/>
        <w:numPr>
          <w:ilvl w:val="1"/>
          <w:numId w:val="7"/>
        </w:numPr>
        <w:tabs>
          <w:tab w:val="left" w:pos="819"/>
          <w:tab w:val="left" w:pos="820"/>
        </w:tabs>
        <w:autoSpaceDE w:val="0"/>
        <w:autoSpaceDN w:val="0"/>
        <w:spacing w:before="81" w:line="360" w:lineRule="auto"/>
        <w:ind w:hanging="282"/>
        <w:rPr>
          <w:rFonts w:eastAsia="Segoe UI" w:cs="Segoe UI"/>
          <w:b/>
          <w:szCs w:val="22"/>
          <w:lang w:val="pl-PL"/>
        </w:rPr>
      </w:pPr>
      <w:r w:rsidRPr="0091309C">
        <w:rPr>
          <w:rFonts w:eastAsia="Segoe UI" w:cs="Segoe UI"/>
          <w:b/>
          <w:bCs/>
          <w:szCs w:val="22"/>
          <w:lang w:val="pl-PL"/>
        </w:rPr>
        <w:t>Spodziewany wzrost sprzedaży w ujęciu organicznym: 3,5%</w:t>
      </w:r>
      <w:r w:rsidR="007E006D">
        <w:rPr>
          <w:rFonts w:eastAsia="Segoe UI" w:cs="Segoe UI"/>
          <w:b/>
          <w:bCs/>
          <w:szCs w:val="22"/>
          <w:lang w:val="pl-PL"/>
        </w:rPr>
        <w:t>-</w:t>
      </w:r>
      <w:r w:rsidRPr="0091309C">
        <w:rPr>
          <w:rFonts w:eastAsia="Segoe UI" w:cs="Segoe UI"/>
          <w:b/>
          <w:bCs/>
          <w:szCs w:val="22"/>
          <w:lang w:val="pl-PL"/>
        </w:rPr>
        <w:t>5,5%</w:t>
      </w:r>
    </w:p>
    <w:p w14:paraId="30AC6790" w14:textId="77777777" w:rsidR="0091309C" w:rsidRPr="0091309C" w:rsidRDefault="0091309C" w:rsidP="0091309C">
      <w:pPr>
        <w:widowControl w:val="0"/>
        <w:numPr>
          <w:ilvl w:val="1"/>
          <w:numId w:val="7"/>
        </w:numPr>
        <w:tabs>
          <w:tab w:val="left" w:pos="819"/>
          <w:tab w:val="left" w:pos="820"/>
        </w:tabs>
        <w:autoSpaceDE w:val="0"/>
        <w:autoSpaceDN w:val="0"/>
        <w:spacing w:before="110" w:line="360" w:lineRule="auto"/>
        <w:ind w:hanging="282"/>
        <w:rPr>
          <w:rFonts w:eastAsia="Segoe UI" w:cs="Segoe UI"/>
          <w:b/>
          <w:szCs w:val="22"/>
          <w:lang w:val="pl-PL"/>
        </w:rPr>
      </w:pPr>
      <w:r w:rsidRPr="0091309C">
        <w:rPr>
          <w:rFonts w:eastAsia="Segoe UI" w:cs="Segoe UI"/>
          <w:b/>
          <w:bCs/>
          <w:szCs w:val="22"/>
          <w:lang w:val="pl-PL"/>
        </w:rPr>
        <w:t>Skorygowana rentowność sprzedaży (marża EBIT)*: między 9,0% a 11,0%</w:t>
      </w:r>
    </w:p>
    <w:p w14:paraId="69A711FA" w14:textId="216287ED" w:rsidR="0091309C" w:rsidRPr="0091309C" w:rsidRDefault="0091309C" w:rsidP="00F84B1E">
      <w:pPr>
        <w:widowControl w:val="0"/>
        <w:numPr>
          <w:ilvl w:val="1"/>
          <w:numId w:val="7"/>
        </w:numPr>
        <w:tabs>
          <w:tab w:val="left" w:pos="819"/>
          <w:tab w:val="left" w:pos="820"/>
        </w:tabs>
        <w:autoSpaceDE w:val="0"/>
        <w:autoSpaceDN w:val="0"/>
        <w:spacing w:before="110" w:line="360" w:lineRule="auto"/>
        <w:ind w:left="823" w:hanging="284"/>
        <w:rPr>
          <w:rFonts w:eastAsia="Segoe UI" w:cs="Segoe UI"/>
          <w:b/>
          <w:szCs w:val="22"/>
          <w:lang w:val="pl-PL"/>
        </w:rPr>
      </w:pPr>
      <w:r w:rsidRPr="0091309C">
        <w:rPr>
          <w:rFonts w:eastAsia="Segoe UI" w:cs="Segoe UI"/>
          <w:b/>
          <w:bCs/>
          <w:szCs w:val="22"/>
          <w:lang w:val="pl-PL"/>
        </w:rPr>
        <w:t>Skorygowany zysk na akcję uprzywilejowaną (EPS)* przy założeniu</w:t>
      </w:r>
      <w:r w:rsidR="00F84B1E">
        <w:rPr>
          <w:rFonts w:eastAsia="Segoe UI" w:cs="Segoe UI"/>
          <w:b/>
          <w:bCs/>
          <w:szCs w:val="22"/>
          <w:lang w:val="pl-PL"/>
        </w:rPr>
        <w:t xml:space="preserve"> </w:t>
      </w:r>
      <w:r w:rsidRPr="0091309C">
        <w:rPr>
          <w:rFonts w:eastAsia="Segoe UI" w:cs="Segoe UI"/>
          <w:b/>
          <w:bCs/>
          <w:szCs w:val="22"/>
          <w:lang w:val="pl-PL"/>
        </w:rPr>
        <w:t>niezmiennego poziomu kursów walut: spadek rzędu 35% do 15%.</w:t>
      </w:r>
    </w:p>
    <w:p w14:paraId="3341460D" w14:textId="6A292CFF" w:rsidR="0091309C" w:rsidRDefault="0091309C" w:rsidP="0091309C">
      <w:pPr>
        <w:widowControl w:val="0"/>
        <w:tabs>
          <w:tab w:val="left" w:pos="819"/>
          <w:tab w:val="left" w:pos="820"/>
        </w:tabs>
        <w:autoSpaceDE w:val="0"/>
        <w:autoSpaceDN w:val="0"/>
        <w:spacing w:before="113" w:line="266" w:lineRule="auto"/>
        <w:ind w:right="1401"/>
        <w:jc w:val="left"/>
        <w:rPr>
          <w:rFonts w:eastAsia="Segoe UI" w:cs="Segoe UI"/>
          <w:b/>
          <w:bCs/>
          <w:szCs w:val="22"/>
          <w:lang w:val="pl-PL"/>
        </w:rPr>
      </w:pPr>
    </w:p>
    <w:p w14:paraId="6952C747" w14:textId="77777777" w:rsidR="007E006D" w:rsidRDefault="007E006D" w:rsidP="007E006D">
      <w:pPr>
        <w:widowControl w:val="0"/>
        <w:autoSpaceDE w:val="0"/>
        <w:autoSpaceDN w:val="0"/>
        <w:ind w:right="606"/>
        <w:rPr>
          <w:rFonts w:eastAsia="Segoe UI" w:cs="Segoe UI"/>
          <w:b/>
          <w:bCs/>
          <w:szCs w:val="22"/>
          <w:lang w:val="pl-PL"/>
        </w:rPr>
      </w:pPr>
    </w:p>
    <w:p w14:paraId="49699FAD" w14:textId="08DC9FC8" w:rsidR="0091309C" w:rsidRPr="0091309C" w:rsidRDefault="0091309C" w:rsidP="00165E0B">
      <w:pPr>
        <w:widowControl w:val="0"/>
        <w:autoSpaceDE w:val="0"/>
        <w:autoSpaceDN w:val="0"/>
        <w:ind w:left="113" w:right="113"/>
        <w:rPr>
          <w:rFonts w:eastAsia="Segoe UI" w:cs="Segoe UI"/>
          <w:szCs w:val="22"/>
          <w:lang w:val="pl-PL"/>
        </w:rPr>
      </w:pP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lastRenderedPageBreak/>
        <w:t>Düsseldorf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– </w:t>
      </w:r>
      <w:r w:rsidRPr="0091309C">
        <w:rPr>
          <w:rFonts w:eastAsia="Segoe UI" w:cs="Segoe UI"/>
          <w:szCs w:val="22"/>
          <w:lang w:val="pl-PL"/>
        </w:rPr>
        <w:t xml:space="preserve">Według wstępnych danych firma Henkel odnotowała w pierwszym kwartale bieżącego roku obrotowego przychody ze sprzedaży w wysokości około 5,3 mld euro. Wynik ten </w:t>
      </w:r>
      <w:r w:rsidR="00ED7494">
        <w:rPr>
          <w:rFonts w:eastAsia="Segoe UI" w:cs="Segoe UI"/>
          <w:szCs w:val="22"/>
          <w:lang w:val="pl-PL"/>
        </w:rPr>
        <w:t>jest związany ze</w:t>
      </w:r>
      <w:r w:rsidRPr="0091309C">
        <w:rPr>
          <w:rFonts w:eastAsia="Segoe UI" w:cs="Segoe UI"/>
          <w:szCs w:val="22"/>
          <w:lang w:val="pl-PL"/>
        </w:rPr>
        <w:t xml:space="preserve"> znaczny</w:t>
      </w:r>
      <w:r w:rsidR="00ED7494">
        <w:rPr>
          <w:rFonts w:eastAsia="Segoe UI" w:cs="Segoe UI"/>
          <w:szCs w:val="22"/>
          <w:lang w:val="pl-PL"/>
        </w:rPr>
        <w:t>m</w:t>
      </w:r>
      <w:r w:rsidRPr="0091309C">
        <w:rPr>
          <w:rFonts w:eastAsia="Segoe UI" w:cs="Segoe UI"/>
          <w:szCs w:val="22"/>
          <w:lang w:val="pl-PL"/>
        </w:rPr>
        <w:t xml:space="preserve"> wzrost</w:t>
      </w:r>
      <w:r w:rsidR="00ED7494">
        <w:rPr>
          <w:rFonts w:eastAsia="Segoe UI" w:cs="Segoe UI"/>
          <w:szCs w:val="22"/>
          <w:lang w:val="pl-PL"/>
        </w:rPr>
        <w:t>em</w:t>
      </w:r>
      <w:r w:rsidRPr="0091309C">
        <w:rPr>
          <w:rFonts w:eastAsia="Segoe UI" w:cs="Segoe UI"/>
          <w:szCs w:val="22"/>
          <w:lang w:val="pl-PL"/>
        </w:rPr>
        <w:t xml:space="preserve"> sprzedaży w ujęciu organicznym wynoszący</w:t>
      </w:r>
      <w:r w:rsidR="00966065">
        <w:rPr>
          <w:rFonts w:eastAsia="Segoe UI" w:cs="Segoe UI"/>
          <w:szCs w:val="22"/>
          <w:lang w:val="pl-PL"/>
        </w:rPr>
        <w:t>m</w:t>
      </w:r>
      <w:r w:rsidRPr="0091309C">
        <w:rPr>
          <w:rFonts w:eastAsia="Segoe UI" w:cs="Segoe UI"/>
          <w:szCs w:val="22"/>
          <w:lang w:val="pl-PL"/>
        </w:rPr>
        <w:t xml:space="preserve"> 7,1% wobec średniej oczekiwań rynkowych na poziomie 4,3%. Głównym czynnikiem wzrostu była bardzo silna dynamika cen w połączeniu z niewielkim spadkiem wolumenu sprzedaży.</w:t>
      </w:r>
    </w:p>
    <w:p w14:paraId="741F9359" w14:textId="77777777" w:rsidR="0091309C" w:rsidRPr="0091309C" w:rsidRDefault="0091309C" w:rsidP="0091309C">
      <w:pPr>
        <w:widowControl w:val="0"/>
        <w:autoSpaceDE w:val="0"/>
        <w:autoSpaceDN w:val="0"/>
        <w:spacing w:before="5" w:line="240" w:lineRule="auto"/>
        <w:jc w:val="left"/>
        <w:rPr>
          <w:rFonts w:eastAsia="Segoe UI" w:cs="Segoe UI"/>
          <w:sz w:val="25"/>
          <w:szCs w:val="22"/>
          <w:lang w:val="pl-PL"/>
        </w:rPr>
      </w:pPr>
    </w:p>
    <w:p w14:paraId="7A64C5EC" w14:textId="13D6C898" w:rsidR="0091309C" w:rsidRDefault="0091309C" w:rsidP="00165E0B">
      <w:pPr>
        <w:widowControl w:val="0"/>
        <w:autoSpaceDE w:val="0"/>
        <w:autoSpaceDN w:val="0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W największym stopniu do wzrostu przychodów ze sprzedaży przyczynił się sektor biznesowy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Adhesive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Technologies </w:t>
      </w:r>
      <w:r w:rsidRPr="0091309C">
        <w:rPr>
          <w:rFonts w:eastAsia="Segoe UI" w:cs="Segoe UI"/>
          <w:szCs w:val="22"/>
          <w:lang w:val="pl-PL"/>
        </w:rPr>
        <w:t>(kleje budowlane i konsumenckie oraz kleje i technologie dla przemysłu), który w pierwszym kwartale roku wypracował dwucyfrowy wzrost w ujęciu organicznym, wynoszący według wstępnych danych</w:t>
      </w:r>
      <w:r w:rsidR="00ED7494">
        <w:rPr>
          <w:rFonts w:eastAsia="Segoe UI" w:cs="Segoe UI"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>10,7%. Wzrosty odnotowano we wszystkich obszarach działalności.</w:t>
      </w:r>
    </w:p>
    <w:p w14:paraId="13ABCDC4" w14:textId="41018BD4" w:rsidR="0091309C" w:rsidRDefault="0091309C" w:rsidP="0091309C">
      <w:pPr>
        <w:widowControl w:val="0"/>
        <w:autoSpaceDE w:val="0"/>
        <w:autoSpaceDN w:val="0"/>
        <w:ind w:left="111" w:right="605"/>
        <w:rPr>
          <w:rFonts w:eastAsia="Segoe UI" w:cs="Segoe UI"/>
          <w:szCs w:val="22"/>
          <w:lang w:val="pl-PL"/>
        </w:rPr>
      </w:pPr>
    </w:p>
    <w:p w14:paraId="1FFFB425" w14:textId="2B49E5D6" w:rsidR="0091309C" w:rsidRPr="0091309C" w:rsidRDefault="0091309C" w:rsidP="00165E0B">
      <w:pPr>
        <w:widowControl w:val="0"/>
        <w:autoSpaceDE w:val="0"/>
        <w:autoSpaceDN w:val="0"/>
        <w:spacing w:before="78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Na podstawie wstępnych danych sektor biznesowy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Beauty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 xml:space="preserve">(kosmetyki) odnotował niewielki spadek wartości sprzedaży w ujęciu organicznym o 1,2%. Segment </w:t>
      </w:r>
      <w:proofErr w:type="spellStart"/>
      <w:r w:rsidRPr="0091309C">
        <w:rPr>
          <w:rFonts w:eastAsia="Segoe UI" w:cs="Segoe UI"/>
          <w:szCs w:val="22"/>
          <w:lang w:val="pl-PL"/>
        </w:rPr>
        <w:t>Hair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 Salon (oferujący produkty przeznaczone dla branży fryzjerskiej) wygenerował dwucyfrowy wzrost przychodów ze sprzedaży w ujęciu organicznym. W przypadku asortymentu przeznaczonego dla konsumentów indywidualnych wyniki sprzedaży, tak jak się spodziewano, ukształtowały się poniżej poziomu z poprzedniego roku, przede wszystkim na skutek wdrożenia zapowiedzianych na 2022 r. działań optymalizujących portfolio produktów.</w:t>
      </w:r>
    </w:p>
    <w:p w14:paraId="2FAEAB16" w14:textId="77777777" w:rsidR="0091309C" w:rsidRPr="0091309C" w:rsidRDefault="0091309C" w:rsidP="0091309C">
      <w:pPr>
        <w:widowControl w:val="0"/>
        <w:autoSpaceDE w:val="0"/>
        <w:autoSpaceDN w:val="0"/>
        <w:spacing w:before="4" w:line="240" w:lineRule="auto"/>
        <w:jc w:val="left"/>
        <w:rPr>
          <w:rFonts w:eastAsia="Segoe UI" w:cs="Segoe UI"/>
          <w:sz w:val="25"/>
          <w:szCs w:val="22"/>
          <w:lang w:val="pl-PL"/>
        </w:rPr>
      </w:pPr>
    </w:p>
    <w:p w14:paraId="5AE634F2" w14:textId="4D03178F" w:rsidR="0091309C" w:rsidRPr="0091309C" w:rsidRDefault="0091309C" w:rsidP="00165E0B">
      <w:pPr>
        <w:widowControl w:val="0"/>
        <w:autoSpaceDE w:val="0"/>
        <w:autoSpaceDN w:val="0"/>
        <w:spacing w:before="1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Jak wskazują wstępne dane, sektor biznesowy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Laundry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&amp; Home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>(środki piorące i czystości) odnotował bardzo duży wzrost sprzedaży w ujęciu organicznym</w:t>
      </w:r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>(4,9%), do którego przyczynił się znaczny wzrost sprzedaży środków piorących. Z kolei sprzedaż środków czystości odnotowała w pierwszym kwartale roku obrotowego nieznaczny spadek w ujęciu organicznym.</w:t>
      </w:r>
    </w:p>
    <w:p w14:paraId="4C8A0C78" w14:textId="77777777" w:rsidR="0091309C" w:rsidRPr="0091309C" w:rsidRDefault="0091309C" w:rsidP="0091309C">
      <w:pPr>
        <w:widowControl w:val="0"/>
        <w:autoSpaceDE w:val="0"/>
        <w:autoSpaceDN w:val="0"/>
        <w:spacing w:before="3" w:line="240" w:lineRule="auto"/>
        <w:jc w:val="left"/>
        <w:rPr>
          <w:rFonts w:eastAsia="Segoe UI" w:cs="Segoe UI"/>
          <w:sz w:val="25"/>
          <w:szCs w:val="22"/>
          <w:lang w:val="pl-PL"/>
        </w:rPr>
      </w:pPr>
    </w:p>
    <w:p w14:paraId="7BF1D95D" w14:textId="5CC7B6CA" w:rsidR="0091309C" w:rsidRPr="0091309C" w:rsidRDefault="0091309C" w:rsidP="003B321A">
      <w:pPr>
        <w:widowControl w:val="0"/>
        <w:autoSpaceDE w:val="0"/>
        <w:autoSpaceDN w:val="0"/>
        <w:ind w:left="284" w:right="284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– </w:t>
      </w:r>
      <w:r w:rsidRPr="0091309C">
        <w:rPr>
          <w:rFonts w:eastAsia="Segoe UI" w:cs="Segoe UI"/>
          <w:i/>
          <w:iCs/>
          <w:szCs w:val="22"/>
          <w:lang w:val="pl-PL"/>
        </w:rPr>
        <w:t xml:space="preserve">Choć ogólnie rzecz biorąc wyniki sprzedaży Henkel po pierwszym kwartale należy ocenić jako bardzo dobre, już od początku roku mamy do czynienia z dramatycznym pogorszeniem warunków otoczenia gospodarczego. Skutki globalnego kryzysu wywołanego pandemią COVID, z wyjątkowo napiętą sytuacją panującą na rynkach surowcowych oraz w ramach globalnych łańcuchów dostaw, spotęgował jeszcze wybuch wojny </w:t>
      </w:r>
      <w:r w:rsidR="00165E0B">
        <w:rPr>
          <w:rFonts w:eastAsia="Segoe UI" w:cs="Segoe UI"/>
          <w:i/>
          <w:iCs/>
          <w:szCs w:val="22"/>
          <w:lang w:val="pl-PL"/>
        </w:rPr>
        <w:t>w</w:t>
      </w:r>
      <w:r w:rsidRPr="0091309C">
        <w:rPr>
          <w:rFonts w:eastAsia="Segoe UI" w:cs="Segoe UI"/>
          <w:i/>
          <w:iCs/>
          <w:szCs w:val="22"/>
          <w:lang w:val="pl-PL"/>
        </w:rPr>
        <w:t xml:space="preserve"> Ukrainie. Spowodował on ponowny, skokowy wzrost cen materiałów i</w:t>
      </w:r>
      <w:r w:rsidR="006256BB">
        <w:rPr>
          <w:rFonts w:eastAsia="Segoe UI" w:cs="Segoe UI"/>
          <w:i/>
          <w:iCs/>
          <w:szCs w:val="22"/>
          <w:lang w:val="pl-PL"/>
        </w:rPr>
        <w:t xml:space="preserve"> usług </w:t>
      </w:r>
      <w:r w:rsidRPr="0091309C">
        <w:rPr>
          <w:rFonts w:eastAsia="Segoe UI" w:cs="Segoe UI"/>
          <w:i/>
          <w:iCs/>
          <w:szCs w:val="22"/>
          <w:lang w:val="pl-PL"/>
        </w:rPr>
        <w:t xml:space="preserve"> logisty</w:t>
      </w:r>
      <w:r w:rsidR="006256BB">
        <w:rPr>
          <w:rFonts w:eastAsia="Segoe UI" w:cs="Segoe UI"/>
          <w:i/>
          <w:iCs/>
          <w:szCs w:val="22"/>
          <w:lang w:val="pl-PL"/>
        </w:rPr>
        <w:t>cznych</w:t>
      </w:r>
      <w:r w:rsidRPr="0091309C">
        <w:rPr>
          <w:rFonts w:eastAsia="Segoe UI" w:cs="Segoe UI"/>
          <w:i/>
          <w:iCs/>
          <w:szCs w:val="22"/>
          <w:lang w:val="pl-PL"/>
        </w:rPr>
        <w:t>. Ponadto, pod wpływem wydarzeń związanych z agresją zbrojną przeciwko Ukrainie, w połowie kwietnia podjęliśmy decyzję o zawieszeniu naszej działalności w Rosji. Dodatkowo postanowiliśmy wycofać się z rynku białoruskiego. Wpływ podjętych przez nas kroków na wartość sprzedaży sięgnie około 1 mld euro w skali roku, a poziom zatrudnienia spadnie o ponad 2500 osób</w:t>
      </w:r>
      <w:r w:rsidRPr="0091309C">
        <w:rPr>
          <w:rFonts w:eastAsia="Segoe UI" w:cs="Segoe UI"/>
          <w:szCs w:val="22"/>
          <w:lang w:val="pl-PL"/>
        </w:rPr>
        <w:t xml:space="preserve"> – powiedział </w:t>
      </w:r>
      <w:proofErr w:type="spellStart"/>
      <w:r w:rsidRPr="0091309C">
        <w:rPr>
          <w:rFonts w:eastAsia="Segoe UI" w:cs="Segoe UI"/>
          <w:szCs w:val="22"/>
          <w:lang w:val="pl-PL"/>
        </w:rPr>
        <w:t>Carsten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 </w:t>
      </w:r>
      <w:proofErr w:type="spellStart"/>
      <w:r w:rsidRPr="0091309C">
        <w:rPr>
          <w:rFonts w:eastAsia="Segoe UI" w:cs="Segoe UI"/>
          <w:szCs w:val="22"/>
          <w:lang w:val="pl-PL"/>
        </w:rPr>
        <w:t>Knobel</w:t>
      </w:r>
      <w:proofErr w:type="spellEnd"/>
      <w:r w:rsidRPr="0091309C">
        <w:rPr>
          <w:rFonts w:eastAsia="Segoe UI" w:cs="Segoe UI"/>
          <w:szCs w:val="22"/>
          <w:lang w:val="pl-PL"/>
        </w:rPr>
        <w:t>, prezes zarządu Henkel</w:t>
      </w:r>
      <w:r w:rsidR="00165E0B">
        <w:rPr>
          <w:rFonts w:eastAsia="Segoe UI" w:cs="Segoe UI"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 xml:space="preserve">– </w:t>
      </w:r>
      <w:r w:rsidRPr="0091309C">
        <w:rPr>
          <w:rFonts w:eastAsia="Segoe UI" w:cs="Segoe UI"/>
          <w:i/>
          <w:iCs/>
          <w:szCs w:val="22"/>
          <w:lang w:val="pl-PL"/>
        </w:rPr>
        <w:t xml:space="preserve">W związku z tymi wydarzeniami spodziewamy się znacznie silniejszej presji na nasze zyski </w:t>
      </w:r>
      <w:r w:rsidRPr="0091309C">
        <w:rPr>
          <w:rFonts w:eastAsia="Segoe UI" w:cs="Segoe UI"/>
          <w:i/>
          <w:iCs/>
          <w:szCs w:val="22"/>
          <w:lang w:val="pl-PL"/>
        </w:rPr>
        <w:lastRenderedPageBreak/>
        <w:t>przez pozostałą część roku w porównaniu z oczekiwaniami, jakie mieliśmy jeszcze w styczniu. Te względy skłoniły nas do aktualizacji prognozy wyników całorocznych</w:t>
      </w:r>
      <w:r w:rsidRPr="0091309C">
        <w:rPr>
          <w:rFonts w:eastAsia="Segoe UI" w:cs="Segoe UI"/>
          <w:szCs w:val="22"/>
          <w:lang w:val="pl-PL"/>
        </w:rPr>
        <w:t xml:space="preserve"> – wyjaśnia dalej </w:t>
      </w:r>
      <w:proofErr w:type="spellStart"/>
      <w:r w:rsidRPr="0091309C">
        <w:rPr>
          <w:rFonts w:eastAsia="Segoe UI" w:cs="Segoe UI"/>
          <w:szCs w:val="22"/>
          <w:lang w:val="pl-PL"/>
        </w:rPr>
        <w:t>Carsten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 </w:t>
      </w:r>
      <w:proofErr w:type="spellStart"/>
      <w:r w:rsidRPr="0091309C">
        <w:rPr>
          <w:rFonts w:eastAsia="Segoe UI" w:cs="Segoe UI"/>
          <w:szCs w:val="22"/>
          <w:lang w:val="pl-PL"/>
        </w:rPr>
        <w:t>Knobel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. Jeżeli chodzi o </w:t>
      </w:r>
      <w:r w:rsidRPr="0091309C">
        <w:rPr>
          <w:rFonts w:eastAsia="Segoe UI" w:cs="Segoe UI"/>
          <w:b/>
          <w:bCs/>
          <w:szCs w:val="22"/>
          <w:lang w:val="pl-PL"/>
        </w:rPr>
        <w:t>ceny materiałów</w:t>
      </w:r>
      <w:r w:rsidRPr="0091309C">
        <w:rPr>
          <w:rFonts w:eastAsia="Segoe UI" w:cs="Segoe UI"/>
          <w:szCs w:val="22"/>
          <w:lang w:val="pl-PL"/>
        </w:rPr>
        <w:t>,</w:t>
      </w:r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>Henkel spodziewa się ich wzrostu w skali roku o przeszło 20% wobec średniej za 2021 r. Wcześniej przewidywano wzrost na poziomie kilkunastu procent</w:t>
      </w:r>
      <w:r w:rsidR="006256BB">
        <w:rPr>
          <w:rFonts w:eastAsia="Segoe UI" w:cs="Segoe UI"/>
          <w:szCs w:val="22"/>
          <w:lang w:val="pl-PL"/>
        </w:rPr>
        <w:t>.</w:t>
      </w:r>
      <w:r w:rsidR="003B321A">
        <w:rPr>
          <w:rFonts w:eastAsia="Segoe UI" w:cs="Segoe UI"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 xml:space="preserve">– </w:t>
      </w:r>
      <w:r w:rsidRPr="0091309C">
        <w:rPr>
          <w:rFonts w:eastAsia="Segoe UI" w:cs="Segoe UI"/>
          <w:i/>
          <w:iCs/>
          <w:szCs w:val="22"/>
          <w:lang w:val="pl-PL"/>
        </w:rPr>
        <w:t>Oznacza to dla nas blisko dwa miliardy euro dodatkowych kosztów za cały rok, czyli dwukrotnie więcej niż zakładaliśmy jeszcze pod koniec stycznia. Z tak wielką skalą wzrostów nie mieliśmy dotychczas do czynienia. Przeciwdziałamy tym zjawiskom stosując ukierunkowane działania, obejmujące w szczególności dalszą podwyżkę cen oraz poprawę efektywności.</w:t>
      </w:r>
    </w:p>
    <w:p w14:paraId="082CB21C" w14:textId="77777777" w:rsidR="0091309C" w:rsidRPr="0091309C" w:rsidRDefault="0091309C" w:rsidP="0091309C">
      <w:pPr>
        <w:widowControl w:val="0"/>
        <w:autoSpaceDE w:val="0"/>
        <w:autoSpaceDN w:val="0"/>
        <w:spacing w:before="4" w:line="240" w:lineRule="auto"/>
        <w:jc w:val="left"/>
        <w:rPr>
          <w:rFonts w:eastAsia="Segoe UI" w:cs="Segoe UI"/>
          <w:sz w:val="25"/>
          <w:szCs w:val="22"/>
          <w:lang w:val="pl-PL"/>
        </w:rPr>
      </w:pPr>
    </w:p>
    <w:p w14:paraId="2DF6D259" w14:textId="130D80B4" w:rsidR="003B321A" w:rsidRPr="0091309C" w:rsidRDefault="0091309C" w:rsidP="003B321A">
      <w:pPr>
        <w:widowControl w:val="0"/>
        <w:autoSpaceDE w:val="0"/>
        <w:autoSpaceDN w:val="0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Henkel oczekuje obecnie, że w roku obrotowym </w:t>
      </w:r>
      <w:r w:rsidRPr="0091309C">
        <w:rPr>
          <w:rFonts w:eastAsia="Segoe UI" w:cs="Segoe UI"/>
          <w:b/>
          <w:bCs/>
          <w:szCs w:val="22"/>
          <w:lang w:val="pl-PL"/>
        </w:rPr>
        <w:t>2022</w:t>
      </w:r>
      <w:r w:rsidRPr="0091309C">
        <w:rPr>
          <w:rFonts w:eastAsia="Segoe UI" w:cs="Segoe UI"/>
          <w:szCs w:val="22"/>
          <w:lang w:val="pl-PL"/>
        </w:rPr>
        <w:t xml:space="preserve"> </w:t>
      </w:r>
      <w:r w:rsidRPr="0091309C">
        <w:rPr>
          <w:rFonts w:eastAsia="Segoe UI" w:cs="Segoe UI"/>
          <w:b/>
          <w:bCs/>
          <w:szCs w:val="22"/>
          <w:lang w:val="pl-PL"/>
        </w:rPr>
        <w:t xml:space="preserve">wzrost przychodów ze sprzedaży w ujęciu organicznym na poziomie całej Grupy </w:t>
      </w:r>
      <w:r w:rsidRPr="0091309C">
        <w:rPr>
          <w:rFonts w:eastAsia="Segoe UI" w:cs="Segoe UI"/>
          <w:szCs w:val="22"/>
          <w:lang w:val="pl-PL"/>
        </w:rPr>
        <w:t xml:space="preserve">wyniesie od 3,5% do 5,5% (wobec wcześniejszych prognoz wskazujących na wzrost między 2,0% a 4,0%). Do większego niż poprzednio zakładano wzrostu sprzedaży w ujęciu organicznym przyczyni się w pierwszym rzędzie sektor biznesowy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Adhesive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Technologies, </w:t>
      </w:r>
      <w:r w:rsidRPr="0091309C">
        <w:rPr>
          <w:rFonts w:eastAsia="Segoe UI" w:cs="Segoe UI"/>
          <w:szCs w:val="22"/>
          <w:lang w:val="pl-PL"/>
        </w:rPr>
        <w:t>który zgodnie z obecnymi przewidywaniami firmy powinien wygenerować wzrost organiczny w przedziale od</w:t>
      </w:r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 xml:space="preserve">8,0% do 10,0% (poprzednio: 5,0% do 7,0%), głównie dzięki przeniesieniu </w:t>
      </w:r>
      <w:r w:rsidR="006256BB" w:rsidRPr="0091309C">
        <w:rPr>
          <w:rFonts w:eastAsia="Segoe UI" w:cs="Segoe UI"/>
          <w:szCs w:val="22"/>
          <w:lang w:val="pl-PL"/>
        </w:rPr>
        <w:t xml:space="preserve">na odbiorców </w:t>
      </w:r>
      <w:r w:rsidRPr="0091309C">
        <w:rPr>
          <w:rFonts w:eastAsia="Segoe UI" w:cs="Segoe UI"/>
          <w:szCs w:val="22"/>
          <w:lang w:val="pl-PL"/>
        </w:rPr>
        <w:t xml:space="preserve">zwiększonych kosztów surowców i logistyki </w:t>
      </w:r>
      <w:r w:rsidR="006256BB">
        <w:rPr>
          <w:rFonts w:eastAsia="Segoe UI" w:cs="Segoe UI"/>
          <w:szCs w:val="22"/>
          <w:lang w:val="pl-PL"/>
        </w:rPr>
        <w:t xml:space="preserve">poprzez podwyższenie </w:t>
      </w:r>
      <w:r w:rsidRPr="0091309C">
        <w:rPr>
          <w:rFonts w:eastAsia="Segoe UI" w:cs="Segoe UI"/>
          <w:szCs w:val="22"/>
          <w:lang w:val="pl-PL"/>
        </w:rPr>
        <w:t xml:space="preserve">cen. Oczekiwania dotyczące organicznego wzrostu sprzedaży w sektorach </w:t>
      </w:r>
      <w:proofErr w:type="spellStart"/>
      <w:r w:rsidRPr="0091309C">
        <w:rPr>
          <w:rFonts w:eastAsia="Segoe UI" w:cs="Segoe UI"/>
          <w:szCs w:val="22"/>
          <w:lang w:val="pl-PL"/>
        </w:rPr>
        <w:t>Beauty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 </w:t>
      </w:r>
      <w:proofErr w:type="spellStart"/>
      <w:r w:rsidRPr="0091309C">
        <w:rPr>
          <w:rFonts w:eastAsia="Segoe UI" w:cs="Segoe UI"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 oraz </w:t>
      </w:r>
      <w:proofErr w:type="spellStart"/>
      <w:r w:rsidRPr="0091309C">
        <w:rPr>
          <w:rFonts w:eastAsia="Segoe UI" w:cs="Segoe UI"/>
          <w:szCs w:val="22"/>
          <w:lang w:val="pl-PL"/>
        </w:rPr>
        <w:t>Laundry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 &amp; Home </w:t>
      </w:r>
      <w:proofErr w:type="spellStart"/>
      <w:r w:rsidRPr="0091309C">
        <w:rPr>
          <w:rFonts w:eastAsia="Segoe UI" w:cs="Segoe UI"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 pozostają bez zmian</w:t>
      </w:r>
      <w:r w:rsidR="006256BB">
        <w:rPr>
          <w:rFonts w:eastAsia="Segoe UI" w:cs="Segoe UI"/>
          <w:szCs w:val="22"/>
          <w:lang w:val="pl-PL"/>
        </w:rPr>
        <w:t>.</w:t>
      </w:r>
    </w:p>
    <w:p w14:paraId="2ADFA3F2" w14:textId="3A3E8C02" w:rsidR="0091309C" w:rsidRPr="0091309C" w:rsidRDefault="0091309C" w:rsidP="003B321A">
      <w:pPr>
        <w:widowControl w:val="0"/>
        <w:autoSpaceDE w:val="0"/>
        <w:autoSpaceDN w:val="0"/>
        <w:spacing w:before="240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W sektorze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Beauty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 xml:space="preserve">zakładana dynamika sprzedaży w ujęciu organicznym wyniesie między -5,0% a -3,0%. Jak już informowano, główną przyczyną spadku będą zatwierdzone i wdrażane obecnie działania optymalizujące portfolio, w tym likwidacja segmentów wyłączonych z przyszłej działalności podstawowej. W sektorze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Laundry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&amp; Home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 (środki piorące i czystości) wzrost wyników sprzedaży w ujęciu organicznym jest nadal przewidywany w przedziale 2%</w:t>
      </w:r>
      <w:r w:rsidR="00B010B2">
        <w:rPr>
          <w:rFonts w:eastAsia="Segoe UI" w:cs="Segoe UI"/>
          <w:szCs w:val="22"/>
          <w:lang w:val="pl-PL"/>
        </w:rPr>
        <w:t>-</w:t>
      </w:r>
      <w:r w:rsidRPr="0091309C">
        <w:rPr>
          <w:rFonts w:eastAsia="Segoe UI" w:cs="Segoe UI"/>
          <w:szCs w:val="22"/>
          <w:lang w:val="pl-PL"/>
        </w:rPr>
        <w:t>4%. W związku z decyzją o zawieszeniu działalności firmy w Rosji i na Białorusi, począwszy od drugiego kwartału roku te dwa rynki nie będą już uwzględniane przy ustalaniu wzrostu przychodów ze sprzedaży w ujęciu organicznym.</w:t>
      </w:r>
    </w:p>
    <w:p w14:paraId="60A13355" w14:textId="1F0D3BFB" w:rsidR="0091309C" w:rsidRPr="0091309C" w:rsidRDefault="0091309C" w:rsidP="003B321A">
      <w:pPr>
        <w:widowControl w:val="0"/>
        <w:autoSpaceDE w:val="0"/>
        <w:autoSpaceDN w:val="0"/>
        <w:spacing w:before="242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Oprócz skutków wycofania się z rynków rosyjskiego i białoruskiego, </w:t>
      </w:r>
      <w:r w:rsidR="005B6644">
        <w:rPr>
          <w:rFonts w:eastAsia="Segoe UI" w:cs="Segoe UI"/>
          <w:szCs w:val="22"/>
          <w:lang w:val="pl-PL"/>
        </w:rPr>
        <w:t xml:space="preserve">przewidywany </w:t>
      </w:r>
      <w:r w:rsidRPr="0091309C">
        <w:rPr>
          <w:rFonts w:eastAsia="Segoe UI" w:cs="Segoe UI"/>
          <w:szCs w:val="22"/>
          <w:lang w:val="pl-PL"/>
        </w:rPr>
        <w:t>większy niż wcześniej</w:t>
      </w:r>
      <w:r w:rsidR="005B6644">
        <w:rPr>
          <w:rFonts w:eastAsia="Segoe UI" w:cs="Segoe UI"/>
          <w:szCs w:val="22"/>
          <w:lang w:val="pl-PL"/>
        </w:rPr>
        <w:t>,</w:t>
      </w:r>
      <w:r w:rsidRPr="0091309C">
        <w:rPr>
          <w:rFonts w:eastAsia="Segoe UI" w:cs="Segoe UI"/>
          <w:szCs w:val="22"/>
          <w:lang w:val="pl-PL"/>
        </w:rPr>
        <w:t xml:space="preserve"> wpływ na poziom zysków </w:t>
      </w:r>
      <w:r w:rsidR="005B6644">
        <w:rPr>
          <w:rFonts w:eastAsia="Segoe UI" w:cs="Segoe UI"/>
          <w:szCs w:val="22"/>
          <w:lang w:val="pl-PL"/>
        </w:rPr>
        <w:t xml:space="preserve">firmy </w:t>
      </w:r>
      <w:r w:rsidRPr="0091309C">
        <w:rPr>
          <w:rFonts w:eastAsia="Segoe UI" w:cs="Segoe UI"/>
          <w:szCs w:val="22"/>
          <w:lang w:val="pl-PL"/>
        </w:rPr>
        <w:t>Henkel będą mieć znaczące wzrosty cen materiałów bezpośrednich i usług logistycznych, których w bieżącym roku obrotowym nie da się w pełni zniwelować.</w:t>
      </w:r>
    </w:p>
    <w:p w14:paraId="233B3B77" w14:textId="77777777" w:rsidR="0091309C" w:rsidRPr="0091309C" w:rsidRDefault="0091309C" w:rsidP="0091309C">
      <w:pPr>
        <w:widowControl w:val="0"/>
        <w:autoSpaceDE w:val="0"/>
        <w:autoSpaceDN w:val="0"/>
        <w:spacing w:before="5" w:line="240" w:lineRule="auto"/>
        <w:jc w:val="left"/>
        <w:rPr>
          <w:rFonts w:eastAsia="Segoe UI" w:cs="Segoe UI"/>
          <w:sz w:val="25"/>
          <w:szCs w:val="22"/>
          <w:lang w:val="pl-PL"/>
        </w:rPr>
      </w:pPr>
    </w:p>
    <w:p w14:paraId="6BA9F0EF" w14:textId="52513A08" w:rsidR="0091309C" w:rsidRPr="0091309C" w:rsidRDefault="0091309C" w:rsidP="005B6644">
      <w:pPr>
        <w:widowControl w:val="0"/>
        <w:autoSpaceDE w:val="0"/>
        <w:autoSpaceDN w:val="0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>Według zaktualizowanej prognozy</w:t>
      </w:r>
      <w:r w:rsidRPr="0091309C">
        <w:rPr>
          <w:rFonts w:eastAsia="Segoe UI" w:cs="Segoe UI"/>
          <w:b/>
          <w:bCs/>
          <w:szCs w:val="22"/>
          <w:lang w:val="pl-PL"/>
        </w:rPr>
        <w:t xml:space="preserve"> skorygowana rentowność sprzedaży (marża EBIT) Grupy Henkel </w:t>
      </w:r>
      <w:r w:rsidRPr="0091309C">
        <w:rPr>
          <w:rFonts w:eastAsia="Segoe UI" w:cs="Segoe UI"/>
          <w:szCs w:val="22"/>
          <w:lang w:val="pl-PL"/>
        </w:rPr>
        <w:t xml:space="preserve">ukształtuje się w niższym niż poprzednio zakładano przedziale od 9,0% do 11,0% (poprzednio: 11,5%–13,5%). W sektorze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Adhesive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Technologies</w:t>
      </w:r>
      <w:r w:rsidRPr="0091309C">
        <w:rPr>
          <w:rFonts w:eastAsia="Segoe UI" w:cs="Segoe UI"/>
          <w:szCs w:val="22"/>
          <w:lang w:val="pl-PL"/>
        </w:rPr>
        <w:t xml:space="preserve"> Henkel spodziewa się skorygowanej rentowności sprzedaży w przedziale między 13,0% a 15,0% (poprzednie </w:t>
      </w:r>
      <w:r w:rsidRPr="0091309C">
        <w:rPr>
          <w:rFonts w:eastAsia="Segoe UI" w:cs="Segoe UI"/>
          <w:szCs w:val="22"/>
          <w:lang w:val="pl-PL"/>
        </w:rPr>
        <w:lastRenderedPageBreak/>
        <w:t xml:space="preserve">założenia: 15,0% do 17,0%), w sektorze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Beauty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– </w:t>
      </w:r>
      <w:r w:rsidRPr="0091309C">
        <w:rPr>
          <w:rFonts w:eastAsia="Segoe UI" w:cs="Segoe UI"/>
          <w:szCs w:val="22"/>
          <w:lang w:val="pl-PL"/>
        </w:rPr>
        <w:t xml:space="preserve">w przedziale od 5,0% do 7,0% (poprzednio: 7,5% do 10,0%), natomiast w sektorze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Laundry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&amp; Home </w:t>
      </w:r>
      <w:proofErr w:type="spellStart"/>
      <w:r w:rsidRPr="0091309C">
        <w:rPr>
          <w:rFonts w:eastAsia="Segoe UI" w:cs="Segoe UI"/>
          <w:b/>
          <w:b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b/>
          <w:bCs/>
          <w:szCs w:val="22"/>
          <w:lang w:val="pl-PL"/>
        </w:rPr>
        <w:t xml:space="preserve"> – </w:t>
      </w:r>
      <w:r w:rsidRPr="0091309C">
        <w:rPr>
          <w:rFonts w:eastAsia="Segoe UI" w:cs="Segoe UI"/>
          <w:szCs w:val="22"/>
          <w:lang w:val="pl-PL"/>
        </w:rPr>
        <w:t>w przedziale od 7,0% do 9,0% (poprzednio: 10,5% do</w:t>
      </w:r>
      <w:r w:rsidR="005B6644">
        <w:rPr>
          <w:rFonts w:eastAsia="Segoe UI" w:cs="Segoe UI"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>13,0%).</w:t>
      </w:r>
    </w:p>
    <w:p w14:paraId="718CF0B1" w14:textId="77777777" w:rsidR="0091309C" w:rsidRPr="0091309C" w:rsidRDefault="0091309C" w:rsidP="0091309C">
      <w:pPr>
        <w:widowControl w:val="0"/>
        <w:autoSpaceDE w:val="0"/>
        <w:autoSpaceDN w:val="0"/>
        <w:spacing w:before="3" w:line="240" w:lineRule="auto"/>
        <w:jc w:val="left"/>
        <w:rPr>
          <w:rFonts w:eastAsia="Segoe UI" w:cs="Segoe UI"/>
          <w:sz w:val="25"/>
          <w:szCs w:val="22"/>
          <w:lang w:val="pl-PL"/>
        </w:rPr>
      </w:pPr>
    </w:p>
    <w:p w14:paraId="46FA977C" w14:textId="688A947B" w:rsidR="0091309C" w:rsidRPr="0091309C" w:rsidRDefault="0091309C" w:rsidP="005B6644">
      <w:pPr>
        <w:widowControl w:val="0"/>
        <w:autoSpaceDE w:val="0"/>
        <w:autoSpaceDN w:val="0"/>
        <w:spacing w:line="240" w:lineRule="auto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W odniesieniu do </w:t>
      </w:r>
      <w:r w:rsidRPr="0091309C">
        <w:rPr>
          <w:rFonts w:eastAsia="Segoe UI" w:cs="Segoe UI"/>
          <w:b/>
          <w:bCs/>
          <w:szCs w:val="22"/>
          <w:lang w:val="pl-PL"/>
        </w:rPr>
        <w:t xml:space="preserve">skorygowanego zysku na akcję uprzywilejowaną (EPS) </w:t>
      </w:r>
      <w:r w:rsidRPr="0091309C">
        <w:rPr>
          <w:rFonts w:eastAsia="Segoe UI" w:cs="Segoe UI"/>
          <w:szCs w:val="22"/>
          <w:lang w:val="pl-PL"/>
        </w:rPr>
        <w:t>przy założeniu stałych kursów wymiany Henkel prognozuje obecnie spadek rzędu 35% do 15% (poprzednio: -15% do +5%).</w:t>
      </w:r>
    </w:p>
    <w:p w14:paraId="16923A27" w14:textId="77777777" w:rsidR="0091309C" w:rsidRPr="0091309C" w:rsidRDefault="0091309C" w:rsidP="0091309C">
      <w:pPr>
        <w:widowControl w:val="0"/>
        <w:autoSpaceDE w:val="0"/>
        <w:autoSpaceDN w:val="0"/>
        <w:spacing w:before="4" w:line="240" w:lineRule="auto"/>
        <w:jc w:val="left"/>
        <w:rPr>
          <w:rFonts w:eastAsia="Segoe UI" w:cs="Segoe UI"/>
          <w:sz w:val="25"/>
          <w:szCs w:val="22"/>
          <w:lang w:val="pl-PL"/>
        </w:rPr>
      </w:pPr>
    </w:p>
    <w:p w14:paraId="02CDB64D" w14:textId="0A4E050E" w:rsidR="0091309C" w:rsidRPr="0091309C" w:rsidRDefault="0091309C" w:rsidP="005B6644">
      <w:pPr>
        <w:widowControl w:val="0"/>
        <w:autoSpaceDE w:val="0"/>
        <w:autoSpaceDN w:val="0"/>
        <w:spacing w:line="240" w:lineRule="auto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Zaktualizowana prognoza opiera się na założeniu, że konsekwencje toczącej się </w:t>
      </w:r>
      <w:r w:rsidR="005B6644">
        <w:rPr>
          <w:rFonts w:eastAsia="Segoe UI" w:cs="Segoe UI"/>
          <w:szCs w:val="22"/>
          <w:lang w:val="pl-PL"/>
        </w:rPr>
        <w:t xml:space="preserve">wojny </w:t>
      </w:r>
      <w:r w:rsidRPr="0091309C">
        <w:rPr>
          <w:rFonts w:eastAsia="Segoe UI" w:cs="Segoe UI"/>
          <w:szCs w:val="22"/>
          <w:lang w:val="pl-PL"/>
        </w:rPr>
        <w:t>w Ukrainie</w:t>
      </w:r>
      <w:r w:rsidR="005B6644">
        <w:rPr>
          <w:rFonts w:eastAsia="Segoe UI" w:cs="Segoe UI"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>nie ulegną istotnemu pogorszeniu i że na produkcję przemysłową i działalność detaliczną nie zostaną nałożone nowe, szeroko zakrojone ograniczenia pandemiczne.</w:t>
      </w:r>
    </w:p>
    <w:p w14:paraId="28D74A11" w14:textId="77777777" w:rsidR="0091309C" w:rsidRPr="0091309C" w:rsidRDefault="0091309C" w:rsidP="0091309C">
      <w:pPr>
        <w:widowControl w:val="0"/>
        <w:autoSpaceDE w:val="0"/>
        <w:autoSpaceDN w:val="0"/>
        <w:spacing w:before="4" w:line="240" w:lineRule="auto"/>
        <w:jc w:val="left"/>
        <w:rPr>
          <w:rFonts w:eastAsia="Segoe UI" w:cs="Segoe UI"/>
          <w:sz w:val="25"/>
          <w:szCs w:val="22"/>
          <w:lang w:val="pl-PL"/>
        </w:rPr>
      </w:pPr>
    </w:p>
    <w:p w14:paraId="66413A74" w14:textId="1909E448" w:rsidR="0091309C" w:rsidRPr="0091309C" w:rsidRDefault="0091309C" w:rsidP="005B6644">
      <w:pPr>
        <w:widowControl w:val="0"/>
        <w:autoSpaceDE w:val="0"/>
        <w:autoSpaceDN w:val="0"/>
        <w:spacing w:before="1"/>
        <w:ind w:left="284" w:right="284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 xml:space="preserve">– </w:t>
      </w:r>
      <w:r w:rsidRPr="0091309C">
        <w:rPr>
          <w:rFonts w:eastAsia="Segoe UI" w:cs="Segoe UI"/>
          <w:i/>
          <w:iCs/>
          <w:szCs w:val="22"/>
          <w:lang w:val="pl-PL"/>
        </w:rPr>
        <w:t xml:space="preserve">Pomimo wyjątkowo trudnych warunków otoczenia zewnętrznego, realizujemy naszą strategię ukierunkowanego rozwoju. Dzięki sektorowi </w:t>
      </w:r>
      <w:proofErr w:type="spellStart"/>
      <w:r w:rsidRPr="0091309C">
        <w:rPr>
          <w:rFonts w:eastAsia="Segoe UI" w:cs="Segoe UI"/>
          <w:i/>
          <w:iCs/>
          <w:szCs w:val="22"/>
          <w:lang w:val="pl-PL"/>
        </w:rPr>
        <w:t>Adhesive</w:t>
      </w:r>
      <w:proofErr w:type="spellEnd"/>
      <w:r w:rsidRPr="0091309C">
        <w:rPr>
          <w:rFonts w:eastAsia="Segoe UI" w:cs="Segoe UI"/>
          <w:i/>
          <w:iCs/>
          <w:szCs w:val="22"/>
          <w:lang w:val="pl-PL"/>
        </w:rPr>
        <w:t xml:space="preserve"> Technologies zajmujemy pozycję globalnego lidera i oferujemy innowacyjne rozwiązania dla wielu istotnych branż, koncentrując się na trendach przyszłości, takich jak mobilność, łączność czy zrównoważony rozwój. Dzięki połączeniu działalności konsumenckiej prowadzonej w ramach sektorów </w:t>
      </w:r>
      <w:proofErr w:type="spellStart"/>
      <w:r w:rsidRPr="0091309C">
        <w:rPr>
          <w:rFonts w:eastAsia="Segoe UI" w:cs="Segoe UI"/>
          <w:i/>
          <w:iCs/>
          <w:szCs w:val="22"/>
          <w:lang w:val="pl-PL"/>
        </w:rPr>
        <w:t>Laundry</w:t>
      </w:r>
      <w:proofErr w:type="spellEnd"/>
      <w:r w:rsidRPr="0091309C">
        <w:rPr>
          <w:rFonts w:eastAsia="Segoe UI" w:cs="Segoe UI"/>
          <w:i/>
          <w:iCs/>
          <w:szCs w:val="22"/>
          <w:lang w:val="pl-PL"/>
        </w:rPr>
        <w:t xml:space="preserve"> &amp; Home </w:t>
      </w:r>
      <w:proofErr w:type="spellStart"/>
      <w:r w:rsidRPr="0091309C">
        <w:rPr>
          <w:rFonts w:eastAsia="Segoe UI" w:cs="Segoe UI"/>
          <w:i/>
          <w:i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i/>
          <w:iCs/>
          <w:szCs w:val="22"/>
          <w:lang w:val="pl-PL"/>
        </w:rPr>
        <w:t xml:space="preserve"> oraz </w:t>
      </w:r>
      <w:proofErr w:type="spellStart"/>
      <w:r w:rsidRPr="0091309C">
        <w:rPr>
          <w:rFonts w:eastAsia="Segoe UI" w:cs="Segoe UI"/>
          <w:i/>
          <w:iCs/>
          <w:szCs w:val="22"/>
          <w:lang w:val="pl-PL"/>
        </w:rPr>
        <w:t>Beauty</w:t>
      </w:r>
      <w:proofErr w:type="spellEnd"/>
      <w:r w:rsidRPr="0091309C">
        <w:rPr>
          <w:rFonts w:eastAsia="Segoe UI" w:cs="Segoe UI"/>
          <w:i/>
          <w:iCs/>
          <w:szCs w:val="22"/>
          <w:lang w:val="pl-PL"/>
        </w:rPr>
        <w:t xml:space="preserve"> </w:t>
      </w:r>
      <w:proofErr w:type="spellStart"/>
      <w:r w:rsidRPr="0091309C">
        <w:rPr>
          <w:rFonts w:eastAsia="Segoe UI" w:cs="Segoe UI"/>
          <w:i/>
          <w:iCs/>
          <w:szCs w:val="22"/>
          <w:lang w:val="pl-PL"/>
        </w:rPr>
        <w:t>Care</w:t>
      </w:r>
      <w:proofErr w:type="spellEnd"/>
      <w:r w:rsidRPr="0091309C">
        <w:rPr>
          <w:rFonts w:eastAsia="Segoe UI" w:cs="Segoe UI"/>
          <w:i/>
          <w:iCs/>
          <w:szCs w:val="22"/>
          <w:lang w:val="pl-PL"/>
        </w:rPr>
        <w:t xml:space="preserve"> w jeden nowy sektor, który będzie funkcjonował pod nazwą: Henkel Consumer </w:t>
      </w:r>
      <w:proofErr w:type="spellStart"/>
      <w:r w:rsidRPr="0091309C">
        <w:rPr>
          <w:rFonts w:eastAsia="Segoe UI" w:cs="Segoe UI"/>
          <w:i/>
          <w:iCs/>
          <w:szCs w:val="22"/>
          <w:lang w:val="pl-PL"/>
        </w:rPr>
        <w:t>Brands</w:t>
      </w:r>
      <w:proofErr w:type="spellEnd"/>
      <w:r w:rsidRPr="0091309C">
        <w:rPr>
          <w:rFonts w:eastAsia="Segoe UI" w:cs="Segoe UI"/>
          <w:i/>
          <w:iCs/>
          <w:szCs w:val="22"/>
          <w:lang w:val="pl-PL"/>
        </w:rPr>
        <w:t>, tworzymy platformę wieloproduktową generującą przychody rzędu 10 mld euro. Przyszły sektor marek konsumenckich Henkel ma powstać najpóźniej na początku 2023 r., co zapewni nam szersze możliwości dalszej konsekwentnej optymalizacji i takiego kształtowania portfolio produktów, które przełoży się na szybsze tempo wzrostu i osiąganie wyższej marży</w:t>
      </w:r>
      <w:r w:rsidR="005B6644">
        <w:rPr>
          <w:rFonts w:eastAsia="Segoe UI" w:cs="Segoe UI"/>
          <w:i/>
          <w:iCs/>
          <w:szCs w:val="22"/>
          <w:lang w:val="pl-PL"/>
        </w:rPr>
        <w:t xml:space="preserve"> </w:t>
      </w:r>
      <w:r w:rsidRPr="0091309C">
        <w:rPr>
          <w:rFonts w:eastAsia="Segoe UI" w:cs="Segoe UI"/>
          <w:szCs w:val="22"/>
          <w:lang w:val="pl-PL"/>
        </w:rPr>
        <w:t xml:space="preserve">– powiedział </w:t>
      </w:r>
      <w:proofErr w:type="spellStart"/>
      <w:r w:rsidRPr="0091309C">
        <w:rPr>
          <w:rFonts w:eastAsia="Segoe UI" w:cs="Segoe UI"/>
          <w:szCs w:val="22"/>
          <w:lang w:val="pl-PL"/>
        </w:rPr>
        <w:t>Carsten</w:t>
      </w:r>
      <w:proofErr w:type="spellEnd"/>
      <w:r w:rsidRPr="0091309C">
        <w:rPr>
          <w:rFonts w:eastAsia="Segoe UI" w:cs="Segoe UI"/>
          <w:szCs w:val="22"/>
          <w:lang w:val="pl-PL"/>
        </w:rPr>
        <w:t xml:space="preserve"> </w:t>
      </w:r>
      <w:proofErr w:type="spellStart"/>
      <w:r w:rsidRPr="0091309C">
        <w:rPr>
          <w:rFonts w:eastAsia="Segoe UI" w:cs="Segoe UI"/>
          <w:szCs w:val="22"/>
          <w:lang w:val="pl-PL"/>
        </w:rPr>
        <w:t>Knobel</w:t>
      </w:r>
      <w:proofErr w:type="spellEnd"/>
      <w:r w:rsidRPr="0091309C">
        <w:rPr>
          <w:rFonts w:eastAsia="Segoe UI" w:cs="Segoe UI"/>
          <w:szCs w:val="22"/>
          <w:lang w:val="pl-PL"/>
        </w:rPr>
        <w:t>.</w:t>
      </w:r>
    </w:p>
    <w:p w14:paraId="6F6C6189" w14:textId="77777777" w:rsidR="0091309C" w:rsidRPr="0091309C" w:rsidRDefault="0091309C" w:rsidP="0091309C">
      <w:pPr>
        <w:widowControl w:val="0"/>
        <w:autoSpaceDE w:val="0"/>
        <w:autoSpaceDN w:val="0"/>
        <w:spacing w:before="10" w:line="240" w:lineRule="auto"/>
        <w:jc w:val="left"/>
        <w:rPr>
          <w:rFonts w:eastAsia="Segoe UI" w:cs="Segoe UI"/>
          <w:sz w:val="20"/>
          <w:szCs w:val="22"/>
          <w:lang w:val="pl-PL"/>
        </w:rPr>
      </w:pPr>
    </w:p>
    <w:p w14:paraId="74DCD38C" w14:textId="0C1EC817" w:rsidR="007F0F63" w:rsidRPr="005B6644" w:rsidRDefault="0091309C" w:rsidP="005B6644">
      <w:pPr>
        <w:widowControl w:val="0"/>
        <w:autoSpaceDE w:val="0"/>
        <w:autoSpaceDN w:val="0"/>
        <w:ind w:left="113" w:right="113"/>
        <w:rPr>
          <w:rFonts w:eastAsia="Segoe UI" w:cs="Segoe UI"/>
          <w:szCs w:val="22"/>
          <w:lang w:val="pl-PL"/>
        </w:rPr>
      </w:pPr>
      <w:r w:rsidRPr="0091309C">
        <w:rPr>
          <w:rFonts w:eastAsia="Segoe UI" w:cs="Segoe UI"/>
          <w:szCs w:val="22"/>
          <w:lang w:val="pl-PL"/>
        </w:rPr>
        <w:t>5 maja Henkel opublikuje sprawozdanie za pierwszy kwartał 2022 r.</w:t>
      </w:r>
      <w:r w:rsidR="005B6644">
        <w:rPr>
          <w:rFonts w:eastAsia="Segoe UI" w:cs="Segoe UI"/>
          <w:szCs w:val="22"/>
          <w:lang w:val="pl-PL"/>
        </w:rPr>
        <w:t>,</w:t>
      </w:r>
      <w:r w:rsidRPr="0091309C">
        <w:rPr>
          <w:rFonts w:eastAsia="Segoe UI" w:cs="Segoe UI"/>
          <w:szCs w:val="22"/>
          <w:lang w:val="pl-PL"/>
        </w:rPr>
        <w:t xml:space="preserve"> a także zgodnie z zapowiedziami, szczegółowe informacje na temat procesu integracji dwóch sektorów biznesowych oraz planowanych działań portfelowych, w tym przewidywanych efektów synergii i kosztów restrukturyzacji.</w:t>
      </w:r>
    </w:p>
    <w:p w14:paraId="56AC8909" w14:textId="77777777" w:rsidR="002A2975" w:rsidRPr="007B3DCD" w:rsidRDefault="002A2975" w:rsidP="00643D8A">
      <w:pPr>
        <w:rPr>
          <w:rFonts w:cs="Segoe UI"/>
          <w:szCs w:val="22"/>
          <w:lang w:val="pl-PL"/>
        </w:rPr>
      </w:pP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19C2C821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41421C">
        <w:rPr>
          <w:sz w:val="18"/>
          <w:lang w:val="pl-PL"/>
        </w:rPr>
        <w:t>Adhesive</w:t>
      </w:r>
      <w:proofErr w:type="spellEnd"/>
      <w:r w:rsidRPr="0041421C">
        <w:rPr>
          <w:sz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41421C">
        <w:rPr>
          <w:sz w:val="18"/>
          <w:lang w:val="pl-PL"/>
        </w:rPr>
        <w:t>Laundry</w:t>
      </w:r>
      <w:proofErr w:type="spellEnd"/>
      <w:r w:rsidRPr="0041421C">
        <w:rPr>
          <w:sz w:val="18"/>
          <w:lang w:val="pl-PL"/>
        </w:rPr>
        <w:t xml:space="preserve"> &amp; Home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(środków piorących i czystości) oraz </w:t>
      </w:r>
      <w:proofErr w:type="spellStart"/>
      <w:r w:rsidRPr="0041421C">
        <w:rPr>
          <w:sz w:val="18"/>
          <w:lang w:val="pl-PL"/>
        </w:rPr>
        <w:t>Beauty</w:t>
      </w:r>
      <w:proofErr w:type="spellEnd"/>
      <w:r w:rsidRPr="0041421C">
        <w:rPr>
          <w:sz w:val="18"/>
          <w:lang w:val="pl-PL"/>
        </w:rPr>
        <w:t xml:space="preserve"> </w:t>
      </w:r>
      <w:proofErr w:type="spellStart"/>
      <w:r w:rsidRPr="0041421C">
        <w:rPr>
          <w:sz w:val="18"/>
          <w:lang w:val="pl-PL"/>
        </w:rPr>
        <w:t>Care</w:t>
      </w:r>
      <w:proofErr w:type="spellEnd"/>
      <w:r w:rsidRPr="0041421C">
        <w:rPr>
          <w:sz w:val="18"/>
          <w:lang w:val="pl-PL"/>
        </w:rPr>
        <w:t xml:space="preserve">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>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proofErr w:type="spellStart"/>
      <w:r w:rsidRPr="0041421C">
        <w:rPr>
          <w:sz w:val="18"/>
          <w:lang w:val="en-GB"/>
        </w:rPr>
        <w:t>tel</w:t>
      </w:r>
      <w:proofErr w:type="spellEnd"/>
      <w:r w:rsidRPr="0041421C">
        <w:rPr>
          <w:sz w:val="18"/>
          <w:lang w:val="en-GB"/>
        </w:rPr>
        <w:t xml:space="preserve">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C971DD" w:rsidP="007B3DC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8B68" w14:textId="77777777" w:rsidR="002C1344" w:rsidRDefault="002C1344">
      <w:r>
        <w:separator/>
      </w:r>
    </w:p>
  </w:endnote>
  <w:endnote w:type="continuationSeparator" w:id="0">
    <w:p w14:paraId="3ED2E8CF" w14:textId="77777777" w:rsidR="002C1344" w:rsidRDefault="002C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C971DD">
      <w:fldChar w:fldCharType="begin"/>
    </w:r>
    <w:r w:rsidR="00C971DD">
      <w:instrText xml:space="preserve"> NUMPAGES  \* Arabic  \* MERGEFORMAT </w:instrText>
    </w:r>
    <w:r w:rsidR="00C971DD">
      <w:fldChar w:fldCharType="separate"/>
    </w:r>
    <w:r>
      <w:t>2</w:t>
    </w:r>
    <w:r w:rsidR="00C971DD">
      <w:fldChar w:fldCharType="end"/>
    </w:r>
  </w:p>
  <w:p w14:paraId="38BBE115" w14:textId="77777777" w:rsidR="00CA6242" w:rsidRDefault="00CA62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  <w:p w14:paraId="560788DC" w14:textId="77777777" w:rsidR="00CA6242" w:rsidRDefault="00CA62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F78C" w14:textId="77777777" w:rsidR="002C1344" w:rsidRDefault="002C1344">
      <w:r>
        <w:separator/>
      </w:r>
    </w:p>
  </w:footnote>
  <w:footnote w:type="continuationSeparator" w:id="0">
    <w:p w14:paraId="19F5BBF8" w14:textId="77777777" w:rsidR="002C1344" w:rsidRDefault="002C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  <w:p w14:paraId="7E030806" w14:textId="77777777" w:rsidR="00CA6242" w:rsidRDefault="00CA62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  <w:p w14:paraId="2D72AF11" w14:textId="77777777" w:rsidR="00CA6242" w:rsidRDefault="00CA62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0568C"/>
    <w:multiLevelType w:val="hybridMultilevel"/>
    <w:tmpl w:val="12AA71D2"/>
    <w:lvl w:ilvl="0" w:tplc="13004096">
      <w:numFmt w:val="bullet"/>
      <w:lvlText w:val=""/>
      <w:lvlJc w:val="left"/>
      <w:pPr>
        <w:ind w:left="469" w:hanging="358"/>
      </w:pPr>
      <w:rPr>
        <w:rFonts w:ascii="Wingdings" w:eastAsia="Wingdings" w:hAnsi="Wingdings" w:cs="Wingdings" w:hint="default"/>
        <w:b w:val="0"/>
        <w:bCs w:val="0"/>
        <w:i w:val="0"/>
        <w:iCs w:val="0"/>
        <w:color w:val="E0000E"/>
        <w:w w:val="100"/>
        <w:sz w:val="24"/>
        <w:szCs w:val="24"/>
        <w:lang w:val="de-DE" w:eastAsia="en-US" w:bidi="ar-SA"/>
      </w:rPr>
    </w:lvl>
    <w:lvl w:ilvl="1" w:tplc="2A5EC548">
      <w:numFmt w:val="bullet"/>
      <w:lvlText w:val="-"/>
      <w:lvlJc w:val="left"/>
      <w:pPr>
        <w:ind w:left="819" w:hanging="281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100"/>
        <w:sz w:val="22"/>
        <w:szCs w:val="22"/>
        <w:lang w:val="de-DE" w:eastAsia="en-US" w:bidi="ar-SA"/>
      </w:rPr>
    </w:lvl>
    <w:lvl w:ilvl="2" w:tplc="0F08022C">
      <w:numFmt w:val="bullet"/>
      <w:lvlText w:val="•"/>
      <w:lvlJc w:val="left"/>
      <w:pPr>
        <w:ind w:left="1818" w:hanging="281"/>
      </w:pPr>
      <w:rPr>
        <w:rFonts w:hint="default"/>
        <w:lang w:val="de-DE" w:eastAsia="en-US" w:bidi="ar-SA"/>
      </w:rPr>
    </w:lvl>
    <w:lvl w:ilvl="3" w:tplc="BE3802DE">
      <w:numFmt w:val="bullet"/>
      <w:lvlText w:val="•"/>
      <w:lvlJc w:val="left"/>
      <w:pPr>
        <w:ind w:left="2816" w:hanging="281"/>
      </w:pPr>
      <w:rPr>
        <w:rFonts w:hint="default"/>
        <w:lang w:val="de-DE" w:eastAsia="en-US" w:bidi="ar-SA"/>
      </w:rPr>
    </w:lvl>
    <w:lvl w:ilvl="4" w:tplc="595C9744">
      <w:numFmt w:val="bullet"/>
      <w:lvlText w:val="•"/>
      <w:lvlJc w:val="left"/>
      <w:pPr>
        <w:ind w:left="3815" w:hanging="281"/>
      </w:pPr>
      <w:rPr>
        <w:rFonts w:hint="default"/>
        <w:lang w:val="de-DE" w:eastAsia="en-US" w:bidi="ar-SA"/>
      </w:rPr>
    </w:lvl>
    <w:lvl w:ilvl="5" w:tplc="9F925674">
      <w:numFmt w:val="bullet"/>
      <w:lvlText w:val="•"/>
      <w:lvlJc w:val="left"/>
      <w:pPr>
        <w:ind w:left="4813" w:hanging="281"/>
      </w:pPr>
      <w:rPr>
        <w:rFonts w:hint="default"/>
        <w:lang w:val="de-DE" w:eastAsia="en-US" w:bidi="ar-SA"/>
      </w:rPr>
    </w:lvl>
    <w:lvl w:ilvl="6" w:tplc="04E293CC">
      <w:numFmt w:val="bullet"/>
      <w:lvlText w:val="•"/>
      <w:lvlJc w:val="left"/>
      <w:pPr>
        <w:ind w:left="5812" w:hanging="281"/>
      </w:pPr>
      <w:rPr>
        <w:rFonts w:hint="default"/>
        <w:lang w:val="de-DE" w:eastAsia="en-US" w:bidi="ar-SA"/>
      </w:rPr>
    </w:lvl>
    <w:lvl w:ilvl="7" w:tplc="7504A060">
      <w:numFmt w:val="bullet"/>
      <w:lvlText w:val="•"/>
      <w:lvlJc w:val="left"/>
      <w:pPr>
        <w:ind w:left="6810" w:hanging="281"/>
      </w:pPr>
      <w:rPr>
        <w:rFonts w:hint="default"/>
        <w:lang w:val="de-DE" w:eastAsia="en-US" w:bidi="ar-SA"/>
      </w:rPr>
    </w:lvl>
    <w:lvl w:ilvl="8" w:tplc="E9FC2624">
      <w:numFmt w:val="bullet"/>
      <w:lvlText w:val="•"/>
      <w:lvlJc w:val="left"/>
      <w:pPr>
        <w:ind w:left="7809" w:hanging="281"/>
      </w:pPr>
      <w:rPr>
        <w:rFonts w:hint="default"/>
        <w:lang w:val="de-DE" w:eastAsia="en-US" w:bidi="ar-SA"/>
      </w:rPr>
    </w:lvl>
  </w:abstractNum>
  <w:num w:numId="1" w16cid:durableId="660619747">
    <w:abstractNumId w:val="1"/>
  </w:num>
  <w:num w:numId="2" w16cid:durableId="2126071834">
    <w:abstractNumId w:val="0"/>
  </w:num>
  <w:num w:numId="3" w16cid:durableId="1269581647">
    <w:abstractNumId w:val="5"/>
  </w:num>
  <w:num w:numId="4" w16cid:durableId="156045424">
    <w:abstractNumId w:val="3"/>
  </w:num>
  <w:num w:numId="5" w16cid:durableId="2056389164">
    <w:abstractNumId w:val="2"/>
  </w:num>
  <w:num w:numId="6" w16cid:durableId="2047171622">
    <w:abstractNumId w:val="4"/>
  </w:num>
  <w:num w:numId="7" w16cid:durableId="6499477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65E0B"/>
    <w:rsid w:val="001731CE"/>
    <w:rsid w:val="00193800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21A"/>
    <w:rsid w:val="003B390A"/>
    <w:rsid w:val="003C15DE"/>
    <w:rsid w:val="003C4EB2"/>
    <w:rsid w:val="003F1AF3"/>
    <w:rsid w:val="003F4D8D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644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256BB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2C4C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DCD"/>
    <w:rsid w:val="007B499C"/>
    <w:rsid w:val="007B4D4B"/>
    <w:rsid w:val="007D2A02"/>
    <w:rsid w:val="007E006D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309C"/>
    <w:rsid w:val="00917162"/>
    <w:rsid w:val="009251CC"/>
    <w:rsid w:val="0092714E"/>
    <w:rsid w:val="00942002"/>
    <w:rsid w:val="00947885"/>
    <w:rsid w:val="00952168"/>
    <w:rsid w:val="009527FE"/>
    <w:rsid w:val="00966065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92B81"/>
    <w:rsid w:val="00AA1B85"/>
    <w:rsid w:val="00AB1CB6"/>
    <w:rsid w:val="00AB1D9A"/>
    <w:rsid w:val="00AD44FE"/>
    <w:rsid w:val="00AE3AC7"/>
    <w:rsid w:val="00AE49F1"/>
    <w:rsid w:val="00B010B2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A6242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7494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84B1E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1</TotalTime>
  <Pages>5</Pages>
  <Words>1343</Words>
  <Characters>9022</Characters>
  <Application>Microsoft Office Word</Application>
  <DocSecurity>4</DocSecurity>
  <Lines>75</Lines>
  <Paragraphs>20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10345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2016-11-16T01:11:00Z</cp:lastPrinted>
  <dcterms:created xsi:type="dcterms:W3CDTF">2022-05-04T14:02:00Z</dcterms:created>
  <dcterms:modified xsi:type="dcterms:W3CDTF">2022-05-04T14:02:00Z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