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F841" w14:textId="77777777" w:rsidR="00A41419" w:rsidRPr="007E1740" w:rsidRDefault="00A41419" w:rsidP="00F67FA8">
      <w:pPr>
        <w:pStyle w:val="MonthDayYear"/>
        <w:tabs>
          <w:tab w:val="left" w:pos="557"/>
          <w:tab w:val="left" w:pos="7513"/>
          <w:tab w:val="right" w:pos="9086"/>
        </w:tabs>
        <w:rPr>
          <w:lang w:val="sk-SK"/>
        </w:rPr>
      </w:pPr>
      <w:r w:rsidRPr="007E1740">
        <w:rPr>
          <w:lang w:val="sk-SK"/>
        </w:rPr>
        <w:t>29. apríl 2022</w:t>
      </w:r>
    </w:p>
    <w:p w14:paraId="6726B897" w14:textId="77777777" w:rsidR="00A41419" w:rsidRPr="007E1740" w:rsidRDefault="00A41419" w:rsidP="00A41419">
      <w:pPr>
        <w:pStyle w:val="Topline"/>
        <w:spacing w:after="120" w:line="280" w:lineRule="auto"/>
        <w:rPr>
          <w:rFonts w:asciiTheme="majorHAnsi" w:hAnsiTheme="majorHAnsi" w:cstheme="majorHAnsi"/>
          <w:lang w:val="sk-SK"/>
        </w:rPr>
      </w:pPr>
      <w:r w:rsidRPr="007E1740">
        <w:rPr>
          <w:rFonts w:asciiTheme="majorHAnsi" w:hAnsiTheme="majorHAnsi" w:cstheme="majorHAnsi"/>
          <w:lang w:val="sk-SK"/>
        </w:rPr>
        <w:t xml:space="preserve">Henkel zverejňuje vývoj obratu za prvý štvrťrok na základe predbežných údajov </w:t>
      </w:r>
    </w:p>
    <w:p w14:paraId="53847709" w14:textId="77777777" w:rsidR="00A41419" w:rsidRPr="007E1740" w:rsidRDefault="00A41419" w:rsidP="00A41419">
      <w:pPr>
        <w:spacing w:after="80" w:line="280" w:lineRule="auto"/>
        <w:ind w:right="-108"/>
        <w:jc w:val="left"/>
        <w:rPr>
          <w:rStyle w:val="Headline"/>
          <w:lang w:val="sk-SK"/>
        </w:rPr>
      </w:pPr>
      <w:bookmarkStart w:id="0" w:name="_Hlk43712519"/>
      <w:r w:rsidRPr="007E1740">
        <w:rPr>
          <w:rStyle w:val="Headline"/>
          <w:lang w:val="sk-SK"/>
        </w:rPr>
        <w:t>Spoločnosť Henkel dosiahla v prvom štvrťroku výrazný organický rast obratu a aktualizuje výhľad na celý rok 2022</w:t>
      </w:r>
    </w:p>
    <w:p w14:paraId="1BD7699E" w14:textId="77777777" w:rsidR="00A41419" w:rsidRPr="007E1740" w:rsidRDefault="00A41419" w:rsidP="00A41419">
      <w:pPr>
        <w:pStyle w:val="Odsekzoznamu"/>
        <w:numPr>
          <w:ilvl w:val="0"/>
          <w:numId w:val="11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E1740">
        <w:rPr>
          <w:rFonts w:asciiTheme="majorHAnsi" w:hAnsiTheme="majorHAnsi" w:cstheme="majorHAnsi"/>
          <w:b/>
          <w:szCs w:val="22"/>
          <w:lang w:val="sk-SK"/>
        </w:rPr>
        <w:t>Obrat skupiny organicky vzrástol o +7</w:t>
      </w:r>
      <w:r>
        <w:rPr>
          <w:rFonts w:asciiTheme="majorHAnsi" w:hAnsiTheme="majorHAnsi" w:cstheme="majorHAnsi"/>
          <w:b/>
          <w:szCs w:val="22"/>
          <w:lang w:val="sk-SK"/>
        </w:rPr>
        <w:t>,</w:t>
      </w:r>
      <w:r w:rsidRPr="007E1740">
        <w:rPr>
          <w:rFonts w:asciiTheme="majorHAnsi" w:hAnsiTheme="majorHAnsi" w:cstheme="majorHAnsi"/>
          <w:b/>
          <w:szCs w:val="22"/>
          <w:lang w:val="sk-SK"/>
        </w:rPr>
        <w:t>1 % na približne 5,3 mld. eur</w:t>
      </w:r>
    </w:p>
    <w:p w14:paraId="31FB819B" w14:textId="77777777" w:rsidR="00A41419" w:rsidRPr="007E1740" w:rsidRDefault="00A41419" w:rsidP="00A41419">
      <w:pPr>
        <w:pStyle w:val="Odsekzoznamu"/>
        <w:numPr>
          <w:ilvl w:val="1"/>
          <w:numId w:val="11"/>
        </w:numPr>
        <w:spacing w:after="80" w:line="260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E1740">
        <w:rPr>
          <w:rFonts w:asciiTheme="majorHAnsi" w:hAnsiTheme="majorHAnsi" w:cstheme="majorHAnsi"/>
          <w:b/>
          <w:szCs w:val="22"/>
          <w:lang w:val="sk-SK"/>
        </w:rPr>
        <w:t xml:space="preserve">Divízia </w:t>
      </w:r>
      <w:proofErr w:type="spellStart"/>
      <w:r w:rsidRPr="007E1740">
        <w:rPr>
          <w:rFonts w:asciiTheme="majorHAnsi" w:hAnsiTheme="majorHAnsi" w:cstheme="majorHAnsi"/>
          <w:b/>
          <w:szCs w:val="22"/>
          <w:lang w:val="sk-SK"/>
        </w:rPr>
        <w:t>Adhesive</w:t>
      </w:r>
      <w:proofErr w:type="spellEnd"/>
      <w:r w:rsidRPr="007E1740">
        <w:rPr>
          <w:rFonts w:asciiTheme="majorHAnsi" w:hAnsiTheme="majorHAnsi" w:cstheme="majorHAnsi"/>
          <w:b/>
          <w:szCs w:val="22"/>
          <w:lang w:val="sk-SK"/>
        </w:rPr>
        <w:t xml:space="preserve"> Technologies: dvojciferný organický rast o +10,7 % </w:t>
      </w:r>
    </w:p>
    <w:p w14:paraId="18A7DB6C" w14:textId="136E0DE4" w:rsidR="00A41419" w:rsidRPr="007E1740" w:rsidRDefault="00A41419" w:rsidP="00A41419">
      <w:pPr>
        <w:pStyle w:val="Odsekzoznamu"/>
        <w:numPr>
          <w:ilvl w:val="1"/>
          <w:numId w:val="11"/>
        </w:numPr>
        <w:spacing w:after="80" w:line="260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E1740">
        <w:rPr>
          <w:rFonts w:asciiTheme="majorHAnsi" w:hAnsiTheme="majorHAnsi" w:cstheme="majorHAnsi"/>
          <w:b/>
          <w:szCs w:val="22"/>
          <w:lang w:val="sk-SK"/>
        </w:rPr>
        <w:t xml:space="preserve">Divízia </w:t>
      </w:r>
      <w:proofErr w:type="spellStart"/>
      <w:r w:rsidRPr="007E1740">
        <w:rPr>
          <w:rFonts w:asciiTheme="majorHAnsi" w:hAnsiTheme="majorHAnsi" w:cstheme="majorHAnsi"/>
          <w:b/>
          <w:szCs w:val="22"/>
          <w:lang w:val="sk-SK"/>
        </w:rPr>
        <w:t>Beauty</w:t>
      </w:r>
      <w:proofErr w:type="spellEnd"/>
      <w:r w:rsidRPr="007E1740">
        <w:rPr>
          <w:rFonts w:asciiTheme="majorHAnsi" w:hAnsiTheme="majorHAnsi" w:cstheme="majorHAnsi"/>
          <w:b/>
          <w:szCs w:val="22"/>
          <w:lang w:val="sk-SK"/>
        </w:rPr>
        <w:t xml:space="preserve"> </w:t>
      </w:r>
      <w:proofErr w:type="spellStart"/>
      <w:r w:rsidRPr="007E1740">
        <w:rPr>
          <w:rFonts w:asciiTheme="majorHAnsi" w:hAnsiTheme="majorHAnsi" w:cstheme="majorHAnsi"/>
          <w:b/>
          <w:szCs w:val="22"/>
          <w:lang w:val="sk-SK"/>
        </w:rPr>
        <w:t>Care</w:t>
      </w:r>
      <w:proofErr w:type="spellEnd"/>
      <w:r w:rsidRPr="007E1740">
        <w:rPr>
          <w:rFonts w:asciiTheme="majorHAnsi" w:hAnsiTheme="majorHAnsi" w:cstheme="majorHAnsi"/>
          <w:b/>
          <w:szCs w:val="22"/>
          <w:lang w:val="sk-SK"/>
        </w:rPr>
        <w:t xml:space="preserve">: mierny organický pokles o </w:t>
      </w:r>
      <w:r w:rsidR="002E26E5">
        <w:rPr>
          <w:rFonts w:asciiTheme="majorHAnsi" w:hAnsiTheme="majorHAnsi" w:cstheme="majorHAnsi"/>
          <w:szCs w:val="22"/>
          <w:lang w:val="sk-SK"/>
        </w:rPr>
        <w:t>–</w:t>
      </w:r>
      <w:r w:rsidRPr="007E1740">
        <w:rPr>
          <w:rFonts w:asciiTheme="majorHAnsi" w:hAnsiTheme="majorHAnsi" w:cstheme="majorHAnsi"/>
          <w:b/>
          <w:szCs w:val="22"/>
          <w:lang w:val="sk-SK"/>
        </w:rPr>
        <w:t>1,2 %</w:t>
      </w:r>
    </w:p>
    <w:p w14:paraId="7A9975FA" w14:textId="77777777" w:rsidR="00A41419" w:rsidRPr="007E1740" w:rsidRDefault="00A41419" w:rsidP="00A41419">
      <w:pPr>
        <w:pStyle w:val="Odsekzoznamu"/>
        <w:numPr>
          <w:ilvl w:val="1"/>
          <w:numId w:val="11"/>
        </w:numPr>
        <w:spacing w:after="80" w:line="260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E1740">
        <w:rPr>
          <w:rFonts w:asciiTheme="majorHAnsi" w:hAnsiTheme="majorHAnsi" w:cstheme="majorHAnsi"/>
          <w:b/>
          <w:szCs w:val="22"/>
          <w:lang w:val="sk-SK"/>
        </w:rPr>
        <w:t xml:space="preserve">Divízia </w:t>
      </w:r>
      <w:proofErr w:type="spellStart"/>
      <w:r w:rsidRPr="007E1740">
        <w:rPr>
          <w:rFonts w:asciiTheme="majorHAnsi" w:hAnsiTheme="majorHAnsi" w:cstheme="majorHAnsi"/>
          <w:b/>
          <w:szCs w:val="22"/>
          <w:lang w:val="sk-SK"/>
        </w:rPr>
        <w:t>Laundry</w:t>
      </w:r>
      <w:proofErr w:type="spellEnd"/>
      <w:r w:rsidRPr="007E1740">
        <w:rPr>
          <w:rFonts w:asciiTheme="majorHAnsi" w:hAnsiTheme="majorHAnsi" w:cstheme="majorHAnsi"/>
          <w:b/>
          <w:szCs w:val="22"/>
          <w:lang w:val="sk-SK"/>
        </w:rPr>
        <w:t xml:space="preserve"> &amp; Home </w:t>
      </w:r>
      <w:proofErr w:type="spellStart"/>
      <w:r w:rsidRPr="007E1740">
        <w:rPr>
          <w:rFonts w:asciiTheme="majorHAnsi" w:hAnsiTheme="majorHAnsi" w:cstheme="majorHAnsi"/>
          <w:b/>
          <w:szCs w:val="22"/>
          <w:lang w:val="sk-SK"/>
        </w:rPr>
        <w:t>Care</w:t>
      </w:r>
      <w:proofErr w:type="spellEnd"/>
      <w:r w:rsidRPr="007E1740">
        <w:rPr>
          <w:rFonts w:asciiTheme="majorHAnsi" w:hAnsiTheme="majorHAnsi" w:cstheme="majorHAnsi"/>
          <w:b/>
          <w:szCs w:val="22"/>
          <w:lang w:val="sk-SK"/>
        </w:rPr>
        <w:t>: veľmi silný organický rast o +4,9 %</w:t>
      </w:r>
    </w:p>
    <w:p w14:paraId="6C4FFD6A" w14:textId="77777777" w:rsidR="00A41419" w:rsidRPr="007E1740" w:rsidRDefault="00A41419" w:rsidP="00A41419">
      <w:pPr>
        <w:pStyle w:val="Odsekzoznamu"/>
        <w:numPr>
          <w:ilvl w:val="0"/>
          <w:numId w:val="11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E1740">
        <w:rPr>
          <w:rFonts w:asciiTheme="majorHAnsi" w:hAnsiTheme="majorHAnsi" w:cstheme="majorHAnsi"/>
          <w:b/>
          <w:szCs w:val="22"/>
          <w:lang w:val="sk-SK"/>
        </w:rPr>
        <w:t>Aktualizovaný výhľad na finančný rok 2022 – mimoriadne silný rast nákladov na priame materiály a logistiku, očakáva sa výrazný vplyv ukončenia podnikateľskej činnosti v Rusku a Bielorusku</w:t>
      </w:r>
    </w:p>
    <w:p w14:paraId="53B9C69D" w14:textId="77777777" w:rsidR="00A41419" w:rsidRPr="007E1740" w:rsidRDefault="00A41419" w:rsidP="00A41419">
      <w:pPr>
        <w:pStyle w:val="Odsekzoznamu"/>
        <w:numPr>
          <w:ilvl w:val="1"/>
          <w:numId w:val="11"/>
        </w:numPr>
        <w:spacing w:after="80" w:line="260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E1740">
        <w:rPr>
          <w:rFonts w:asciiTheme="majorHAnsi" w:hAnsiTheme="majorHAnsi" w:cstheme="majorHAnsi"/>
          <w:b/>
          <w:szCs w:val="22"/>
          <w:lang w:val="sk-SK"/>
        </w:rPr>
        <w:t>Organický rast obratu: +3,5 až +5,5 %</w:t>
      </w:r>
    </w:p>
    <w:p w14:paraId="19055FA9" w14:textId="77777777" w:rsidR="00A41419" w:rsidRPr="007E1740" w:rsidRDefault="00A41419" w:rsidP="00A41419">
      <w:pPr>
        <w:pStyle w:val="Odsekzoznamu"/>
        <w:numPr>
          <w:ilvl w:val="1"/>
          <w:numId w:val="11"/>
        </w:numPr>
        <w:spacing w:after="80" w:line="260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E1740">
        <w:rPr>
          <w:rFonts w:asciiTheme="majorHAnsi" w:hAnsiTheme="majorHAnsi" w:cstheme="majorHAnsi"/>
          <w:b/>
          <w:szCs w:val="22"/>
          <w:lang w:val="sk-SK"/>
        </w:rPr>
        <w:t>Upravená výnosnosť predaja (marža EBIT)*: v rozsahu 9,0 až 11,0 %</w:t>
      </w:r>
    </w:p>
    <w:p w14:paraId="7E339C13" w14:textId="7676AA8D" w:rsidR="00A41419" w:rsidRPr="007E1740" w:rsidRDefault="00A41419" w:rsidP="00A41419">
      <w:pPr>
        <w:pStyle w:val="Odsekzoznamu"/>
        <w:numPr>
          <w:ilvl w:val="1"/>
          <w:numId w:val="11"/>
        </w:numPr>
        <w:spacing w:after="80" w:line="260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E1740">
        <w:rPr>
          <w:rFonts w:asciiTheme="majorHAnsi" w:hAnsiTheme="majorHAnsi" w:cstheme="majorHAnsi"/>
          <w:b/>
          <w:szCs w:val="22"/>
          <w:lang w:val="sk-SK"/>
        </w:rPr>
        <w:t>Upravený výnos na prioritnú akciu (EPS)* pri konštantných kurzových sadzbách: pokles v rozsahu od </w:t>
      </w:r>
      <w:r w:rsidR="002E26E5">
        <w:rPr>
          <w:rFonts w:asciiTheme="majorHAnsi" w:hAnsiTheme="majorHAnsi" w:cstheme="majorHAnsi"/>
          <w:b/>
          <w:szCs w:val="22"/>
          <w:lang w:val="sk-SK"/>
        </w:rPr>
        <w:t>–</w:t>
      </w:r>
      <w:r w:rsidRPr="007E1740">
        <w:rPr>
          <w:rFonts w:asciiTheme="majorHAnsi" w:hAnsiTheme="majorHAnsi" w:cstheme="majorHAnsi"/>
          <w:b/>
          <w:szCs w:val="22"/>
          <w:lang w:val="sk-SK"/>
        </w:rPr>
        <w:t>35 do </w:t>
      </w:r>
      <w:r w:rsidR="002E26E5">
        <w:rPr>
          <w:rFonts w:asciiTheme="majorHAnsi" w:hAnsiTheme="majorHAnsi" w:cstheme="majorHAnsi"/>
          <w:b/>
          <w:szCs w:val="22"/>
          <w:lang w:val="sk-SK"/>
        </w:rPr>
        <w:t>–</w:t>
      </w:r>
      <w:r w:rsidRPr="007E1740">
        <w:rPr>
          <w:rFonts w:asciiTheme="majorHAnsi" w:hAnsiTheme="majorHAnsi" w:cstheme="majorHAnsi"/>
          <w:b/>
          <w:szCs w:val="22"/>
          <w:lang w:val="sk-SK"/>
        </w:rPr>
        <w:t>15 %.</w:t>
      </w:r>
    </w:p>
    <w:bookmarkEnd w:id="0"/>
    <w:p w14:paraId="1CF78243" w14:textId="77777777" w:rsidR="00A41419" w:rsidRPr="007E1740" w:rsidRDefault="00A41419" w:rsidP="00A41419">
      <w:pPr>
        <w:spacing w:after="80"/>
        <w:ind w:right="-108"/>
        <w:jc w:val="left"/>
        <w:rPr>
          <w:rFonts w:asciiTheme="majorHAnsi" w:hAnsiTheme="majorHAnsi" w:cstheme="majorHAnsi"/>
          <w:b/>
          <w:szCs w:val="22"/>
          <w:lang w:val="sk-SK"/>
        </w:rPr>
      </w:pPr>
    </w:p>
    <w:p w14:paraId="5E4CF378" w14:textId="77777777" w:rsidR="00A41419" w:rsidRPr="007E1740" w:rsidRDefault="00A41419" w:rsidP="00A41419">
      <w:pPr>
        <w:spacing w:line="280" w:lineRule="auto"/>
        <w:rPr>
          <w:rFonts w:asciiTheme="majorHAnsi" w:hAnsiTheme="majorHAnsi" w:cstheme="majorHAnsi"/>
          <w:lang w:val="sk-SK"/>
        </w:rPr>
      </w:pPr>
      <w:proofErr w:type="spellStart"/>
      <w:r w:rsidRPr="007E1740">
        <w:rPr>
          <w:rFonts w:asciiTheme="majorHAnsi" w:hAnsiTheme="majorHAnsi" w:cstheme="majorHAnsi"/>
          <w:b/>
          <w:bCs/>
          <w:lang w:val="sk-SK"/>
        </w:rPr>
        <w:t>Düsseldorf</w:t>
      </w:r>
      <w:proofErr w:type="spellEnd"/>
      <w:r w:rsidRPr="007E1740">
        <w:rPr>
          <w:rFonts w:asciiTheme="majorHAnsi" w:hAnsiTheme="majorHAnsi" w:cstheme="majorHAnsi"/>
          <w:b/>
          <w:bCs/>
          <w:lang w:val="sk-SK"/>
        </w:rPr>
        <w:t xml:space="preserve"> – </w:t>
      </w:r>
      <w:r w:rsidRPr="007E1740">
        <w:rPr>
          <w:rFonts w:asciiTheme="majorHAnsi" w:hAnsiTheme="majorHAnsi" w:cstheme="majorHAnsi"/>
          <w:lang w:val="sk-SK"/>
        </w:rPr>
        <w:t>Na základe predbežných údajov spoločnosť Henkel dosiahla v prvom štvrťroku celkový obrat približne vo výške 5,3 mld. eur. To zodpovedá výraznému organickému rastu obratu o 7,1 % v porovnaní s priemernými trhovými očakávaniami na úrovni 4,3 %. Tento nárast bol spôsobený predovšetkým veľmi výrazným pohybom cien v kombinácii s miernym poklesom objemu.</w:t>
      </w:r>
    </w:p>
    <w:p w14:paraId="49252619" w14:textId="77777777" w:rsidR="00A41419" w:rsidRPr="007E1740" w:rsidRDefault="00A41419" w:rsidP="00A41419">
      <w:pPr>
        <w:rPr>
          <w:rFonts w:asciiTheme="majorHAnsi" w:hAnsiTheme="majorHAnsi" w:cstheme="majorHAnsi"/>
          <w:lang w:val="sk-SK"/>
        </w:rPr>
      </w:pPr>
    </w:p>
    <w:p w14:paraId="31336F50" w14:textId="77777777" w:rsidR="00A41419" w:rsidRPr="007E1740" w:rsidRDefault="00A41419" w:rsidP="00A41419">
      <w:pPr>
        <w:spacing w:line="280" w:lineRule="auto"/>
        <w:rPr>
          <w:rFonts w:asciiTheme="majorHAnsi" w:hAnsiTheme="majorHAnsi" w:cstheme="majorHAnsi"/>
          <w:lang w:val="sk-SK"/>
        </w:rPr>
      </w:pPr>
      <w:r w:rsidRPr="007E1740">
        <w:rPr>
          <w:rFonts w:asciiTheme="majorHAnsi" w:hAnsiTheme="majorHAnsi" w:cstheme="majorHAnsi"/>
          <w:lang w:val="sk-SK"/>
        </w:rPr>
        <w:t xml:space="preserve">Nárast obratu v prvom štvrťroku možno pripísať najmä divízii </w:t>
      </w:r>
      <w:proofErr w:type="spellStart"/>
      <w:r w:rsidRPr="007E1740">
        <w:rPr>
          <w:rFonts w:asciiTheme="majorHAnsi" w:hAnsiTheme="majorHAnsi" w:cstheme="majorHAnsi"/>
          <w:b/>
          <w:bCs/>
          <w:lang w:val="sk-SK"/>
        </w:rPr>
        <w:t>Adhesive</w:t>
      </w:r>
      <w:proofErr w:type="spellEnd"/>
      <w:r w:rsidRPr="007E1740">
        <w:rPr>
          <w:rFonts w:asciiTheme="majorHAnsi" w:hAnsiTheme="majorHAnsi" w:cstheme="majorHAnsi"/>
          <w:b/>
          <w:bCs/>
          <w:lang w:val="sk-SK"/>
        </w:rPr>
        <w:t xml:space="preserve"> Technologies</w:t>
      </w:r>
      <w:r w:rsidRPr="007E1740">
        <w:rPr>
          <w:rFonts w:asciiTheme="majorHAnsi" w:hAnsiTheme="majorHAnsi" w:cstheme="majorHAnsi"/>
          <w:lang w:val="sk-SK"/>
        </w:rPr>
        <w:t>, ktorá na základe predbežných údajov za prvý štvrťrok dosiahla dvojciferný organický rast obratu o +10,7 %. Rast zaznamenali všetky oblasti podnikania.</w:t>
      </w:r>
    </w:p>
    <w:p w14:paraId="1D422EED" w14:textId="7E4E17D5" w:rsidR="00A41419" w:rsidRPr="007E1740" w:rsidRDefault="00A41419" w:rsidP="00A41419">
      <w:pPr>
        <w:spacing w:line="240" w:lineRule="auto"/>
        <w:jc w:val="left"/>
        <w:rPr>
          <w:rFonts w:asciiTheme="majorHAnsi" w:hAnsiTheme="majorHAnsi" w:cstheme="majorHAnsi"/>
          <w:szCs w:val="22"/>
          <w:lang w:val="sk-SK"/>
        </w:rPr>
      </w:pPr>
      <w:r>
        <w:rPr>
          <w:rFonts w:asciiTheme="majorHAnsi" w:hAnsiTheme="majorHAnsi" w:cstheme="majorHAnsi"/>
          <w:noProof/>
          <w:sz w:val="24"/>
          <w:lang w:val="sk-S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6EC470" wp14:editId="3647DF4B">
                <wp:simplePos x="0" y="0"/>
                <wp:positionH relativeFrom="margin">
                  <wp:posOffset>-114300</wp:posOffset>
                </wp:positionH>
                <wp:positionV relativeFrom="paragraph">
                  <wp:posOffset>1276985</wp:posOffset>
                </wp:positionV>
                <wp:extent cx="4683760" cy="293370"/>
                <wp:effectExtent l="0" t="0" r="254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72DE04" w14:textId="77777777" w:rsidR="00A41419" w:rsidRPr="00B80BBF" w:rsidRDefault="00A41419" w:rsidP="00A4141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  <w:lang w:val="sk-SK"/>
                              </w:rPr>
                            </w:pPr>
                            <w:r w:rsidRPr="00B80BBF">
                              <w:rPr>
                                <w:sz w:val="16"/>
                                <w:szCs w:val="16"/>
                                <w:lang w:val="sk-SK"/>
                              </w:rPr>
                              <w:t>* Upravené o jednorazové výdavky a príjmy a náklady na reštrukturalizáciu.</w:t>
                            </w:r>
                          </w:p>
                          <w:p w14:paraId="52BC3DC8" w14:textId="77777777" w:rsidR="00A41419" w:rsidRPr="00B80BBF" w:rsidRDefault="00A41419" w:rsidP="00A41419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EC470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-9pt;margin-top:100.55pt;width:368.8pt;height:23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" stroked="f">
                <v:textbox>
                  <w:txbxContent>
                    <w:p w14:paraId="7572DE04" w14:textId="77777777" w:rsidR="00A41419" w:rsidRPr="00B80BBF" w:rsidRDefault="00A41419" w:rsidP="00A4141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  <w:lang w:val="sk-SK"/>
                        </w:rPr>
                      </w:pPr>
                      <w:r w:rsidRPr="00B80BBF">
                        <w:rPr>
                          <w:sz w:val="16"/>
                          <w:szCs w:val="16"/>
                          <w:lang w:val="sk-SK"/>
                        </w:rPr>
                        <w:t>* Upravené o jednorazové výdavky a príjmy a náklady na reštrukturalizáciu.</w:t>
                      </w:r>
                    </w:p>
                    <w:p w14:paraId="52BC3DC8" w14:textId="77777777" w:rsidR="00A41419" w:rsidRPr="00B80BBF" w:rsidRDefault="00A41419" w:rsidP="00A41419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1740">
        <w:rPr>
          <w:rFonts w:asciiTheme="majorHAnsi" w:hAnsiTheme="majorHAnsi" w:cstheme="majorHAnsi"/>
          <w:szCs w:val="22"/>
          <w:lang w:val="sk-SK"/>
        </w:rPr>
        <w:br w:type="page"/>
      </w:r>
    </w:p>
    <w:p w14:paraId="0F0EEBEE" w14:textId="7A1CB51A" w:rsidR="00A41419" w:rsidRPr="007E1740" w:rsidRDefault="00A41419" w:rsidP="00A41419">
      <w:pPr>
        <w:spacing w:line="280" w:lineRule="auto"/>
        <w:rPr>
          <w:rFonts w:asciiTheme="majorHAnsi" w:hAnsiTheme="majorHAnsi" w:cstheme="majorHAnsi"/>
          <w:szCs w:val="22"/>
          <w:lang w:val="sk-SK"/>
        </w:rPr>
      </w:pPr>
      <w:r w:rsidRPr="007E1740">
        <w:rPr>
          <w:rFonts w:asciiTheme="majorHAnsi" w:hAnsiTheme="majorHAnsi" w:cstheme="majorHAnsi"/>
          <w:szCs w:val="22"/>
          <w:lang w:val="sk-SK"/>
        </w:rPr>
        <w:lastRenderedPageBreak/>
        <w:t xml:space="preserve">Na základe predbežných údajov vykázala divízia </w:t>
      </w:r>
      <w:proofErr w:type="spellStart"/>
      <w:r w:rsidRPr="007E1740">
        <w:rPr>
          <w:rFonts w:asciiTheme="majorHAnsi" w:hAnsiTheme="majorHAnsi" w:cstheme="majorHAnsi"/>
          <w:b/>
          <w:bCs/>
          <w:szCs w:val="22"/>
          <w:lang w:val="sk-SK"/>
        </w:rPr>
        <w:t>Beauty</w:t>
      </w:r>
      <w:proofErr w:type="spellEnd"/>
      <w:r w:rsidRPr="007E1740">
        <w:rPr>
          <w:rFonts w:asciiTheme="majorHAnsi" w:hAnsiTheme="majorHAnsi" w:cstheme="majorHAnsi"/>
          <w:b/>
          <w:bCs/>
          <w:szCs w:val="22"/>
          <w:lang w:val="sk-SK"/>
        </w:rPr>
        <w:t xml:space="preserve"> </w:t>
      </w:r>
      <w:proofErr w:type="spellStart"/>
      <w:r w:rsidRPr="007E1740">
        <w:rPr>
          <w:rFonts w:asciiTheme="majorHAnsi" w:hAnsiTheme="majorHAnsi" w:cstheme="majorHAnsi"/>
          <w:b/>
          <w:bCs/>
          <w:szCs w:val="22"/>
          <w:lang w:val="sk-SK"/>
        </w:rPr>
        <w:t>Care</w:t>
      </w:r>
      <w:proofErr w:type="spellEnd"/>
      <w:r w:rsidRPr="007E1740">
        <w:rPr>
          <w:rFonts w:asciiTheme="majorHAnsi" w:hAnsiTheme="majorHAnsi" w:cstheme="majorHAnsi"/>
          <w:szCs w:val="22"/>
          <w:lang w:val="sk-SK"/>
        </w:rPr>
        <w:t xml:space="preserve"> mierny pokles organického obratu o </w:t>
      </w:r>
      <w:r w:rsidR="002E26E5">
        <w:rPr>
          <w:rFonts w:asciiTheme="majorHAnsi" w:hAnsiTheme="majorHAnsi" w:cstheme="majorHAnsi"/>
          <w:szCs w:val="22"/>
          <w:lang w:val="sk-SK"/>
        </w:rPr>
        <w:t>–</w:t>
      </w:r>
      <w:r w:rsidRPr="007E1740">
        <w:rPr>
          <w:rFonts w:asciiTheme="majorHAnsi" w:hAnsiTheme="majorHAnsi" w:cstheme="majorHAnsi"/>
          <w:szCs w:val="22"/>
          <w:lang w:val="sk-SK"/>
        </w:rPr>
        <w:t>1,2 %. Segment profesionálnej vlasovej kozmetiky zaznamenal dvojciferný organický rast obratu. V súlade s očakávaniami nedosiahol segment spotrebného tovaru úroveň z predošlého roka, a to najmä z dôvodu realizácie opatrení zameraných na posilnenie portfólia, ktoré boli ohlásené na rok 2022.</w:t>
      </w:r>
    </w:p>
    <w:p w14:paraId="4A7DB4EB" w14:textId="77777777" w:rsidR="00A41419" w:rsidRPr="007E1740" w:rsidRDefault="00A41419" w:rsidP="00A41419">
      <w:pPr>
        <w:rPr>
          <w:lang w:val="sk-SK"/>
        </w:rPr>
      </w:pPr>
    </w:p>
    <w:p w14:paraId="539282B2" w14:textId="77777777" w:rsidR="00A41419" w:rsidRPr="007E1740" w:rsidRDefault="00A41419" w:rsidP="00A41419">
      <w:pPr>
        <w:spacing w:line="280" w:lineRule="auto"/>
        <w:rPr>
          <w:lang w:val="sk-SK"/>
        </w:rPr>
      </w:pPr>
      <w:r w:rsidRPr="007E1740">
        <w:rPr>
          <w:lang w:val="sk-SK"/>
        </w:rPr>
        <w:t xml:space="preserve">Podľa predbežných údajov divízia </w:t>
      </w:r>
      <w:proofErr w:type="spellStart"/>
      <w:r w:rsidRPr="007E1740">
        <w:rPr>
          <w:b/>
          <w:bCs/>
          <w:lang w:val="sk-SK"/>
        </w:rPr>
        <w:t>Laundry</w:t>
      </w:r>
      <w:proofErr w:type="spellEnd"/>
      <w:r w:rsidRPr="007E1740">
        <w:rPr>
          <w:b/>
          <w:bCs/>
          <w:lang w:val="sk-SK"/>
        </w:rPr>
        <w:t xml:space="preserve"> &amp; Home </w:t>
      </w:r>
      <w:proofErr w:type="spellStart"/>
      <w:r w:rsidRPr="007E1740">
        <w:rPr>
          <w:b/>
          <w:bCs/>
          <w:lang w:val="sk-SK"/>
        </w:rPr>
        <w:t>Care</w:t>
      </w:r>
      <w:proofErr w:type="spellEnd"/>
      <w:r w:rsidRPr="007E1740">
        <w:rPr>
          <w:lang w:val="sk-SK"/>
        </w:rPr>
        <w:t xml:space="preserve"> dosiahla veľmi silný organický rast obratu o +4,9 %, ku ktorému prispel výrazný rast segmentu pracích prostriedkov. Naopak, segment starostlivosti o domácnosť zaznamenal v prvom štvrťroku mierny pokles organického obratu. </w:t>
      </w:r>
    </w:p>
    <w:p w14:paraId="36ACD303" w14:textId="77777777" w:rsidR="00A41419" w:rsidRPr="007E1740" w:rsidRDefault="00A41419" w:rsidP="00A41419">
      <w:pPr>
        <w:rPr>
          <w:rFonts w:asciiTheme="majorHAnsi" w:hAnsiTheme="majorHAnsi" w:cstheme="majorHAnsi"/>
          <w:lang w:val="sk-SK"/>
        </w:rPr>
      </w:pPr>
    </w:p>
    <w:p w14:paraId="1F27E698" w14:textId="77777777" w:rsidR="00A41419" w:rsidRPr="007E1740" w:rsidRDefault="00A41419" w:rsidP="00A41419">
      <w:pPr>
        <w:spacing w:line="280" w:lineRule="auto"/>
        <w:rPr>
          <w:rFonts w:asciiTheme="majorHAnsi" w:hAnsiTheme="majorHAnsi" w:cstheme="majorHAnsi"/>
          <w:lang w:val="sk-SK"/>
        </w:rPr>
      </w:pPr>
      <w:r w:rsidRPr="00F67FA8">
        <w:rPr>
          <w:rFonts w:asciiTheme="majorHAnsi" w:hAnsiTheme="majorHAnsi" w:cstheme="majorHAnsi"/>
          <w:i/>
          <w:iCs/>
          <w:lang w:val="sk-SK"/>
        </w:rPr>
        <w:t>„Napriek celkovo veľmi dobrým výsledkom spoločnosti Henkel z hľadiska obratu v prvom štvrťroku sa ekonomické prostredie od začiatku roka</w:t>
      </w:r>
      <w:r w:rsidRPr="00F67FA8" w:rsidDel="00192435">
        <w:rPr>
          <w:rFonts w:asciiTheme="majorHAnsi" w:hAnsiTheme="majorHAnsi" w:cstheme="majorHAnsi"/>
          <w:i/>
          <w:iCs/>
          <w:lang w:val="sk-SK"/>
        </w:rPr>
        <w:t xml:space="preserve"> </w:t>
      </w:r>
      <w:r w:rsidRPr="00F67FA8">
        <w:rPr>
          <w:rFonts w:asciiTheme="majorHAnsi" w:hAnsiTheme="majorHAnsi" w:cstheme="majorHAnsi"/>
          <w:i/>
          <w:iCs/>
          <w:lang w:val="sk-SK"/>
        </w:rPr>
        <w:t>naďalej dramaticky zhoršovalo. Vplyvy globálnej koronakrízy v kombinácii s mimoriadne napätou situáciou na trhoch so surovinami a v globálnych dodávateľských reťazcoch sa jednoznačne zintenzívnili pod vplyvom vojny na Ukrajine. Ceny materiálov a logistiky preto znovu zaznamenali výrazný nárast. Okrem toho sme sa vzhľadom na vývoj situácie v súvislosti s vojnou na Ukrajine rozhodli v polovici apríla ukončiť našu podnikateľskú činnosť v Rusku. Zároveň ukončujeme našu činnosť aj v Bielorusku. Tieto opatrenia majú vplyv na celkový ročný obrat vo výške približne jednej miliardy eur a zasahujú viac než 2 500 zamestnancov,“</w:t>
      </w:r>
      <w:r w:rsidRPr="007E1740">
        <w:rPr>
          <w:rFonts w:asciiTheme="majorHAnsi" w:hAnsiTheme="majorHAnsi" w:cstheme="majorHAnsi"/>
          <w:lang w:val="sk-SK"/>
        </w:rPr>
        <w:t xml:space="preserve"> povedal </w:t>
      </w:r>
      <w:proofErr w:type="spellStart"/>
      <w:r w:rsidRPr="007E1740">
        <w:rPr>
          <w:rFonts w:asciiTheme="majorHAnsi" w:hAnsiTheme="majorHAnsi" w:cstheme="majorHAnsi"/>
          <w:lang w:val="sk-SK"/>
        </w:rPr>
        <w:t>Carsten</w:t>
      </w:r>
      <w:proofErr w:type="spellEnd"/>
      <w:r w:rsidRPr="007E1740">
        <w:rPr>
          <w:rFonts w:asciiTheme="majorHAnsi" w:hAnsiTheme="majorHAnsi" w:cstheme="majorHAnsi"/>
          <w:lang w:val="sk-SK"/>
        </w:rPr>
        <w:t xml:space="preserve"> </w:t>
      </w:r>
      <w:proofErr w:type="spellStart"/>
      <w:r w:rsidRPr="007E1740">
        <w:rPr>
          <w:rFonts w:asciiTheme="majorHAnsi" w:hAnsiTheme="majorHAnsi" w:cstheme="majorHAnsi"/>
          <w:lang w:val="sk-SK"/>
        </w:rPr>
        <w:t>Knobel</w:t>
      </w:r>
      <w:proofErr w:type="spellEnd"/>
      <w:r w:rsidRPr="007E1740">
        <w:rPr>
          <w:rFonts w:asciiTheme="majorHAnsi" w:hAnsiTheme="majorHAnsi" w:cstheme="majorHAnsi"/>
          <w:lang w:val="sk-SK"/>
        </w:rPr>
        <w:t xml:space="preserve">, predseda predstavenstva spoločnosti Henkel. </w:t>
      </w:r>
    </w:p>
    <w:p w14:paraId="58C61A27" w14:textId="77777777" w:rsidR="00A41419" w:rsidRPr="007E1740" w:rsidRDefault="00A41419" w:rsidP="00A41419">
      <w:pPr>
        <w:rPr>
          <w:rFonts w:asciiTheme="majorHAnsi" w:hAnsiTheme="majorHAnsi" w:cstheme="majorHAnsi"/>
          <w:lang w:val="sk-SK"/>
        </w:rPr>
      </w:pPr>
    </w:p>
    <w:p w14:paraId="42E62834" w14:textId="77777777" w:rsidR="00A41419" w:rsidRPr="00247968" w:rsidRDefault="00A41419" w:rsidP="00A41419">
      <w:pPr>
        <w:spacing w:line="280" w:lineRule="auto"/>
        <w:rPr>
          <w:rFonts w:asciiTheme="majorHAnsi" w:hAnsiTheme="majorHAnsi" w:cstheme="majorHAnsi"/>
          <w:i/>
          <w:iCs/>
          <w:lang w:val="sk-SK"/>
        </w:rPr>
      </w:pPr>
      <w:r w:rsidRPr="00247968">
        <w:rPr>
          <w:rFonts w:asciiTheme="majorHAnsi" w:hAnsiTheme="majorHAnsi" w:cstheme="majorHAnsi"/>
          <w:i/>
          <w:iCs/>
          <w:lang w:val="sk-SK"/>
        </w:rPr>
        <w:t>„Vzhľadom na tento vývoj očakávame omnoho vyšší tlak na naše výnosy počas zvyšku roka v porovnaní s jeho začiatkom. Preto sme náš výhľad na celý rok adekvátne upravili,“</w:t>
      </w:r>
      <w:r w:rsidRPr="007E1740">
        <w:rPr>
          <w:rFonts w:asciiTheme="majorHAnsi" w:hAnsiTheme="majorHAnsi" w:cstheme="majorHAnsi"/>
          <w:lang w:val="sk-SK"/>
        </w:rPr>
        <w:t xml:space="preserve"> vysvetlil </w:t>
      </w:r>
      <w:proofErr w:type="spellStart"/>
      <w:r w:rsidRPr="007E1740">
        <w:rPr>
          <w:rFonts w:asciiTheme="majorHAnsi" w:hAnsiTheme="majorHAnsi" w:cstheme="majorHAnsi"/>
          <w:lang w:val="sk-SK"/>
        </w:rPr>
        <w:t>Carsten</w:t>
      </w:r>
      <w:proofErr w:type="spellEnd"/>
      <w:r w:rsidRPr="007E1740">
        <w:rPr>
          <w:rFonts w:asciiTheme="majorHAnsi" w:hAnsiTheme="majorHAnsi" w:cstheme="majorHAnsi"/>
          <w:lang w:val="sk-SK"/>
        </w:rPr>
        <w:t xml:space="preserve"> </w:t>
      </w:r>
      <w:proofErr w:type="spellStart"/>
      <w:r w:rsidRPr="007E1740">
        <w:rPr>
          <w:rFonts w:asciiTheme="majorHAnsi" w:hAnsiTheme="majorHAnsi" w:cstheme="majorHAnsi"/>
          <w:lang w:val="sk-SK"/>
        </w:rPr>
        <w:t>Knobel</w:t>
      </w:r>
      <w:proofErr w:type="spellEnd"/>
      <w:r w:rsidRPr="007E1740">
        <w:rPr>
          <w:rFonts w:asciiTheme="majorHAnsi" w:hAnsiTheme="majorHAnsi" w:cstheme="majorHAnsi"/>
          <w:lang w:val="sk-SK"/>
        </w:rPr>
        <w:t>. Pokiaľ ide o </w:t>
      </w:r>
      <w:r w:rsidRPr="007E1740">
        <w:rPr>
          <w:rFonts w:asciiTheme="majorHAnsi" w:hAnsiTheme="majorHAnsi" w:cstheme="majorHAnsi"/>
          <w:b/>
          <w:lang w:val="sk-SK"/>
        </w:rPr>
        <w:t>ceny materiálov</w:t>
      </w:r>
      <w:r w:rsidRPr="007E1740">
        <w:rPr>
          <w:rFonts w:asciiTheme="majorHAnsi" w:hAnsiTheme="majorHAnsi" w:cstheme="majorHAnsi"/>
          <w:lang w:val="sk-SK"/>
        </w:rPr>
        <w:t xml:space="preserve">, Henkel v súčasnosti očakáva nárast nad dvadsiatimi percentami za celý rok v porovnaní s priemerom za rok 2021. V minulosti sa očakávalo zvýšenie nad úrovňou desiatich percent. </w:t>
      </w:r>
      <w:r w:rsidRPr="00247968">
        <w:rPr>
          <w:rFonts w:asciiTheme="majorHAnsi" w:hAnsiTheme="majorHAnsi" w:cstheme="majorHAnsi"/>
          <w:i/>
          <w:iCs/>
          <w:lang w:val="sk-SK"/>
        </w:rPr>
        <w:t>„Tieto dodatočné náklady za celý rok predstavujú približne dve miliardy eur. Ide o dvojnásobný nárast v porovnaní s tým, čo sme predpokladali koncom januára. So zvyšovaním v takomto rozsahu sme sa ešte nestretli. Proti tomuto vývoju zavádzame cielené opatrenia, najmä pokiaľ ide o ďalší nárast cien a zvyšovanie efektívnosti.“</w:t>
      </w:r>
    </w:p>
    <w:p w14:paraId="12A12B29" w14:textId="77777777" w:rsidR="00A41419" w:rsidRPr="007E1740" w:rsidRDefault="00A41419" w:rsidP="00A41419">
      <w:pPr>
        <w:rPr>
          <w:rFonts w:asciiTheme="majorHAnsi" w:hAnsiTheme="majorHAnsi" w:cstheme="majorHAnsi"/>
          <w:lang w:val="sk-SK"/>
        </w:rPr>
      </w:pPr>
    </w:p>
    <w:p w14:paraId="4C017652" w14:textId="77777777" w:rsidR="00A41419" w:rsidRPr="007E1740" w:rsidRDefault="00A41419" w:rsidP="00A41419">
      <w:pPr>
        <w:spacing w:line="280" w:lineRule="auto"/>
        <w:rPr>
          <w:rFonts w:asciiTheme="majorHAnsi" w:hAnsiTheme="majorHAnsi" w:cstheme="majorHAnsi"/>
          <w:lang w:val="sk-SK"/>
        </w:rPr>
      </w:pPr>
      <w:r w:rsidRPr="007E1740">
        <w:rPr>
          <w:rFonts w:asciiTheme="majorHAnsi" w:hAnsiTheme="majorHAnsi" w:cstheme="majorHAnsi"/>
          <w:lang w:val="sk-SK"/>
        </w:rPr>
        <w:t xml:space="preserve">Henkel v súčasnosti očakáva </w:t>
      </w:r>
      <w:r w:rsidRPr="007E1740">
        <w:rPr>
          <w:rFonts w:asciiTheme="majorHAnsi" w:hAnsiTheme="majorHAnsi" w:cstheme="majorHAnsi"/>
          <w:b/>
          <w:lang w:val="sk-SK"/>
        </w:rPr>
        <w:t>organický rast obratu na úrovni skupiny</w:t>
      </w:r>
      <w:r w:rsidRPr="007E1740">
        <w:rPr>
          <w:rFonts w:asciiTheme="majorHAnsi" w:hAnsiTheme="majorHAnsi" w:cstheme="majorHAnsi"/>
          <w:lang w:val="sk-SK"/>
        </w:rPr>
        <w:t xml:space="preserve"> v rozsahu +3,5 až +5,5 % </w:t>
      </w:r>
      <w:r w:rsidRPr="007E1740">
        <w:rPr>
          <w:rFonts w:asciiTheme="majorHAnsi" w:hAnsiTheme="majorHAnsi" w:cstheme="majorHAnsi"/>
          <w:b/>
          <w:lang w:val="sk-SK"/>
        </w:rPr>
        <w:t>vo finančnom roku 2022</w:t>
      </w:r>
      <w:r w:rsidRPr="007E1740">
        <w:rPr>
          <w:rFonts w:asciiTheme="majorHAnsi" w:hAnsiTheme="majorHAnsi" w:cstheme="majorHAnsi"/>
          <w:lang w:val="sk-SK"/>
        </w:rPr>
        <w:t xml:space="preserve"> (pôvodne: +2,0 až +4,0 %). Za silnejším organickým rastom obratu bude predovšetkým stáť divízia </w:t>
      </w:r>
      <w:proofErr w:type="spellStart"/>
      <w:r w:rsidRPr="007E1740">
        <w:rPr>
          <w:rFonts w:asciiTheme="majorHAnsi" w:hAnsiTheme="majorHAnsi" w:cstheme="majorHAnsi"/>
          <w:b/>
          <w:bCs/>
          <w:lang w:val="sk-SK"/>
        </w:rPr>
        <w:t>Adhesive</w:t>
      </w:r>
      <w:proofErr w:type="spellEnd"/>
      <w:r w:rsidRPr="007E1740">
        <w:rPr>
          <w:rFonts w:asciiTheme="majorHAnsi" w:hAnsiTheme="majorHAnsi" w:cstheme="majorHAnsi"/>
          <w:b/>
          <w:bCs/>
          <w:lang w:val="sk-SK"/>
        </w:rPr>
        <w:t xml:space="preserve"> Technologies</w:t>
      </w:r>
      <w:r w:rsidRPr="007E1740">
        <w:rPr>
          <w:rFonts w:asciiTheme="majorHAnsi" w:hAnsiTheme="majorHAnsi" w:cstheme="majorHAnsi"/>
          <w:lang w:val="sk-SK"/>
        </w:rPr>
        <w:t xml:space="preserve">, v prípade ktorej Henkel v súčasnosti predpokladá organický rast obratu v rozpätí od +8,0 do +10,0 % (pôvodne: +5,0 až +7,0 %), a to najmä z dôvodu vyšších nákladov na suroviny a logistiku vo forme vyšších cien. </w:t>
      </w:r>
      <w:r w:rsidRPr="007E1740">
        <w:rPr>
          <w:rFonts w:asciiTheme="majorHAnsi" w:hAnsiTheme="majorHAnsi" w:cstheme="majorHAnsi"/>
          <w:lang w:val="sk-SK"/>
        </w:rPr>
        <w:lastRenderedPageBreak/>
        <w:t xml:space="preserve">Očakávania v súvislosti s organickým rastom obratu v divíziách </w:t>
      </w:r>
      <w:proofErr w:type="spellStart"/>
      <w:r w:rsidRPr="007E1740">
        <w:rPr>
          <w:rFonts w:asciiTheme="majorHAnsi" w:hAnsiTheme="majorHAnsi" w:cstheme="majorHAnsi"/>
          <w:lang w:val="sk-SK"/>
        </w:rPr>
        <w:t>Beauty</w:t>
      </w:r>
      <w:proofErr w:type="spellEnd"/>
      <w:r w:rsidRPr="007E1740">
        <w:rPr>
          <w:rFonts w:asciiTheme="majorHAnsi" w:hAnsiTheme="majorHAnsi" w:cstheme="majorHAnsi"/>
          <w:lang w:val="sk-SK"/>
        </w:rPr>
        <w:t xml:space="preserve"> </w:t>
      </w:r>
      <w:proofErr w:type="spellStart"/>
      <w:r w:rsidRPr="007E1740">
        <w:rPr>
          <w:rFonts w:asciiTheme="majorHAnsi" w:hAnsiTheme="majorHAnsi" w:cstheme="majorHAnsi"/>
          <w:lang w:val="sk-SK"/>
        </w:rPr>
        <w:t>Care</w:t>
      </w:r>
      <w:proofErr w:type="spellEnd"/>
      <w:r w:rsidRPr="007E1740">
        <w:rPr>
          <w:rFonts w:asciiTheme="majorHAnsi" w:hAnsiTheme="majorHAnsi" w:cstheme="majorHAnsi"/>
          <w:lang w:val="sk-SK"/>
        </w:rPr>
        <w:t xml:space="preserve"> a </w:t>
      </w:r>
      <w:proofErr w:type="spellStart"/>
      <w:r w:rsidRPr="007E1740">
        <w:rPr>
          <w:rFonts w:asciiTheme="majorHAnsi" w:hAnsiTheme="majorHAnsi" w:cstheme="majorHAnsi"/>
          <w:lang w:val="sk-SK"/>
        </w:rPr>
        <w:t>Laundry</w:t>
      </w:r>
      <w:proofErr w:type="spellEnd"/>
      <w:r w:rsidRPr="007E1740">
        <w:rPr>
          <w:rFonts w:asciiTheme="majorHAnsi" w:hAnsiTheme="majorHAnsi" w:cstheme="majorHAnsi"/>
          <w:lang w:val="sk-SK"/>
        </w:rPr>
        <w:t xml:space="preserve"> &amp; Home </w:t>
      </w:r>
      <w:proofErr w:type="spellStart"/>
      <w:r w:rsidRPr="007E1740">
        <w:rPr>
          <w:rFonts w:asciiTheme="majorHAnsi" w:hAnsiTheme="majorHAnsi" w:cstheme="majorHAnsi"/>
          <w:lang w:val="sk-SK"/>
        </w:rPr>
        <w:t>Care</w:t>
      </w:r>
      <w:proofErr w:type="spellEnd"/>
      <w:r w:rsidRPr="007E1740">
        <w:rPr>
          <w:rFonts w:asciiTheme="majorHAnsi" w:hAnsiTheme="majorHAnsi" w:cstheme="majorHAnsi"/>
          <w:lang w:val="sk-SK"/>
        </w:rPr>
        <w:t xml:space="preserve"> zostávajú nezmenené. </w:t>
      </w:r>
    </w:p>
    <w:p w14:paraId="6F250AFE" w14:textId="77777777" w:rsidR="00A41419" w:rsidRPr="007E1740" w:rsidRDefault="00A41419" w:rsidP="00A41419">
      <w:pPr>
        <w:rPr>
          <w:rFonts w:asciiTheme="majorHAnsi" w:hAnsiTheme="majorHAnsi" w:cstheme="majorHAnsi"/>
          <w:lang w:val="sk-SK"/>
        </w:rPr>
      </w:pPr>
    </w:p>
    <w:p w14:paraId="7B239EFE" w14:textId="7D0F1C47" w:rsidR="00A41419" w:rsidRPr="007E1740" w:rsidRDefault="00A41419" w:rsidP="00A41419">
      <w:pPr>
        <w:spacing w:after="240" w:line="280" w:lineRule="auto"/>
        <w:rPr>
          <w:lang w:val="sk-SK"/>
        </w:rPr>
      </w:pPr>
      <w:r w:rsidRPr="007E1740">
        <w:rPr>
          <w:rFonts w:asciiTheme="majorHAnsi" w:hAnsiTheme="majorHAnsi" w:cstheme="majorHAnsi"/>
          <w:lang w:val="sk-SK"/>
        </w:rPr>
        <w:t xml:space="preserve">V prípade </w:t>
      </w:r>
      <w:proofErr w:type="spellStart"/>
      <w:r w:rsidRPr="007E1740">
        <w:rPr>
          <w:rFonts w:asciiTheme="majorHAnsi" w:hAnsiTheme="majorHAnsi" w:cstheme="majorHAnsi"/>
          <w:b/>
          <w:bCs/>
          <w:lang w:val="sk-SK"/>
        </w:rPr>
        <w:t>Beauty</w:t>
      </w:r>
      <w:proofErr w:type="spellEnd"/>
      <w:r w:rsidRPr="007E1740">
        <w:rPr>
          <w:rFonts w:asciiTheme="majorHAnsi" w:hAnsiTheme="majorHAnsi" w:cstheme="majorHAnsi"/>
          <w:b/>
          <w:bCs/>
          <w:lang w:val="sk-SK"/>
        </w:rPr>
        <w:t xml:space="preserve"> </w:t>
      </w:r>
      <w:proofErr w:type="spellStart"/>
      <w:r w:rsidRPr="007E1740">
        <w:rPr>
          <w:rFonts w:asciiTheme="majorHAnsi" w:hAnsiTheme="majorHAnsi" w:cstheme="majorHAnsi"/>
          <w:b/>
          <w:bCs/>
          <w:lang w:val="sk-SK"/>
        </w:rPr>
        <w:t>Care</w:t>
      </w:r>
      <w:proofErr w:type="spellEnd"/>
      <w:r w:rsidRPr="007E1740">
        <w:rPr>
          <w:rFonts w:asciiTheme="majorHAnsi" w:hAnsiTheme="majorHAnsi" w:cstheme="majorHAnsi"/>
          <w:b/>
          <w:bCs/>
          <w:lang w:val="sk-SK"/>
        </w:rPr>
        <w:t xml:space="preserve"> </w:t>
      </w:r>
      <w:r w:rsidRPr="007E1740">
        <w:rPr>
          <w:rFonts w:asciiTheme="majorHAnsi" w:hAnsiTheme="majorHAnsi" w:cstheme="majorHAnsi"/>
          <w:bCs/>
          <w:lang w:val="sk-SK"/>
        </w:rPr>
        <w:t xml:space="preserve">by sa </w:t>
      </w:r>
      <w:r w:rsidRPr="007E1740">
        <w:rPr>
          <w:rFonts w:asciiTheme="majorHAnsi" w:hAnsiTheme="majorHAnsi" w:cstheme="majorHAnsi"/>
          <w:lang w:val="sk-SK"/>
        </w:rPr>
        <w:t xml:space="preserve">organický obrat mal vyvíjať v rozsahu </w:t>
      </w:r>
      <w:r w:rsidR="00FB77EB">
        <w:rPr>
          <w:rFonts w:asciiTheme="majorHAnsi" w:hAnsiTheme="majorHAnsi" w:cstheme="majorHAnsi"/>
          <w:lang w:val="sk-SK"/>
        </w:rPr>
        <w:t>–</w:t>
      </w:r>
      <w:r w:rsidRPr="007E1740">
        <w:rPr>
          <w:rFonts w:asciiTheme="majorHAnsi" w:hAnsiTheme="majorHAnsi" w:cstheme="majorHAnsi"/>
          <w:lang w:val="sk-SK"/>
        </w:rPr>
        <w:t xml:space="preserve">5,0 až </w:t>
      </w:r>
      <w:r w:rsidR="00FB77EB">
        <w:rPr>
          <w:rFonts w:asciiTheme="majorHAnsi" w:hAnsiTheme="majorHAnsi" w:cstheme="majorHAnsi"/>
          <w:lang w:val="sk-SK"/>
        </w:rPr>
        <w:t>–</w:t>
      </w:r>
      <w:r w:rsidRPr="007E1740">
        <w:rPr>
          <w:rFonts w:asciiTheme="majorHAnsi" w:hAnsiTheme="majorHAnsi" w:cstheme="majorHAnsi"/>
          <w:lang w:val="sk-SK"/>
        </w:rPr>
        <w:t xml:space="preserve">3,0 %. Ako bolo uvedené, hlavnou príčinou tohto poklesu sú opatrenia, o ktorých už bolo rozhodnuté a ktoré sa realizujú s cieľom zlepšiť portfólio, vrátane ukončenia aktivít, ktoré nebudú súčasťou budúcich hlavných podnikateľských činností. V prípade divízie </w:t>
      </w:r>
      <w:proofErr w:type="spellStart"/>
      <w:r w:rsidRPr="007E1740">
        <w:rPr>
          <w:rFonts w:asciiTheme="majorHAnsi" w:hAnsiTheme="majorHAnsi" w:cstheme="majorHAnsi"/>
          <w:b/>
          <w:lang w:val="sk-SK"/>
        </w:rPr>
        <w:t>Laundry</w:t>
      </w:r>
      <w:proofErr w:type="spellEnd"/>
      <w:r w:rsidRPr="007E1740">
        <w:rPr>
          <w:rFonts w:asciiTheme="majorHAnsi" w:hAnsiTheme="majorHAnsi" w:cstheme="majorHAnsi"/>
          <w:b/>
          <w:lang w:val="sk-SK"/>
        </w:rPr>
        <w:t xml:space="preserve"> &amp; Home </w:t>
      </w:r>
      <w:proofErr w:type="spellStart"/>
      <w:r w:rsidRPr="007E1740">
        <w:rPr>
          <w:rFonts w:asciiTheme="majorHAnsi" w:hAnsiTheme="majorHAnsi" w:cstheme="majorHAnsi"/>
          <w:b/>
          <w:lang w:val="sk-SK"/>
        </w:rPr>
        <w:t>Care</w:t>
      </w:r>
      <w:proofErr w:type="spellEnd"/>
      <w:r w:rsidRPr="007E1740">
        <w:rPr>
          <w:rFonts w:asciiTheme="majorHAnsi" w:hAnsiTheme="majorHAnsi" w:cstheme="majorHAnsi"/>
          <w:b/>
          <w:lang w:val="sk-SK"/>
        </w:rPr>
        <w:t xml:space="preserve"> </w:t>
      </w:r>
      <w:r w:rsidRPr="007E1740">
        <w:rPr>
          <w:rFonts w:asciiTheme="majorHAnsi" w:hAnsiTheme="majorHAnsi" w:cstheme="majorHAnsi"/>
          <w:lang w:val="sk-SK"/>
        </w:rPr>
        <w:t xml:space="preserve">spoločnosť </w:t>
      </w:r>
      <w:r w:rsidRPr="007E1740">
        <w:rPr>
          <w:rFonts w:asciiTheme="majorHAnsi" w:hAnsiTheme="majorHAnsi" w:cstheme="majorHAnsi"/>
          <w:b/>
          <w:lang w:val="sk-SK"/>
        </w:rPr>
        <w:t xml:space="preserve">Henkel </w:t>
      </w:r>
      <w:r w:rsidRPr="007E1740">
        <w:rPr>
          <w:rFonts w:asciiTheme="majorHAnsi" w:hAnsiTheme="majorHAnsi" w:cstheme="majorHAnsi"/>
          <w:lang w:val="sk-SK"/>
        </w:rPr>
        <w:t xml:space="preserve">aj naďalej očakáva organický rast obratu na úrovni +2,0 až +4,0 %. </w:t>
      </w:r>
      <w:r w:rsidRPr="007E1740">
        <w:rPr>
          <w:lang w:val="sk-SK"/>
        </w:rPr>
        <w:t>Vzhľadom na rozhodnutie ukončiť podnikateľskú činnosť v Rusku a Bielorusku budú od druhého štvrťroka tieto krajiny vyňaté z organického rastu obratu spoločnosti Henkel.</w:t>
      </w:r>
    </w:p>
    <w:p w14:paraId="209765B2" w14:textId="77777777" w:rsidR="00A41419" w:rsidRPr="007E1740" w:rsidRDefault="00A41419" w:rsidP="00A41419">
      <w:pPr>
        <w:spacing w:line="280" w:lineRule="auto"/>
        <w:rPr>
          <w:rFonts w:cs="Segoe UI"/>
          <w:szCs w:val="22"/>
          <w:lang w:val="sk-SK"/>
        </w:rPr>
      </w:pPr>
      <w:r w:rsidRPr="007E1740">
        <w:rPr>
          <w:rFonts w:cs="Segoe UI"/>
          <w:szCs w:val="22"/>
          <w:lang w:val="sk-SK"/>
        </w:rPr>
        <w:t>Okrem ukončenia podnikateľskej činnosti v Rusku a Bielorusku majú v porovnaní s predchádzajúcimi očakávaniami väčší vplyv na výnosy aj výrazne rastúce ceny priamych materiálov a logistiky, ktoré nemožno v plnej miere kompenzovať v tomto finančnom roku.</w:t>
      </w:r>
    </w:p>
    <w:p w14:paraId="6B251509" w14:textId="77777777" w:rsidR="00A41419" w:rsidRPr="007E1740" w:rsidRDefault="00A41419" w:rsidP="00A41419">
      <w:pPr>
        <w:rPr>
          <w:rFonts w:asciiTheme="majorHAnsi" w:hAnsiTheme="majorHAnsi" w:cstheme="majorHAnsi"/>
          <w:szCs w:val="22"/>
          <w:lang w:val="sk-SK"/>
        </w:rPr>
      </w:pPr>
    </w:p>
    <w:p w14:paraId="08A4DD07" w14:textId="77777777" w:rsidR="00A41419" w:rsidRPr="007E1740" w:rsidRDefault="00A41419" w:rsidP="00A41419">
      <w:pPr>
        <w:spacing w:line="280" w:lineRule="auto"/>
        <w:rPr>
          <w:rFonts w:asciiTheme="majorHAnsi" w:hAnsiTheme="majorHAnsi" w:cstheme="majorHAnsi"/>
          <w:szCs w:val="22"/>
          <w:lang w:val="sk-SK"/>
        </w:rPr>
      </w:pPr>
      <w:r w:rsidRPr="007E1740">
        <w:rPr>
          <w:rFonts w:asciiTheme="majorHAnsi" w:hAnsiTheme="majorHAnsi" w:cstheme="majorHAnsi"/>
          <w:szCs w:val="22"/>
          <w:lang w:val="sk-SK"/>
        </w:rPr>
        <w:t xml:space="preserve">Za </w:t>
      </w:r>
      <w:r w:rsidRPr="007E1740">
        <w:rPr>
          <w:rFonts w:asciiTheme="majorHAnsi" w:hAnsiTheme="majorHAnsi" w:cstheme="majorHAnsi"/>
          <w:b/>
          <w:szCs w:val="22"/>
          <w:lang w:val="sk-SK"/>
        </w:rPr>
        <w:t>skupinu</w:t>
      </w:r>
      <w:r w:rsidRPr="007E1740">
        <w:rPr>
          <w:rFonts w:asciiTheme="majorHAnsi" w:hAnsiTheme="majorHAnsi" w:cstheme="majorHAnsi"/>
          <w:szCs w:val="22"/>
          <w:lang w:val="sk-SK"/>
        </w:rPr>
        <w:t xml:space="preserve"> </w:t>
      </w:r>
      <w:r w:rsidRPr="007E1740">
        <w:rPr>
          <w:rFonts w:asciiTheme="majorHAnsi" w:hAnsiTheme="majorHAnsi" w:cstheme="majorHAnsi"/>
          <w:b/>
          <w:bCs/>
          <w:szCs w:val="22"/>
          <w:lang w:val="sk-SK"/>
        </w:rPr>
        <w:t xml:space="preserve">Henkel </w:t>
      </w:r>
      <w:r w:rsidRPr="007E1740">
        <w:rPr>
          <w:rFonts w:asciiTheme="majorHAnsi" w:hAnsiTheme="majorHAnsi" w:cstheme="majorHAnsi"/>
          <w:bCs/>
          <w:szCs w:val="22"/>
          <w:lang w:val="sk-SK"/>
        </w:rPr>
        <w:t>sa</w:t>
      </w:r>
      <w:r w:rsidRPr="007E1740">
        <w:rPr>
          <w:rFonts w:asciiTheme="majorHAnsi" w:hAnsiTheme="majorHAnsi" w:cstheme="majorHAnsi"/>
          <w:b/>
          <w:bCs/>
          <w:szCs w:val="22"/>
          <w:lang w:val="sk-SK"/>
        </w:rPr>
        <w:t xml:space="preserve"> upravená výnosnosť predaja (marža EBIT)</w:t>
      </w:r>
      <w:r w:rsidRPr="007E1740">
        <w:rPr>
          <w:rFonts w:asciiTheme="majorHAnsi" w:hAnsiTheme="majorHAnsi" w:cstheme="majorHAnsi"/>
          <w:szCs w:val="22"/>
          <w:lang w:val="sk-SK"/>
        </w:rPr>
        <w:t xml:space="preserve"> v súčasnosti očakáva v spodnom rozsahu 9,0 až 11,0 % (pôvodne: 11,5 až 13,5 %). Za divíziu </w:t>
      </w:r>
      <w:proofErr w:type="spellStart"/>
      <w:r w:rsidRPr="007E1740">
        <w:rPr>
          <w:rFonts w:asciiTheme="majorHAnsi" w:hAnsiTheme="majorHAnsi" w:cstheme="majorHAnsi"/>
          <w:b/>
          <w:bCs/>
          <w:szCs w:val="22"/>
          <w:lang w:val="sk-SK"/>
        </w:rPr>
        <w:t>Adhesive</w:t>
      </w:r>
      <w:proofErr w:type="spellEnd"/>
      <w:r w:rsidRPr="007E1740">
        <w:rPr>
          <w:rFonts w:asciiTheme="majorHAnsi" w:hAnsiTheme="majorHAnsi" w:cstheme="majorHAnsi"/>
          <w:b/>
          <w:bCs/>
          <w:szCs w:val="22"/>
          <w:lang w:val="sk-SK"/>
        </w:rPr>
        <w:t xml:space="preserve"> Technologies </w:t>
      </w:r>
      <w:r w:rsidRPr="007E1740">
        <w:rPr>
          <w:rFonts w:asciiTheme="majorHAnsi" w:hAnsiTheme="majorHAnsi" w:cstheme="majorHAnsi"/>
          <w:szCs w:val="22"/>
          <w:lang w:val="sk-SK"/>
        </w:rPr>
        <w:t xml:space="preserve">očakáva Henkel upravenú výnosnosť predaja v rozsahu 13,0 až 15,0 % (pôvodne: 15,0 až 17,0 %), za </w:t>
      </w:r>
      <w:r>
        <w:rPr>
          <w:rFonts w:asciiTheme="majorHAnsi" w:hAnsiTheme="majorHAnsi" w:cstheme="majorHAnsi"/>
          <w:szCs w:val="22"/>
          <w:lang w:val="sk-SK"/>
        </w:rPr>
        <w:t xml:space="preserve">divíziu </w:t>
      </w:r>
      <w:proofErr w:type="spellStart"/>
      <w:r w:rsidRPr="007E1740">
        <w:rPr>
          <w:rFonts w:asciiTheme="majorHAnsi" w:hAnsiTheme="majorHAnsi" w:cstheme="majorHAnsi"/>
          <w:b/>
          <w:bCs/>
          <w:szCs w:val="22"/>
          <w:lang w:val="sk-SK"/>
        </w:rPr>
        <w:t>Beauty</w:t>
      </w:r>
      <w:proofErr w:type="spellEnd"/>
      <w:r w:rsidRPr="007E1740">
        <w:rPr>
          <w:rFonts w:asciiTheme="majorHAnsi" w:hAnsiTheme="majorHAnsi" w:cstheme="majorHAnsi"/>
          <w:b/>
          <w:bCs/>
          <w:szCs w:val="22"/>
          <w:lang w:val="sk-SK"/>
        </w:rPr>
        <w:t xml:space="preserve"> </w:t>
      </w:r>
      <w:proofErr w:type="spellStart"/>
      <w:r w:rsidRPr="007E1740">
        <w:rPr>
          <w:rFonts w:asciiTheme="majorHAnsi" w:hAnsiTheme="majorHAnsi" w:cstheme="majorHAnsi"/>
          <w:b/>
          <w:bCs/>
          <w:szCs w:val="22"/>
          <w:lang w:val="sk-SK"/>
        </w:rPr>
        <w:t>Care</w:t>
      </w:r>
      <w:proofErr w:type="spellEnd"/>
      <w:r w:rsidRPr="007E1740">
        <w:rPr>
          <w:rFonts w:asciiTheme="majorHAnsi" w:hAnsiTheme="majorHAnsi" w:cstheme="majorHAnsi"/>
          <w:szCs w:val="22"/>
          <w:lang w:val="sk-SK"/>
        </w:rPr>
        <w:t xml:space="preserve"> v rozsahu 5,0 až 7,0 % (pôvodne: 7,5 až 10</w:t>
      </w:r>
      <w:r>
        <w:rPr>
          <w:rFonts w:asciiTheme="majorHAnsi" w:hAnsiTheme="majorHAnsi" w:cstheme="majorHAnsi"/>
          <w:szCs w:val="22"/>
          <w:lang w:val="sk-SK"/>
        </w:rPr>
        <w:t>,0</w:t>
      </w:r>
      <w:r w:rsidRPr="007E1740">
        <w:rPr>
          <w:rFonts w:asciiTheme="majorHAnsi" w:hAnsiTheme="majorHAnsi" w:cstheme="majorHAnsi"/>
          <w:szCs w:val="22"/>
          <w:lang w:val="sk-SK"/>
        </w:rPr>
        <w:t xml:space="preserve"> %) a za divíziu </w:t>
      </w:r>
      <w:proofErr w:type="spellStart"/>
      <w:r w:rsidRPr="007E1740">
        <w:rPr>
          <w:rFonts w:asciiTheme="majorHAnsi" w:hAnsiTheme="majorHAnsi" w:cstheme="majorHAnsi"/>
          <w:b/>
          <w:bCs/>
          <w:szCs w:val="22"/>
          <w:lang w:val="sk-SK"/>
        </w:rPr>
        <w:t>Laundry</w:t>
      </w:r>
      <w:proofErr w:type="spellEnd"/>
      <w:r w:rsidRPr="007E1740">
        <w:rPr>
          <w:rFonts w:asciiTheme="majorHAnsi" w:hAnsiTheme="majorHAnsi" w:cstheme="majorHAnsi"/>
          <w:b/>
          <w:bCs/>
          <w:szCs w:val="22"/>
          <w:lang w:val="sk-SK"/>
        </w:rPr>
        <w:t xml:space="preserve"> &amp; Home </w:t>
      </w:r>
      <w:proofErr w:type="spellStart"/>
      <w:r w:rsidRPr="007E1740">
        <w:rPr>
          <w:rFonts w:asciiTheme="majorHAnsi" w:hAnsiTheme="majorHAnsi" w:cstheme="majorHAnsi"/>
          <w:b/>
          <w:bCs/>
          <w:szCs w:val="22"/>
          <w:lang w:val="sk-SK"/>
        </w:rPr>
        <w:t>Care</w:t>
      </w:r>
      <w:proofErr w:type="spellEnd"/>
      <w:r w:rsidRPr="007E1740">
        <w:rPr>
          <w:rFonts w:asciiTheme="majorHAnsi" w:hAnsiTheme="majorHAnsi" w:cstheme="majorHAnsi"/>
          <w:szCs w:val="22"/>
          <w:lang w:val="sk-SK"/>
        </w:rPr>
        <w:t xml:space="preserve"> v rozsahu 7,0 až 9,0 % (pôvodne: 10,5 až 13,0 %).</w:t>
      </w:r>
    </w:p>
    <w:p w14:paraId="37C0189B" w14:textId="77777777" w:rsidR="00A41419" w:rsidRPr="007E1740" w:rsidRDefault="00A41419" w:rsidP="00A41419">
      <w:pPr>
        <w:spacing w:line="240" w:lineRule="auto"/>
        <w:rPr>
          <w:rFonts w:asciiTheme="majorHAnsi" w:hAnsiTheme="majorHAnsi" w:cstheme="majorHAnsi"/>
          <w:szCs w:val="22"/>
          <w:lang w:val="sk-SK"/>
        </w:rPr>
      </w:pPr>
    </w:p>
    <w:p w14:paraId="5F7CBB96" w14:textId="33C26FD6" w:rsidR="00A41419" w:rsidRPr="007E1740" w:rsidRDefault="00A41419" w:rsidP="00A41419">
      <w:pPr>
        <w:spacing w:line="240" w:lineRule="auto"/>
        <w:rPr>
          <w:rFonts w:asciiTheme="majorHAnsi" w:hAnsiTheme="majorHAnsi" w:cstheme="majorHAnsi"/>
          <w:szCs w:val="22"/>
          <w:lang w:val="sk-SK"/>
        </w:rPr>
      </w:pPr>
      <w:r w:rsidRPr="007E1740">
        <w:rPr>
          <w:rFonts w:asciiTheme="majorHAnsi" w:hAnsiTheme="majorHAnsi" w:cstheme="majorHAnsi"/>
          <w:szCs w:val="22"/>
          <w:lang w:val="sk-SK"/>
        </w:rPr>
        <w:t xml:space="preserve">V prípade </w:t>
      </w:r>
      <w:r w:rsidRPr="007E1740">
        <w:rPr>
          <w:rFonts w:asciiTheme="majorHAnsi" w:hAnsiTheme="majorHAnsi" w:cstheme="majorHAnsi"/>
          <w:b/>
          <w:szCs w:val="22"/>
          <w:lang w:val="sk-SK"/>
        </w:rPr>
        <w:t>upravených výnosov na prioritnú akciu</w:t>
      </w:r>
      <w:r w:rsidRPr="007E1740">
        <w:rPr>
          <w:rFonts w:asciiTheme="majorHAnsi" w:hAnsiTheme="majorHAnsi" w:cstheme="majorHAnsi"/>
          <w:szCs w:val="22"/>
          <w:lang w:val="sk-SK"/>
        </w:rPr>
        <w:t xml:space="preserve"> </w:t>
      </w:r>
      <w:r w:rsidRPr="007E1740">
        <w:rPr>
          <w:rFonts w:asciiTheme="majorHAnsi" w:hAnsiTheme="majorHAnsi" w:cstheme="majorHAnsi"/>
          <w:b/>
          <w:szCs w:val="22"/>
          <w:lang w:val="sk-SK"/>
        </w:rPr>
        <w:t>(EPS)</w:t>
      </w:r>
      <w:r w:rsidRPr="007E1740">
        <w:rPr>
          <w:rFonts w:asciiTheme="majorHAnsi" w:hAnsiTheme="majorHAnsi" w:cstheme="majorHAnsi"/>
          <w:szCs w:val="22"/>
          <w:lang w:val="sk-SK"/>
        </w:rPr>
        <w:t xml:space="preserve"> pri konštantných kurzových sadzbách Henkel očakáva pokles v rozpätí od </w:t>
      </w:r>
      <w:r w:rsidR="00A5385C">
        <w:rPr>
          <w:rFonts w:asciiTheme="majorHAnsi" w:hAnsiTheme="majorHAnsi" w:cstheme="majorHAnsi"/>
          <w:szCs w:val="22"/>
          <w:lang w:val="sk-SK"/>
        </w:rPr>
        <w:t>–</w:t>
      </w:r>
      <w:r w:rsidRPr="007E1740">
        <w:rPr>
          <w:rFonts w:asciiTheme="majorHAnsi" w:hAnsiTheme="majorHAnsi" w:cstheme="majorHAnsi"/>
          <w:szCs w:val="22"/>
          <w:lang w:val="sk-SK"/>
        </w:rPr>
        <w:t xml:space="preserve">35 do </w:t>
      </w:r>
      <w:r w:rsidR="00A5385C">
        <w:rPr>
          <w:rFonts w:asciiTheme="majorHAnsi" w:hAnsiTheme="majorHAnsi" w:cstheme="majorHAnsi"/>
          <w:szCs w:val="22"/>
          <w:lang w:val="sk-SK"/>
        </w:rPr>
        <w:t>–</w:t>
      </w:r>
      <w:r w:rsidRPr="007E1740">
        <w:rPr>
          <w:rFonts w:asciiTheme="majorHAnsi" w:hAnsiTheme="majorHAnsi" w:cstheme="majorHAnsi"/>
          <w:szCs w:val="22"/>
          <w:lang w:val="sk-SK"/>
        </w:rPr>
        <w:t xml:space="preserve">15 % (pôvodne: </w:t>
      </w:r>
      <w:r w:rsidR="00A5385C">
        <w:rPr>
          <w:rFonts w:asciiTheme="majorHAnsi" w:hAnsiTheme="majorHAnsi" w:cstheme="majorHAnsi"/>
          <w:szCs w:val="22"/>
          <w:lang w:val="sk-SK"/>
        </w:rPr>
        <w:t>–</w:t>
      </w:r>
      <w:r w:rsidRPr="007E1740">
        <w:rPr>
          <w:rFonts w:asciiTheme="majorHAnsi" w:hAnsiTheme="majorHAnsi" w:cstheme="majorHAnsi"/>
          <w:szCs w:val="22"/>
          <w:lang w:val="sk-SK"/>
        </w:rPr>
        <w:t>15 až +5 %).</w:t>
      </w:r>
    </w:p>
    <w:p w14:paraId="4F355C0F" w14:textId="77777777" w:rsidR="00A41419" w:rsidRPr="007E1740" w:rsidRDefault="00A41419" w:rsidP="00A41419">
      <w:pPr>
        <w:rPr>
          <w:rFonts w:asciiTheme="majorHAnsi" w:hAnsiTheme="majorHAnsi" w:cstheme="majorHAnsi"/>
          <w:lang w:val="sk-SK"/>
        </w:rPr>
      </w:pPr>
    </w:p>
    <w:p w14:paraId="4D197ADF" w14:textId="77777777" w:rsidR="00A41419" w:rsidRPr="007E1740" w:rsidRDefault="00A41419" w:rsidP="00A41419">
      <w:pPr>
        <w:pStyle w:val="Zkladntext"/>
        <w:spacing w:line="240" w:lineRule="auto"/>
        <w:rPr>
          <w:rFonts w:ascii="Segoe UI" w:hAnsi="Segoe UI" w:cs="Segoe UI"/>
          <w:szCs w:val="22"/>
          <w:lang w:val="sk-SK"/>
        </w:rPr>
      </w:pPr>
      <w:r w:rsidRPr="007E1740">
        <w:rPr>
          <w:rFonts w:ascii="Segoe UI" w:hAnsi="Segoe UI" w:cs="Segoe UI"/>
          <w:szCs w:val="22"/>
          <w:lang w:val="sk-SK"/>
        </w:rPr>
        <w:t>Tento nový výhľad vychádza z predpokladu, že vplyvy vojny na Ukrajine sa výrazne nezhoršia a nedôjde k žiadnemu ďalšiemu zatváraniu prevádzok v priemysle a maloobchode z dôvodu pandémie ochorenia COVID</w:t>
      </w:r>
      <w:r>
        <w:rPr>
          <w:rFonts w:ascii="Segoe UI" w:hAnsi="Segoe UI" w:cs="Segoe UI"/>
          <w:szCs w:val="22"/>
          <w:lang w:val="sk-SK"/>
        </w:rPr>
        <w:t>-</w:t>
      </w:r>
      <w:r w:rsidRPr="007E1740">
        <w:rPr>
          <w:rFonts w:ascii="Segoe UI" w:hAnsi="Segoe UI" w:cs="Segoe UI"/>
          <w:szCs w:val="22"/>
          <w:lang w:val="sk-SK"/>
        </w:rPr>
        <w:t xml:space="preserve">19. </w:t>
      </w:r>
    </w:p>
    <w:p w14:paraId="658BAB87" w14:textId="77777777" w:rsidR="00A41419" w:rsidRPr="007E1740" w:rsidRDefault="00A41419" w:rsidP="00A41419">
      <w:pPr>
        <w:rPr>
          <w:rFonts w:asciiTheme="majorHAnsi" w:hAnsiTheme="majorHAnsi" w:cstheme="majorHAnsi"/>
          <w:lang w:val="sk-SK"/>
        </w:rPr>
      </w:pPr>
    </w:p>
    <w:p w14:paraId="3A40572D" w14:textId="77777777" w:rsidR="00A41419" w:rsidRPr="007E1740" w:rsidRDefault="00A41419" w:rsidP="00A41419">
      <w:pPr>
        <w:spacing w:line="280" w:lineRule="auto"/>
        <w:rPr>
          <w:rFonts w:asciiTheme="majorHAnsi" w:hAnsiTheme="majorHAnsi" w:cstheme="majorHAnsi"/>
          <w:lang w:val="sk-SK"/>
        </w:rPr>
      </w:pPr>
      <w:r w:rsidRPr="002F0F39">
        <w:rPr>
          <w:rFonts w:asciiTheme="majorHAnsi" w:hAnsiTheme="majorHAnsi" w:cstheme="majorHAnsi"/>
          <w:i/>
          <w:iCs/>
          <w:lang w:val="sk-SK"/>
        </w:rPr>
        <w:t xml:space="preserve">„Napriek mimoriadne náročnému prostrediu sa snažíme napĺňať stratégiu zmysluplného rastu. S našou divíziou </w:t>
      </w:r>
      <w:proofErr w:type="spellStart"/>
      <w:r w:rsidRPr="002F0F39">
        <w:rPr>
          <w:rFonts w:asciiTheme="majorHAnsi" w:hAnsiTheme="majorHAnsi" w:cstheme="majorHAnsi"/>
          <w:i/>
          <w:iCs/>
          <w:lang w:val="sk-SK"/>
        </w:rPr>
        <w:t>Adhesive</w:t>
      </w:r>
      <w:proofErr w:type="spellEnd"/>
      <w:r w:rsidRPr="002F0F39">
        <w:rPr>
          <w:rFonts w:asciiTheme="majorHAnsi" w:hAnsiTheme="majorHAnsi" w:cstheme="majorHAnsi"/>
          <w:i/>
          <w:iCs/>
          <w:lang w:val="sk-SK"/>
        </w:rPr>
        <w:t xml:space="preserve"> Technologies sme globálnym lídrom a ponúkame inovatívne riešenia v mnohých dôležitých odvetviach s jednoznačným dôrazom na budúce trendy, ako napr. mobilita, konektivita a udržateľnosť. Okrem toho zlúčením našich spotrebiteľských segmentov </w:t>
      </w:r>
      <w:proofErr w:type="spellStart"/>
      <w:r w:rsidRPr="002F0F39">
        <w:rPr>
          <w:rFonts w:asciiTheme="majorHAnsi" w:hAnsiTheme="majorHAnsi" w:cstheme="majorHAnsi"/>
          <w:i/>
          <w:iCs/>
          <w:lang w:val="sk-SK"/>
        </w:rPr>
        <w:t>Laundry</w:t>
      </w:r>
      <w:proofErr w:type="spellEnd"/>
      <w:r w:rsidRPr="002F0F39">
        <w:rPr>
          <w:rFonts w:asciiTheme="majorHAnsi" w:hAnsiTheme="majorHAnsi" w:cstheme="majorHAnsi"/>
          <w:i/>
          <w:iCs/>
          <w:lang w:val="sk-SK"/>
        </w:rPr>
        <w:t xml:space="preserve"> &amp; Home </w:t>
      </w:r>
      <w:proofErr w:type="spellStart"/>
      <w:r w:rsidRPr="002F0F39">
        <w:rPr>
          <w:rFonts w:asciiTheme="majorHAnsi" w:hAnsiTheme="majorHAnsi" w:cstheme="majorHAnsi"/>
          <w:i/>
          <w:iCs/>
          <w:lang w:val="sk-SK"/>
        </w:rPr>
        <w:t>Care</w:t>
      </w:r>
      <w:proofErr w:type="spellEnd"/>
      <w:r w:rsidRPr="002F0F39">
        <w:rPr>
          <w:rFonts w:asciiTheme="majorHAnsi" w:hAnsiTheme="majorHAnsi" w:cstheme="majorHAnsi"/>
          <w:i/>
          <w:iCs/>
          <w:lang w:val="sk-SK"/>
        </w:rPr>
        <w:t xml:space="preserve"> a </w:t>
      </w:r>
      <w:proofErr w:type="spellStart"/>
      <w:r w:rsidRPr="002F0F39">
        <w:rPr>
          <w:rFonts w:asciiTheme="majorHAnsi" w:hAnsiTheme="majorHAnsi" w:cstheme="majorHAnsi"/>
          <w:i/>
          <w:iCs/>
          <w:lang w:val="sk-SK"/>
        </w:rPr>
        <w:t>Beauty</w:t>
      </w:r>
      <w:proofErr w:type="spellEnd"/>
      <w:r w:rsidRPr="002F0F39">
        <w:rPr>
          <w:rFonts w:asciiTheme="majorHAnsi" w:hAnsiTheme="majorHAnsi" w:cstheme="majorHAnsi"/>
          <w:i/>
          <w:iCs/>
          <w:lang w:val="sk-SK"/>
        </w:rPr>
        <w:t xml:space="preserve"> </w:t>
      </w:r>
      <w:proofErr w:type="spellStart"/>
      <w:r w:rsidRPr="002F0F39">
        <w:rPr>
          <w:rFonts w:asciiTheme="majorHAnsi" w:hAnsiTheme="majorHAnsi" w:cstheme="majorHAnsi"/>
          <w:i/>
          <w:iCs/>
          <w:lang w:val="sk-SK"/>
        </w:rPr>
        <w:t>Care</w:t>
      </w:r>
      <w:proofErr w:type="spellEnd"/>
      <w:r w:rsidRPr="002F0F39">
        <w:rPr>
          <w:rFonts w:asciiTheme="majorHAnsi" w:hAnsiTheme="majorHAnsi" w:cstheme="majorHAnsi"/>
          <w:i/>
          <w:iCs/>
          <w:lang w:val="sk-SK"/>
        </w:rPr>
        <w:t xml:space="preserve"> do jednej divízie Henkel </w:t>
      </w:r>
      <w:proofErr w:type="spellStart"/>
      <w:r w:rsidRPr="002F0F39">
        <w:rPr>
          <w:rFonts w:asciiTheme="majorHAnsi" w:hAnsiTheme="majorHAnsi" w:cstheme="majorHAnsi"/>
          <w:i/>
          <w:iCs/>
          <w:lang w:val="sk-SK"/>
        </w:rPr>
        <w:t>Consumer</w:t>
      </w:r>
      <w:proofErr w:type="spellEnd"/>
      <w:r w:rsidRPr="002F0F39">
        <w:rPr>
          <w:rFonts w:asciiTheme="majorHAnsi" w:hAnsiTheme="majorHAnsi" w:cstheme="majorHAnsi"/>
          <w:i/>
          <w:iCs/>
          <w:lang w:val="sk-SK"/>
        </w:rPr>
        <w:t xml:space="preserve"> </w:t>
      </w:r>
      <w:proofErr w:type="spellStart"/>
      <w:r w:rsidRPr="002F0F39">
        <w:rPr>
          <w:rFonts w:asciiTheme="majorHAnsi" w:hAnsiTheme="majorHAnsi" w:cstheme="majorHAnsi"/>
          <w:i/>
          <w:iCs/>
          <w:lang w:val="sk-SK"/>
        </w:rPr>
        <w:t>Brands</w:t>
      </w:r>
      <w:proofErr w:type="spellEnd"/>
      <w:r w:rsidRPr="002F0F39">
        <w:rPr>
          <w:rFonts w:asciiTheme="majorHAnsi" w:hAnsiTheme="majorHAnsi" w:cstheme="majorHAnsi"/>
          <w:i/>
          <w:iCs/>
          <w:lang w:val="sk-SK"/>
        </w:rPr>
        <w:t xml:space="preserve"> vytvárame </w:t>
      </w:r>
      <w:proofErr w:type="spellStart"/>
      <w:r w:rsidRPr="002F0F39">
        <w:rPr>
          <w:rFonts w:asciiTheme="majorHAnsi" w:hAnsiTheme="majorHAnsi" w:cstheme="majorHAnsi"/>
          <w:i/>
          <w:iCs/>
          <w:lang w:val="sk-SK"/>
        </w:rPr>
        <w:t>multiproduktovú</w:t>
      </w:r>
      <w:proofErr w:type="spellEnd"/>
      <w:r w:rsidRPr="002F0F39">
        <w:rPr>
          <w:rFonts w:asciiTheme="majorHAnsi" w:hAnsiTheme="majorHAnsi" w:cstheme="majorHAnsi"/>
          <w:i/>
          <w:iCs/>
          <w:lang w:val="sk-SK"/>
        </w:rPr>
        <w:t xml:space="preserve"> platformu s obratom približne 10 mld. eur. Naša budúca divízia </w:t>
      </w:r>
      <w:proofErr w:type="spellStart"/>
      <w:r w:rsidRPr="002F0F39">
        <w:rPr>
          <w:rFonts w:asciiTheme="majorHAnsi" w:hAnsiTheme="majorHAnsi" w:cstheme="majorHAnsi"/>
          <w:i/>
          <w:iCs/>
          <w:lang w:val="sk-SK"/>
        </w:rPr>
        <w:t>Consumer</w:t>
      </w:r>
      <w:proofErr w:type="spellEnd"/>
      <w:r w:rsidRPr="002F0F39">
        <w:rPr>
          <w:rFonts w:asciiTheme="majorHAnsi" w:hAnsiTheme="majorHAnsi" w:cstheme="majorHAnsi"/>
          <w:i/>
          <w:iCs/>
          <w:lang w:val="sk-SK"/>
        </w:rPr>
        <w:t xml:space="preserve"> </w:t>
      </w:r>
      <w:proofErr w:type="spellStart"/>
      <w:r w:rsidRPr="002F0F39">
        <w:rPr>
          <w:rFonts w:asciiTheme="majorHAnsi" w:hAnsiTheme="majorHAnsi" w:cstheme="majorHAnsi"/>
          <w:i/>
          <w:iCs/>
          <w:lang w:val="sk-SK"/>
        </w:rPr>
        <w:t>Brands</w:t>
      </w:r>
      <w:proofErr w:type="spellEnd"/>
      <w:r w:rsidRPr="002F0F39">
        <w:rPr>
          <w:rFonts w:asciiTheme="majorHAnsi" w:hAnsiTheme="majorHAnsi" w:cstheme="majorHAnsi"/>
          <w:i/>
          <w:iCs/>
          <w:lang w:val="sk-SK"/>
        </w:rPr>
        <w:t xml:space="preserve"> by mala vzniknúť najneskôr začiatkom roka 2023, pričom poskytne širší základ pre ešte </w:t>
      </w:r>
      <w:proofErr w:type="spellStart"/>
      <w:r w:rsidRPr="002F0F39">
        <w:rPr>
          <w:rFonts w:asciiTheme="majorHAnsi" w:hAnsiTheme="majorHAnsi" w:cstheme="majorHAnsi"/>
          <w:i/>
          <w:iCs/>
          <w:lang w:val="sk-SK"/>
        </w:rPr>
        <w:t>konzistentnejšiu</w:t>
      </w:r>
      <w:proofErr w:type="spellEnd"/>
      <w:r w:rsidRPr="002F0F39">
        <w:rPr>
          <w:rFonts w:asciiTheme="majorHAnsi" w:hAnsiTheme="majorHAnsi" w:cstheme="majorHAnsi"/>
          <w:i/>
          <w:iCs/>
          <w:lang w:val="sk-SK"/>
        </w:rPr>
        <w:t xml:space="preserve"> optimalizáciu nášho portfólia smerom k vyššiemu rastu a maržiam,“</w:t>
      </w:r>
      <w:r w:rsidRPr="007E1740">
        <w:rPr>
          <w:rFonts w:asciiTheme="majorHAnsi" w:hAnsiTheme="majorHAnsi" w:cstheme="majorHAnsi"/>
          <w:lang w:val="sk-SK"/>
        </w:rPr>
        <w:t xml:space="preserve"> povedal </w:t>
      </w:r>
      <w:proofErr w:type="spellStart"/>
      <w:r w:rsidRPr="007E1740">
        <w:rPr>
          <w:rFonts w:asciiTheme="majorHAnsi" w:hAnsiTheme="majorHAnsi" w:cstheme="majorHAnsi"/>
          <w:lang w:val="sk-SK"/>
        </w:rPr>
        <w:t>Carsten</w:t>
      </w:r>
      <w:proofErr w:type="spellEnd"/>
      <w:r w:rsidRPr="007E1740">
        <w:rPr>
          <w:rFonts w:asciiTheme="majorHAnsi" w:hAnsiTheme="majorHAnsi" w:cstheme="majorHAnsi"/>
          <w:lang w:val="sk-SK"/>
        </w:rPr>
        <w:t xml:space="preserve"> </w:t>
      </w:r>
      <w:proofErr w:type="spellStart"/>
      <w:r w:rsidRPr="007E1740">
        <w:rPr>
          <w:rFonts w:asciiTheme="majorHAnsi" w:hAnsiTheme="majorHAnsi" w:cstheme="majorHAnsi"/>
          <w:lang w:val="sk-SK"/>
        </w:rPr>
        <w:t>Knobel</w:t>
      </w:r>
      <w:proofErr w:type="spellEnd"/>
      <w:r w:rsidRPr="007E1740">
        <w:rPr>
          <w:rFonts w:asciiTheme="majorHAnsi" w:hAnsiTheme="majorHAnsi" w:cstheme="majorHAnsi"/>
          <w:lang w:val="sk-SK"/>
        </w:rPr>
        <w:t>.</w:t>
      </w:r>
    </w:p>
    <w:p w14:paraId="515D19DC" w14:textId="77777777" w:rsidR="00A41419" w:rsidRPr="007E1740" w:rsidRDefault="00A41419" w:rsidP="00A41419">
      <w:pPr>
        <w:rPr>
          <w:rStyle w:val="AboutandContactHeadline"/>
          <w:lang w:val="sk-SK"/>
        </w:rPr>
      </w:pPr>
    </w:p>
    <w:p w14:paraId="7BB5F5D1" w14:textId="6B91F5C1" w:rsidR="00A41419" w:rsidRPr="007E1740" w:rsidRDefault="00A41419" w:rsidP="00A41419">
      <w:pPr>
        <w:spacing w:line="280" w:lineRule="auto"/>
        <w:rPr>
          <w:rFonts w:asciiTheme="majorHAnsi" w:hAnsiTheme="majorHAnsi" w:cstheme="majorHAnsi"/>
          <w:lang w:val="sk-SK"/>
        </w:rPr>
      </w:pPr>
      <w:r w:rsidRPr="007E1740">
        <w:rPr>
          <w:rFonts w:asciiTheme="majorHAnsi" w:hAnsiTheme="majorHAnsi" w:cstheme="majorHAnsi"/>
          <w:lang w:val="sk-SK"/>
        </w:rPr>
        <w:t xml:space="preserve">5. mája </w:t>
      </w:r>
      <w:r w:rsidR="007F021E">
        <w:rPr>
          <w:rFonts w:asciiTheme="majorHAnsi" w:hAnsiTheme="majorHAnsi" w:cstheme="majorHAnsi"/>
          <w:lang w:val="sk-SK"/>
        </w:rPr>
        <w:t xml:space="preserve">spoločnosť </w:t>
      </w:r>
      <w:r w:rsidRPr="007E1740">
        <w:rPr>
          <w:rFonts w:asciiTheme="majorHAnsi" w:hAnsiTheme="majorHAnsi" w:cstheme="majorHAnsi"/>
          <w:lang w:val="sk-SK"/>
        </w:rPr>
        <w:t xml:space="preserve">Henkel zverejní svoju správu za prvý štvrťrok 2022 a v súlade s predchádzajúcim oznámením poskytne ďalšie informácie o priebehu integrácie dvoch </w:t>
      </w:r>
      <w:r w:rsidRPr="007E1740">
        <w:rPr>
          <w:rFonts w:asciiTheme="majorHAnsi" w:hAnsiTheme="majorHAnsi" w:cstheme="majorHAnsi"/>
          <w:lang w:val="sk-SK"/>
        </w:rPr>
        <w:lastRenderedPageBreak/>
        <w:t>obchodných divízií a plánovaných opatreniach na posilnenie portfólia, vrátane očakávaných synergií a nákladov na reštrukturalizáciu.</w:t>
      </w:r>
    </w:p>
    <w:p w14:paraId="74DCD38C" w14:textId="77777777" w:rsidR="007F0F63" w:rsidRPr="0034425D" w:rsidRDefault="007F0F63" w:rsidP="00643D8A">
      <w:pPr>
        <w:rPr>
          <w:rFonts w:cs="Segoe UI"/>
          <w:szCs w:val="22"/>
          <w:lang w:val="sk-SK"/>
        </w:rPr>
      </w:pPr>
    </w:p>
    <w:p w14:paraId="33781753" w14:textId="77777777" w:rsidR="00ED6D8E" w:rsidRPr="00ED6D8E" w:rsidRDefault="00ED6D8E" w:rsidP="00ED6D8E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1FEEC7B3" w14:textId="06B17DF7" w:rsidR="00BB5D0B" w:rsidRPr="00ED6D8E" w:rsidRDefault="00ED6D8E" w:rsidP="00ED6D8E">
      <w:pPr>
        <w:rPr>
          <w:rStyle w:val="AboutandContactHeadline"/>
          <w:b w:val="0"/>
          <w:bCs w:val="0"/>
          <w:lang w:val="sk-SK"/>
        </w:rPr>
      </w:pPr>
      <w:r w:rsidRPr="00ED6D8E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Technologies celosvetovým lídrom na trhu v rámci všetkých priemyselných segmentov. V oblastiach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1" w:history="1">
        <w:r w:rsidRPr="000E7FB5">
          <w:rPr>
            <w:rStyle w:val="Hypertextovprepojenie"/>
            <w:szCs w:val="24"/>
            <w:lang w:val="sk-SK"/>
          </w:rPr>
          <w:t>www.henkel.com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600C97" w:rsidRDefault="00600C97" w:rsidP="00600C97">
      <w:pPr>
        <w:rPr>
          <w:rStyle w:val="AboutandContactHeadline"/>
          <w:lang w:val="sk-SK"/>
        </w:rPr>
      </w:pPr>
      <w:r w:rsidRPr="00600C9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600C97" w:rsidRDefault="00600C97" w:rsidP="00600C97">
      <w:pPr>
        <w:rPr>
          <w:rStyle w:val="AboutandContactHeadline"/>
          <w:b w:val="0"/>
          <w:bCs w:val="0"/>
          <w:lang w:val="sk-SK"/>
        </w:rPr>
      </w:pPr>
      <w:r w:rsidRPr="00600C9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Pr="000E7FB5">
          <w:rPr>
            <w:rStyle w:val="Hypertextovprepojenie"/>
            <w:szCs w:val="24"/>
            <w:lang w:val="sk-SK"/>
          </w:rPr>
          <w:t>www.henkel.sk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4D74948D" w14:textId="6F6A2B51" w:rsidR="008C56CF" w:rsidRDefault="008C56CF" w:rsidP="00BF6E82">
      <w:pPr>
        <w:rPr>
          <w:rStyle w:val="AboutandContactHeadline"/>
          <w:lang w:val="sk-SK"/>
        </w:rPr>
      </w:pPr>
    </w:p>
    <w:p w14:paraId="1DBC0172" w14:textId="77777777" w:rsidR="002F0F39" w:rsidRPr="007E1740" w:rsidRDefault="002F0F39" w:rsidP="002F0F39">
      <w:pPr>
        <w:spacing w:line="280" w:lineRule="auto"/>
        <w:rPr>
          <w:rFonts w:asciiTheme="majorHAnsi" w:hAnsiTheme="majorHAnsi" w:cstheme="majorHAnsi"/>
          <w:lang w:val="sk-SK"/>
        </w:rPr>
      </w:pPr>
      <w:r w:rsidRPr="007E1740">
        <w:rPr>
          <w:rFonts w:asciiTheme="majorHAnsi" w:hAnsiTheme="majorHAnsi" w:cstheme="majorHAnsi"/>
          <w:bCs/>
          <w:sz w:val="14"/>
          <w:szCs w:val="14"/>
          <w:lang w:val="sk-SK"/>
        </w:rPr>
        <w:t xml:space="preserve">Tento dokument obsahuje výhľadové stanoviská opierajúce sa o aktuálne odhady a predpoklady vypracované manažmentom spoločnosti Henkel AG &amp; Co. </w:t>
      </w:r>
      <w:proofErr w:type="spellStart"/>
      <w:r w:rsidRPr="007E1740">
        <w:rPr>
          <w:rFonts w:asciiTheme="majorHAnsi" w:hAnsiTheme="majorHAnsi" w:cstheme="majorHAnsi"/>
          <w:bCs/>
          <w:sz w:val="14"/>
          <w:szCs w:val="14"/>
          <w:lang w:val="sk-SK"/>
        </w:rPr>
        <w:t>KGaA</w:t>
      </w:r>
      <w:proofErr w:type="spellEnd"/>
      <w:r w:rsidRPr="007E1740">
        <w:rPr>
          <w:rFonts w:asciiTheme="majorHAnsi" w:hAnsiTheme="majorHAnsi" w:cstheme="majorHAnsi"/>
          <w:bCs/>
          <w:sz w:val="14"/>
          <w:szCs w:val="14"/>
          <w:lang w:val="sk-SK"/>
        </w:rPr>
        <w:t>. Stanoviská týkajúce sa budúceho vývoja charakterizuje použitie takých slovných zvratov ako „očakávať“, „zamýšľať“, „plánovať“, „predpokladať“, „domnievať sa“, „odhadovať“ a podobných výrazov. Takéto stanoviská nie je možné chápať</w:t>
      </w:r>
      <w:r>
        <w:rPr>
          <w:rFonts w:asciiTheme="majorHAnsi" w:hAnsiTheme="majorHAnsi" w:cstheme="majorHAnsi"/>
          <w:bCs/>
          <w:sz w:val="14"/>
          <w:szCs w:val="14"/>
          <w:lang w:val="sk-SK"/>
        </w:rPr>
        <w:t xml:space="preserve"> tak, že </w:t>
      </w:r>
      <w:r w:rsidRPr="007E1740">
        <w:rPr>
          <w:rFonts w:asciiTheme="majorHAnsi" w:hAnsiTheme="majorHAnsi" w:cstheme="majorHAnsi"/>
          <w:bCs/>
          <w:sz w:val="14"/>
          <w:szCs w:val="14"/>
          <w:lang w:val="sk-SK"/>
        </w:rPr>
        <w:t>akýmkoľvek spôsobom</w:t>
      </w:r>
      <w:r>
        <w:rPr>
          <w:rFonts w:asciiTheme="majorHAnsi" w:hAnsiTheme="majorHAnsi" w:cstheme="majorHAnsi"/>
          <w:bCs/>
          <w:sz w:val="14"/>
          <w:szCs w:val="14"/>
          <w:lang w:val="sk-SK"/>
        </w:rPr>
        <w:t xml:space="preserve"> zaručujú</w:t>
      </w:r>
      <w:r w:rsidRPr="007E1740">
        <w:rPr>
          <w:rFonts w:asciiTheme="majorHAnsi" w:hAnsiTheme="majorHAnsi" w:cstheme="majorHAnsi"/>
          <w:bCs/>
          <w:sz w:val="14"/>
          <w:szCs w:val="14"/>
          <w:lang w:val="sk-SK"/>
        </w:rPr>
        <w:t xml:space="preserve">, že </w:t>
      </w:r>
      <w:r>
        <w:rPr>
          <w:rFonts w:asciiTheme="majorHAnsi" w:hAnsiTheme="majorHAnsi" w:cstheme="majorHAnsi"/>
          <w:bCs/>
          <w:sz w:val="14"/>
          <w:szCs w:val="14"/>
          <w:lang w:val="sk-SK"/>
        </w:rPr>
        <w:t>uvedené</w:t>
      </w:r>
      <w:r w:rsidRPr="007E1740">
        <w:rPr>
          <w:rFonts w:asciiTheme="majorHAnsi" w:hAnsiTheme="majorHAnsi" w:cstheme="majorHAnsi"/>
          <w:bCs/>
          <w:sz w:val="14"/>
          <w:szCs w:val="14"/>
          <w:lang w:val="sk-SK"/>
        </w:rPr>
        <w:t xml:space="preserve"> predikcie sú presné. Budúca výkonnosť</w:t>
      </w:r>
      <w:r>
        <w:rPr>
          <w:rFonts w:asciiTheme="majorHAnsi" w:hAnsiTheme="majorHAnsi" w:cstheme="majorHAnsi"/>
          <w:bCs/>
          <w:sz w:val="14"/>
          <w:szCs w:val="14"/>
          <w:lang w:val="sk-SK"/>
        </w:rPr>
        <w:t>,</w:t>
      </w:r>
      <w:r w:rsidRPr="007E1740">
        <w:rPr>
          <w:rFonts w:asciiTheme="majorHAnsi" w:hAnsiTheme="majorHAnsi" w:cstheme="majorHAnsi"/>
          <w:bCs/>
          <w:sz w:val="14"/>
          <w:szCs w:val="14"/>
          <w:lang w:val="sk-SK"/>
        </w:rPr>
        <w:t xml:space="preserve"> ako aj reálne dosiahnuté výsledky spoločnosti Henkel AG &amp; Co. </w:t>
      </w:r>
      <w:proofErr w:type="spellStart"/>
      <w:r w:rsidRPr="007E1740">
        <w:rPr>
          <w:rFonts w:asciiTheme="majorHAnsi" w:hAnsiTheme="majorHAnsi" w:cstheme="majorHAnsi"/>
          <w:bCs/>
          <w:sz w:val="14"/>
          <w:szCs w:val="14"/>
          <w:lang w:val="sk-SK"/>
        </w:rPr>
        <w:t>KGaA</w:t>
      </w:r>
      <w:proofErr w:type="spellEnd"/>
      <w:r w:rsidRPr="007E1740">
        <w:rPr>
          <w:rFonts w:asciiTheme="majorHAnsi" w:hAnsiTheme="majorHAnsi" w:cstheme="majorHAnsi"/>
          <w:bCs/>
          <w:sz w:val="14"/>
          <w:szCs w:val="14"/>
          <w:lang w:val="sk-SK"/>
        </w:rPr>
        <w:t xml:space="preserve"> a jej sesterských spoločností závisia od celého radu rizikových faktorov a neistôt, a preto sa môžu podstatne odkláňať od výhľadových stanovísk. Na mnohé z nich spoločnosť Henkel nemá priamy dosah a vopred ich nie je možné presne odhadnúť, ako napríklad, aké bude ekonomické prostredie v budúcnosti a aké budú kroky konkurentov a iných subjektov pôsobiacich na trhu. Spoločnosť Henkel nemá v úmysle a ani neprijme kroky na účely aktualizácie týchto stanovísk. </w:t>
      </w:r>
    </w:p>
    <w:p w14:paraId="50904416" w14:textId="77777777" w:rsidR="002F0F39" w:rsidRPr="007E1740" w:rsidRDefault="002F0F39" w:rsidP="002F0F39">
      <w:pPr>
        <w:rPr>
          <w:rFonts w:asciiTheme="majorHAnsi" w:hAnsiTheme="majorHAnsi" w:cstheme="majorHAnsi"/>
          <w:bCs/>
          <w:sz w:val="14"/>
          <w:szCs w:val="14"/>
          <w:lang w:val="sk-SK"/>
        </w:rPr>
      </w:pPr>
    </w:p>
    <w:p w14:paraId="4990D962" w14:textId="77777777" w:rsidR="002F0F39" w:rsidRPr="007E1740" w:rsidRDefault="002F0F39" w:rsidP="002F0F39">
      <w:pPr>
        <w:spacing w:line="280" w:lineRule="auto"/>
        <w:rPr>
          <w:rFonts w:asciiTheme="majorHAnsi" w:hAnsiTheme="majorHAnsi" w:cstheme="majorHAnsi"/>
          <w:bCs/>
          <w:sz w:val="14"/>
          <w:szCs w:val="14"/>
          <w:lang w:val="sk-SK"/>
        </w:rPr>
      </w:pPr>
      <w:r w:rsidRPr="007E1740">
        <w:rPr>
          <w:rFonts w:asciiTheme="majorHAnsi" w:hAnsiTheme="majorHAnsi" w:cstheme="majorHAnsi"/>
          <w:bCs/>
          <w:sz w:val="14"/>
          <w:szCs w:val="14"/>
          <w:lang w:val="sk-SK"/>
        </w:rPr>
        <w:t>Tento dokument obsahuje doplňujúce finančné ukazovatele, ktoré nie sú jednoznačne definované v platnom rámci finančného výkazníctva, ktoré predstavujú alebo môžu predstavovať alternatívne ukazovatele finančnej výkonnosti. Tieto doplňujúce finančné ukazovatele by sa nemali vykladať osobitne alebo ako alternatívne ukazovatele k ukazovateľom čistých aktív a finančných pozícií spoločnosti Henkel alebo k výsledkom podnikania, ktoré sú v súlade s platným rámcom finančného výkazníctva prezentované v konsolidovanej účtovnej závierke spoločnosti. Iné spoločnosti, ktoré vykazujú alebo uvádzajú alternatívne ukazovatele výkonnosti s podobnými názvami, môžu počítať ich hodnoty odlišne.</w:t>
      </w:r>
    </w:p>
    <w:p w14:paraId="54F052D3" w14:textId="77777777" w:rsidR="002F0F39" w:rsidRPr="007E1740" w:rsidRDefault="002F0F39" w:rsidP="002F0F39">
      <w:pPr>
        <w:rPr>
          <w:rFonts w:asciiTheme="majorHAnsi" w:hAnsiTheme="majorHAnsi" w:cstheme="majorHAnsi"/>
          <w:bCs/>
          <w:sz w:val="14"/>
          <w:szCs w:val="14"/>
          <w:lang w:val="sk-SK"/>
        </w:rPr>
      </w:pPr>
    </w:p>
    <w:p w14:paraId="570CB657" w14:textId="555F48B3" w:rsidR="002F0F39" w:rsidRPr="002F0F39" w:rsidRDefault="002F0F39" w:rsidP="002F0F39">
      <w:pPr>
        <w:spacing w:line="280" w:lineRule="auto"/>
        <w:rPr>
          <w:rStyle w:val="AboutandContactHeadline"/>
          <w:rFonts w:asciiTheme="majorHAnsi" w:hAnsiTheme="majorHAnsi" w:cstheme="majorHAnsi"/>
          <w:b w:val="0"/>
          <w:sz w:val="14"/>
          <w:szCs w:val="14"/>
          <w:lang w:val="sk-SK"/>
        </w:rPr>
      </w:pPr>
      <w:r w:rsidRPr="007E1740">
        <w:rPr>
          <w:rFonts w:asciiTheme="majorHAnsi" w:hAnsiTheme="majorHAnsi" w:cstheme="majorHAnsi"/>
          <w:bCs/>
          <w:sz w:val="14"/>
          <w:szCs w:val="14"/>
          <w:lang w:val="sk-SK"/>
        </w:rPr>
        <w:t xml:space="preserve">Tento dokument slúži výlučne na informačné účely a nepredstavuje investičnú radu ani ponuku na predaj alebo kúpu akýchkoľvek cenných papierov. </w:t>
      </w:r>
    </w:p>
    <w:p w14:paraId="51474588" w14:textId="77777777" w:rsidR="008C56CF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FF139F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FF139F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 xml:space="preserve">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3" w:history="1">
        <w:r w:rsidR="00BB1DFA"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FF139F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2DFE" w14:textId="77777777" w:rsidR="00BA7F4E" w:rsidRDefault="00BA7F4E">
      <w:r>
        <w:separator/>
      </w:r>
    </w:p>
  </w:endnote>
  <w:endnote w:type="continuationSeparator" w:id="0">
    <w:p w14:paraId="6A4323CF" w14:textId="77777777" w:rsidR="00BA7F4E" w:rsidRDefault="00BA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BA7F4E">
      <w:fldChar w:fldCharType="begin"/>
    </w:r>
    <w:r w:rsidR="00BA7F4E">
      <w:instrText xml:space="preserve"> NUMPAGES  \</w:instrText>
    </w:r>
    <w:r w:rsidR="00BA7F4E">
      <w:instrText xml:space="preserve">* Arabic  \* MERGEFORMAT </w:instrText>
    </w:r>
    <w:r w:rsidR="00BA7F4E">
      <w:fldChar w:fldCharType="separate"/>
    </w:r>
    <w:r>
      <w:t>2</w:t>
    </w:r>
    <w:r w:rsidR="00BA7F4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3424" w14:textId="77777777" w:rsidR="00BA7F4E" w:rsidRDefault="00BA7F4E">
      <w:r>
        <w:separator/>
      </w:r>
    </w:p>
  </w:footnote>
  <w:footnote w:type="continuationSeparator" w:id="0">
    <w:p w14:paraId="7CFCEFF9" w14:textId="77777777" w:rsidR="00BA7F4E" w:rsidRDefault="00BA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2"/>
  </w:num>
  <w:num w:numId="2" w16cid:durableId="122650485">
    <w:abstractNumId w:val="1"/>
  </w:num>
  <w:num w:numId="3" w16cid:durableId="1313870647">
    <w:abstractNumId w:val="9"/>
  </w:num>
  <w:num w:numId="4" w16cid:durableId="1325471364">
    <w:abstractNumId w:val="7"/>
  </w:num>
  <w:num w:numId="5" w16cid:durableId="204098463">
    <w:abstractNumId w:val="5"/>
  </w:num>
  <w:num w:numId="6" w16cid:durableId="1262301861">
    <w:abstractNumId w:val="8"/>
  </w:num>
  <w:num w:numId="7" w16cid:durableId="2122138509">
    <w:abstractNumId w:val="10"/>
  </w:num>
  <w:num w:numId="8" w16cid:durableId="24136447">
    <w:abstractNumId w:val="3"/>
  </w:num>
  <w:num w:numId="9" w16cid:durableId="397436182">
    <w:abstractNumId w:val="4"/>
  </w:num>
  <w:num w:numId="10" w16cid:durableId="1620333554">
    <w:abstractNumId w:val="0"/>
  </w:num>
  <w:num w:numId="11" w16cid:durableId="1738821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47968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26E5"/>
    <w:rsid w:val="002E4FFB"/>
    <w:rsid w:val="002E7DED"/>
    <w:rsid w:val="002F0F39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D2A02"/>
    <w:rsid w:val="007E6EA1"/>
    <w:rsid w:val="007F021E"/>
    <w:rsid w:val="007F0F63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5622"/>
    <w:rsid w:val="008C56CF"/>
    <w:rsid w:val="008D76C5"/>
    <w:rsid w:val="008E0AFA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7029"/>
    <w:rsid w:val="00A01F56"/>
    <w:rsid w:val="00A044D6"/>
    <w:rsid w:val="00A04ADB"/>
    <w:rsid w:val="00A11E0F"/>
    <w:rsid w:val="00A26CB6"/>
    <w:rsid w:val="00A32F82"/>
    <w:rsid w:val="00A32F8B"/>
    <w:rsid w:val="00A3756F"/>
    <w:rsid w:val="00A41419"/>
    <w:rsid w:val="00A42D6F"/>
    <w:rsid w:val="00A45A62"/>
    <w:rsid w:val="00A5385C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224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A7F4E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4714F"/>
    <w:rsid w:val="00F47EED"/>
    <w:rsid w:val="00F50B46"/>
    <w:rsid w:val="00F50D1F"/>
    <w:rsid w:val="00F6203E"/>
    <w:rsid w:val="00F635FC"/>
    <w:rsid w:val="00F63D03"/>
    <w:rsid w:val="00F65E2F"/>
    <w:rsid w:val="00F67DF1"/>
    <w:rsid w:val="00F67FA8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B77EB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uiPriority w:val="34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  <w:style w:type="paragraph" w:styleId="Zkladntext">
    <w:name w:val="Body Text"/>
    <w:basedOn w:val="Normlny"/>
    <w:link w:val="ZkladntextChar"/>
    <w:rsid w:val="00A41419"/>
    <w:pPr>
      <w:spacing w:line="360" w:lineRule="auto"/>
    </w:pPr>
    <w:rPr>
      <w:rFonts w:ascii="Arial" w:hAnsi="Arial"/>
      <w:lang w:val="de-DE" w:eastAsia="de-DE"/>
    </w:rPr>
  </w:style>
  <w:style w:type="character" w:customStyle="1" w:styleId="ZkladntextChar">
    <w:name w:val="Základný text Char"/>
    <w:basedOn w:val="Predvolenpsmoodseku"/>
    <w:link w:val="Zkladntext"/>
    <w:rsid w:val="00A41419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FE93B2-D05C-4066-B0FB-C2D34595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36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10862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55</cp:revision>
  <cp:lastPrinted>2016-11-16T01:11:00Z</cp:lastPrinted>
  <dcterms:created xsi:type="dcterms:W3CDTF">2020-07-16T10:22:00Z</dcterms:created>
  <dcterms:modified xsi:type="dcterms:W3CDTF">2022-05-04T13:49:00Z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