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D089" w14:textId="77777777" w:rsidR="0032364A" w:rsidRPr="002708C3" w:rsidRDefault="0032364A" w:rsidP="0032364A">
      <w:pPr>
        <w:pStyle w:val="MonthDayYear"/>
        <w:tabs>
          <w:tab w:val="left" w:pos="557"/>
          <w:tab w:val="left" w:pos="7513"/>
          <w:tab w:val="right" w:pos="9058"/>
        </w:tabs>
        <w:rPr>
          <w:lang w:val="cs-CZ"/>
        </w:rPr>
      </w:pPr>
      <w:r w:rsidRPr="002708C3">
        <w:rPr>
          <w:lang w:val="cs-CZ"/>
        </w:rPr>
        <w:t>29. duben 2022</w:t>
      </w:r>
    </w:p>
    <w:p w14:paraId="4839F907" w14:textId="77777777" w:rsidR="0032364A" w:rsidRPr="002708C3" w:rsidRDefault="0032364A" w:rsidP="0032364A">
      <w:pPr>
        <w:pStyle w:val="Topline"/>
        <w:spacing w:after="120" w:line="280" w:lineRule="auto"/>
        <w:rPr>
          <w:lang w:val="cs-CZ"/>
        </w:rPr>
      </w:pP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 zveřejňuje vývoj obratu za první čtvrtletí na základě předběžných údajů</w:t>
      </w:r>
    </w:p>
    <w:p w14:paraId="731352B0" w14:textId="77777777" w:rsidR="0032364A" w:rsidRPr="002708C3" w:rsidRDefault="0032364A" w:rsidP="0032364A">
      <w:pPr>
        <w:spacing w:after="80" w:line="280" w:lineRule="auto"/>
        <w:jc w:val="left"/>
        <w:rPr>
          <w:rStyle w:val="Headline"/>
          <w:lang w:val="cs-CZ"/>
        </w:rPr>
      </w:pPr>
      <w:bookmarkStart w:id="0" w:name="_Hlk43712519"/>
      <w:r w:rsidRPr="002708C3">
        <w:rPr>
          <w:rStyle w:val="Headline"/>
          <w:lang w:val="cs-CZ"/>
        </w:rPr>
        <w:t xml:space="preserve">Společnost </w:t>
      </w:r>
      <w:proofErr w:type="spellStart"/>
      <w:r w:rsidRPr="002708C3">
        <w:rPr>
          <w:rStyle w:val="Headline"/>
          <w:lang w:val="cs-CZ"/>
        </w:rPr>
        <w:t>Henkel</w:t>
      </w:r>
      <w:proofErr w:type="spellEnd"/>
      <w:r w:rsidRPr="002708C3">
        <w:rPr>
          <w:rStyle w:val="Headline"/>
          <w:lang w:val="cs-CZ"/>
        </w:rPr>
        <w:t xml:space="preserve"> dosáhla v prvním čtvrtletí výrazný organický růst obratu a aktualizuje výhled na celý rok 2022</w:t>
      </w:r>
    </w:p>
    <w:p w14:paraId="47581F46" w14:textId="77777777" w:rsidR="0032364A" w:rsidRPr="002708C3" w:rsidRDefault="0032364A" w:rsidP="0032364A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80" w:lineRule="auto"/>
        <w:contextualSpacing w:val="0"/>
        <w:jc w:val="left"/>
        <w:rPr>
          <w:b/>
          <w:bCs/>
          <w:lang w:val="cs-CZ"/>
        </w:rPr>
      </w:pPr>
      <w:r w:rsidRPr="002708C3">
        <w:rPr>
          <w:b/>
          <w:bCs/>
          <w:lang w:val="cs-CZ"/>
        </w:rPr>
        <w:t>Obrat skupiny organicky vzrostl o +7</w:t>
      </w:r>
      <w:r>
        <w:rPr>
          <w:b/>
          <w:bCs/>
          <w:lang w:val="cs-CZ"/>
        </w:rPr>
        <w:t>,</w:t>
      </w:r>
      <w:r w:rsidRPr="002708C3">
        <w:rPr>
          <w:b/>
          <w:bCs/>
          <w:lang w:val="cs-CZ"/>
        </w:rPr>
        <w:t>1 % na přibližně 5,3 mld. eur</w:t>
      </w:r>
    </w:p>
    <w:p w14:paraId="1AB4ABA8" w14:textId="77777777" w:rsidR="0032364A" w:rsidRPr="002708C3" w:rsidRDefault="0032364A" w:rsidP="00EE7699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0" w:lineRule="auto"/>
        <w:contextualSpacing w:val="0"/>
        <w:jc w:val="left"/>
        <w:rPr>
          <w:b/>
          <w:bCs/>
          <w:lang w:val="cs-CZ"/>
        </w:rPr>
      </w:pPr>
      <w:r w:rsidRPr="002708C3">
        <w:rPr>
          <w:b/>
          <w:bCs/>
          <w:lang w:val="cs-CZ"/>
        </w:rPr>
        <w:t xml:space="preserve">Divize </w:t>
      </w:r>
      <w:proofErr w:type="spellStart"/>
      <w:r w:rsidRPr="002708C3">
        <w:rPr>
          <w:b/>
          <w:bCs/>
          <w:lang w:val="cs-CZ"/>
        </w:rPr>
        <w:t>Adhesive</w:t>
      </w:r>
      <w:proofErr w:type="spellEnd"/>
      <w:r w:rsidRPr="002708C3">
        <w:rPr>
          <w:b/>
          <w:bCs/>
          <w:lang w:val="cs-CZ"/>
        </w:rPr>
        <w:t xml:space="preserve"> Technologies: dvouciferný organický růst o +10,7 % </w:t>
      </w:r>
    </w:p>
    <w:p w14:paraId="2029FCBD" w14:textId="77777777" w:rsidR="0032364A" w:rsidRPr="002708C3" w:rsidRDefault="0032364A" w:rsidP="0032364A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0" w:lineRule="auto"/>
        <w:contextualSpacing w:val="0"/>
        <w:jc w:val="left"/>
        <w:rPr>
          <w:b/>
          <w:bCs/>
          <w:lang w:val="cs-CZ"/>
        </w:rPr>
      </w:pPr>
      <w:r w:rsidRPr="002708C3">
        <w:rPr>
          <w:b/>
          <w:bCs/>
          <w:lang w:val="cs-CZ"/>
        </w:rPr>
        <w:t xml:space="preserve">Divize </w:t>
      </w:r>
      <w:proofErr w:type="spellStart"/>
      <w:r w:rsidRPr="002708C3">
        <w:rPr>
          <w:b/>
          <w:bCs/>
          <w:lang w:val="cs-CZ"/>
        </w:rPr>
        <w:t>Beauty</w:t>
      </w:r>
      <w:proofErr w:type="spellEnd"/>
      <w:r w:rsidRPr="002708C3">
        <w:rPr>
          <w:b/>
          <w:bCs/>
          <w:lang w:val="cs-CZ"/>
        </w:rPr>
        <w:t xml:space="preserve"> Care: mírný organický pokles o </w:t>
      </w:r>
      <w:r w:rsidRPr="002708C3">
        <w:rPr>
          <w:rFonts w:eastAsia="Segoe UI" w:cs="Segoe UI"/>
          <w:lang w:val="cs-CZ"/>
        </w:rPr>
        <w:t>−</w:t>
      </w:r>
      <w:r w:rsidRPr="002708C3">
        <w:rPr>
          <w:b/>
          <w:bCs/>
          <w:lang w:val="cs-CZ"/>
        </w:rPr>
        <w:t>1,2 %</w:t>
      </w:r>
    </w:p>
    <w:p w14:paraId="05D194B0" w14:textId="77777777" w:rsidR="0032364A" w:rsidRPr="002708C3" w:rsidRDefault="0032364A" w:rsidP="0032364A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0" w:lineRule="auto"/>
        <w:contextualSpacing w:val="0"/>
        <w:jc w:val="left"/>
        <w:rPr>
          <w:b/>
          <w:bCs/>
          <w:lang w:val="cs-CZ"/>
        </w:rPr>
      </w:pPr>
      <w:r w:rsidRPr="002708C3">
        <w:rPr>
          <w:b/>
          <w:bCs/>
          <w:lang w:val="cs-CZ"/>
        </w:rPr>
        <w:t xml:space="preserve">Divize </w:t>
      </w:r>
      <w:proofErr w:type="spellStart"/>
      <w:r w:rsidRPr="002708C3">
        <w:rPr>
          <w:b/>
          <w:bCs/>
          <w:lang w:val="cs-CZ"/>
        </w:rPr>
        <w:t>Laundry</w:t>
      </w:r>
      <w:proofErr w:type="spellEnd"/>
      <w:r w:rsidRPr="002708C3">
        <w:rPr>
          <w:b/>
          <w:bCs/>
          <w:lang w:val="cs-CZ"/>
        </w:rPr>
        <w:t xml:space="preserve"> &amp; </w:t>
      </w:r>
      <w:proofErr w:type="spellStart"/>
      <w:r w:rsidRPr="002708C3">
        <w:rPr>
          <w:b/>
          <w:bCs/>
          <w:lang w:val="cs-CZ"/>
        </w:rPr>
        <w:t>Home</w:t>
      </w:r>
      <w:proofErr w:type="spellEnd"/>
      <w:r w:rsidRPr="002708C3">
        <w:rPr>
          <w:b/>
          <w:bCs/>
          <w:lang w:val="cs-CZ"/>
        </w:rPr>
        <w:t xml:space="preserve"> Care: velmi silný organický růst o +4,9 %</w:t>
      </w:r>
    </w:p>
    <w:p w14:paraId="5441D5FD" w14:textId="77777777" w:rsidR="0032364A" w:rsidRPr="002708C3" w:rsidRDefault="0032364A" w:rsidP="0032364A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80" w:lineRule="auto"/>
        <w:contextualSpacing w:val="0"/>
        <w:jc w:val="left"/>
        <w:rPr>
          <w:b/>
          <w:bCs/>
          <w:lang w:val="cs-CZ"/>
        </w:rPr>
      </w:pPr>
      <w:r w:rsidRPr="002708C3">
        <w:rPr>
          <w:b/>
          <w:bCs/>
          <w:lang w:val="cs-CZ"/>
        </w:rPr>
        <w:t>Aktualizovaný výhled na finanční rok 2022 – mimořádně silný růst nákladů na přímé materiály a logistiku, očekává se výrazný vliv ukončení podnikatelské činnosti v Rusku a Bělorusku</w:t>
      </w:r>
    </w:p>
    <w:p w14:paraId="7CBB31A2" w14:textId="77777777" w:rsidR="0032364A" w:rsidRPr="002708C3" w:rsidRDefault="0032364A" w:rsidP="0032364A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0" w:lineRule="auto"/>
        <w:contextualSpacing w:val="0"/>
        <w:jc w:val="left"/>
        <w:rPr>
          <w:b/>
          <w:bCs/>
          <w:lang w:val="cs-CZ"/>
        </w:rPr>
      </w:pPr>
      <w:r w:rsidRPr="002708C3">
        <w:rPr>
          <w:b/>
          <w:bCs/>
          <w:lang w:val="cs-CZ"/>
        </w:rPr>
        <w:t>Organický růst obratu: +3,5 až +5,5 %</w:t>
      </w:r>
    </w:p>
    <w:p w14:paraId="346C152E" w14:textId="77777777" w:rsidR="0032364A" w:rsidRPr="002708C3" w:rsidRDefault="0032364A" w:rsidP="0032364A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0" w:lineRule="auto"/>
        <w:contextualSpacing w:val="0"/>
        <w:jc w:val="left"/>
        <w:rPr>
          <w:b/>
          <w:bCs/>
          <w:lang w:val="cs-CZ"/>
        </w:rPr>
      </w:pPr>
      <w:r w:rsidRPr="002708C3">
        <w:rPr>
          <w:b/>
          <w:bCs/>
          <w:lang w:val="cs-CZ"/>
        </w:rPr>
        <w:t xml:space="preserve">Upravená výnosnost prodeje (marže </w:t>
      </w:r>
      <w:proofErr w:type="gramStart"/>
      <w:r w:rsidRPr="002708C3">
        <w:rPr>
          <w:b/>
          <w:bCs/>
          <w:lang w:val="cs-CZ"/>
        </w:rPr>
        <w:t>EBIT)*</w:t>
      </w:r>
      <w:proofErr w:type="gramEnd"/>
      <w:r w:rsidRPr="002708C3">
        <w:rPr>
          <w:b/>
          <w:bCs/>
          <w:lang w:val="cs-CZ"/>
        </w:rPr>
        <w:t>: v rozsahu 9,0 až 11,0 %</w:t>
      </w:r>
    </w:p>
    <w:p w14:paraId="31754CF8" w14:textId="77777777" w:rsidR="0032364A" w:rsidRPr="002708C3" w:rsidRDefault="0032364A" w:rsidP="0032364A">
      <w:pPr>
        <w:pStyle w:val="Odsekzoznamu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80" w:line="260" w:lineRule="auto"/>
        <w:contextualSpacing w:val="0"/>
        <w:jc w:val="left"/>
        <w:rPr>
          <w:b/>
          <w:bCs/>
          <w:lang w:val="cs-CZ"/>
        </w:rPr>
      </w:pPr>
      <w:r w:rsidRPr="002708C3">
        <w:rPr>
          <w:b/>
          <w:bCs/>
          <w:lang w:val="cs-CZ"/>
        </w:rPr>
        <w:t>Upravený výnos na prioritní akcii (EPS)* při konstantních kurzových sazbách: pokles v rozsahu od </w:t>
      </w:r>
      <w:r w:rsidRPr="002708C3">
        <w:rPr>
          <w:rFonts w:eastAsia="Segoe UI" w:cs="Segoe UI"/>
          <w:lang w:val="cs-CZ"/>
        </w:rPr>
        <w:t>−</w:t>
      </w:r>
      <w:r w:rsidRPr="002708C3">
        <w:rPr>
          <w:b/>
          <w:bCs/>
          <w:lang w:val="cs-CZ"/>
        </w:rPr>
        <w:t>35 do </w:t>
      </w:r>
      <w:r w:rsidRPr="002708C3">
        <w:rPr>
          <w:rFonts w:eastAsia="Segoe UI" w:cs="Segoe UI"/>
          <w:lang w:val="cs-CZ"/>
        </w:rPr>
        <w:t>−</w:t>
      </w:r>
      <w:r w:rsidRPr="002708C3">
        <w:rPr>
          <w:b/>
          <w:bCs/>
          <w:lang w:val="cs-CZ"/>
        </w:rPr>
        <w:t>15 %.</w:t>
      </w:r>
      <w:bookmarkEnd w:id="0"/>
    </w:p>
    <w:p w14:paraId="7C1695F7" w14:textId="77777777" w:rsidR="0032364A" w:rsidRPr="002708C3" w:rsidRDefault="0032364A" w:rsidP="0032364A">
      <w:pPr>
        <w:spacing w:after="80"/>
        <w:jc w:val="left"/>
        <w:rPr>
          <w:b/>
          <w:bCs/>
          <w:lang w:val="cs-CZ"/>
        </w:rPr>
      </w:pPr>
    </w:p>
    <w:p w14:paraId="098416B3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2708C3">
        <w:rPr>
          <w:rFonts w:eastAsia="Segoe UI" w:cs="Segoe UI"/>
          <w:b/>
          <w:bCs/>
          <w:lang w:val="cs-CZ"/>
        </w:rPr>
        <w:t xml:space="preserve">Düsseldorf – Na základě předběžných údajů společnost </w:t>
      </w:r>
      <w:proofErr w:type="spellStart"/>
      <w:r w:rsidRPr="002708C3">
        <w:rPr>
          <w:rFonts w:eastAsia="Segoe UI" w:cs="Segoe UI"/>
          <w:b/>
          <w:bCs/>
          <w:lang w:val="cs-CZ"/>
        </w:rPr>
        <w:t>Henkel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dosáhla v prvním čtvrtletí celkového obratu přibližně ve výši 5,3 miliardy eur.</w:t>
      </w:r>
      <w:r w:rsidRPr="002708C3">
        <w:rPr>
          <w:lang w:val="cs-CZ"/>
        </w:rPr>
        <w:t xml:space="preserve"> To odpovídá výraznému organickému růstu obratu o 7,1 % ve srovnání s průměrnými tržními očekáváními na úrovni 4,3 %. Tento nárůst byl způsoben především velmi výrazným pohybem cen v kombinaci s mírným poklesem objemu.</w:t>
      </w:r>
    </w:p>
    <w:p w14:paraId="2B678F25" w14:textId="77777777" w:rsidR="0032364A" w:rsidRPr="002708C3" w:rsidRDefault="0032364A" w:rsidP="0032364A">
      <w:pPr>
        <w:rPr>
          <w:lang w:val="cs-CZ"/>
        </w:rPr>
      </w:pPr>
    </w:p>
    <w:p w14:paraId="3EEB482C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2708C3">
        <w:rPr>
          <w:lang w:val="cs-CZ"/>
        </w:rPr>
        <w:t xml:space="preserve">Nárůst obratu v prvním čtvrtletí lze připsat zejména divizi </w:t>
      </w:r>
      <w:proofErr w:type="spellStart"/>
      <w:r w:rsidRPr="002708C3">
        <w:rPr>
          <w:rFonts w:eastAsia="Segoe UI" w:cs="Segoe UI"/>
          <w:b/>
          <w:bCs/>
          <w:lang w:val="cs-CZ"/>
        </w:rPr>
        <w:t>Adhesive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Technologies</w:t>
      </w:r>
      <w:r w:rsidRPr="002708C3">
        <w:rPr>
          <w:lang w:val="cs-CZ"/>
        </w:rPr>
        <w:t>, která na základě předběžných údajů za první čtvrtletí dosáhla dvouciferného organického růstu obratu o +10,7 %. Růst zaznamenaly všechny oblasti podnikání.</w:t>
      </w:r>
    </w:p>
    <w:p w14:paraId="633C8FA2" w14:textId="77777777" w:rsidR="0032364A" w:rsidRPr="002708C3" w:rsidRDefault="0032364A" w:rsidP="0032364A">
      <w:pPr>
        <w:spacing w:line="240" w:lineRule="auto"/>
        <w:jc w:val="left"/>
        <w:rPr>
          <w:lang w:val="cs-CZ"/>
        </w:rPr>
      </w:pPr>
      <w:r w:rsidRPr="002708C3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054F68" wp14:editId="1CC41E21">
                <wp:simplePos x="0" y="0"/>
                <wp:positionH relativeFrom="margin">
                  <wp:posOffset>-114299</wp:posOffset>
                </wp:positionH>
                <wp:positionV relativeFrom="line">
                  <wp:posOffset>1542113</wp:posOffset>
                </wp:positionV>
                <wp:extent cx="4683760" cy="29337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293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052231" w14:textId="77777777" w:rsidR="0032364A" w:rsidRDefault="0032364A" w:rsidP="0032364A">
                            <w:pPr>
                              <w:spacing w:line="360" w:lineRule="auto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Upraveno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o 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jednorázové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výdaje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 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příjmy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 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náklady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restrukturalizaci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54F6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9pt;margin-top:121.45pt;width:368.8pt;height:23.1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r61wEAAKMDAAAOAAAAZHJzL2Uyb0RvYy54bWysU9Fu2yAUfZ+0f0C8L3aSLmmtONXWKlWl&#10;aa3U7QMwhhgJuAxI7Pz9LsRN0vWtmh8wl4vPPffc49XtYDTZCx8U2JpOJyUlwnJold3W9PevzZdr&#10;SkJktmUarKjpQQR6u/78adW7SsygA90KTxDEhqp3Ne1idFVRBN4Jw8IEnLCYlOANixj6bdF61iO6&#10;0cWsLBdFD751HrgIAU/vj0m6zvhSCh6fpAwiEl1T5Bbz6vPapLVYr1i19cx1io802AdYGKYsFj1B&#10;3bPIyM6rd1BGcQ8BZJxwMAVIqbjIPWA30/Kfbl465kTuBcUJ7iRT+H+w/Of+xT17EofvMOAAkyC9&#10;C1XAw9TPIL1Jb2RKMI8SHk6yiSESjodXi+v5coEpjrnZzXy+zDDF+WvnQ3wQYEja1NTjWLJabP8j&#10;RKyIV1+vpGIBtGo3Susc+G1zpz3ZMxzhJj+JJH7y5pq2pEf+s2WZiDC0ktTsWMVCwsqTNiqi3bQy&#10;yLpMzwilbSolsmFGSmcV0i4OzTBK00B7QMV6NE1Nw58d84IS/WhxKldfl9MbdNll4C+D5jKwO3MH&#10;2NSUEmZ5B2jLV8LfdhGkytKk6seS2HQK0Am5/dG1yWqXcb51/rfWfwEAAP//AwBQSwMEFAAGAAgA&#10;AAAhALP7NWniAAAACwEAAA8AAABkcnMvZG93bnJldi54bWxMj0FPhDAQhe8m/odmTLztFtAgIGXj&#10;mmCi0aioicdCRyDSFtvuLv57x5Me37yXN98rN4ue2B6dH60REK8jYGg6q0bTC3h9qVcZMB+kUXKy&#10;BgV8o4dNdXxUykLZg3nGfRN6RiXGF1LAEMJccO67AbX0azujIe/DOi0DSddz5eSByvXEkyhKuZaj&#10;oQ+DnPF6wO6z2WkB9+9n3Xbctund0+2D/nI3b491UwtxerJcXQILuIS/MPziEzpUxNTanVGeTQJW&#10;cUZbgoDkPMmBUeIizlNgLV2yPAZelfz/huoHAAD//wMAUEsBAi0AFAAGAAgAAAAhALaDOJL+AAAA&#10;4QEAABMAAAAAAAAAAAAAAAAAAAAAAFtDb250ZW50X1R5cGVzXS54bWxQSwECLQAUAAYACAAAACEA&#10;OP0h/9YAAACUAQAACwAAAAAAAAAAAAAAAAAvAQAAX3JlbHMvLnJlbHNQSwECLQAUAAYACAAAACEA&#10;8KCK+tcBAACjAwAADgAAAAAAAAAAAAAAAAAuAgAAZHJzL2Uyb0RvYy54bWxQSwECLQAUAAYACAAA&#10;ACEAs/s1aeIAAAALAQAADwAAAAAAAAAAAAAAAAAxBAAAZHJzL2Rvd25yZXYueG1sUEsFBgAAAAAE&#10;AAQA8wAAAEAFAAAAAA==&#10;" stroked="f" strokeweight="1pt">
                <v:stroke miterlimit="4"/>
                <v:textbox inset="1.27mm,1.27mm,1.27mm,1.27mm">
                  <w:txbxContent>
                    <w:p w14:paraId="49052231" w14:textId="77777777" w:rsidR="0032364A" w:rsidRDefault="0032364A" w:rsidP="0032364A">
                      <w:pPr>
                        <w:spacing w:line="360" w:lineRule="auto"/>
                      </w:pPr>
                      <w:r>
                        <w:rPr>
                          <w:sz w:val="16"/>
                          <w:szCs w:val="16"/>
                        </w:rPr>
                        <w:t xml:space="preserve">*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Upraveno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o 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jednorázové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výdaje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 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příjmy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 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náklady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restrukturalizaci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2708C3">
        <w:rPr>
          <w:lang w:val="cs-CZ"/>
        </w:rPr>
        <w:br w:type="page"/>
      </w:r>
    </w:p>
    <w:p w14:paraId="255F16EA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2708C3">
        <w:rPr>
          <w:lang w:val="cs-CZ"/>
        </w:rPr>
        <w:lastRenderedPageBreak/>
        <w:t xml:space="preserve">Na základě předběžných údajů vykázala divize </w:t>
      </w:r>
      <w:proofErr w:type="spellStart"/>
      <w:r w:rsidRPr="002708C3">
        <w:rPr>
          <w:rFonts w:eastAsia="Segoe UI" w:cs="Segoe UI"/>
          <w:b/>
          <w:bCs/>
          <w:lang w:val="cs-CZ"/>
        </w:rPr>
        <w:t>Beauty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Care</w:t>
      </w:r>
      <w:r w:rsidRPr="002708C3">
        <w:rPr>
          <w:lang w:val="cs-CZ"/>
        </w:rPr>
        <w:t xml:space="preserve"> mírný pokles organického obratu o −1,2 %. Segment profesionální vlasové kosmetiky zaznamenal dvouciferný organický růst obratu. V souladu s očekáváními segment spotřebního zboží nedosáhl úrovně z předchozího roku, a to zejména z důvodu realizace opatření zaměřených na posílení portfolia, která byla ohlášena na rok 2022.</w:t>
      </w:r>
    </w:p>
    <w:p w14:paraId="4BFED969" w14:textId="77777777" w:rsidR="0032364A" w:rsidRPr="002708C3" w:rsidRDefault="0032364A" w:rsidP="0032364A">
      <w:pPr>
        <w:rPr>
          <w:lang w:val="cs-CZ"/>
        </w:rPr>
      </w:pPr>
    </w:p>
    <w:p w14:paraId="0AE77926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2708C3">
        <w:rPr>
          <w:lang w:val="cs-CZ"/>
        </w:rPr>
        <w:t xml:space="preserve">Podle předběžných údajů divize </w:t>
      </w:r>
      <w:proofErr w:type="spellStart"/>
      <w:r w:rsidRPr="002708C3">
        <w:rPr>
          <w:rFonts w:eastAsia="Segoe UI" w:cs="Segoe UI"/>
          <w:b/>
          <w:bCs/>
          <w:lang w:val="cs-CZ"/>
        </w:rPr>
        <w:t>Laundry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&amp; </w:t>
      </w:r>
      <w:proofErr w:type="spellStart"/>
      <w:r w:rsidRPr="002708C3">
        <w:rPr>
          <w:rFonts w:eastAsia="Segoe UI" w:cs="Segoe UI"/>
          <w:b/>
          <w:bCs/>
          <w:lang w:val="cs-CZ"/>
        </w:rPr>
        <w:t>Home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Care</w:t>
      </w:r>
      <w:r w:rsidRPr="002708C3">
        <w:rPr>
          <w:lang w:val="cs-CZ"/>
        </w:rPr>
        <w:t xml:space="preserve"> dosáhla velmi silného organického růstu obratu o +4,9 %, k němuž přispěl výrazný růst segmentu pracích prostředků. Naopak segment péče o domácnost zaznamenal v prvním čtvrtletí mírný pokles organického obratu. </w:t>
      </w:r>
    </w:p>
    <w:p w14:paraId="6D1F5EC6" w14:textId="77777777" w:rsidR="0032364A" w:rsidRPr="00691406" w:rsidRDefault="0032364A" w:rsidP="0032364A">
      <w:pPr>
        <w:rPr>
          <w:i/>
          <w:iCs/>
          <w:lang w:val="cs-CZ"/>
        </w:rPr>
      </w:pPr>
    </w:p>
    <w:p w14:paraId="6783C611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691406">
        <w:rPr>
          <w:i/>
          <w:iCs/>
          <w:lang w:val="cs-CZ"/>
        </w:rPr>
        <w:t xml:space="preserve">„Navzdory celkově velmi dobrým výsledkům společnosti </w:t>
      </w:r>
      <w:proofErr w:type="spellStart"/>
      <w:r w:rsidRPr="00691406">
        <w:rPr>
          <w:i/>
          <w:iCs/>
          <w:lang w:val="cs-CZ"/>
        </w:rPr>
        <w:t>Henkel</w:t>
      </w:r>
      <w:proofErr w:type="spellEnd"/>
      <w:r w:rsidRPr="00691406">
        <w:rPr>
          <w:i/>
          <w:iCs/>
          <w:lang w:val="cs-CZ"/>
        </w:rPr>
        <w:t xml:space="preserve"> z hlediska obratu v prvním čtvrtletí se ekonomické prostředí od začátku roku obecně nadále dramaticky zhoršovalo. Dopady globální koronakrize v kombinaci s mimořádně napjatou situací na trzích se surovinami a v globálních dodavatelských řetězcích se jednoznačně zintenzivnily z důvodu války na Ukrajině. Ceny materiálů a logistiky proto znovu zaznamenaly výrazný nárůst. Kromě toho jsme se vzhledem k vývoji situace v souvislosti s válkou na Ukrajině rozhodli v polovině dubna ukončit naši podnikatelskou činnost v Rusku. Zároveň ukončujeme naši činnost i v Bělorusku. Tato opatření mají vliv na celkový roční obrat ve výši přibližně jedné miliardy eur a zasahují více než 2 500 zaměstnanců,“</w:t>
      </w:r>
      <w:r w:rsidRPr="002708C3">
        <w:rPr>
          <w:lang w:val="cs-CZ"/>
        </w:rPr>
        <w:t xml:space="preserve"> řekl </w:t>
      </w:r>
      <w:proofErr w:type="spellStart"/>
      <w:r w:rsidRPr="002708C3">
        <w:rPr>
          <w:lang w:val="cs-CZ"/>
        </w:rPr>
        <w:t>Carsten</w:t>
      </w:r>
      <w:proofErr w:type="spellEnd"/>
      <w:r w:rsidRPr="002708C3">
        <w:rPr>
          <w:lang w:val="cs-CZ"/>
        </w:rPr>
        <w:t xml:space="preserve"> </w:t>
      </w:r>
      <w:proofErr w:type="spellStart"/>
      <w:r w:rsidRPr="002708C3">
        <w:rPr>
          <w:lang w:val="cs-CZ"/>
        </w:rPr>
        <w:t>Knobel</w:t>
      </w:r>
      <w:proofErr w:type="spellEnd"/>
      <w:r w:rsidRPr="002708C3">
        <w:rPr>
          <w:lang w:val="cs-CZ"/>
        </w:rPr>
        <w:t xml:space="preserve">, předseda představenstva společnosti </w:t>
      </w: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. </w:t>
      </w:r>
    </w:p>
    <w:p w14:paraId="455268FF" w14:textId="77777777" w:rsidR="0032364A" w:rsidRPr="002708C3" w:rsidRDefault="0032364A" w:rsidP="0032364A">
      <w:pPr>
        <w:rPr>
          <w:lang w:val="cs-CZ"/>
        </w:rPr>
      </w:pPr>
    </w:p>
    <w:p w14:paraId="0592CAEB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8C7316">
        <w:rPr>
          <w:i/>
          <w:iCs/>
          <w:lang w:val="cs-CZ"/>
        </w:rPr>
        <w:t>„Vzhledem k tomuto vývoji očekáváme mnohem vyšší tlak na naše výnosy během zbytku roku ve srovnání s jeho začátkem. Proto jsme náš výhled na celý rok upravili odpovídajícím způsobem,“</w:t>
      </w:r>
      <w:r w:rsidRPr="002708C3">
        <w:rPr>
          <w:lang w:val="cs-CZ"/>
        </w:rPr>
        <w:t xml:space="preserve"> vysvětlil </w:t>
      </w:r>
      <w:proofErr w:type="spellStart"/>
      <w:r w:rsidRPr="002708C3">
        <w:rPr>
          <w:lang w:val="cs-CZ"/>
        </w:rPr>
        <w:t>Carsten</w:t>
      </w:r>
      <w:proofErr w:type="spellEnd"/>
      <w:r w:rsidRPr="002708C3">
        <w:rPr>
          <w:lang w:val="cs-CZ"/>
        </w:rPr>
        <w:t xml:space="preserve"> </w:t>
      </w:r>
      <w:proofErr w:type="spellStart"/>
      <w:r w:rsidRPr="002708C3">
        <w:rPr>
          <w:lang w:val="cs-CZ"/>
        </w:rPr>
        <w:t>Knobel</w:t>
      </w:r>
      <w:proofErr w:type="spellEnd"/>
      <w:r w:rsidRPr="002708C3">
        <w:rPr>
          <w:lang w:val="cs-CZ"/>
        </w:rPr>
        <w:t>. Pokud jde o </w:t>
      </w:r>
      <w:r w:rsidRPr="002708C3">
        <w:rPr>
          <w:rFonts w:eastAsia="Segoe UI" w:cs="Segoe UI"/>
          <w:b/>
          <w:bCs/>
          <w:lang w:val="cs-CZ"/>
        </w:rPr>
        <w:t>ceny materiálů</w:t>
      </w:r>
      <w:r w:rsidRPr="002708C3">
        <w:rPr>
          <w:lang w:val="cs-CZ"/>
        </w:rPr>
        <w:t xml:space="preserve">, </w:t>
      </w: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 v současnosti očekává nárůst nad dvaceti procenty za celý rok ve srovnání s průměrem za rok 2021. V minulosti se očekávalo zvýšení nad úrovní deseti procent. </w:t>
      </w:r>
      <w:r w:rsidRPr="00E6453D">
        <w:rPr>
          <w:i/>
          <w:iCs/>
          <w:lang w:val="cs-CZ"/>
        </w:rPr>
        <w:t>„Tyto dodatečné náklady za celý rok představují přibližně dvě miliardy eur. Jedná se o dvojnásobný nárůst ve srovnání s tím, co jsme předpokládali na konci ledna. Se zvyšováním v takovém rozsahu jsme se ještě nesetkali. Proti tomuto vývoji zavádíme cílená opatření, zejména pokud jde o další nárůst cen a zvyšování efektivnosti.“</w:t>
      </w:r>
    </w:p>
    <w:p w14:paraId="6B7F4966" w14:textId="77777777" w:rsidR="0032364A" w:rsidRPr="002708C3" w:rsidRDefault="0032364A" w:rsidP="0032364A">
      <w:pPr>
        <w:rPr>
          <w:lang w:val="cs-CZ"/>
        </w:rPr>
      </w:pPr>
    </w:p>
    <w:p w14:paraId="0D2FB875" w14:textId="77777777" w:rsidR="0032364A" w:rsidRPr="002708C3" w:rsidRDefault="0032364A" w:rsidP="0032364A">
      <w:pPr>
        <w:spacing w:line="280" w:lineRule="auto"/>
        <w:rPr>
          <w:lang w:val="cs-CZ"/>
        </w:rPr>
      </w:pP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 v současnosti očekává </w:t>
      </w:r>
      <w:r w:rsidRPr="002708C3">
        <w:rPr>
          <w:rFonts w:eastAsia="Segoe UI" w:cs="Segoe UI"/>
          <w:b/>
          <w:bCs/>
          <w:lang w:val="cs-CZ"/>
        </w:rPr>
        <w:t>organický růst obratu na úrovni skupiny</w:t>
      </w:r>
      <w:r w:rsidRPr="002708C3">
        <w:rPr>
          <w:lang w:val="cs-CZ"/>
        </w:rPr>
        <w:t xml:space="preserve"> v rozsahu +3,5 až +5,5 % </w:t>
      </w:r>
      <w:r w:rsidRPr="002708C3">
        <w:rPr>
          <w:rFonts w:eastAsia="Segoe UI" w:cs="Segoe UI"/>
          <w:b/>
          <w:bCs/>
          <w:lang w:val="cs-CZ"/>
        </w:rPr>
        <w:t>ve finančním roce 2022</w:t>
      </w:r>
      <w:r w:rsidRPr="002708C3">
        <w:rPr>
          <w:lang w:val="cs-CZ"/>
        </w:rPr>
        <w:t xml:space="preserve"> (původně: +2,0 až +4,0 %). Za silnějším organickým růstem obratu bude především stát divize </w:t>
      </w:r>
      <w:proofErr w:type="spellStart"/>
      <w:r w:rsidRPr="002708C3">
        <w:rPr>
          <w:rFonts w:eastAsia="Segoe UI" w:cs="Segoe UI"/>
          <w:b/>
          <w:bCs/>
          <w:lang w:val="cs-CZ"/>
        </w:rPr>
        <w:t>Adhesive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Technologies</w:t>
      </w:r>
      <w:r w:rsidRPr="002708C3">
        <w:rPr>
          <w:lang w:val="cs-CZ"/>
        </w:rPr>
        <w:t xml:space="preserve">, u níž </w:t>
      </w: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 v současnosti předpokládá organický růst obratu v rozpětí od +8,0 do +10,0 % (původně: +5,0 až +7,0 %), a to zejména z důvodu vyšších nákladů na suroviny a logistiku ve formě vyšších cen. Očekávání v souvislosti s organickým růstem obratu v divizích </w:t>
      </w:r>
      <w:proofErr w:type="spellStart"/>
      <w:r w:rsidRPr="002708C3">
        <w:rPr>
          <w:lang w:val="cs-CZ"/>
        </w:rPr>
        <w:t>Beauty</w:t>
      </w:r>
      <w:proofErr w:type="spellEnd"/>
      <w:r w:rsidRPr="002708C3">
        <w:rPr>
          <w:lang w:val="cs-CZ"/>
        </w:rPr>
        <w:t xml:space="preserve"> Care a </w:t>
      </w:r>
      <w:proofErr w:type="spellStart"/>
      <w:r w:rsidRPr="002708C3">
        <w:rPr>
          <w:lang w:val="cs-CZ"/>
        </w:rPr>
        <w:t>Laundry</w:t>
      </w:r>
      <w:proofErr w:type="spellEnd"/>
      <w:r w:rsidRPr="002708C3">
        <w:rPr>
          <w:lang w:val="cs-CZ"/>
        </w:rPr>
        <w:t xml:space="preserve"> &amp; </w:t>
      </w:r>
      <w:proofErr w:type="spellStart"/>
      <w:r w:rsidRPr="002708C3">
        <w:rPr>
          <w:lang w:val="cs-CZ"/>
        </w:rPr>
        <w:t>Home</w:t>
      </w:r>
      <w:proofErr w:type="spellEnd"/>
      <w:r w:rsidRPr="002708C3">
        <w:rPr>
          <w:lang w:val="cs-CZ"/>
        </w:rPr>
        <w:t xml:space="preserve"> Care zůstávají nezměněna. </w:t>
      </w:r>
    </w:p>
    <w:p w14:paraId="7AC41147" w14:textId="77777777" w:rsidR="0032364A" w:rsidRPr="002708C3" w:rsidRDefault="0032364A" w:rsidP="0032364A">
      <w:pPr>
        <w:rPr>
          <w:lang w:val="cs-CZ"/>
        </w:rPr>
      </w:pPr>
    </w:p>
    <w:p w14:paraId="4ED7DA83" w14:textId="77777777" w:rsidR="0032364A" w:rsidRPr="002708C3" w:rsidRDefault="0032364A" w:rsidP="0032364A">
      <w:pPr>
        <w:spacing w:after="240" w:line="280" w:lineRule="auto"/>
        <w:rPr>
          <w:lang w:val="cs-CZ"/>
        </w:rPr>
      </w:pPr>
      <w:r w:rsidRPr="002708C3">
        <w:rPr>
          <w:lang w:val="cs-CZ"/>
        </w:rPr>
        <w:lastRenderedPageBreak/>
        <w:t xml:space="preserve">V případě </w:t>
      </w:r>
      <w:proofErr w:type="spellStart"/>
      <w:r w:rsidRPr="002708C3">
        <w:rPr>
          <w:rFonts w:eastAsia="Segoe UI" w:cs="Segoe UI"/>
          <w:b/>
          <w:bCs/>
          <w:lang w:val="cs-CZ"/>
        </w:rPr>
        <w:t>Beauty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Care </w:t>
      </w:r>
      <w:r w:rsidRPr="002708C3">
        <w:rPr>
          <w:lang w:val="cs-CZ"/>
        </w:rPr>
        <w:t xml:space="preserve">by se organický obrat měl vyvíjet v rozsahu −5,0 až −3,0 %. Jak bylo zmíněno, hlavní příčinou tohoto poklesu jsou opatření, o kterých již bylo rozhodnuto a která jsou realizována s cílem zlepšit portfolio, včetně ukončení aktivit, které nebudou součástí budoucích hlavních podnikatelských činností. V případě divize </w:t>
      </w:r>
      <w:proofErr w:type="spellStart"/>
      <w:r w:rsidRPr="002708C3">
        <w:rPr>
          <w:rFonts w:eastAsia="Segoe UI" w:cs="Segoe UI"/>
          <w:b/>
          <w:bCs/>
          <w:lang w:val="cs-CZ"/>
        </w:rPr>
        <w:t>Laundry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&amp; </w:t>
      </w:r>
      <w:proofErr w:type="spellStart"/>
      <w:r w:rsidRPr="002708C3">
        <w:rPr>
          <w:rFonts w:eastAsia="Segoe UI" w:cs="Segoe UI"/>
          <w:b/>
          <w:bCs/>
          <w:lang w:val="cs-CZ"/>
        </w:rPr>
        <w:t>Home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Care </w:t>
      </w:r>
      <w:r w:rsidRPr="002708C3">
        <w:rPr>
          <w:lang w:val="cs-CZ"/>
        </w:rPr>
        <w:t xml:space="preserve">společnost </w:t>
      </w: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 i nadále očekává organický růst obratu na úrovni +2,0 až +4,0 %. Vzhledem k rozhodnutí ukončit podnikatelskou činnost v Rusku a Bělorusku budou od druhého čtvrtletí tyto země vyjmuty z organického růstu obratu společnosti </w:t>
      </w: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>.</w:t>
      </w:r>
    </w:p>
    <w:p w14:paraId="49E6A809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2708C3">
        <w:rPr>
          <w:lang w:val="cs-CZ"/>
        </w:rPr>
        <w:t>Kromě ukončení podnikatelské činnosti v Rusku a Bělorusku mají ve srovnání s předchozími očekáváními větší vliv na výnosy i výrazně rostoucí ceny přímých materiálů a logistiky, které nelze plně kompenzovat v tomto finančním roce.</w:t>
      </w:r>
    </w:p>
    <w:p w14:paraId="30C92FF2" w14:textId="77777777" w:rsidR="0032364A" w:rsidRPr="002708C3" w:rsidRDefault="0032364A" w:rsidP="0032364A">
      <w:pPr>
        <w:rPr>
          <w:lang w:val="cs-CZ"/>
        </w:rPr>
      </w:pPr>
    </w:p>
    <w:p w14:paraId="3141261D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2708C3">
        <w:rPr>
          <w:lang w:val="cs-CZ"/>
        </w:rPr>
        <w:t xml:space="preserve">Za </w:t>
      </w:r>
      <w:r w:rsidRPr="002708C3">
        <w:rPr>
          <w:rFonts w:eastAsia="Segoe UI" w:cs="Segoe UI"/>
          <w:b/>
          <w:bCs/>
          <w:lang w:val="cs-CZ"/>
        </w:rPr>
        <w:t>skupinu</w:t>
      </w:r>
      <w:r w:rsidRPr="002708C3">
        <w:rPr>
          <w:lang w:val="cs-CZ"/>
        </w:rPr>
        <w:t xml:space="preserve"> </w:t>
      </w:r>
      <w:proofErr w:type="spellStart"/>
      <w:r w:rsidRPr="002708C3">
        <w:rPr>
          <w:rFonts w:eastAsia="Segoe UI" w:cs="Segoe UI"/>
          <w:b/>
          <w:bCs/>
          <w:lang w:val="cs-CZ"/>
        </w:rPr>
        <w:t>Henkel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</w:t>
      </w:r>
      <w:r w:rsidRPr="002708C3">
        <w:rPr>
          <w:lang w:val="cs-CZ"/>
        </w:rPr>
        <w:t xml:space="preserve">se </w:t>
      </w:r>
      <w:r w:rsidRPr="002708C3">
        <w:rPr>
          <w:rFonts w:eastAsia="Segoe UI" w:cs="Segoe UI"/>
          <w:b/>
          <w:bCs/>
          <w:lang w:val="cs-CZ"/>
        </w:rPr>
        <w:t>upravená výnosnost prodeje (marže EBIT)</w:t>
      </w:r>
      <w:r w:rsidRPr="002708C3">
        <w:rPr>
          <w:lang w:val="cs-CZ"/>
        </w:rPr>
        <w:t xml:space="preserve"> v současnosti očekává ve spodním rozsahu 9,0 až 11,0 % (původně: 11,5 až 13,5 %). Za divizi </w:t>
      </w:r>
      <w:proofErr w:type="spellStart"/>
      <w:r w:rsidRPr="002708C3">
        <w:rPr>
          <w:rFonts w:eastAsia="Segoe UI" w:cs="Segoe UI"/>
          <w:b/>
          <w:bCs/>
          <w:lang w:val="cs-CZ"/>
        </w:rPr>
        <w:t>Adhesive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Technologies </w:t>
      </w:r>
      <w:r w:rsidRPr="002708C3">
        <w:rPr>
          <w:lang w:val="cs-CZ"/>
        </w:rPr>
        <w:t xml:space="preserve">očekává </w:t>
      </w: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 upravenou výnosnost prodeje v rozsahu 13,0 až 15,0 % (původně: 15,0 až 17,0 %), za divizi </w:t>
      </w:r>
      <w:proofErr w:type="spellStart"/>
      <w:r w:rsidRPr="002708C3">
        <w:rPr>
          <w:rFonts w:eastAsia="Segoe UI" w:cs="Segoe UI"/>
          <w:b/>
          <w:bCs/>
          <w:lang w:val="cs-CZ"/>
        </w:rPr>
        <w:t>Beauty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Care</w:t>
      </w:r>
      <w:r w:rsidRPr="002708C3">
        <w:rPr>
          <w:lang w:val="cs-CZ"/>
        </w:rPr>
        <w:t xml:space="preserve"> v rozsahu 5,0 až 7,0 % (původně: 7 ,5 až 10,0 %) a za divizi </w:t>
      </w:r>
      <w:proofErr w:type="spellStart"/>
      <w:r w:rsidRPr="002708C3">
        <w:rPr>
          <w:rFonts w:eastAsia="Segoe UI" w:cs="Segoe UI"/>
          <w:b/>
          <w:bCs/>
          <w:lang w:val="cs-CZ"/>
        </w:rPr>
        <w:t>Laundry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&amp; </w:t>
      </w:r>
      <w:proofErr w:type="spellStart"/>
      <w:r w:rsidRPr="002708C3">
        <w:rPr>
          <w:rFonts w:eastAsia="Segoe UI" w:cs="Segoe UI"/>
          <w:b/>
          <w:bCs/>
          <w:lang w:val="cs-CZ"/>
        </w:rPr>
        <w:t>Home</w:t>
      </w:r>
      <w:proofErr w:type="spellEnd"/>
      <w:r w:rsidRPr="002708C3">
        <w:rPr>
          <w:rFonts w:eastAsia="Segoe UI" w:cs="Segoe UI"/>
          <w:b/>
          <w:bCs/>
          <w:lang w:val="cs-CZ"/>
        </w:rPr>
        <w:t xml:space="preserve"> Care</w:t>
      </w:r>
      <w:r w:rsidRPr="002708C3">
        <w:rPr>
          <w:lang w:val="cs-CZ"/>
        </w:rPr>
        <w:t xml:space="preserve"> v rozsahu 7,0 až 9,0 % (původně: 10,5 až 13,0 %).</w:t>
      </w:r>
    </w:p>
    <w:p w14:paraId="2B600027" w14:textId="77777777" w:rsidR="0032364A" w:rsidRPr="002708C3" w:rsidRDefault="0032364A" w:rsidP="0032364A">
      <w:pPr>
        <w:spacing w:line="240" w:lineRule="auto"/>
        <w:rPr>
          <w:lang w:val="cs-CZ"/>
        </w:rPr>
      </w:pPr>
    </w:p>
    <w:p w14:paraId="1CF294F0" w14:textId="77777777" w:rsidR="0032364A" w:rsidRPr="002708C3" w:rsidRDefault="0032364A" w:rsidP="0032364A">
      <w:pPr>
        <w:spacing w:line="240" w:lineRule="auto"/>
        <w:rPr>
          <w:lang w:val="cs-CZ"/>
        </w:rPr>
      </w:pPr>
      <w:r w:rsidRPr="002708C3">
        <w:rPr>
          <w:lang w:val="cs-CZ"/>
        </w:rPr>
        <w:t xml:space="preserve">V případě </w:t>
      </w:r>
      <w:r w:rsidRPr="002708C3">
        <w:rPr>
          <w:rFonts w:eastAsia="Segoe UI" w:cs="Segoe UI"/>
          <w:b/>
          <w:bCs/>
          <w:lang w:val="cs-CZ"/>
        </w:rPr>
        <w:t>upravených výnosů na prioritní akcii</w:t>
      </w:r>
      <w:r w:rsidRPr="002708C3">
        <w:rPr>
          <w:lang w:val="cs-CZ"/>
        </w:rPr>
        <w:t xml:space="preserve"> </w:t>
      </w:r>
      <w:r w:rsidRPr="002708C3">
        <w:rPr>
          <w:rFonts w:eastAsia="Segoe UI" w:cs="Segoe UI"/>
          <w:b/>
          <w:bCs/>
          <w:lang w:val="cs-CZ"/>
        </w:rPr>
        <w:t>(EPS)</w:t>
      </w:r>
      <w:r w:rsidRPr="002708C3">
        <w:rPr>
          <w:lang w:val="cs-CZ"/>
        </w:rPr>
        <w:t xml:space="preserve"> při konstantních kurzových sazbách </w:t>
      </w: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 očekává pokles v rozpětí od −35 do −15 % (původně: –15 až +5 %).</w:t>
      </w:r>
    </w:p>
    <w:p w14:paraId="21487A94" w14:textId="77777777" w:rsidR="0032364A" w:rsidRPr="002708C3" w:rsidRDefault="0032364A" w:rsidP="0032364A">
      <w:pPr>
        <w:rPr>
          <w:lang w:val="cs-CZ"/>
        </w:rPr>
      </w:pPr>
    </w:p>
    <w:p w14:paraId="74934CDD" w14:textId="77777777" w:rsidR="0032364A" w:rsidRPr="002708C3" w:rsidRDefault="0032364A" w:rsidP="0032364A">
      <w:pPr>
        <w:pStyle w:val="Zkladntext"/>
        <w:spacing w:line="240" w:lineRule="auto"/>
        <w:rPr>
          <w:rFonts w:ascii="Segoe UI" w:eastAsia="Segoe UI" w:hAnsi="Segoe UI" w:cs="Segoe UI"/>
          <w:lang w:val="cs-CZ"/>
        </w:rPr>
      </w:pPr>
      <w:r w:rsidRPr="002708C3">
        <w:rPr>
          <w:rFonts w:ascii="Segoe UI" w:eastAsia="Segoe UI" w:hAnsi="Segoe UI" w:cs="Segoe UI"/>
          <w:lang w:val="cs-CZ"/>
        </w:rPr>
        <w:t xml:space="preserve">Tento nový výhled vychází z předpokladu, že vlivy války na Ukrajině se výrazně </w:t>
      </w:r>
      <w:proofErr w:type="gramStart"/>
      <w:r w:rsidRPr="002708C3">
        <w:rPr>
          <w:rFonts w:ascii="Segoe UI" w:eastAsia="Segoe UI" w:hAnsi="Segoe UI" w:cs="Segoe UI"/>
          <w:lang w:val="cs-CZ"/>
        </w:rPr>
        <w:t>nezhorší</w:t>
      </w:r>
      <w:proofErr w:type="gramEnd"/>
      <w:r w:rsidRPr="002708C3">
        <w:rPr>
          <w:rFonts w:ascii="Segoe UI" w:eastAsia="Segoe UI" w:hAnsi="Segoe UI" w:cs="Segoe UI"/>
          <w:lang w:val="cs-CZ"/>
        </w:rPr>
        <w:t xml:space="preserve"> a nedojde k žádnému dalšímu zavírání provozů v průmyslu a maloobchodě z důvodu pandemie onemocnění Covid-19. </w:t>
      </w:r>
    </w:p>
    <w:p w14:paraId="51F8B6F7" w14:textId="77777777" w:rsidR="0032364A" w:rsidRPr="002708C3" w:rsidRDefault="0032364A" w:rsidP="0032364A">
      <w:pPr>
        <w:rPr>
          <w:lang w:val="cs-CZ"/>
        </w:rPr>
      </w:pPr>
    </w:p>
    <w:p w14:paraId="4D900529" w14:textId="77777777" w:rsidR="0032364A" w:rsidRPr="002708C3" w:rsidRDefault="0032364A" w:rsidP="0032364A">
      <w:pPr>
        <w:spacing w:line="280" w:lineRule="auto"/>
        <w:rPr>
          <w:lang w:val="cs-CZ"/>
        </w:rPr>
      </w:pPr>
      <w:r w:rsidRPr="00F1378A">
        <w:rPr>
          <w:i/>
          <w:iCs/>
          <w:lang w:val="cs-CZ"/>
        </w:rPr>
        <w:t xml:space="preserve">„Navzdory mimořádně náročnému prostředí se snažíme naplňovat strategii smysluplného růstu. S naší divizí </w:t>
      </w:r>
      <w:proofErr w:type="spellStart"/>
      <w:r w:rsidRPr="00F1378A">
        <w:rPr>
          <w:i/>
          <w:iCs/>
          <w:lang w:val="cs-CZ"/>
        </w:rPr>
        <w:t>Adhesive</w:t>
      </w:r>
      <w:proofErr w:type="spellEnd"/>
      <w:r w:rsidRPr="00F1378A">
        <w:rPr>
          <w:i/>
          <w:iCs/>
          <w:lang w:val="cs-CZ"/>
        </w:rPr>
        <w:t xml:space="preserve"> Technologies jsme globálním lídrem a nabízíme inovativní řešení v mnoha důležitých odvětvích s jednoznačným důrazem na budoucí trendy</w:t>
      </w:r>
      <w:r>
        <w:rPr>
          <w:i/>
          <w:iCs/>
          <w:lang w:val="cs-CZ"/>
        </w:rPr>
        <w:t>, jako např.</w:t>
      </w:r>
      <w:r w:rsidRPr="00F1378A">
        <w:rPr>
          <w:i/>
          <w:iCs/>
          <w:lang w:val="cs-CZ"/>
        </w:rPr>
        <w:t xml:space="preserve"> mobilita, konektivita a udržitelnost. Kromě toho sloučením našich spotřebitelských segmentů </w:t>
      </w:r>
      <w:proofErr w:type="spellStart"/>
      <w:r w:rsidRPr="00F1378A">
        <w:rPr>
          <w:i/>
          <w:iCs/>
          <w:lang w:val="cs-CZ"/>
        </w:rPr>
        <w:t>Laundry</w:t>
      </w:r>
      <w:proofErr w:type="spellEnd"/>
      <w:r w:rsidRPr="00F1378A">
        <w:rPr>
          <w:i/>
          <w:iCs/>
          <w:lang w:val="cs-CZ"/>
        </w:rPr>
        <w:t xml:space="preserve"> &amp; </w:t>
      </w:r>
      <w:proofErr w:type="spellStart"/>
      <w:r w:rsidRPr="00F1378A">
        <w:rPr>
          <w:i/>
          <w:iCs/>
          <w:lang w:val="cs-CZ"/>
        </w:rPr>
        <w:t>Home</w:t>
      </w:r>
      <w:proofErr w:type="spellEnd"/>
      <w:r w:rsidRPr="00F1378A">
        <w:rPr>
          <w:i/>
          <w:iCs/>
          <w:lang w:val="cs-CZ"/>
        </w:rPr>
        <w:t xml:space="preserve"> Care a </w:t>
      </w:r>
      <w:proofErr w:type="spellStart"/>
      <w:r w:rsidRPr="00F1378A">
        <w:rPr>
          <w:i/>
          <w:iCs/>
          <w:lang w:val="cs-CZ"/>
        </w:rPr>
        <w:t>Beauty</w:t>
      </w:r>
      <w:proofErr w:type="spellEnd"/>
      <w:r w:rsidRPr="00F1378A">
        <w:rPr>
          <w:i/>
          <w:iCs/>
          <w:lang w:val="cs-CZ"/>
        </w:rPr>
        <w:t xml:space="preserve"> Care do jedné divize </w:t>
      </w:r>
      <w:proofErr w:type="spellStart"/>
      <w:r w:rsidRPr="00F1378A">
        <w:rPr>
          <w:i/>
          <w:iCs/>
          <w:lang w:val="cs-CZ"/>
        </w:rPr>
        <w:t>Henkel</w:t>
      </w:r>
      <w:proofErr w:type="spellEnd"/>
      <w:r w:rsidRPr="00F1378A">
        <w:rPr>
          <w:i/>
          <w:iCs/>
          <w:lang w:val="cs-CZ"/>
        </w:rPr>
        <w:t xml:space="preserve"> </w:t>
      </w:r>
      <w:proofErr w:type="spellStart"/>
      <w:r w:rsidRPr="00F1378A">
        <w:rPr>
          <w:i/>
          <w:iCs/>
          <w:lang w:val="cs-CZ"/>
        </w:rPr>
        <w:t>Consumer</w:t>
      </w:r>
      <w:proofErr w:type="spellEnd"/>
      <w:r w:rsidRPr="00F1378A">
        <w:rPr>
          <w:i/>
          <w:iCs/>
          <w:lang w:val="cs-CZ"/>
        </w:rPr>
        <w:t xml:space="preserve"> </w:t>
      </w:r>
      <w:proofErr w:type="spellStart"/>
      <w:r w:rsidRPr="00F1378A">
        <w:rPr>
          <w:i/>
          <w:iCs/>
          <w:lang w:val="cs-CZ"/>
        </w:rPr>
        <w:t>Brands</w:t>
      </w:r>
      <w:proofErr w:type="spellEnd"/>
      <w:r w:rsidRPr="00F1378A">
        <w:rPr>
          <w:i/>
          <w:iCs/>
          <w:lang w:val="cs-CZ"/>
        </w:rPr>
        <w:t xml:space="preserve"> vytváříme </w:t>
      </w:r>
      <w:proofErr w:type="spellStart"/>
      <w:r w:rsidRPr="00F1378A">
        <w:rPr>
          <w:i/>
          <w:iCs/>
          <w:lang w:val="cs-CZ"/>
        </w:rPr>
        <w:t>multiproduktovou</w:t>
      </w:r>
      <w:proofErr w:type="spellEnd"/>
      <w:r w:rsidRPr="00F1378A">
        <w:rPr>
          <w:i/>
          <w:iCs/>
          <w:lang w:val="cs-CZ"/>
        </w:rPr>
        <w:t xml:space="preserve"> platformu s obratem přibližně 10 miliard eur. Naše budoucí divize </w:t>
      </w:r>
      <w:proofErr w:type="spellStart"/>
      <w:r w:rsidRPr="00F1378A">
        <w:rPr>
          <w:i/>
          <w:iCs/>
          <w:lang w:val="cs-CZ"/>
        </w:rPr>
        <w:t>Consumer</w:t>
      </w:r>
      <w:proofErr w:type="spellEnd"/>
      <w:r w:rsidRPr="00F1378A">
        <w:rPr>
          <w:i/>
          <w:iCs/>
          <w:lang w:val="cs-CZ"/>
        </w:rPr>
        <w:t xml:space="preserve"> </w:t>
      </w:r>
      <w:proofErr w:type="spellStart"/>
      <w:r w:rsidRPr="00F1378A">
        <w:rPr>
          <w:i/>
          <w:iCs/>
          <w:lang w:val="cs-CZ"/>
        </w:rPr>
        <w:t>Brands</w:t>
      </w:r>
      <w:proofErr w:type="spellEnd"/>
      <w:r w:rsidRPr="00F1378A">
        <w:rPr>
          <w:i/>
          <w:iCs/>
          <w:lang w:val="cs-CZ"/>
        </w:rPr>
        <w:t xml:space="preserve"> by měla vzniknout nejpozději začátkem roku 2023, přičemž poskytne širší základ pro ještě konzistentnější optimalizaci našeho portfolia směrem k vyššímu růstu a maržím,“</w:t>
      </w:r>
      <w:r w:rsidRPr="002708C3">
        <w:rPr>
          <w:lang w:val="cs-CZ"/>
        </w:rPr>
        <w:t xml:space="preserve"> řekl </w:t>
      </w:r>
      <w:proofErr w:type="spellStart"/>
      <w:r w:rsidRPr="002708C3">
        <w:rPr>
          <w:lang w:val="cs-CZ"/>
        </w:rPr>
        <w:t>Carsten</w:t>
      </w:r>
      <w:proofErr w:type="spellEnd"/>
      <w:r w:rsidRPr="002708C3">
        <w:rPr>
          <w:lang w:val="cs-CZ"/>
        </w:rPr>
        <w:t xml:space="preserve"> </w:t>
      </w:r>
      <w:proofErr w:type="spellStart"/>
      <w:r w:rsidRPr="002708C3">
        <w:rPr>
          <w:lang w:val="cs-CZ"/>
        </w:rPr>
        <w:t>Knobel</w:t>
      </w:r>
      <w:proofErr w:type="spellEnd"/>
      <w:r w:rsidRPr="002708C3">
        <w:rPr>
          <w:lang w:val="cs-CZ"/>
        </w:rPr>
        <w:t>.</w:t>
      </w:r>
    </w:p>
    <w:p w14:paraId="2922D129" w14:textId="77777777" w:rsidR="0032364A" w:rsidRPr="002708C3" w:rsidRDefault="0032364A" w:rsidP="0032364A">
      <w:pPr>
        <w:rPr>
          <w:rStyle w:val="AboutandContactHeadline"/>
          <w:lang w:val="cs-CZ"/>
        </w:rPr>
      </w:pPr>
    </w:p>
    <w:p w14:paraId="37BECE83" w14:textId="77777777" w:rsidR="0032364A" w:rsidRPr="002708C3" w:rsidRDefault="0032364A" w:rsidP="0032364A">
      <w:pPr>
        <w:spacing w:line="280" w:lineRule="auto"/>
        <w:rPr>
          <w:lang w:val="cs-CZ"/>
        </w:rPr>
      </w:pPr>
      <w:proofErr w:type="spellStart"/>
      <w:r w:rsidRPr="002708C3">
        <w:rPr>
          <w:lang w:val="cs-CZ"/>
        </w:rPr>
        <w:t>Henkel</w:t>
      </w:r>
      <w:proofErr w:type="spellEnd"/>
      <w:r w:rsidRPr="002708C3">
        <w:rPr>
          <w:lang w:val="cs-CZ"/>
        </w:rPr>
        <w:t xml:space="preserve"> zveřejní 5. května svou zprávu za první čtvrtletí roku 2022 a v souladu s předchozím oznámením poskytne další informace o průběhu integrace dvou obchodních divizí a plánovaných opatřeních k posílení portfolia, včetně očekávaných synergií a nákladů na restrukturalizaci.</w:t>
      </w:r>
    </w:p>
    <w:p w14:paraId="17AC7D28" w14:textId="77777777" w:rsidR="00CB3731" w:rsidRPr="00BB090F" w:rsidRDefault="00CB3731" w:rsidP="00CB3731">
      <w:pPr>
        <w:rPr>
          <w:rFonts w:cs="Segoe UI"/>
          <w:b/>
          <w:bCs/>
          <w:szCs w:val="22"/>
          <w:lang w:val="cs-CZ"/>
        </w:rPr>
      </w:pPr>
    </w:p>
    <w:p w14:paraId="72155D67" w14:textId="67433C52" w:rsidR="00BB090F" w:rsidRPr="00BB090F" w:rsidRDefault="00BB090F" w:rsidP="00BB090F">
      <w:pPr>
        <w:rPr>
          <w:rFonts w:cs="Segoe UI"/>
          <w:b/>
          <w:bCs/>
          <w:szCs w:val="22"/>
          <w:lang w:val="cs-CZ"/>
        </w:rPr>
      </w:pPr>
    </w:p>
    <w:p w14:paraId="38AD34F3" w14:textId="77777777" w:rsidR="00BB090F" w:rsidRPr="00BB090F" w:rsidRDefault="00BB090F" w:rsidP="00BB090F">
      <w:pPr>
        <w:rPr>
          <w:rFonts w:cs="Segoe UI"/>
          <w:b/>
          <w:bCs/>
          <w:szCs w:val="22"/>
          <w:lang w:val="cs-CZ"/>
        </w:rPr>
      </w:pPr>
    </w:p>
    <w:p w14:paraId="64CF9133" w14:textId="016CB621" w:rsidR="0000744B" w:rsidRPr="0000744B" w:rsidRDefault="0000744B" w:rsidP="0000744B">
      <w:pPr>
        <w:rPr>
          <w:rStyle w:val="AboutandContactHeadline"/>
          <w:lang w:val="cs-CZ"/>
        </w:rPr>
      </w:pPr>
      <w:r w:rsidRPr="0000744B">
        <w:rPr>
          <w:rStyle w:val="AboutandContactHeadline"/>
          <w:lang w:val="cs-CZ"/>
        </w:rPr>
        <w:t xml:space="preserve">O společnosti </w:t>
      </w:r>
      <w:proofErr w:type="spellStart"/>
      <w:r w:rsidRPr="0000744B">
        <w:rPr>
          <w:rStyle w:val="AboutandContactHeadline"/>
          <w:lang w:val="cs-CZ"/>
        </w:rPr>
        <w:t>Henkel</w:t>
      </w:r>
      <w:proofErr w:type="spellEnd"/>
    </w:p>
    <w:p w14:paraId="0A0247FE" w14:textId="61CAE83E" w:rsidR="0000744B" w:rsidRPr="0000744B" w:rsidRDefault="0000744B" w:rsidP="0000744B">
      <w:pPr>
        <w:rPr>
          <w:rStyle w:val="AboutandContactHeadline"/>
          <w:b w:val="0"/>
          <w:bCs w:val="0"/>
          <w:lang w:val="cs-CZ"/>
        </w:rPr>
      </w:pPr>
      <w:r w:rsidRPr="0000744B">
        <w:rPr>
          <w:rStyle w:val="AboutandContactHeadline"/>
          <w:b w:val="0"/>
          <w:bCs w:val="0"/>
          <w:lang w:val="cs-CZ"/>
        </w:rPr>
        <w:t xml:space="preserve">Společnost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působí celosvětově s vyrovnaným a diverzifikovaným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portfóliem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produktů. Díky silným značkám, inovacím a technologiím má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vedoucí postavení na trhu jak ve spotřebitelských, tak v průmyslových odvětvích. V oblasti lepidel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divize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Home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Care a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Beauty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Care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202</w:t>
      </w:r>
      <w:r w:rsidR="00231B84">
        <w:rPr>
          <w:rStyle w:val="AboutandContactHeadline"/>
          <w:b w:val="0"/>
          <w:bCs w:val="0"/>
          <w:lang w:val="cs-CZ"/>
        </w:rPr>
        <w:t>1</w:t>
      </w:r>
      <w:r w:rsidRPr="0000744B">
        <w:rPr>
          <w:rStyle w:val="AboutandContactHeadline"/>
          <w:b w:val="0"/>
          <w:bCs w:val="0"/>
          <w:lang w:val="cs-CZ"/>
        </w:rPr>
        <w:t xml:space="preserve"> dosáhla obratu </w:t>
      </w:r>
      <w:r w:rsidR="0057611C">
        <w:rPr>
          <w:rStyle w:val="AboutandContactHeadline"/>
          <w:b w:val="0"/>
          <w:bCs w:val="0"/>
          <w:lang w:val="cs-CZ"/>
        </w:rPr>
        <w:t>víc než 20</w:t>
      </w:r>
      <w:r w:rsidRPr="0000744B">
        <w:rPr>
          <w:rStyle w:val="AboutandContactHeadline"/>
          <w:b w:val="0"/>
          <w:bCs w:val="0"/>
          <w:lang w:val="cs-CZ"/>
        </w:rPr>
        <w:t xml:space="preserve"> mld. eur a upraveného provozního zisku přibližně ve výši 2,</w:t>
      </w:r>
      <w:r w:rsidR="0057611C">
        <w:rPr>
          <w:rStyle w:val="AboutandContactHeadline"/>
          <w:b w:val="0"/>
          <w:bCs w:val="0"/>
          <w:lang w:val="cs-CZ"/>
        </w:rPr>
        <w:t>7</w:t>
      </w:r>
      <w:r w:rsidRPr="0000744B">
        <w:rPr>
          <w:rStyle w:val="AboutandContactHeadline"/>
          <w:b w:val="0"/>
          <w:bCs w:val="0"/>
          <w:lang w:val="cs-CZ"/>
        </w:rPr>
        <w:t xml:space="preserve"> mld. eur.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zaměstnává 5</w:t>
      </w:r>
      <w:r w:rsidR="0057611C">
        <w:rPr>
          <w:rStyle w:val="AboutandContactHeadline"/>
          <w:b w:val="0"/>
          <w:bCs w:val="0"/>
          <w:lang w:val="cs-CZ"/>
        </w:rPr>
        <w:t>2</w:t>
      </w:r>
      <w:r w:rsidRPr="0000744B">
        <w:rPr>
          <w:rStyle w:val="AboutandContactHeadline"/>
          <w:b w:val="0"/>
          <w:bCs w:val="0"/>
          <w:lang w:val="cs-CZ"/>
        </w:rPr>
        <w:t xml:space="preserve"> 000 lidí po celém světě, kteří spolu </w:t>
      </w:r>
      <w:proofErr w:type="gramStart"/>
      <w:r w:rsidRPr="0000744B">
        <w:rPr>
          <w:rStyle w:val="AboutandContactHeadline"/>
          <w:b w:val="0"/>
          <w:bCs w:val="0"/>
          <w:lang w:val="cs-CZ"/>
        </w:rPr>
        <w:t>tvoří</w:t>
      </w:r>
      <w:proofErr w:type="gramEnd"/>
      <w:r w:rsidRPr="0000744B">
        <w:rPr>
          <w:rStyle w:val="AboutandContactHeadline"/>
          <w:b w:val="0"/>
          <w:bCs w:val="0"/>
          <w:lang w:val="cs-CZ"/>
        </w:rPr>
        <w:t xml:space="preserve"> zanícený a velmi různorodý tým, který spojuje silná firemní kultura a společný zájem tvořit trvale udržitelné hodnoty a který sdílí společné hodnoty. Jako uznávaný lídr v oblasti udržitelnosti je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na předních příčkách mnoha mezinárodních indexů a hodnocení. Prioritní akcie společnosti </w:t>
      </w:r>
      <w:proofErr w:type="spellStart"/>
      <w:r w:rsidRPr="0000744B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00744B">
        <w:rPr>
          <w:rStyle w:val="AboutandContactHeadline"/>
          <w:b w:val="0"/>
          <w:bCs w:val="0"/>
          <w:lang w:val="cs-CZ"/>
        </w:rPr>
        <w:t xml:space="preserve"> jsou kótovány na německém akciovém indexu DAX. Více informací naleznete na stránce </w:t>
      </w:r>
      <w:hyperlink r:id="rId11" w:history="1">
        <w:r w:rsidR="00587F0F" w:rsidRPr="000E7FB5">
          <w:rPr>
            <w:rStyle w:val="Hypertextovprepojenie"/>
            <w:szCs w:val="24"/>
            <w:lang w:val="cs-CZ"/>
          </w:rPr>
          <w:t>www.henkel.com</w:t>
        </w:r>
      </w:hyperlink>
      <w:r w:rsidR="00587F0F">
        <w:rPr>
          <w:rStyle w:val="AboutandContactHeadline"/>
          <w:b w:val="0"/>
          <w:bCs w:val="0"/>
          <w:lang w:val="cs-CZ"/>
        </w:rPr>
        <w:t>.</w:t>
      </w:r>
    </w:p>
    <w:p w14:paraId="1490956C" w14:textId="77777777" w:rsidR="0000744B" w:rsidRDefault="0000744B" w:rsidP="0000744B">
      <w:pPr>
        <w:rPr>
          <w:rStyle w:val="AboutandContactHeadline"/>
          <w:lang w:val="cs-CZ"/>
        </w:rPr>
      </w:pPr>
    </w:p>
    <w:p w14:paraId="7367A409" w14:textId="77777777" w:rsidR="00306C60" w:rsidRPr="002708C3" w:rsidRDefault="00306C60" w:rsidP="00306C60">
      <w:pPr>
        <w:spacing w:line="280" w:lineRule="auto"/>
        <w:rPr>
          <w:lang w:val="cs-CZ"/>
        </w:rPr>
      </w:pPr>
      <w:r w:rsidRPr="002708C3">
        <w:rPr>
          <w:sz w:val="14"/>
          <w:szCs w:val="14"/>
          <w:lang w:val="cs-CZ"/>
        </w:rPr>
        <w:t xml:space="preserve">Tento dokument obsahuje výhledová stanoviska opírající se o aktuální odhady a předpoklady vypracované managementem společnosti </w:t>
      </w:r>
      <w:proofErr w:type="spellStart"/>
      <w:r w:rsidRPr="002708C3">
        <w:rPr>
          <w:sz w:val="14"/>
          <w:szCs w:val="14"/>
          <w:lang w:val="cs-CZ"/>
        </w:rPr>
        <w:t>Henkel</w:t>
      </w:r>
      <w:proofErr w:type="spellEnd"/>
      <w:r w:rsidRPr="002708C3">
        <w:rPr>
          <w:sz w:val="14"/>
          <w:szCs w:val="14"/>
          <w:lang w:val="cs-CZ"/>
        </w:rPr>
        <w:t xml:space="preserve"> AG &amp; Co. </w:t>
      </w:r>
      <w:proofErr w:type="spellStart"/>
      <w:r w:rsidRPr="002708C3">
        <w:rPr>
          <w:sz w:val="14"/>
          <w:szCs w:val="14"/>
          <w:lang w:val="cs-CZ"/>
        </w:rPr>
        <w:t>KGaA</w:t>
      </w:r>
      <w:proofErr w:type="spellEnd"/>
      <w:r w:rsidRPr="002708C3">
        <w:rPr>
          <w:sz w:val="14"/>
          <w:szCs w:val="14"/>
          <w:lang w:val="cs-CZ"/>
        </w:rPr>
        <w:t xml:space="preserve">. Stanoviska týkající se budoucího vývoje charakterizuje použití takových slovních zvratů jako „očekávat“, „zamýšlet“, „plánovat“, „předpokládat“, „domnívat se“, „odhadovat“ a podobných výrazů. Taková stanoviska nelze chápat jako zaručující jakýmkoli způsobem, že dané predikce jsou přesné. Budoucí výkonnost i reálně dosažené výsledky společnosti </w:t>
      </w:r>
      <w:proofErr w:type="spellStart"/>
      <w:r w:rsidRPr="002708C3">
        <w:rPr>
          <w:sz w:val="14"/>
          <w:szCs w:val="14"/>
          <w:lang w:val="cs-CZ"/>
        </w:rPr>
        <w:t>Henkel</w:t>
      </w:r>
      <w:proofErr w:type="spellEnd"/>
      <w:r w:rsidRPr="002708C3">
        <w:rPr>
          <w:sz w:val="14"/>
          <w:szCs w:val="14"/>
          <w:lang w:val="cs-CZ"/>
        </w:rPr>
        <w:t xml:space="preserve"> AG &amp; Co. </w:t>
      </w:r>
      <w:proofErr w:type="spellStart"/>
      <w:r w:rsidRPr="002708C3">
        <w:rPr>
          <w:sz w:val="14"/>
          <w:szCs w:val="14"/>
          <w:lang w:val="cs-CZ"/>
        </w:rPr>
        <w:t>KGaA</w:t>
      </w:r>
      <w:proofErr w:type="spellEnd"/>
      <w:r w:rsidRPr="002708C3">
        <w:rPr>
          <w:sz w:val="14"/>
          <w:szCs w:val="14"/>
          <w:lang w:val="cs-CZ"/>
        </w:rPr>
        <w:t xml:space="preserve"> a jejích sesterských společností závisí na celé řadě rizikových faktorů a nejistot, a proto se mohou podstatně odklánět od výhledových stanovisek. Na mnohé z nich společnost </w:t>
      </w:r>
      <w:proofErr w:type="spellStart"/>
      <w:r w:rsidRPr="002708C3">
        <w:rPr>
          <w:sz w:val="14"/>
          <w:szCs w:val="14"/>
          <w:lang w:val="cs-CZ"/>
        </w:rPr>
        <w:t>Henkel</w:t>
      </w:r>
      <w:proofErr w:type="spellEnd"/>
      <w:r w:rsidRPr="002708C3">
        <w:rPr>
          <w:sz w:val="14"/>
          <w:szCs w:val="14"/>
          <w:lang w:val="cs-CZ"/>
        </w:rPr>
        <w:t xml:space="preserve"> nemá přímý dosah a předem je nelze přesně odhadnout, jako například, jaké bude ekonomické prostředí v budoucnosti a jaké budou kroky konkurentů a jiných subjektů působících na trhu. Společnost </w:t>
      </w:r>
      <w:proofErr w:type="spellStart"/>
      <w:r w:rsidRPr="002708C3">
        <w:rPr>
          <w:sz w:val="14"/>
          <w:szCs w:val="14"/>
          <w:lang w:val="cs-CZ"/>
        </w:rPr>
        <w:t>Henkel</w:t>
      </w:r>
      <w:proofErr w:type="spellEnd"/>
      <w:r w:rsidRPr="002708C3">
        <w:rPr>
          <w:sz w:val="14"/>
          <w:szCs w:val="14"/>
          <w:lang w:val="cs-CZ"/>
        </w:rPr>
        <w:t xml:space="preserve"> nemá v úmyslu a ani nepřijme kroky k aktualizaci těchto stanovisek. </w:t>
      </w:r>
    </w:p>
    <w:p w14:paraId="6A0CDC03" w14:textId="77777777" w:rsidR="00306C60" w:rsidRPr="002708C3" w:rsidRDefault="00306C60" w:rsidP="00306C60">
      <w:pPr>
        <w:rPr>
          <w:sz w:val="14"/>
          <w:szCs w:val="14"/>
          <w:lang w:val="cs-CZ"/>
        </w:rPr>
      </w:pPr>
    </w:p>
    <w:p w14:paraId="0A614AEA" w14:textId="77777777" w:rsidR="00306C60" w:rsidRPr="002708C3" w:rsidRDefault="00306C60" w:rsidP="00306C60">
      <w:pPr>
        <w:spacing w:line="280" w:lineRule="auto"/>
        <w:rPr>
          <w:sz w:val="14"/>
          <w:szCs w:val="14"/>
          <w:lang w:val="cs-CZ"/>
        </w:rPr>
      </w:pPr>
      <w:r w:rsidRPr="002708C3">
        <w:rPr>
          <w:sz w:val="14"/>
          <w:szCs w:val="14"/>
          <w:lang w:val="cs-CZ"/>
        </w:rPr>
        <w:t xml:space="preserve">Tento dokument obsahuje doplňkové finanční ukazatele, které nejsou jasně definovány v platném rámci účetního výkaznictví, které představují nebo mohou představovat alternativní ukazatele finanční výkonnosti. Tyto doplňující finanční ukazatele by neměly být vykládány zvlášť nebo jako alternativní ukazatele k ukazatelům čistých aktiv a finančních pozic společnosti </w:t>
      </w:r>
      <w:proofErr w:type="spellStart"/>
      <w:r w:rsidRPr="002708C3">
        <w:rPr>
          <w:sz w:val="14"/>
          <w:szCs w:val="14"/>
          <w:lang w:val="cs-CZ"/>
        </w:rPr>
        <w:t>Henkel</w:t>
      </w:r>
      <w:proofErr w:type="spellEnd"/>
      <w:r w:rsidRPr="002708C3">
        <w:rPr>
          <w:sz w:val="14"/>
          <w:szCs w:val="14"/>
          <w:lang w:val="cs-CZ"/>
        </w:rPr>
        <w:t xml:space="preserve"> nebo k výsledkům podnikání, které jsou v souladu s platným rámcem účetního výkaznictví prezentovány v konsolidované účetní závěrce společnosti. Jiné společnosti, které vykazují nebo uvádějí alternativní ukazatele výkonnosti s podobnými názvy, mohou počítat jejich hodnoty odlišně.</w:t>
      </w:r>
    </w:p>
    <w:p w14:paraId="5183B518" w14:textId="77777777" w:rsidR="00306C60" w:rsidRPr="002708C3" w:rsidRDefault="00306C60" w:rsidP="00306C60">
      <w:pPr>
        <w:rPr>
          <w:sz w:val="14"/>
          <w:szCs w:val="14"/>
          <w:lang w:val="cs-CZ"/>
        </w:rPr>
      </w:pPr>
    </w:p>
    <w:p w14:paraId="44C73B80" w14:textId="77777777" w:rsidR="00306C60" w:rsidRPr="002708C3" w:rsidRDefault="00306C60" w:rsidP="00306C60">
      <w:pPr>
        <w:spacing w:line="280" w:lineRule="auto"/>
        <w:rPr>
          <w:sz w:val="14"/>
          <w:szCs w:val="14"/>
          <w:lang w:val="cs-CZ"/>
        </w:rPr>
      </w:pPr>
      <w:r w:rsidRPr="002708C3">
        <w:rPr>
          <w:sz w:val="14"/>
          <w:szCs w:val="14"/>
          <w:lang w:val="cs-CZ"/>
        </w:rPr>
        <w:t xml:space="preserve">Tento dokument </w:t>
      </w:r>
      <w:proofErr w:type="gramStart"/>
      <w:r w:rsidRPr="002708C3">
        <w:rPr>
          <w:sz w:val="14"/>
          <w:szCs w:val="14"/>
          <w:lang w:val="cs-CZ"/>
        </w:rPr>
        <w:t>slouží</w:t>
      </w:r>
      <w:proofErr w:type="gramEnd"/>
      <w:r w:rsidRPr="002708C3">
        <w:rPr>
          <w:sz w:val="14"/>
          <w:szCs w:val="14"/>
          <w:lang w:val="cs-CZ"/>
        </w:rPr>
        <w:t xml:space="preserve"> výlučně k informačním účelům a nepředstavuje investiční radu ani nabídku k prodeji nebo koupi jakýchkoli cenných papírů. </w:t>
      </w:r>
    </w:p>
    <w:p w14:paraId="2A4278EA" w14:textId="77777777" w:rsidR="00306C60" w:rsidRPr="002708C3" w:rsidRDefault="00306C60" w:rsidP="00306C60">
      <w:pPr>
        <w:spacing w:line="240" w:lineRule="auto"/>
        <w:jc w:val="left"/>
        <w:rPr>
          <w:b/>
          <w:bCs/>
          <w:sz w:val="18"/>
          <w:szCs w:val="18"/>
          <w:lang w:val="cs-CZ"/>
        </w:rPr>
      </w:pPr>
    </w:p>
    <w:p w14:paraId="19B2F94B" w14:textId="77777777" w:rsidR="0000744B" w:rsidRPr="0000744B" w:rsidRDefault="0000744B" w:rsidP="0000744B">
      <w:pPr>
        <w:rPr>
          <w:rStyle w:val="AboutandContactHeadline"/>
          <w:lang w:val="cs-CZ"/>
        </w:rPr>
      </w:pPr>
    </w:p>
    <w:p w14:paraId="0ED67B46" w14:textId="77777777" w:rsidR="006E719D" w:rsidRPr="002A21D8" w:rsidRDefault="006E719D" w:rsidP="006E719D">
      <w:pPr>
        <w:rPr>
          <w:rStyle w:val="AboutandContactBody"/>
          <w:b/>
          <w:bCs/>
          <w:sz w:val="20"/>
          <w:szCs w:val="20"/>
          <w:lang w:val="cs-CZ"/>
        </w:rPr>
      </w:pPr>
      <w:r w:rsidRPr="002A21D8">
        <w:rPr>
          <w:rStyle w:val="AboutandContactBody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 xml:space="preserve">Zuzana </w:t>
      </w:r>
      <w:proofErr w:type="spellStart"/>
      <w:r w:rsidRPr="002A21D8">
        <w:rPr>
          <w:rStyle w:val="AboutandContactBody"/>
          <w:sz w:val="20"/>
          <w:szCs w:val="20"/>
          <w:lang w:val="cs-CZ"/>
        </w:rPr>
        <w:t>Kaňuchová</w:t>
      </w:r>
      <w:proofErr w:type="spellEnd"/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42F58736" w14:textId="506FC643" w:rsidR="006E719D" w:rsidRPr="002A21D8" w:rsidRDefault="00600518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>Ředitelka korporátní komunikace</w:t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3F359FFF" w14:textId="77777777" w:rsidR="00600518" w:rsidRPr="002A21D8" w:rsidRDefault="00600518" w:rsidP="006E719D">
      <w:pPr>
        <w:rPr>
          <w:rStyle w:val="AboutandContactBody"/>
          <w:sz w:val="20"/>
          <w:szCs w:val="20"/>
          <w:lang w:val="cs-CZ"/>
        </w:rPr>
      </w:pPr>
    </w:p>
    <w:p w14:paraId="6050F928" w14:textId="67A016FA" w:rsidR="006E719D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>Telef</w:t>
      </w:r>
      <w:r w:rsidR="00600518" w:rsidRPr="002A21D8">
        <w:rPr>
          <w:rStyle w:val="AboutandContactBody"/>
          <w:sz w:val="20"/>
          <w:szCs w:val="20"/>
          <w:lang w:val="cs-CZ"/>
        </w:rPr>
        <w:t>o</w:t>
      </w:r>
      <w:r w:rsidRPr="002A21D8">
        <w:rPr>
          <w:rStyle w:val="AboutandContactBody"/>
          <w:sz w:val="20"/>
          <w:szCs w:val="20"/>
          <w:lang w:val="cs-CZ"/>
        </w:rPr>
        <w:t>n: +421 917 160 597</w:t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  <w:r w:rsidRPr="002A21D8">
        <w:rPr>
          <w:rStyle w:val="AboutandContactBody"/>
          <w:sz w:val="20"/>
          <w:szCs w:val="20"/>
          <w:lang w:val="cs-CZ"/>
        </w:rPr>
        <w:tab/>
      </w:r>
    </w:p>
    <w:p w14:paraId="0BFF6B34" w14:textId="70496E61" w:rsidR="00BF6E82" w:rsidRPr="002A21D8" w:rsidRDefault="006E719D" w:rsidP="006E719D">
      <w:pPr>
        <w:rPr>
          <w:rStyle w:val="AboutandContactBody"/>
          <w:sz w:val="20"/>
          <w:szCs w:val="20"/>
          <w:lang w:val="cs-CZ"/>
        </w:rPr>
      </w:pPr>
      <w:r w:rsidRPr="002A21D8">
        <w:rPr>
          <w:rStyle w:val="AboutandContactBody"/>
          <w:sz w:val="20"/>
          <w:szCs w:val="20"/>
          <w:lang w:val="cs-CZ"/>
        </w:rPr>
        <w:t xml:space="preserve">E-mail:  </w:t>
      </w:r>
      <w:hyperlink r:id="rId12" w:history="1">
        <w:r w:rsidR="00BB1DFA" w:rsidRPr="002A21D8">
          <w:rPr>
            <w:rStyle w:val="Hypertextovprepojenie"/>
            <w:sz w:val="20"/>
            <w:szCs w:val="20"/>
            <w:lang w:val="cs-CZ"/>
          </w:rPr>
          <w:t>zuzana.kanuchova@henkel.com</w:t>
        </w:r>
      </w:hyperlink>
      <w:r w:rsidR="00BB1DFA" w:rsidRPr="002A21D8">
        <w:rPr>
          <w:rStyle w:val="AboutandContactBody"/>
          <w:sz w:val="20"/>
          <w:szCs w:val="20"/>
          <w:lang w:val="cs-CZ"/>
        </w:rPr>
        <w:t xml:space="preserve"> </w:t>
      </w:r>
    </w:p>
    <w:sectPr w:rsidR="00BF6E82" w:rsidRPr="002A21D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FD15" w14:textId="77777777" w:rsidR="00CB7564" w:rsidRDefault="00CB7564">
      <w:r>
        <w:separator/>
      </w:r>
    </w:p>
  </w:endnote>
  <w:endnote w:type="continuationSeparator" w:id="0">
    <w:p w14:paraId="3584FA41" w14:textId="77777777" w:rsidR="00CB7564" w:rsidRDefault="00CB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EE7699">
      <w:fldChar w:fldCharType="begin"/>
    </w:r>
    <w:r w:rsidR="00EE7699">
      <w:instrText xml:space="preserve"> NUMPAGES  \* Arabic  \* MERGEFORMAT </w:instrText>
    </w:r>
    <w:r w:rsidR="00EE7699">
      <w:fldChar w:fldCharType="separate"/>
    </w:r>
    <w:r>
      <w:t>2</w:t>
    </w:r>
    <w:r w:rsidR="00EE769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98B2" w14:textId="77777777" w:rsidR="00CB7564" w:rsidRDefault="00CB7564">
      <w:r>
        <w:separator/>
      </w:r>
    </w:p>
  </w:footnote>
  <w:footnote w:type="continuationSeparator" w:id="0">
    <w:p w14:paraId="78480326" w14:textId="77777777" w:rsidR="00CB7564" w:rsidRDefault="00CB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E21656"/>
    <w:multiLevelType w:val="hybridMultilevel"/>
    <w:tmpl w:val="EE8CF3B2"/>
    <w:numStyleLink w:val="Importovantl1"/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479F7"/>
    <w:multiLevelType w:val="hybridMultilevel"/>
    <w:tmpl w:val="EE8CF3B2"/>
    <w:numStyleLink w:val="Importovantl1"/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9"/>
  </w:num>
  <w:num w:numId="4" w16cid:durableId="595141210">
    <w:abstractNumId w:val="6"/>
  </w:num>
  <w:num w:numId="5" w16cid:durableId="1356226179">
    <w:abstractNumId w:val="4"/>
  </w:num>
  <w:num w:numId="6" w16cid:durableId="12727571">
    <w:abstractNumId w:val="7"/>
  </w:num>
  <w:num w:numId="7" w16cid:durableId="2015112908">
    <w:abstractNumId w:val="10"/>
  </w:num>
  <w:num w:numId="8" w16cid:durableId="1447698084">
    <w:abstractNumId w:val="5"/>
  </w:num>
  <w:num w:numId="9" w16cid:durableId="2083940114">
    <w:abstractNumId w:val="2"/>
  </w:num>
  <w:num w:numId="10" w16cid:durableId="1029531628">
    <w:abstractNumId w:val="3"/>
  </w:num>
  <w:num w:numId="11" w16cid:durableId="390348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7611C"/>
    <w:rsid w:val="005833F0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A01F56"/>
    <w:rsid w:val="00A044D6"/>
    <w:rsid w:val="00A04ADB"/>
    <w:rsid w:val="00A064B9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216C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E793A"/>
    <w:rsid w:val="00BF2B82"/>
    <w:rsid w:val="00BF432A"/>
    <w:rsid w:val="00BF6C1E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E7699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37</TotalTime>
  <Pages>4</Pages>
  <Words>1459</Words>
  <Characters>8503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9943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59</cp:revision>
  <cp:lastPrinted>2016-11-16T01:11:00Z</cp:lastPrinted>
  <dcterms:created xsi:type="dcterms:W3CDTF">2020-07-16T10:22:00Z</dcterms:created>
  <dcterms:modified xsi:type="dcterms:W3CDTF">2022-05-04T13:57:00Z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