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122E0" w14:textId="77777777" w:rsidR="007B60D1" w:rsidRDefault="007B60D1">
      <w:pPr>
        <w:pStyle w:val="MonthDayYear"/>
        <w:tabs>
          <w:tab w:val="left" w:pos="557"/>
          <w:tab w:val="left" w:pos="7513"/>
          <w:tab w:val="right" w:pos="9086"/>
        </w:tabs>
        <w:jc w:val="both"/>
      </w:pPr>
    </w:p>
    <w:p w14:paraId="2BBF7D7A" w14:textId="63F542F8" w:rsidR="007B60D1" w:rsidRDefault="00D74A5C" w:rsidP="001B56C2">
      <w:pPr>
        <w:pStyle w:val="MonthDayYear"/>
        <w:tabs>
          <w:tab w:val="left" w:pos="557"/>
          <w:tab w:val="left" w:pos="6946"/>
          <w:tab w:val="right" w:pos="9086"/>
        </w:tabs>
        <w:rPr>
          <w:lang w:eastAsia="zh-TW"/>
        </w:rPr>
      </w:pPr>
      <w:r>
        <w:rPr>
          <w:rFonts w:hint="eastAsia"/>
        </w:rPr>
        <w:tab/>
      </w:r>
      <w:r>
        <w:rPr>
          <w:rFonts w:hint="eastAsia"/>
        </w:rPr>
        <w:tab/>
      </w:r>
      <w:r>
        <w:rPr>
          <w:rFonts w:hint="eastAsia"/>
          <w:lang w:eastAsia="zh-TW"/>
        </w:rPr>
        <w:t>2022</w:t>
      </w:r>
      <w:r>
        <w:rPr>
          <w:rFonts w:hint="eastAsia"/>
          <w:lang w:eastAsia="zh-TW"/>
        </w:rPr>
        <w:t>年</w:t>
      </w:r>
      <w:r>
        <w:rPr>
          <w:rFonts w:hint="eastAsia"/>
          <w:lang w:eastAsia="zh-TW"/>
        </w:rPr>
        <w:t>4</w:t>
      </w:r>
      <w:r>
        <w:rPr>
          <w:rFonts w:hint="eastAsia"/>
          <w:lang w:eastAsia="zh-TW"/>
        </w:rPr>
        <w:t>月</w:t>
      </w:r>
      <w:r>
        <w:rPr>
          <w:rFonts w:hint="eastAsia"/>
          <w:lang w:eastAsia="zh-TW"/>
        </w:rPr>
        <w:t>29</w:t>
      </w:r>
      <w:r>
        <w:rPr>
          <w:rFonts w:hint="eastAsia"/>
          <w:lang w:eastAsia="zh-TW"/>
        </w:rPr>
        <w:t>日</w:t>
      </w:r>
    </w:p>
    <w:p w14:paraId="6C3D8251" w14:textId="59AEA96E" w:rsidR="007B60D1" w:rsidRDefault="00CB6DD5">
      <w:pPr>
        <w:pStyle w:val="Topline"/>
        <w:spacing w:after="120"/>
        <w:rPr>
          <w:rFonts w:asciiTheme="majorHAnsi" w:eastAsiaTheme="majorEastAsia" w:hAnsiTheme="majorHAnsi" w:cstheme="majorHAnsi"/>
          <w:lang w:eastAsia="zh-TW"/>
        </w:rPr>
      </w:pPr>
      <w:proofErr w:type="gramStart"/>
      <w:r>
        <w:rPr>
          <w:rFonts w:asciiTheme="majorHAnsi" w:eastAsiaTheme="majorEastAsia" w:hAnsiTheme="majorHAnsi" w:hint="eastAsia"/>
          <w:lang w:eastAsia="zh-TW"/>
        </w:rPr>
        <w:t>漢高根據</w:t>
      </w:r>
      <w:proofErr w:type="gramEnd"/>
      <w:r>
        <w:rPr>
          <w:rFonts w:asciiTheme="majorHAnsi" w:eastAsiaTheme="majorEastAsia" w:hAnsiTheme="majorHAnsi" w:hint="eastAsia"/>
          <w:lang w:eastAsia="zh-TW"/>
        </w:rPr>
        <w:t>初步資料公佈第一季度銷售業績</w:t>
      </w:r>
    </w:p>
    <w:p w14:paraId="0E0645F8" w14:textId="4B1992DE" w:rsidR="007B60D1" w:rsidRDefault="00CB6DD5">
      <w:pPr>
        <w:spacing w:after="80"/>
        <w:ind w:right="-108"/>
        <w:jc w:val="left"/>
        <w:rPr>
          <w:rStyle w:val="Headline"/>
          <w:lang w:eastAsia="zh-TW"/>
        </w:rPr>
      </w:pPr>
      <w:bookmarkStart w:id="0" w:name="_Hlk43712519"/>
      <w:proofErr w:type="gramStart"/>
      <w:r>
        <w:rPr>
          <w:rStyle w:val="Headline"/>
          <w:rFonts w:hint="eastAsia"/>
          <w:lang w:eastAsia="zh-TW"/>
        </w:rPr>
        <w:t>漢高在</w:t>
      </w:r>
      <w:proofErr w:type="gramEnd"/>
      <w:r>
        <w:rPr>
          <w:rStyle w:val="Headline"/>
          <w:rFonts w:hint="eastAsia"/>
          <w:lang w:eastAsia="zh-TW"/>
        </w:rPr>
        <w:t>第一季度實現了顯著的有機銷售額增長，並更新</w:t>
      </w:r>
      <w:r>
        <w:rPr>
          <w:rStyle w:val="Headline"/>
          <w:lang w:eastAsia="zh-TW"/>
        </w:rPr>
        <w:t>2022</w:t>
      </w:r>
      <w:r>
        <w:rPr>
          <w:rStyle w:val="Headline"/>
          <w:rFonts w:hint="eastAsia"/>
          <w:lang w:eastAsia="zh-TW"/>
        </w:rPr>
        <w:t>全年的財務預期</w:t>
      </w:r>
    </w:p>
    <w:p w14:paraId="050D24A2" w14:textId="39CDB597" w:rsidR="007B60D1" w:rsidRDefault="00CB6DD5">
      <w:pPr>
        <w:pStyle w:val="12"/>
        <w:numPr>
          <w:ilvl w:val="0"/>
          <w:numId w:val="5"/>
        </w:numPr>
        <w:spacing w:after="80"/>
        <w:ind w:left="357" w:right="-108" w:hanging="357"/>
        <w:contextualSpacing w:val="0"/>
        <w:jc w:val="left"/>
        <w:rPr>
          <w:rFonts w:asciiTheme="majorHAnsi" w:eastAsiaTheme="majorEastAsia" w:hAnsiTheme="majorHAnsi" w:cstheme="majorHAnsi"/>
          <w:b/>
          <w:szCs w:val="22"/>
          <w:lang w:eastAsia="zh-TW"/>
        </w:rPr>
      </w:pPr>
      <w:r>
        <w:rPr>
          <w:rFonts w:asciiTheme="majorHAnsi" w:eastAsiaTheme="majorEastAsia" w:hAnsiTheme="majorHAnsi" w:hint="eastAsia"/>
          <w:b/>
          <w:lang w:eastAsia="zh-TW"/>
        </w:rPr>
        <w:t>集團有機銷售額增長</w:t>
      </w:r>
      <w:r>
        <w:rPr>
          <w:rFonts w:asciiTheme="majorHAnsi" w:eastAsiaTheme="majorEastAsia" w:hAnsiTheme="majorHAnsi"/>
          <w:b/>
          <w:lang w:eastAsia="zh-TW"/>
        </w:rPr>
        <w:t>7.1%</w:t>
      </w:r>
      <w:r>
        <w:rPr>
          <w:rFonts w:asciiTheme="majorHAnsi" w:eastAsiaTheme="majorEastAsia" w:hAnsiTheme="majorHAnsi" w:hint="eastAsia"/>
          <w:b/>
          <w:lang w:eastAsia="zh-TW"/>
        </w:rPr>
        <w:t>，達到約</w:t>
      </w:r>
      <w:r>
        <w:rPr>
          <w:rFonts w:asciiTheme="majorHAnsi" w:eastAsiaTheme="majorEastAsia" w:hAnsiTheme="majorHAnsi"/>
          <w:b/>
          <w:lang w:eastAsia="zh-TW"/>
        </w:rPr>
        <w:t>53</w:t>
      </w:r>
      <w:r>
        <w:rPr>
          <w:rFonts w:asciiTheme="majorHAnsi" w:eastAsiaTheme="majorEastAsia" w:hAnsiTheme="majorHAnsi" w:hint="eastAsia"/>
          <w:b/>
          <w:lang w:eastAsia="zh-TW"/>
        </w:rPr>
        <w:t>億歐元</w:t>
      </w:r>
    </w:p>
    <w:p w14:paraId="7BA35D05" w14:textId="47E4AE45" w:rsidR="007B60D1" w:rsidRDefault="00CB6DD5">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lang w:eastAsia="zh-TW"/>
        </w:rPr>
      </w:pPr>
      <w:r>
        <w:rPr>
          <w:rFonts w:asciiTheme="majorHAnsi" w:eastAsiaTheme="majorEastAsia" w:hAnsiTheme="majorHAnsi" w:hint="eastAsia"/>
          <w:b/>
          <w:lang w:eastAsia="zh-TW"/>
        </w:rPr>
        <w:t>粘合劑技術業務部：有機銷售額實現兩位數增長，達到</w:t>
      </w:r>
      <w:r>
        <w:rPr>
          <w:rFonts w:asciiTheme="majorHAnsi" w:eastAsiaTheme="majorEastAsia" w:hAnsiTheme="majorHAnsi"/>
          <w:b/>
          <w:lang w:eastAsia="zh-TW"/>
        </w:rPr>
        <w:t>10.7%</w:t>
      </w:r>
    </w:p>
    <w:p w14:paraId="0B98F538" w14:textId="52A8FB50" w:rsidR="007B60D1" w:rsidRDefault="00CB6DD5">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lang w:eastAsia="zh-TW"/>
        </w:rPr>
      </w:pPr>
      <w:r>
        <w:rPr>
          <w:rFonts w:asciiTheme="majorHAnsi" w:eastAsiaTheme="majorEastAsia" w:hAnsiTheme="majorHAnsi" w:hint="eastAsia"/>
          <w:b/>
          <w:lang w:eastAsia="zh-TW"/>
        </w:rPr>
        <w:t>化妝品</w:t>
      </w:r>
      <w:r>
        <w:rPr>
          <w:rFonts w:asciiTheme="majorHAnsi" w:eastAsiaTheme="majorEastAsia" w:hAnsiTheme="majorHAnsi"/>
          <w:b/>
          <w:lang w:eastAsia="zh-TW"/>
        </w:rPr>
        <w:t>/</w:t>
      </w:r>
      <w:r>
        <w:rPr>
          <w:rFonts w:asciiTheme="majorHAnsi" w:eastAsiaTheme="majorEastAsia" w:hAnsiTheme="majorHAnsi" w:hint="eastAsia"/>
          <w:b/>
          <w:lang w:eastAsia="zh-TW"/>
        </w:rPr>
        <w:t>美容用品業務部：有機銷售額略微下降</w:t>
      </w:r>
      <w:r>
        <w:rPr>
          <w:rFonts w:asciiTheme="majorHAnsi" w:eastAsiaTheme="majorEastAsia" w:hAnsiTheme="majorHAnsi"/>
          <w:b/>
          <w:lang w:eastAsia="zh-TW"/>
        </w:rPr>
        <w:t>1.2%</w:t>
      </w:r>
    </w:p>
    <w:p w14:paraId="673316B5" w14:textId="7DB14397" w:rsidR="007B60D1" w:rsidRDefault="00CB6DD5">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lang w:eastAsia="zh-TW"/>
        </w:rPr>
      </w:pPr>
      <w:r>
        <w:rPr>
          <w:rFonts w:asciiTheme="majorHAnsi" w:eastAsiaTheme="majorEastAsia" w:hAnsiTheme="majorHAnsi" w:hint="eastAsia"/>
          <w:b/>
          <w:lang w:eastAsia="zh-TW"/>
        </w:rPr>
        <w:t>洗滌劑及家用護理業務部：有機銷售額強勁增長</w:t>
      </w:r>
      <w:r>
        <w:rPr>
          <w:rFonts w:asciiTheme="majorHAnsi" w:eastAsiaTheme="majorEastAsia" w:hAnsiTheme="majorHAnsi"/>
          <w:b/>
          <w:lang w:eastAsia="zh-TW"/>
        </w:rPr>
        <w:t>4.9%</w:t>
      </w:r>
    </w:p>
    <w:p w14:paraId="13AB0958" w14:textId="3875C0C3" w:rsidR="007B60D1" w:rsidRDefault="00CB6DD5">
      <w:pPr>
        <w:pStyle w:val="12"/>
        <w:numPr>
          <w:ilvl w:val="0"/>
          <w:numId w:val="5"/>
        </w:numPr>
        <w:spacing w:after="80"/>
        <w:ind w:left="357" w:right="-108" w:hanging="357"/>
        <w:contextualSpacing w:val="0"/>
        <w:jc w:val="left"/>
        <w:rPr>
          <w:rFonts w:asciiTheme="majorHAnsi" w:eastAsiaTheme="majorEastAsia" w:hAnsiTheme="majorHAnsi" w:cstheme="majorHAnsi"/>
          <w:b/>
          <w:szCs w:val="22"/>
          <w:lang w:eastAsia="zh-TW"/>
        </w:rPr>
      </w:pPr>
      <w:r>
        <w:rPr>
          <w:rFonts w:asciiTheme="majorHAnsi" w:eastAsiaTheme="majorEastAsia" w:hAnsiTheme="majorHAnsi" w:hint="eastAsia"/>
          <w:b/>
          <w:lang w:eastAsia="zh-TW"/>
        </w:rPr>
        <w:t>更新</w:t>
      </w:r>
      <w:r>
        <w:rPr>
          <w:rFonts w:asciiTheme="majorHAnsi" w:eastAsiaTheme="majorEastAsia" w:hAnsiTheme="majorHAnsi"/>
          <w:b/>
          <w:lang w:eastAsia="zh-TW"/>
        </w:rPr>
        <w:t>2022</w:t>
      </w:r>
      <w:proofErr w:type="gramStart"/>
      <w:r>
        <w:rPr>
          <w:rFonts w:asciiTheme="majorHAnsi" w:eastAsiaTheme="majorEastAsia" w:hAnsiTheme="majorHAnsi" w:hint="eastAsia"/>
          <w:b/>
          <w:lang w:eastAsia="zh-TW"/>
        </w:rPr>
        <w:t>財年展望</w:t>
      </w:r>
      <w:proofErr w:type="gramEnd"/>
      <w:r>
        <w:rPr>
          <w:rFonts w:asciiTheme="majorHAnsi" w:eastAsiaTheme="majorEastAsia" w:hAnsiTheme="majorHAnsi"/>
          <w:b/>
          <w:lang w:eastAsia="zh-TW"/>
        </w:rPr>
        <w:t xml:space="preserve"> </w:t>
      </w:r>
      <w:proofErr w:type="gramStart"/>
      <w:r>
        <w:rPr>
          <w:rFonts w:asciiTheme="majorHAnsi" w:eastAsiaTheme="majorEastAsia" w:hAnsiTheme="majorHAnsi" w:hint="eastAsia"/>
          <w:b/>
          <w:lang w:eastAsia="zh-TW"/>
        </w:rPr>
        <w:t>–</w:t>
      </w:r>
      <w:proofErr w:type="gramEnd"/>
      <w:r>
        <w:rPr>
          <w:rFonts w:asciiTheme="majorHAnsi" w:eastAsiaTheme="majorEastAsia" w:hAnsiTheme="majorHAnsi"/>
          <w:b/>
          <w:lang w:eastAsia="zh-TW"/>
        </w:rPr>
        <w:t xml:space="preserve"> </w:t>
      </w:r>
      <w:r>
        <w:rPr>
          <w:rFonts w:asciiTheme="majorHAnsi" w:eastAsiaTheme="majorEastAsia" w:hAnsiTheme="majorHAnsi" w:hint="eastAsia"/>
          <w:b/>
          <w:lang w:eastAsia="zh-TW"/>
        </w:rPr>
        <w:t>預計直接原材料和</w:t>
      </w:r>
      <w:proofErr w:type="gramStart"/>
      <w:r>
        <w:rPr>
          <w:rFonts w:asciiTheme="majorHAnsi" w:eastAsiaTheme="majorEastAsia" w:hAnsiTheme="majorHAnsi" w:hint="eastAsia"/>
          <w:b/>
          <w:lang w:eastAsia="zh-TW"/>
        </w:rPr>
        <w:t>物流</w:t>
      </w:r>
      <w:proofErr w:type="gramEnd"/>
      <w:r>
        <w:rPr>
          <w:rFonts w:asciiTheme="majorHAnsi" w:eastAsiaTheme="majorEastAsia" w:hAnsiTheme="majorHAnsi" w:hint="eastAsia"/>
          <w:b/>
          <w:lang w:eastAsia="zh-TW"/>
        </w:rPr>
        <w:t>成本將出現巨幅上漲，俄羅斯和白俄羅斯業務活動的中止也將產生重大影響</w:t>
      </w:r>
    </w:p>
    <w:p w14:paraId="3CDDE448" w14:textId="4BA801B3" w:rsidR="007B60D1" w:rsidRDefault="00CB6DD5">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rPr>
      </w:pPr>
      <w:r>
        <w:rPr>
          <w:rFonts w:asciiTheme="majorHAnsi" w:eastAsiaTheme="majorEastAsia" w:hAnsiTheme="majorHAnsi" w:hint="eastAsia"/>
          <w:b/>
          <w:lang w:eastAsia="zh-TW"/>
        </w:rPr>
        <w:t>有機銷售額增長：</w:t>
      </w:r>
      <w:r>
        <w:rPr>
          <w:rFonts w:asciiTheme="majorHAnsi" w:eastAsiaTheme="majorEastAsia" w:hAnsiTheme="majorHAnsi"/>
          <w:b/>
          <w:lang w:eastAsia="zh-TW"/>
        </w:rPr>
        <w:t>3.5% - 5.5%</w:t>
      </w:r>
    </w:p>
    <w:p w14:paraId="2942C8F2" w14:textId="1C14E114" w:rsidR="007B60D1" w:rsidRDefault="00CB6DD5">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lang w:eastAsia="zh-TW"/>
        </w:rPr>
      </w:pPr>
      <w:r>
        <w:rPr>
          <w:rFonts w:asciiTheme="majorHAnsi" w:eastAsiaTheme="majorEastAsia" w:hAnsiTheme="majorHAnsi" w:hint="eastAsia"/>
          <w:b/>
          <w:lang w:eastAsia="zh-TW"/>
        </w:rPr>
        <w:t>調整後的銷售回報率（息稅前利潤率）</w:t>
      </w:r>
      <w:r>
        <w:rPr>
          <w:rFonts w:asciiTheme="majorHAnsi" w:eastAsiaTheme="majorEastAsia" w:hAnsiTheme="majorHAnsi"/>
          <w:b/>
          <w:lang w:eastAsia="zh-TW"/>
        </w:rPr>
        <w:t>*</w:t>
      </w:r>
      <w:r>
        <w:rPr>
          <w:rFonts w:asciiTheme="majorHAnsi" w:eastAsiaTheme="majorEastAsia" w:hAnsiTheme="majorHAnsi" w:hint="eastAsia"/>
          <w:b/>
          <w:lang w:eastAsia="zh-TW"/>
        </w:rPr>
        <w:t>：</w:t>
      </w:r>
      <w:r>
        <w:rPr>
          <w:rFonts w:asciiTheme="majorHAnsi" w:eastAsiaTheme="majorEastAsia" w:hAnsiTheme="majorHAnsi"/>
          <w:b/>
          <w:lang w:eastAsia="zh-TW"/>
        </w:rPr>
        <w:t>9.0% - 11.0%</w:t>
      </w:r>
    </w:p>
    <w:p w14:paraId="2D13A094" w14:textId="60AE5ADF" w:rsidR="007B60D1" w:rsidRDefault="00CB6DD5">
      <w:pPr>
        <w:pStyle w:val="12"/>
        <w:numPr>
          <w:ilvl w:val="1"/>
          <w:numId w:val="5"/>
        </w:numPr>
        <w:spacing w:after="80" w:line="266" w:lineRule="auto"/>
        <w:ind w:left="709" w:right="-108" w:hanging="283"/>
        <w:contextualSpacing w:val="0"/>
        <w:jc w:val="left"/>
        <w:rPr>
          <w:rFonts w:asciiTheme="majorHAnsi" w:eastAsiaTheme="majorEastAsia" w:hAnsiTheme="majorHAnsi" w:cstheme="majorHAnsi"/>
          <w:b/>
          <w:szCs w:val="22"/>
          <w:lang w:eastAsia="zh-TW"/>
        </w:rPr>
      </w:pPr>
      <w:r>
        <w:rPr>
          <w:rFonts w:asciiTheme="majorHAnsi" w:eastAsiaTheme="majorEastAsia" w:hAnsiTheme="majorHAnsi" w:hint="eastAsia"/>
          <w:b/>
          <w:lang w:eastAsia="zh-TW"/>
        </w:rPr>
        <w:t>調整後的優先股每股收益（</w:t>
      </w:r>
      <w:r>
        <w:rPr>
          <w:rFonts w:asciiTheme="majorHAnsi" w:eastAsiaTheme="majorEastAsia" w:hAnsiTheme="majorHAnsi"/>
          <w:b/>
          <w:lang w:eastAsia="zh-TW"/>
        </w:rPr>
        <w:t>EPS</w:t>
      </w:r>
      <w:r>
        <w:rPr>
          <w:rFonts w:asciiTheme="majorHAnsi" w:eastAsiaTheme="majorEastAsia" w:hAnsiTheme="majorHAnsi" w:hint="eastAsia"/>
          <w:b/>
          <w:lang w:eastAsia="zh-TW"/>
        </w:rPr>
        <w:t>）</w:t>
      </w:r>
      <w:r>
        <w:rPr>
          <w:rFonts w:asciiTheme="majorHAnsi" w:eastAsiaTheme="majorEastAsia" w:hAnsiTheme="majorHAnsi"/>
          <w:b/>
          <w:lang w:eastAsia="zh-TW"/>
        </w:rPr>
        <w:t xml:space="preserve">* </w:t>
      </w:r>
      <w:r>
        <w:rPr>
          <w:rFonts w:asciiTheme="majorHAnsi" w:eastAsiaTheme="majorEastAsia" w:hAnsiTheme="majorHAnsi" w:hint="eastAsia"/>
          <w:b/>
          <w:lang w:eastAsia="zh-TW"/>
        </w:rPr>
        <w:t>按固定匯率計算：</w:t>
      </w:r>
      <w:r>
        <w:rPr>
          <w:rFonts w:asciiTheme="majorHAnsi" w:eastAsiaTheme="majorEastAsia" w:hAnsiTheme="majorHAnsi"/>
          <w:b/>
          <w:lang w:eastAsia="zh-TW"/>
        </w:rPr>
        <w:t xml:space="preserve"> </w:t>
      </w:r>
      <w:r w:rsidR="00D74A5C">
        <w:rPr>
          <w:rFonts w:asciiTheme="majorHAnsi" w:eastAsiaTheme="majorEastAsia" w:hAnsiTheme="majorHAnsi" w:hint="eastAsia"/>
          <w:b/>
          <w:lang w:eastAsia="zh-TW"/>
        </w:rPr>
        <w:br/>
      </w:r>
      <w:r>
        <w:rPr>
          <w:rFonts w:asciiTheme="majorHAnsi" w:eastAsiaTheme="majorEastAsia" w:hAnsiTheme="majorHAnsi" w:hint="eastAsia"/>
          <w:b/>
          <w:lang w:eastAsia="zh-TW"/>
        </w:rPr>
        <w:t>下降區間為</w:t>
      </w:r>
      <w:r>
        <w:rPr>
          <w:rFonts w:asciiTheme="majorHAnsi" w:eastAsiaTheme="majorEastAsia" w:hAnsiTheme="majorHAnsi"/>
          <w:b/>
          <w:lang w:eastAsia="zh-TW"/>
        </w:rPr>
        <w:t>-35%</w:t>
      </w:r>
      <w:r>
        <w:rPr>
          <w:rFonts w:asciiTheme="majorHAnsi" w:eastAsiaTheme="majorEastAsia" w:hAnsiTheme="majorHAnsi" w:hint="eastAsia"/>
          <w:b/>
          <w:lang w:eastAsia="zh-TW"/>
        </w:rPr>
        <w:t>至</w:t>
      </w:r>
      <w:r>
        <w:rPr>
          <w:rFonts w:asciiTheme="majorHAnsi" w:eastAsiaTheme="majorEastAsia" w:hAnsiTheme="majorHAnsi"/>
          <w:b/>
          <w:lang w:eastAsia="zh-TW"/>
        </w:rPr>
        <w:t>-15%</w:t>
      </w:r>
      <w:r>
        <w:rPr>
          <w:rFonts w:asciiTheme="majorHAnsi" w:eastAsiaTheme="majorEastAsia" w:hAnsiTheme="majorHAnsi" w:hint="eastAsia"/>
          <w:b/>
          <w:lang w:eastAsia="zh-TW"/>
        </w:rPr>
        <w:t>之間</w:t>
      </w:r>
    </w:p>
    <w:bookmarkEnd w:id="0"/>
    <w:p w14:paraId="67AD594E" w14:textId="77777777" w:rsidR="007B60D1" w:rsidRDefault="007B60D1">
      <w:pPr>
        <w:spacing w:after="80"/>
        <w:ind w:right="-108"/>
        <w:jc w:val="left"/>
        <w:rPr>
          <w:rFonts w:asciiTheme="majorHAnsi" w:hAnsiTheme="majorHAnsi" w:cstheme="majorHAnsi"/>
          <w:b/>
          <w:szCs w:val="22"/>
          <w:lang w:eastAsia="zh-TW"/>
        </w:rPr>
      </w:pPr>
    </w:p>
    <w:p w14:paraId="15453220" w14:textId="12E27352" w:rsidR="00B04C53" w:rsidRDefault="00CB6DD5" w:rsidP="00D3397A">
      <w:pPr>
        <w:spacing w:afterLines="240" w:after="576"/>
        <w:contextualSpacing/>
        <w:rPr>
          <w:rFonts w:asciiTheme="majorHAnsi" w:eastAsiaTheme="majorEastAsia" w:hAnsiTheme="majorHAnsi" w:cstheme="majorHAnsi"/>
          <w:lang w:eastAsia="zh-TW"/>
        </w:rPr>
      </w:pPr>
      <w:r>
        <w:rPr>
          <w:rFonts w:asciiTheme="majorHAnsi" w:eastAsiaTheme="majorEastAsia" w:hAnsiTheme="majorHAnsi" w:hint="eastAsia"/>
          <w:b/>
          <w:lang w:eastAsia="zh-TW"/>
        </w:rPr>
        <w:t>杜塞爾多夫</w:t>
      </w:r>
      <w:r>
        <w:rPr>
          <w:rFonts w:asciiTheme="majorHAnsi" w:eastAsiaTheme="majorEastAsia" w:hAnsiTheme="majorHAnsi"/>
          <w:b/>
          <w:lang w:eastAsia="zh-TW"/>
        </w:rPr>
        <w:t xml:space="preserve"> </w:t>
      </w:r>
      <w:proofErr w:type="gramStart"/>
      <w:r>
        <w:rPr>
          <w:rFonts w:asciiTheme="majorHAnsi" w:eastAsiaTheme="majorEastAsia" w:hAnsiTheme="majorHAnsi" w:hint="eastAsia"/>
          <w:b/>
          <w:lang w:eastAsia="zh-TW"/>
        </w:rPr>
        <w:t>–</w:t>
      </w:r>
      <w:proofErr w:type="gramEnd"/>
      <w:r>
        <w:rPr>
          <w:rFonts w:asciiTheme="majorHAnsi" w:eastAsiaTheme="majorEastAsia" w:hAnsiTheme="majorHAnsi"/>
          <w:b/>
          <w:lang w:eastAsia="zh-TW"/>
        </w:rPr>
        <w:t xml:space="preserve"> </w:t>
      </w:r>
      <w:r>
        <w:rPr>
          <w:rFonts w:asciiTheme="majorHAnsi" w:eastAsiaTheme="majorEastAsia" w:hAnsiTheme="majorHAnsi" w:hint="eastAsia"/>
          <w:lang w:eastAsia="zh-TW"/>
        </w:rPr>
        <w:t>根據初步資料，</w:t>
      </w:r>
      <w:proofErr w:type="gramStart"/>
      <w:r>
        <w:rPr>
          <w:rFonts w:asciiTheme="majorHAnsi" w:eastAsiaTheme="majorEastAsia" w:hAnsiTheme="majorHAnsi" w:hint="eastAsia"/>
          <w:lang w:eastAsia="zh-TW"/>
        </w:rPr>
        <w:t>漢高第一</w:t>
      </w:r>
      <w:proofErr w:type="gramEnd"/>
      <w:r>
        <w:rPr>
          <w:rFonts w:asciiTheme="majorHAnsi" w:eastAsiaTheme="majorEastAsia" w:hAnsiTheme="majorHAnsi" w:hint="eastAsia"/>
          <w:lang w:eastAsia="zh-TW"/>
        </w:rPr>
        <w:t>季度的總銷售額約為</w:t>
      </w:r>
      <w:r>
        <w:rPr>
          <w:rFonts w:asciiTheme="majorHAnsi" w:eastAsiaTheme="majorEastAsia" w:hAnsiTheme="majorHAnsi"/>
          <w:lang w:eastAsia="zh-TW"/>
        </w:rPr>
        <w:t>53</w:t>
      </w:r>
      <w:r>
        <w:rPr>
          <w:rFonts w:asciiTheme="majorHAnsi" w:eastAsiaTheme="majorEastAsia" w:hAnsiTheme="majorHAnsi" w:hint="eastAsia"/>
          <w:lang w:eastAsia="zh-TW"/>
        </w:rPr>
        <w:t>億歐元。與之相對應的，有機銷售額顯著增長</w:t>
      </w:r>
      <w:r>
        <w:rPr>
          <w:rFonts w:asciiTheme="majorHAnsi" w:eastAsiaTheme="majorEastAsia" w:hAnsiTheme="majorHAnsi"/>
          <w:lang w:eastAsia="zh-TW"/>
        </w:rPr>
        <w:t>7.1%</w:t>
      </w:r>
      <w:r>
        <w:rPr>
          <w:rFonts w:asciiTheme="majorHAnsi" w:eastAsiaTheme="majorEastAsia" w:hAnsiTheme="majorHAnsi" w:hint="eastAsia"/>
          <w:lang w:eastAsia="zh-TW"/>
        </w:rPr>
        <w:t>，而市場平均預期為</w:t>
      </w:r>
      <w:r>
        <w:rPr>
          <w:rFonts w:asciiTheme="majorHAnsi" w:eastAsiaTheme="majorEastAsia" w:hAnsiTheme="majorHAnsi"/>
          <w:lang w:eastAsia="zh-TW"/>
        </w:rPr>
        <w:t>4.3%</w:t>
      </w:r>
      <w:r>
        <w:rPr>
          <w:rFonts w:asciiTheme="majorHAnsi" w:eastAsiaTheme="majorEastAsia" w:hAnsiTheme="majorHAnsi" w:hint="eastAsia"/>
          <w:lang w:eastAsia="zh-TW"/>
        </w:rPr>
        <w:t>。這一增長主要是由非常強勁的價格上漲以及略有下降的銷量所驅動。</w:t>
      </w:r>
    </w:p>
    <w:p w14:paraId="173C51F9" w14:textId="77777777" w:rsidR="00D3397A" w:rsidRPr="001B56C2" w:rsidRDefault="00D3397A" w:rsidP="00D3397A">
      <w:pPr>
        <w:spacing w:afterLines="240" w:after="576"/>
        <w:contextualSpacing/>
        <w:rPr>
          <w:rFonts w:asciiTheme="majorHAnsi" w:eastAsiaTheme="majorEastAsia" w:hAnsiTheme="majorHAnsi" w:cstheme="majorHAnsi"/>
          <w:lang w:eastAsia="zh-TW"/>
        </w:rPr>
      </w:pPr>
    </w:p>
    <w:p w14:paraId="6AB53A82" w14:textId="604C654F" w:rsidR="007B60D1" w:rsidRDefault="00CB6DD5" w:rsidP="00D3397A">
      <w:pPr>
        <w:spacing w:afterLines="240" w:after="576"/>
        <w:contextualSpacing/>
        <w:rPr>
          <w:rFonts w:asciiTheme="majorHAnsi" w:eastAsiaTheme="majorEastAsia" w:hAnsiTheme="majorHAnsi" w:cstheme="majorHAnsi"/>
          <w:lang w:eastAsia="zh-TW"/>
        </w:rPr>
      </w:pPr>
      <w:r>
        <w:rPr>
          <w:rFonts w:asciiTheme="majorHAnsi" w:eastAsiaTheme="majorEastAsia" w:hAnsiTheme="majorHAnsi" w:hint="eastAsia"/>
          <w:lang w:eastAsia="zh-TW"/>
        </w:rPr>
        <w:t>第一季度銷售額的增長</w:t>
      </w:r>
      <w:proofErr w:type="gramStart"/>
      <w:r>
        <w:rPr>
          <w:rFonts w:asciiTheme="majorHAnsi" w:eastAsiaTheme="majorEastAsia" w:hAnsiTheme="majorHAnsi" w:hint="eastAsia"/>
          <w:lang w:eastAsia="zh-TW"/>
        </w:rPr>
        <w:t>主要由</w:t>
      </w:r>
      <w:r>
        <w:rPr>
          <w:rFonts w:asciiTheme="majorHAnsi" w:eastAsiaTheme="majorEastAsia" w:hAnsiTheme="majorHAnsi" w:hint="eastAsia"/>
          <w:b/>
          <w:bCs/>
          <w:lang w:eastAsia="zh-TW"/>
        </w:rPr>
        <w:t>粘合劑</w:t>
      </w:r>
      <w:proofErr w:type="gramEnd"/>
      <w:r>
        <w:rPr>
          <w:rFonts w:asciiTheme="majorHAnsi" w:eastAsiaTheme="majorEastAsia" w:hAnsiTheme="majorHAnsi" w:hint="eastAsia"/>
          <w:b/>
          <w:bCs/>
          <w:lang w:eastAsia="zh-TW"/>
        </w:rPr>
        <w:t>技術業務部</w:t>
      </w:r>
      <w:r>
        <w:rPr>
          <w:rFonts w:asciiTheme="majorHAnsi" w:eastAsiaTheme="majorEastAsia" w:hAnsiTheme="majorHAnsi" w:hint="eastAsia"/>
          <w:lang w:eastAsia="zh-TW"/>
        </w:rPr>
        <w:t>推動，根據初步資料，該業務部在第一季度實現了</w:t>
      </w:r>
      <w:r>
        <w:rPr>
          <w:rFonts w:asciiTheme="majorHAnsi" w:eastAsiaTheme="majorEastAsia" w:hAnsiTheme="majorHAnsi"/>
          <w:lang w:eastAsia="zh-TW"/>
        </w:rPr>
        <w:t>10.7%</w:t>
      </w:r>
      <w:r>
        <w:rPr>
          <w:rFonts w:asciiTheme="majorHAnsi" w:eastAsiaTheme="majorEastAsia" w:hAnsiTheme="majorHAnsi" w:hint="eastAsia"/>
          <w:lang w:eastAsia="zh-TW"/>
        </w:rPr>
        <w:t>的兩位數有機銷售額增長。所有業務領域均實現了增長。</w:t>
      </w:r>
    </w:p>
    <w:p w14:paraId="212ED34F" w14:textId="0302C5C6" w:rsidR="007B60D1" w:rsidRDefault="007B60D1" w:rsidP="00D3397A">
      <w:pPr>
        <w:spacing w:afterLines="240" w:after="576"/>
        <w:contextualSpacing/>
        <w:rPr>
          <w:rFonts w:asciiTheme="majorHAnsi" w:eastAsiaTheme="majorEastAsia" w:hAnsiTheme="majorHAnsi" w:cstheme="majorHAnsi"/>
          <w:szCs w:val="22"/>
          <w:lang w:eastAsia="zh-TW"/>
        </w:rPr>
      </w:pPr>
    </w:p>
    <w:p w14:paraId="0F0E9558" w14:textId="5065DC5C" w:rsidR="007B60D1" w:rsidRDefault="00CB6DD5" w:rsidP="00D3397A">
      <w:pPr>
        <w:spacing w:afterLines="240" w:after="576"/>
        <w:contextualSpacing/>
        <w:rPr>
          <w:rFonts w:asciiTheme="majorHAnsi" w:eastAsiaTheme="majorEastAsia" w:hAnsiTheme="majorHAnsi"/>
          <w:lang w:eastAsia="zh-TW"/>
        </w:rPr>
      </w:pPr>
      <w:r>
        <w:rPr>
          <w:rFonts w:asciiTheme="majorHAnsi" w:eastAsiaTheme="majorEastAsia" w:hAnsiTheme="majorHAnsi" w:hint="eastAsia"/>
          <w:lang w:eastAsia="zh-TW"/>
        </w:rPr>
        <w:t>根據初步資料，</w:t>
      </w:r>
      <w:r>
        <w:rPr>
          <w:rFonts w:asciiTheme="majorHAnsi" w:eastAsiaTheme="majorEastAsia" w:hAnsiTheme="majorHAnsi" w:hint="eastAsia"/>
          <w:b/>
          <w:bCs/>
          <w:lang w:eastAsia="zh-TW"/>
        </w:rPr>
        <w:t>化妝品</w:t>
      </w:r>
      <w:r>
        <w:rPr>
          <w:rFonts w:asciiTheme="majorHAnsi" w:eastAsiaTheme="majorEastAsia" w:hAnsiTheme="majorHAnsi"/>
          <w:b/>
          <w:bCs/>
          <w:lang w:eastAsia="zh-TW"/>
        </w:rPr>
        <w:t>/</w:t>
      </w:r>
      <w:r>
        <w:rPr>
          <w:rFonts w:asciiTheme="majorHAnsi" w:eastAsiaTheme="majorEastAsia" w:hAnsiTheme="majorHAnsi" w:hint="eastAsia"/>
          <w:b/>
          <w:bCs/>
          <w:lang w:eastAsia="zh-TW"/>
        </w:rPr>
        <w:t>美容用品業務部</w:t>
      </w:r>
      <w:r>
        <w:rPr>
          <w:rFonts w:asciiTheme="majorHAnsi" w:eastAsiaTheme="majorEastAsia" w:hAnsiTheme="majorHAnsi" w:hint="eastAsia"/>
          <w:lang w:eastAsia="zh-TW"/>
        </w:rPr>
        <w:t>的有機銷售額略微下降</w:t>
      </w:r>
      <w:r>
        <w:rPr>
          <w:rFonts w:asciiTheme="majorHAnsi" w:eastAsiaTheme="majorEastAsia" w:hAnsiTheme="majorHAnsi"/>
          <w:lang w:eastAsia="zh-TW"/>
        </w:rPr>
        <w:t>1.2%</w:t>
      </w:r>
      <w:r>
        <w:rPr>
          <w:rFonts w:asciiTheme="majorHAnsi" w:eastAsiaTheme="majorEastAsia" w:hAnsiTheme="majorHAnsi" w:hint="eastAsia"/>
          <w:lang w:eastAsia="zh-TW"/>
        </w:rPr>
        <w:t>。美髮沙龍業務實現了兩位數的有機銷售額增長。正如預期的那樣，消費品業務的增長低於去年水準，主要是由於實施了此前宣佈的</w:t>
      </w:r>
      <w:r>
        <w:rPr>
          <w:rFonts w:asciiTheme="majorHAnsi" w:eastAsiaTheme="majorEastAsia" w:hAnsiTheme="majorHAnsi"/>
          <w:lang w:eastAsia="zh-TW"/>
        </w:rPr>
        <w:t>2022</w:t>
      </w:r>
      <w:r>
        <w:rPr>
          <w:rFonts w:asciiTheme="majorHAnsi" w:eastAsiaTheme="majorEastAsia" w:hAnsiTheme="majorHAnsi" w:hint="eastAsia"/>
          <w:lang w:eastAsia="zh-TW"/>
        </w:rPr>
        <w:t>年產品組合管理措施所致。</w:t>
      </w:r>
    </w:p>
    <w:p w14:paraId="619A86F7" w14:textId="0F6F9D07" w:rsidR="007B60D1" w:rsidRDefault="00CB6DD5" w:rsidP="00D3397A">
      <w:pPr>
        <w:spacing w:afterLines="240" w:after="576"/>
        <w:contextualSpacing/>
        <w:rPr>
          <w:lang w:eastAsia="zh-TW"/>
        </w:rPr>
      </w:pPr>
      <w:r>
        <w:rPr>
          <w:rFonts w:hint="eastAsia"/>
          <w:lang w:eastAsia="zh-TW"/>
        </w:rPr>
        <w:lastRenderedPageBreak/>
        <w:t>根據初步資料，在洗滌劑業務顯著增長的推動下，</w:t>
      </w:r>
      <w:r>
        <w:rPr>
          <w:rFonts w:hint="eastAsia"/>
          <w:b/>
          <w:bCs/>
          <w:lang w:eastAsia="zh-TW"/>
        </w:rPr>
        <w:t>洗滌劑及家用護理業務部</w:t>
      </w:r>
      <w:r>
        <w:rPr>
          <w:rFonts w:hint="eastAsia"/>
          <w:lang w:eastAsia="zh-TW"/>
        </w:rPr>
        <w:t>實現了</w:t>
      </w:r>
      <w:r>
        <w:rPr>
          <w:lang w:eastAsia="zh-TW"/>
        </w:rPr>
        <w:t>4.9%</w:t>
      </w:r>
      <w:r>
        <w:rPr>
          <w:rFonts w:hint="eastAsia"/>
          <w:lang w:eastAsia="zh-TW"/>
        </w:rPr>
        <w:t>的強勁有機銷售額增長。相比之下，家用護理業務在第一季度的有機</w:t>
      </w:r>
      <w:proofErr w:type="gramStart"/>
      <w:r>
        <w:rPr>
          <w:rFonts w:hint="eastAsia"/>
          <w:lang w:eastAsia="zh-TW"/>
        </w:rPr>
        <w:t>銷售額略有</w:t>
      </w:r>
      <w:proofErr w:type="gramEnd"/>
      <w:r>
        <w:rPr>
          <w:rFonts w:hint="eastAsia"/>
          <w:lang w:eastAsia="zh-TW"/>
        </w:rPr>
        <w:t>下滑。</w:t>
      </w:r>
    </w:p>
    <w:p w14:paraId="14BCCFBB" w14:textId="77777777" w:rsidR="001B56C2" w:rsidRPr="001B56C2" w:rsidRDefault="001B56C2" w:rsidP="00D3397A">
      <w:pPr>
        <w:spacing w:afterLines="240" w:after="576"/>
        <w:contextualSpacing/>
        <w:rPr>
          <w:lang w:eastAsia="zh-TW"/>
        </w:rPr>
      </w:pPr>
    </w:p>
    <w:p w14:paraId="00388E6C" w14:textId="316E4B51" w:rsidR="007B60D1" w:rsidRDefault="00CB6DD5" w:rsidP="00D3397A">
      <w:pPr>
        <w:spacing w:afterLines="240" w:after="576"/>
        <w:contextualSpacing/>
        <w:rPr>
          <w:rFonts w:asciiTheme="majorHAnsi" w:eastAsiaTheme="majorEastAsia" w:hAnsiTheme="majorHAnsi" w:cstheme="majorHAnsi"/>
          <w:lang w:eastAsia="zh-TW"/>
        </w:rPr>
      </w:pPr>
      <w:proofErr w:type="gramStart"/>
      <w:r>
        <w:rPr>
          <w:rFonts w:asciiTheme="majorHAnsi" w:eastAsiaTheme="majorEastAsia" w:hAnsiTheme="majorHAnsi" w:hint="eastAsia"/>
          <w:lang w:eastAsia="zh-TW"/>
        </w:rPr>
        <w:t>漢高首席</w:t>
      </w:r>
      <w:proofErr w:type="gramEnd"/>
      <w:r>
        <w:rPr>
          <w:rFonts w:asciiTheme="majorHAnsi" w:eastAsiaTheme="majorEastAsia" w:hAnsiTheme="majorHAnsi" w:hint="eastAsia"/>
          <w:lang w:eastAsia="zh-TW"/>
        </w:rPr>
        <w:t>執行官卡斯</w:t>
      </w:r>
      <w:proofErr w:type="gramStart"/>
      <w:r>
        <w:rPr>
          <w:rFonts w:asciiTheme="majorHAnsi" w:eastAsiaTheme="majorEastAsia" w:hAnsiTheme="majorHAnsi" w:hint="eastAsia"/>
          <w:lang w:eastAsia="zh-TW"/>
        </w:rPr>
        <w:t>滕·</w:t>
      </w:r>
      <w:proofErr w:type="gramEnd"/>
      <w:r>
        <w:rPr>
          <w:rFonts w:asciiTheme="majorHAnsi" w:eastAsiaTheme="majorEastAsia" w:hAnsiTheme="majorHAnsi" w:hint="eastAsia"/>
          <w:lang w:eastAsia="zh-TW"/>
        </w:rPr>
        <w:t>諾貝爾（</w:t>
      </w:r>
      <w:r>
        <w:rPr>
          <w:rFonts w:asciiTheme="majorHAnsi" w:eastAsiaTheme="majorEastAsia" w:hAnsiTheme="majorHAnsi"/>
          <w:lang w:eastAsia="zh-TW"/>
        </w:rPr>
        <w:t xml:space="preserve">Carsten </w:t>
      </w:r>
      <w:proofErr w:type="spellStart"/>
      <w:r>
        <w:rPr>
          <w:rFonts w:asciiTheme="majorHAnsi" w:eastAsiaTheme="majorEastAsia" w:hAnsiTheme="majorHAnsi"/>
          <w:lang w:eastAsia="zh-TW"/>
        </w:rPr>
        <w:t>Knobel</w:t>
      </w:r>
      <w:proofErr w:type="spellEnd"/>
      <w:r>
        <w:rPr>
          <w:rFonts w:asciiTheme="majorHAnsi" w:eastAsiaTheme="majorEastAsia" w:hAnsiTheme="majorHAnsi" w:hint="eastAsia"/>
          <w:lang w:eastAsia="zh-TW"/>
        </w:rPr>
        <w:t>）表示：“儘管漢高第一季度的整體銷售業績非常好，但整體經濟環境自年初以來持續急劇惡化。全球新冠</w:t>
      </w:r>
      <w:proofErr w:type="gramStart"/>
      <w:r>
        <w:rPr>
          <w:rFonts w:asciiTheme="majorHAnsi" w:eastAsiaTheme="majorEastAsia" w:hAnsiTheme="majorHAnsi" w:hint="eastAsia"/>
          <w:lang w:eastAsia="zh-TW"/>
        </w:rPr>
        <w:t>疫情的</w:t>
      </w:r>
      <w:proofErr w:type="gramEnd"/>
      <w:r>
        <w:rPr>
          <w:rFonts w:asciiTheme="majorHAnsi" w:eastAsiaTheme="majorEastAsia" w:hAnsiTheme="majorHAnsi" w:hint="eastAsia"/>
          <w:lang w:eastAsia="zh-TW"/>
        </w:rPr>
        <w:t>影響導致原材料市場和全球供應鏈異常緊張，而烏克蘭戰爭又明顯加劇了這種局面。因此，原材料和</w:t>
      </w:r>
      <w:proofErr w:type="gramStart"/>
      <w:r>
        <w:rPr>
          <w:rFonts w:asciiTheme="majorHAnsi" w:eastAsiaTheme="majorEastAsia" w:hAnsiTheme="majorHAnsi" w:hint="eastAsia"/>
          <w:lang w:eastAsia="zh-TW"/>
        </w:rPr>
        <w:t>物流</w:t>
      </w:r>
      <w:proofErr w:type="gramEnd"/>
      <w:r>
        <w:rPr>
          <w:rFonts w:asciiTheme="majorHAnsi" w:eastAsiaTheme="majorEastAsia" w:hAnsiTheme="majorHAnsi" w:hint="eastAsia"/>
          <w:lang w:eastAsia="zh-TW"/>
        </w:rPr>
        <w:t>的價格再次大幅上漲。</w:t>
      </w:r>
      <w:proofErr w:type="gramStart"/>
      <w:r>
        <w:rPr>
          <w:rFonts w:asciiTheme="majorHAnsi" w:eastAsiaTheme="majorEastAsia" w:hAnsiTheme="majorHAnsi" w:hint="eastAsia"/>
          <w:lang w:eastAsia="zh-TW"/>
        </w:rPr>
        <w:t>此外，</w:t>
      </w:r>
      <w:proofErr w:type="gramEnd"/>
      <w:r>
        <w:rPr>
          <w:rFonts w:asciiTheme="majorHAnsi" w:eastAsiaTheme="majorEastAsia" w:hAnsiTheme="majorHAnsi" w:hint="eastAsia"/>
          <w:lang w:eastAsia="zh-TW"/>
        </w:rPr>
        <w:t>在烏克蘭戰爭局勢發展的背景下，我們於</w:t>
      </w:r>
      <w:r>
        <w:rPr>
          <w:rFonts w:asciiTheme="majorHAnsi" w:eastAsiaTheme="majorEastAsia" w:hAnsiTheme="majorHAnsi"/>
          <w:lang w:eastAsia="zh-TW"/>
        </w:rPr>
        <w:t>4</w:t>
      </w:r>
      <w:r>
        <w:rPr>
          <w:rFonts w:asciiTheme="majorHAnsi" w:eastAsiaTheme="majorEastAsia" w:hAnsiTheme="majorHAnsi" w:hint="eastAsia"/>
          <w:lang w:eastAsia="zh-TW"/>
        </w:rPr>
        <w:t>月中旬決定中止在俄羅斯的業務活動。</w:t>
      </w:r>
      <w:proofErr w:type="gramStart"/>
      <w:r>
        <w:rPr>
          <w:rFonts w:asciiTheme="majorHAnsi" w:eastAsiaTheme="majorEastAsia" w:hAnsiTheme="majorHAnsi" w:hint="eastAsia"/>
          <w:lang w:eastAsia="zh-TW"/>
        </w:rPr>
        <w:t>此外，</w:t>
      </w:r>
      <w:proofErr w:type="gramEnd"/>
      <w:r>
        <w:rPr>
          <w:rFonts w:asciiTheme="majorHAnsi" w:eastAsiaTheme="majorEastAsia" w:hAnsiTheme="majorHAnsi" w:hint="eastAsia"/>
          <w:lang w:eastAsia="zh-TW"/>
        </w:rPr>
        <w:t>我們也已決定中止在白俄羅斯的業務活動。這將影響超過</w:t>
      </w:r>
      <w:r>
        <w:rPr>
          <w:rFonts w:asciiTheme="majorHAnsi" w:eastAsiaTheme="majorEastAsia" w:hAnsiTheme="majorHAnsi"/>
          <w:lang w:eastAsia="zh-TW"/>
        </w:rPr>
        <w:t>2,500</w:t>
      </w:r>
      <w:r>
        <w:rPr>
          <w:rFonts w:asciiTheme="majorHAnsi" w:eastAsiaTheme="majorEastAsia" w:hAnsiTheme="majorHAnsi" w:hint="eastAsia"/>
          <w:lang w:eastAsia="zh-TW"/>
        </w:rPr>
        <w:t>名員工，並對年度總銷售額造成了約</w:t>
      </w:r>
      <w:r>
        <w:rPr>
          <w:rFonts w:asciiTheme="majorHAnsi" w:eastAsiaTheme="majorEastAsia" w:hAnsiTheme="majorHAnsi"/>
          <w:lang w:eastAsia="zh-TW"/>
        </w:rPr>
        <w:t>10</w:t>
      </w:r>
      <w:r>
        <w:rPr>
          <w:rFonts w:asciiTheme="majorHAnsi" w:eastAsiaTheme="majorEastAsia" w:hAnsiTheme="majorHAnsi" w:hint="eastAsia"/>
          <w:lang w:eastAsia="zh-TW"/>
        </w:rPr>
        <w:t>億歐元的影響。”</w:t>
      </w:r>
    </w:p>
    <w:p w14:paraId="1BA6A45B" w14:textId="77777777" w:rsidR="007B60D1" w:rsidRDefault="007B60D1" w:rsidP="00D3397A">
      <w:pPr>
        <w:spacing w:afterLines="240" w:after="576"/>
        <w:contextualSpacing/>
        <w:rPr>
          <w:rFonts w:asciiTheme="majorHAnsi" w:hAnsiTheme="majorHAnsi" w:cstheme="majorHAnsi"/>
          <w:lang w:eastAsia="zh-TW"/>
        </w:rPr>
      </w:pPr>
    </w:p>
    <w:p w14:paraId="264C1D55" w14:textId="7376DC29" w:rsidR="001B56C2" w:rsidRDefault="00CB6DD5" w:rsidP="00D3397A">
      <w:pPr>
        <w:spacing w:afterLines="240" w:after="576"/>
        <w:contextualSpacing/>
        <w:rPr>
          <w:rFonts w:asciiTheme="majorHAnsi" w:eastAsiaTheme="majorEastAsia" w:hAnsiTheme="majorHAnsi" w:cstheme="majorHAnsi"/>
          <w:lang w:eastAsia="zh-TW"/>
        </w:rPr>
      </w:pPr>
      <w:r>
        <w:rPr>
          <w:rFonts w:asciiTheme="majorHAnsi" w:eastAsiaTheme="majorEastAsia" w:hAnsiTheme="majorHAnsi" w:hint="eastAsia"/>
          <w:lang w:eastAsia="zh-TW"/>
        </w:rPr>
        <w:t>“由於這些事態的發展，我們現在預計在今年剩餘的時間裡，我們的收益將面臨比年初更大的壓力。因此，我們相應地更新了我們全年的展望。”卡斯</w:t>
      </w:r>
      <w:proofErr w:type="gramStart"/>
      <w:r>
        <w:rPr>
          <w:rFonts w:asciiTheme="majorHAnsi" w:eastAsiaTheme="majorEastAsia" w:hAnsiTheme="majorHAnsi" w:hint="eastAsia"/>
          <w:lang w:eastAsia="zh-TW"/>
        </w:rPr>
        <w:t>滕·</w:t>
      </w:r>
      <w:proofErr w:type="gramEnd"/>
      <w:r>
        <w:rPr>
          <w:rFonts w:asciiTheme="majorHAnsi" w:eastAsiaTheme="majorEastAsia" w:hAnsiTheme="majorHAnsi" w:hint="eastAsia"/>
          <w:lang w:eastAsia="zh-TW"/>
        </w:rPr>
        <w:t>諾貝爾進一步解釋到。就</w:t>
      </w:r>
      <w:r>
        <w:rPr>
          <w:rFonts w:asciiTheme="majorHAnsi" w:eastAsiaTheme="majorEastAsia" w:hAnsiTheme="majorHAnsi" w:hint="eastAsia"/>
          <w:b/>
          <w:bCs/>
          <w:lang w:eastAsia="zh-TW"/>
        </w:rPr>
        <w:t>原材料價格</w:t>
      </w:r>
      <w:r>
        <w:rPr>
          <w:rFonts w:asciiTheme="majorHAnsi" w:eastAsiaTheme="majorEastAsia" w:hAnsiTheme="majorHAnsi" w:hint="eastAsia"/>
          <w:lang w:eastAsia="zh-TW"/>
        </w:rPr>
        <w:t>而言，</w:t>
      </w:r>
      <w:proofErr w:type="gramStart"/>
      <w:r>
        <w:rPr>
          <w:rFonts w:asciiTheme="majorHAnsi" w:eastAsiaTheme="majorEastAsia" w:hAnsiTheme="majorHAnsi" w:hint="eastAsia"/>
          <w:lang w:eastAsia="zh-TW"/>
        </w:rPr>
        <w:t>漢高現在</w:t>
      </w:r>
      <w:proofErr w:type="gramEnd"/>
      <w:r>
        <w:rPr>
          <w:rFonts w:asciiTheme="majorHAnsi" w:eastAsiaTheme="majorEastAsia" w:hAnsiTheme="majorHAnsi" w:hint="eastAsia"/>
          <w:lang w:eastAsia="zh-TW"/>
        </w:rPr>
        <w:t>預計與</w:t>
      </w:r>
      <w:r>
        <w:rPr>
          <w:rFonts w:asciiTheme="majorHAnsi" w:eastAsiaTheme="majorEastAsia" w:hAnsiTheme="majorHAnsi"/>
          <w:lang w:eastAsia="zh-TW"/>
        </w:rPr>
        <w:t>2021</w:t>
      </w:r>
      <w:r>
        <w:rPr>
          <w:rFonts w:asciiTheme="majorHAnsi" w:eastAsiaTheme="majorEastAsia" w:hAnsiTheme="majorHAnsi" w:hint="eastAsia"/>
          <w:lang w:eastAsia="zh-TW"/>
        </w:rPr>
        <w:t>年的平均水準相比，全年將上漲</w:t>
      </w:r>
      <w:r>
        <w:rPr>
          <w:rFonts w:asciiTheme="majorHAnsi" w:eastAsiaTheme="majorEastAsia" w:hAnsiTheme="majorHAnsi"/>
          <w:lang w:eastAsia="zh-TW"/>
        </w:rPr>
        <w:t>25%</w:t>
      </w:r>
      <w:r>
        <w:rPr>
          <w:rFonts w:asciiTheme="majorHAnsi" w:eastAsiaTheme="majorEastAsia" w:hAnsiTheme="majorHAnsi" w:hint="eastAsia"/>
          <w:lang w:eastAsia="zh-TW"/>
        </w:rPr>
        <w:t>左右。此前預計為略高於</w:t>
      </w:r>
      <w:r>
        <w:rPr>
          <w:rFonts w:asciiTheme="majorHAnsi" w:eastAsiaTheme="majorEastAsia" w:hAnsiTheme="majorHAnsi"/>
          <w:lang w:eastAsia="zh-TW"/>
        </w:rPr>
        <w:t>10%</w:t>
      </w:r>
      <w:r>
        <w:rPr>
          <w:rFonts w:asciiTheme="majorHAnsi" w:eastAsiaTheme="majorEastAsia" w:hAnsiTheme="majorHAnsi" w:hint="eastAsia"/>
          <w:lang w:eastAsia="zh-TW"/>
        </w:rPr>
        <w:t>的上漲。“這將造成全年約</w:t>
      </w:r>
      <w:r>
        <w:rPr>
          <w:rFonts w:asciiTheme="majorHAnsi" w:eastAsiaTheme="majorEastAsia" w:hAnsiTheme="majorHAnsi"/>
          <w:lang w:eastAsia="zh-TW"/>
        </w:rPr>
        <w:t>20</w:t>
      </w:r>
      <w:r>
        <w:rPr>
          <w:rFonts w:asciiTheme="majorHAnsi" w:eastAsiaTheme="majorEastAsia" w:hAnsiTheme="majorHAnsi" w:hint="eastAsia"/>
          <w:lang w:eastAsia="zh-TW"/>
        </w:rPr>
        <w:t>億歐元的額外成本。是我們在一月底估計的兩倍。我們未曾看到過這種幅度的上漲。我們正通過有針對性的對策應對這些事態的發展，尤其是進一步提高價格和效率。”</w:t>
      </w:r>
    </w:p>
    <w:p w14:paraId="5DBDF65A" w14:textId="77777777" w:rsidR="001B56C2" w:rsidRPr="001B56C2" w:rsidRDefault="001B56C2" w:rsidP="00D3397A">
      <w:pPr>
        <w:spacing w:afterLines="240" w:after="576"/>
        <w:contextualSpacing/>
        <w:rPr>
          <w:rFonts w:asciiTheme="majorHAnsi" w:eastAsiaTheme="majorEastAsia" w:hAnsiTheme="majorHAnsi" w:cstheme="majorHAnsi"/>
          <w:lang w:eastAsia="zh-TW"/>
        </w:rPr>
      </w:pPr>
    </w:p>
    <w:p w14:paraId="36A87CCD" w14:textId="13905597" w:rsidR="007B60D1" w:rsidRDefault="00CB6DD5" w:rsidP="00D3397A">
      <w:pPr>
        <w:spacing w:afterLines="240" w:after="576"/>
        <w:contextualSpacing/>
        <w:rPr>
          <w:rFonts w:asciiTheme="majorHAnsi" w:eastAsiaTheme="majorEastAsia" w:hAnsiTheme="majorHAnsi" w:cstheme="majorHAnsi"/>
          <w:lang w:eastAsia="zh-TW"/>
        </w:rPr>
      </w:pPr>
      <w:proofErr w:type="gramStart"/>
      <w:r>
        <w:rPr>
          <w:rFonts w:asciiTheme="majorHAnsi" w:eastAsiaTheme="majorEastAsia" w:hAnsiTheme="majorHAnsi" w:hint="eastAsia"/>
          <w:lang w:eastAsia="zh-TW"/>
        </w:rPr>
        <w:t>漢高現在</w:t>
      </w:r>
      <w:proofErr w:type="gramEnd"/>
      <w:r>
        <w:rPr>
          <w:rFonts w:asciiTheme="majorHAnsi" w:eastAsiaTheme="majorEastAsia" w:hAnsiTheme="majorHAnsi" w:hint="eastAsia"/>
          <w:lang w:eastAsia="zh-TW"/>
        </w:rPr>
        <w:t>預計</w:t>
      </w:r>
      <w:r>
        <w:rPr>
          <w:rFonts w:asciiTheme="majorHAnsi" w:eastAsiaTheme="majorEastAsia" w:hAnsiTheme="majorHAnsi"/>
          <w:b/>
          <w:bCs/>
          <w:lang w:eastAsia="zh-TW"/>
        </w:rPr>
        <w:t>2022</w:t>
      </w:r>
      <w:proofErr w:type="gramStart"/>
      <w:r>
        <w:rPr>
          <w:rFonts w:asciiTheme="majorHAnsi" w:eastAsiaTheme="majorEastAsia" w:hAnsiTheme="majorHAnsi" w:hint="eastAsia"/>
          <w:b/>
          <w:bCs/>
          <w:lang w:eastAsia="zh-TW"/>
        </w:rPr>
        <w:t>財年集團</w:t>
      </w:r>
      <w:proofErr w:type="gramEnd"/>
      <w:r>
        <w:rPr>
          <w:rFonts w:asciiTheme="majorHAnsi" w:eastAsiaTheme="majorEastAsia" w:hAnsiTheme="majorHAnsi" w:hint="eastAsia"/>
          <w:b/>
          <w:bCs/>
          <w:lang w:eastAsia="zh-TW"/>
        </w:rPr>
        <w:t>層面的有機銷售額增長</w:t>
      </w:r>
      <w:r>
        <w:rPr>
          <w:rFonts w:asciiTheme="majorHAnsi" w:eastAsiaTheme="majorEastAsia" w:hAnsiTheme="majorHAnsi" w:hint="eastAsia"/>
          <w:lang w:eastAsia="zh-TW"/>
        </w:rPr>
        <w:t>為</w:t>
      </w:r>
      <w:r>
        <w:rPr>
          <w:rFonts w:asciiTheme="majorHAnsi" w:eastAsiaTheme="majorEastAsia" w:hAnsiTheme="majorHAnsi"/>
          <w:lang w:eastAsia="zh-TW"/>
        </w:rPr>
        <w:t>3.5% - 5.5%</w:t>
      </w:r>
      <w:proofErr w:type="gramStart"/>
      <w:r>
        <w:rPr>
          <w:rFonts w:asciiTheme="majorHAnsi" w:eastAsiaTheme="majorEastAsia" w:hAnsiTheme="majorHAnsi" w:hint="eastAsia"/>
          <w:lang w:eastAsia="zh-TW"/>
        </w:rPr>
        <w:t>（</w:t>
      </w:r>
      <w:proofErr w:type="gramEnd"/>
      <w:r>
        <w:rPr>
          <w:rFonts w:asciiTheme="majorHAnsi" w:eastAsiaTheme="majorEastAsia" w:hAnsiTheme="majorHAnsi" w:hint="eastAsia"/>
          <w:lang w:eastAsia="zh-TW"/>
        </w:rPr>
        <w:t>此前為：</w:t>
      </w:r>
      <w:r>
        <w:rPr>
          <w:rFonts w:asciiTheme="majorHAnsi" w:eastAsiaTheme="majorEastAsia" w:hAnsiTheme="majorHAnsi"/>
          <w:lang w:eastAsia="zh-TW"/>
        </w:rPr>
        <w:t>2.0 - 4.0%</w:t>
      </w:r>
      <w:r>
        <w:rPr>
          <w:rFonts w:asciiTheme="majorHAnsi" w:eastAsiaTheme="majorEastAsia" w:hAnsiTheme="majorHAnsi" w:hint="eastAsia"/>
          <w:lang w:eastAsia="zh-TW"/>
        </w:rPr>
        <w:t>）。這一更強勁的有機銷售額增長將主要由</w:t>
      </w:r>
      <w:r>
        <w:rPr>
          <w:rFonts w:asciiTheme="majorHAnsi" w:eastAsiaTheme="majorEastAsia" w:hAnsiTheme="majorHAnsi" w:hint="eastAsia"/>
          <w:b/>
          <w:bCs/>
          <w:lang w:eastAsia="zh-TW"/>
        </w:rPr>
        <w:t>粘合劑技術</w:t>
      </w:r>
      <w:r>
        <w:rPr>
          <w:rFonts w:asciiTheme="majorHAnsi" w:eastAsiaTheme="majorEastAsia" w:hAnsiTheme="majorHAnsi" w:hint="eastAsia"/>
          <w:lang w:eastAsia="zh-TW"/>
        </w:rPr>
        <w:t>業務部推動，漢高現在預計該業務部門有機銷售額增長為</w:t>
      </w:r>
      <w:r>
        <w:rPr>
          <w:rFonts w:asciiTheme="majorHAnsi" w:eastAsiaTheme="majorEastAsia" w:hAnsiTheme="majorHAnsi"/>
          <w:lang w:eastAsia="zh-TW"/>
        </w:rPr>
        <w:t>8.0% - 10.0%</w:t>
      </w:r>
      <w:r>
        <w:rPr>
          <w:rFonts w:asciiTheme="majorHAnsi" w:eastAsiaTheme="majorEastAsia" w:hAnsiTheme="majorHAnsi" w:hint="eastAsia"/>
          <w:lang w:eastAsia="zh-TW"/>
        </w:rPr>
        <w:t>（此前為：</w:t>
      </w:r>
      <w:r>
        <w:rPr>
          <w:rFonts w:asciiTheme="majorHAnsi" w:eastAsiaTheme="majorEastAsia" w:hAnsiTheme="majorHAnsi"/>
          <w:lang w:eastAsia="zh-TW"/>
        </w:rPr>
        <w:t>5.0 - 7.0%</w:t>
      </w:r>
      <w:r>
        <w:rPr>
          <w:rFonts w:asciiTheme="majorHAnsi" w:eastAsiaTheme="majorEastAsia" w:hAnsiTheme="majorHAnsi" w:hint="eastAsia"/>
          <w:lang w:eastAsia="zh-TW"/>
        </w:rPr>
        <w:t>），這主要是由於較高的原材料和物流成本轉嫁為價格上漲所驅動。</w:t>
      </w:r>
      <w:r>
        <w:rPr>
          <w:rFonts w:asciiTheme="majorHAnsi" w:eastAsiaTheme="majorEastAsia" w:hAnsiTheme="majorHAnsi" w:hint="eastAsia"/>
          <w:b/>
          <w:bCs/>
          <w:lang w:eastAsia="zh-TW"/>
        </w:rPr>
        <w:t>化妝品</w:t>
      </w:r>
      <w:r>
        <w:rPr>
          <w:rFonts w:asciiTheme="majorHAnsi" w:eastAsiaTheme="majorEastAsia" w:hAnsiTheme="majorHAnsi"/>
          <w:b/>
          <w:bCs/>
          <w:lang w:eastAsia="zh-TW"/>
        </w:rPr>
        <w:t>/</w:t>
      </w:r>
      <w:r>
        <w:rPr>
          <w:rFonts w:asciiTheme="majorHAnsi" w:eastAsiaTheme="majorEastAsia" w:hAnsiTheme="majorHAnsi" w:hint="eastAsia"/>
          <w:b/>
          <w:bCs/>
          <w:lang w:eastAsia="zh-TW"/>
        </w:rPr>
        <w:t>美容用品業務部</w:t>
      </w:r>
      <w:r>
        <w:rPr>
          <w:rFonts w:asciiTheme="majorHAnsi" w:eastAsiaTheme="majorEastAsia" w:hAnsiTheme="majorHAnsi" w:hint="eastAsia"/>
          <w:lang w:eastAsia="zh-TW"/>
        </w:rPr>
        <w:t>和</w:t>
      </w:r>
      <w:r>
        <w:rPr>
          <w:rFonts w:asciiTheme="majorHAnsi" w:eastAsiaTheme="majorEastAsia" w:hAnsiTheme="majorHAnsi" w:hint="eastAsia"/>
          <w:b/>
          <w:bCs/>
          <w:lang w:eastAsia="zh-TW"/>
        </w:rPr>
        <w:t>洗滌劑及家用護理業務部</w:t>
      </w:r>
      <w:r>
        <w:rPr>
          <w:rFonts w:asciiTheme="majorHAnsi" w:eastAsiaTheme="majorEastAsia" w:hAnsiTheme="majorHAnsi" w:hint="eastAsia"/>
          <w:lang w:eastAsia="zh-TW"/>
        </w:rPr>
        <w:t>的有機銷售額增長預期保持不變。</w:t>
      </w:r>
    </w:p>
    <w:p w14:paraId="643053A6" w14:textId="77777777" w:rsidR="007B60D1" w:rsidRDefault="007B60D1" w:rsidP="00D3397A">
      <w:pPr>
        <w:spacing w:afterLines="240" w:after="576"/>
        <w:contextualSpacing/>
        <w:rPr>
          <w:rFonts w:asciiTheme="majorHAnsi" w:hAnsiTheme="majorHAnsi" w:cstheme="majorHAnsi"/>
          <w:lang w:eastAsia="zh-TW"/>
        </w:rPr>
      </w:pPr>
    </w:p>
    <w:p w14:paraId="7E81DE1A" w14:textId="68B5C61F" w:rsidR="00D3397A" w:rsidRDefault="00CB6DD5" w:rsidP="00D3397A">
      <w:pPr>
        <w:spacing w:afterLines="240" w:after="576"/>
        <w:contextualSpacing/>
        <w:rPr>
          <w:lang w:eastAsia="zh-TW"/>
        </w:rPr>
      </w:pPr>
      <w:r>
        <w:rPr>
          <w:rFonts w:asciiTheme="majorHAnsi" w:eastAsiaTheme="majorEastAsia" w:hAnsiTheme="majorHAnsi" w:hint="eastAsia"/>
          <w:lang w:eastAsia="zh-TW"/>
        </w:rPr>
        <w:t>對於</w:t>
      </w:r>
      <w:r>
        <w:rPr>
          <w:rFonts w:asciiTheme="majorHAnsi" w:eastAsiaTheme="majorEastAsia" w:hAnsiTheme="majorHAnsi" w:hint="eastAsia"/>
          <w:b/>
          <w:bCs/>
          <w:lang w:eastAsia="zh-TW"/>
        </w:rPr>
        <w:t>化妝品</w:t>
      </w:r>
      <w:r>
        <w:rPr>
          <w:rFonts w:asciiTheme="majorHAnsi" w:eastAsiaTheme="majorEastAsia" w:hAnsiTheme="majorHAnsi"/>
          <w:b/>
          <w:bCs/>
          <w:lang w:eastAsia="zh-TW"/>
        </w:rPr>
        <w:t>/</w:t>
      </w:r>
      <w:r>
        <w:rPr>
          <w:rFonts w:asciiTheme="majorHAnsi" w:eastAsiaTheme="majorEastAsia" w:hAnsiTheme="majorHAnsi" w:hint="eastAsia"/>
          <w:b/>
          <w:bCs/>
          <w:lang w:eastAsia="zh-TW"/>
        </w:rPr>
        <w:t>美容用品業務部</w:t>
      </w:r>
      <w:r>
        <w:rPr>
          <w:rFonts w:asciiTheme="majorHAnsi" w:eastAsiaTheme="majorEastAsia" w:hAnsiTheme="majorHAnsi" w:hint="eastAsia"/>
          <w:lang w:eastAsia="zh-TW"/>
        </w:rPr>
        <w:t>，有機銷售額預計將下降</w:t>
      </w:r>
      <w:r>
        <w:rPr>
          <w:rFonts w:asciiTheme="majorHAnsi" w:eastAsiaTheme="majorEastAsia" w:hAnsiTheme="majorHAnsi"/>
          <w:lang w:eastAsia="zh-TW"/>
        </w:rPr>
        <w:t>5.0% - 3.0%</w:t>
      </w:r>
      <w:r>
        <w:rPr>
          <w:rFonts w:asciiTheme="majorHAnsi" w:eastAsiaTheme="majorEastAsia" w:hAnsiTheme="majorHAnsi" w:hint="eastAsia"/>
          <w:lang w:eastAsia="zh-TW"/>
        </w:rPr>
        <w:t>。正如此前所宣佈的那樣，下降主要是由於已經決定並正在實施改進產品組合的措施，其中包括停止不屬於未來核心業務的活動。對於</w:t>
      </w:r>
      <w:r>
        <w:rPr>
          <w:rFonts w:asciiTheme="majorHAnsi" w:eastAsiaTheme="majorEastAsia" w:hAnsiTheme="majorHAnsi" w:hint="eastAsia"/>
          <w:b/>
          <w:bCs/>
          <w:lang w:eastAsia="zh-TW"/>
        </w:rPr>
        <w:t>洗滌劑及家用護理業務部</w:t>
      </w:r>
      <w:r>
        <w:rPr>
          <w:rFonts w:asciiTheme="majorHAnsi" w:eastAsiaTheme="majorEastAsia" w:hAnsiTheme="majorHAnsi" w:hint="eastAsia"/>
          <w:lang w:eastAsia="zh-TW"/>
        </w:rPr>
        <w:t>，</w:t>
      </w:r>
      <w:proofErr w:type="gramStart"/>
      <w:r>
        <w:rPr>
          <w:rFonts w:asciiTheme="majorHAnsi" w:eastAsiaTheme="majorEastAsia" w:hAnsiTheme="majorHAnsi" w:hint="eastAsia"/>
          <w:lang w:eastAsia="zh-TW"/>
        </w:rPr>
        <w:t>漢高預計</w:t>
      </w:r>
      <w:proofErr w:type="gramEnd"/>
      <w:r>
        <w:rPr>
          <w:rFonts w:asciiTheme="majorHAnsi" w:eastAsiaTheme="majorEastAsia" w:hAnsiTheme="majorHAnsi" w:hint="eastAsia"/>
          <w:lang w:eastAsia="zh-TW"/>
        </w:rPr>
        <w:t>有機銷售額增長仍為</w:t>
      </w:r>
      <w:r>
        <w:rPr>
          <w:rFonts w:asciiTheme="majorHAnsi" w:eastAsiaTheme="majorEastAsia" w:hAnsiTheme="majorHAnsi"/>
          <w:lang w:eastAsia="zh-TW"/>
        </w:rPr>
        <w:t>2%</w:t>
      </w:r>
      <w:r>
        <w:rPr>
          <w:rFonts w:asciiTheme="majorHAnsi" w:eastAsiaTheme="majorEastAsia" w:hAnsiTheme="majorHAnsi" w:hint="eastAsia"/>
          <w:lang w:eastAsia="zh-TW"/>
        </w:rPr>
        <w:t>至</w:t>
      </w:r>
      <w:r>
        <w:rPr>
          <w:rFonts w:asciiTheme="majorHAnsi" w:eastAsiaTheme="majorEastAsia" w:hAnsiTheme="majorHAnsi"/>
          <w:lang w:eastAsia="zh-TW"/>
        </w:rPr>
        <w:t>4%</w:t>
      </w:r>
      <w:r>
        <w:rPr>
          <w:rFonts w:asciiTheme="majorHAnsi" w:eastAsiaTheme="majorEastAsia" w:hAnsiTheme="majorHAnsi" w:hint="eastAsia"/>
          <w:lang w:eastAsia="zh-TW"/>
        </w:rPr>
        <w:t>。</w:t>
      </w:r>
      <w:proofErr w:type="gramStart"/>
      <w:r>
        <w:rPr>
          <w:rFonts w:hint="eastAsia"/>
          <w:lang w:eastAsia="zh-TW"/>
        </w:rPr>
        <w:t>鑒於漢高決定</w:t>
      </w:r>
      <w:proofErr w:type="gramEnd"/>
      <w:r>
        <w:rPr>
          <w:rFonts w:hint="eastAsia"/>
          <w:lang w:eastAsia="zh-TW"/>
        </w:rPr>
        <w:t>中止在俄羅斯和白俄羅斯的業務，從第二季度開始，這些國家將被排除</w:t>
      </w:r>
      <w:proofErr w:type="gramStart"/>
      <w:r>
        <w:rPr>
          <w:rFonts w:hint="eastAsia"/>
          <w:lang w:eastAsia="zh-TW"/>
        </w:rPr>
        <w:t>在漢高的</w:t>
      </w:r>
      <w:proofErr w:type="gramEnd"/>
      <w:r>
        <w:rPr>
          <w:rFonts w:hint="eastAsia"/>
          <w:lang w:eastAsia="zh-TW"/>
        </w:rPr>
        <w:t>有機銷售額增長統計之外。”</w:t>
      </w:r>
    </w:p>
    <w:p w14:paraId="4B1B516C" w14:textId="77777777" w:rsidR="00D3397A" w:rsidRDefault="00D3397A" w:rsidP="00D3397A">
      <w:pPr>
        <w:spacing w:afterLines="240" w:after="576"/>
        <w:contextualSpacing/>
        <w:rPr>
          <w:lang w:eastAsia="zh-TW"/>
        </w:rPr>
      </w:pPr>
    </w:p>
    <w:p w14:paraId="7E4BD352" w14:textId="2D703289" w:rsidR="00D3397A" w:rsidRDefault="00CB6DD5" w:rsidP="00D3397A">
      <w:pPr>
        <w:spacing w:afterLines="240" w:after="576"/>
        <w:contextualSpacing/>
        <w:rPr>
          <w:lang w:eastAsia="zh-TW"/>
        </w:rPr>
      </w:pPr>
      <w:r>
        <w:rPr>
          <w:rFonts w:hint="eastAsia"/>
          <w:lang w:eastAsia="zh-TW"/>
        </w:rPr>
        <w:t>除了中止在俄羅斯和白俄羅斯的業務活動所造成的影響</w:t>
      </w:r>
      <w:proofErr w:type="gramStart"/>
      <w:r>
        <w:rPr>
          <w:rFonts w:hint="eastAsia"/>
          <w:lang w:eastAsia="zh-TW"/>
        </w:rPr>
        <w:t>以外，本財年</w:t>
      </w:r>
      <w:proofErr w:type="gramEnd"/>
      <w:r>
        <w:rPr>
          <w:rFonts w:hint="eastAsia"/>
          <w:lang w:eastAsia="zh-TW"/>
        </w:rPr>
        <w:t>無法完全抵消的直接原材料和</w:t>
      </w:r>
      <w:proofErr w:type="gramStart"/>
      <w:r>
        <w:rPr>
          <w:rFonts w:hint="eastAsia"/>
          <w:lang w:eastAsia="zh-TW"/>
        </w:rPr>
        <w:t>物流</w:t>
      </w:r>
      <w:proofErr w:type="gramEnd"/>
      <w:r>
        <w:rPr>
          <w:rFonts w:hint="eastAsia"/>
          <w:lang w:eastAsia="zh-TW"/>
        </w:rPr>
        <w:t>價格的大幅上漲對收益的影響比先前預期的更大。</w:t>
      </w:r>
    </w:p>
    <w:p w14:paraId="7C4B59A8" w14:textId="77777777" w:rsidR="00F63D84" w:rsidRDefault="00F63D84" w:rsidP="00D3397A">
      <w:pPr>
        <w:spacing w:afterLines="240" w:after="576"/>
        <w:contextualSpacing/>
        <w:rPr>
          <w:lang w:eastAsia="zh-TW"/>
        </w:rPr>
      </w:pPr>
    </w:p>
    <w:p w14:paraId="20CF3C63" w14:textId="0F7C9F58" w:rsidR="007B60D1" w:rsidRDefault="00CB6DD5" w:rsidP="00D3397A">
      <w:pPr>
        <w:spacing w:afterLines="240" w:after="576"/>
        <w:contextualSpacing/>
        <w:rPr>
          <w:lang w:eastAsia="zh-TW"/>
        </w:rPr>
      </w:pPr>
      <w:r>
        <w:rPr>
          <w:rFonts w:asciiTheme="majorHAnsi" w:eastAsiaTheme="majorEastAsia" w:hAnsiTheme="majorHAnsi" w:hint="eastAsia"/>
          <w:lang w:eastAsia="zh-TW"/>
        </w:rPr>
        <w:t>對於</w:t>
      </w:r>
      <w:r>
        <w:rPr>
          <w:rFonts w:asciiTheme="majorHAnsi" w:eastAsiaTheme="majorEastAsia" w:hAnsiTheme="majorHAnsi" w:hint="eastAsia"/>
          <w:b/>
          <w:bCs/>
          <w:lang w:eastAsia="zh-TW"/>
        </w:rPr>
        <w:t>漢高集團</w:t>
      </w:r>
      <w:r>
        <w:rPr>
          <w:rFonts w:asciiTheme="majorHAnsi" w:eastAsiaTheme="majorEastAsia" w:hAnsiTheme="majorHAnsi" w:hint="eastAsia"/>
          <w:lang w:eastAsia="zh-TW"/>
        </w:rPr>
        <w:t>而言，</w:t>
      </w:r>
      <w:r>
        <w:rPr>
          <w:rFonts w:asciiTheme="majorHAnsi" w:eastAsiaTheme="majorEastAsia" w:hAnsiTheme="majorHAnsi" w:hint="eastAsia"/>
          <w:b/>
          <w:bCs/>
          <w:lang w:eastAsia="zh-TW"/>
        </w:rPr>
        <w:t>調整後的銷售回報率（息稅前利潤率）</w:t>
      </w:r>
      <w:r>
        <w:rPr>
          <w:rFonts w:asciiTheme="majorHAnsi" w:eastAsiaTheme="majorEastAsia" w:hAnsiTheme="majorHAnsi" w:hint="eastAsia"/>
          <w:lang w:eastAsia="zh-TW"/>
        </w:rPr>
        <w:t>現在預計為較低區間</w:t>
      </w:r>
      <w:r>
        <w:rPr>
          <w:rFonts w:asciiTheme="majorHAnsi" w:eastAsiaTheme="majorEastAsia" w:hAnsiTheme="majorHAnsi"/>
          <w:lang w:eastAsia="zh-TW"/>
        </w:rPr>
        <w:t>9.0%</w:t>
      </w:r>
      <w:r>
        <w:rPr>
          <w:rFonts w:asciiTheme="majorHAnsi" w:eastAsiaTheme="majorEastAsia" w:hAnsiTheme="majorHAnsi" w:hint="eastAsia"/>
          <w:lang w:eastAsia="zh-TW"/>
        </w:rPr>
        <w:t>至</w:t>
      </w:r>
      <w:r>
        <w:rPr>
          <w:rFonts w:asciiTheme="majorHAnsi" w:eastAsiaTheme="majorEastAsia" w:hAnsiTheme="majorHAnsi"/>
          <w:lang w:eastAsia="zh-TW"/>
        </w:rPr>
        <w:t>11.0%</w:t>
      </w:r>
      <w:proofErr w:type="gramStart"/>
      <w:r>
        <w:rPr>
          <w:rFonts w:asciiTheme="majorHAnsi" w:eastAsiaTheme="majorEastAsia" w:hAnsiTheme="majorHAnsi" w:hint="eastAsia"/>
          <w:lang w:eastAsia="zh-TW"/>
        </w:rPr>
        <w:t>（</w:t>
      </w:r>
      <w:proofErr w:type="gramEnd"/>
      <w:r>
        <w:rPr>
          <w:rFonts w:asciiTheme="majorHAnsi" w:eastAsiaTheme="majorEastAsia" w:hAnsiTheme="majorHAnsi" w:hint="eastAsia"/>
          <w:lang w:eastAsia="zh-TW"/>
        </w:rPr>
        <w:t>此前為：</w:t>
      </w:r>
      <w:r>
        <w:rPr>
          <w:rFonts w:asciiTheme="majorHAnsi" w:eastAsiaTheme="majorEastAsia" w:hAnsiTheme="majorHAnsi"/>
          <w:lang w:eastAsia="zh-TW"/>
        </w:rPr>
        <w:t>11.5%</w:t>
      </w:r>
      <w:r>
        <w:rPr>
          <w:rFonts w:asciiTheme="majorHAnsi" w:eastAsiaTheme="majorEastAsia" w:hAnsiTheme="majorHAnsi" w:hint="eastAsia"/>
          <w:lang w:eastAsia="zh-TW"/>
        </w:rPr>
        <w:t>至</w:t>
      </w:r>
      <w:r>
        <w:rPr>
          <w:rFonts w:asciiTheme="majorHAnsi" w:eastAsiaTheme="majorEastAsia" w:hAnsiTheme="majorHAnsi"/>
          <w:lang w:eastAsia="zh-TW"/>
        </w:rPr>
        <w:t>13.5%</w:t>
      </w:r>
      <w:r>
        <w:rPr>
          <w:rFonts w:asciiTheme="majorHAnsi" w:eastAsiaTheme="majorEastAsia" w:hAnsiTheme="majorHAnsi" w:hint="eastAsia"/>
          <w:lang w:eastAsia="zh-TW"/>
        </w:rPr>
        <w:t>）。對於</w:t>
      </w:r>
      <w:r>
        <w:rPr>
          <w:rFonts w:asciiTheme="majorHAnsi" w:eastAsiaTheme="majorEastAsia" w:hAnsiTheme="majorHAnsi" w:hint="eastAsia"/>
          <w:b/>
          <w:bCs/>
          <w:lang w:eastAsia="zh-TW"/>
        </w:rPr>
        <w:t>粘合劑技術業務部</w:t>
      </w:r>
      <w:r>
        <w:rPr>
          <w:rFonts w:asciiTheme="majorHAnsi" w:eastAsiaTheme="majorEastAsia" w:hAnsiTheme="majorHAnsi" w:hint="eastAsia"/>
          <w:lang w:eastAsia="zh-TW"/>
        </w:rPr>
        <w:t>，漢高預計調整後的銷售回報率為</w:t>
      </w:r>
      <w:r>
        <w:rPr>
          <w:rFonts w:asciiTheme="majorHAnsi" w:eastAsiaTheme="majorEastAsia" w:hAnsiTheme="majorHAnsi"/>
          <w:lang w:eastAsia="zh-TW"/>
        </w:rPr>
        <w:t>13.0%</w:t>
      </w:r>
      <w:r>
        <w:rPr>
          <w:rFonts w:asciiTheme="majorHAnsi" w:eastAsiaTheme="majorEastAsia" w:hAnsiTheme="majorHAnsi" w:hint="eastAsia"/>
          <w:lang w:eastAsia="zh-TW"/>
        </w:rPr>
        <w:t>至</w:t>
      </w:r>
      <w:r>
        <w:rPr>
          <w:rFonts w:asciiTheme="majorHAnsi" w:eastAsiaTheme="majorEastAsia" w:hAnsiTheme="majorHAnsi"/>
          <w:lang w:eastAsia="zh-TW"/>
        </w:rPr>
        <w:t>15.0%</w:t>
      </w:r>
      <w:r>
        <w:rPr>
          <w:rFonts w:asciiTheme="majorHAnsi" w:eastAsiaTheme="majorEastAsia" w:hAnsiTheme="majorHAnsi" w:hint="eastAsia"/>
          <w:lang w:eastAsia="zh-TW"/>
        </w:rPr>
        <w:t>（此前為：</w:t>
      </w:r>
      <w:r>
        <w:rPr>
          <w:rFonts w:asciiTheme="majorHAnsi" w:eastAsiaTheme="majorEastAsia" w:hAnsiTheme="majorHAnsi"/>
          <w:lang w:eastAsia="zh-TW"/>
        </w:rPr>
        <w:t>15.0%</w:t>
      </w:r>
      <w:r>
        <w:rPr>
          <w:rFonts w:asciiTheme="majorHAnsi" w:eastAsiaTheme="majorEastAsia" w:hAnsiTheme="majorHAnsi" w:hint="eastAsia"/>
          <w:lang w:eastAsia="zh-TW"/>
        </w:rPr>
        <w:t>至</w:t>
      </w:r>
      <w:r>
        <w:rPr>
          <w:rFonts w:asciiTheme="majorHAnsi" w:eastAsiaTheme="majorEastAsia" w:hAnsiTheme="majorHAnsi"/>
          <w:lang w:eastAsia="zh-TW"/>
        </w:rPr>
        <w:t>17.0%</w:t>
      </w:r>
      <w:r>
        <w:rPr>
          <w:rFonts w:asciiTheme="majorHAnsi" w:eastAsiaTheme="majorEastAsia" w:hAnsiTheme="majorHAnsi" w:hint="eastAsia"/>
          <w:lang w:eastAsia="zh-TW"/>
        </w:rPr>
        <w:t>），</w:t>
      </w:r>
      <w:r>
        <w:rPr>
          <w:rFonts w:asciiTheme="majorHAnsi" w:eastAsiaTheme="majorEastAsia" w:hAnsiTheme="majorHAnsi" w:hint="eastAsia"/>
          <w:b/>
          <w:bCs/>
          <w:lang w:eastAsia="zh-TW"/>
        </w:rPr>
        <w:t>化妝品</w:t>
      </w:r>
      <w:r>
        <w:rPr>
          <w:rFonts w:asciiTheme="majorHAnsi" w:eastAsiaTheme="majorEastAsia" w:hAnsiTheme="majorHAnsi"/>
          <w:b/>
          <w:bCs/>
          <w:lang w:eastAsia="zh-TW"/>
        </w:rPr>
        <w:t>/</w:t>
      </w:r>
      <w:r>
        <w:rPr>
          <w:rFonts w:asciiTheme="majorHAnsi" w:eastAsiaTheme="majorEastAsia" w:hAnsiTheme="majorHAnsi" w:hint="eastAsia"/>
          <w:b/>
          <w:bCs/>
          <w:lang w:eastAsia="zh-TW"/>
        </w:rPr>
        <w:t>美容用品業務部</w:t>
      </w:r>
      <w:r>
        <w:rPr>
          <w:rFonts w:asciiTheme="majorHAnsi" w:eastAsiaTheme="majorEastAsia" w:hAnsiTheme="majorHAnsi" w:hint="eastAsia"/>
          <w:lang w:eastAsia="zh-TW"/>
        </w:rPr>
        <w:t>為</w:t>
      </w:r>
      <w:r>
        <w:rPr>
          <w:rFonts w:asciiTheme="majorHAnsi" w:eastAsiaTheme="majorEastAsia" w:hAnsiTheme="majorHAnsi"/>
          <w:lang w:eastAsia="zh-TW"/>
        </w:rPr>
        <w:t>5.0%</w:t>
      </w:r>
      <w:r>
        <w:rPr>
          <w:rFonts w:asciiTheme="majorHAnsi" w:eastAsiaTheme="majorEastAsia" w:hAnsiTheme="majorHAnsi" w:hint="eastAsia"/>
          <w:lang w:eastAsia="zh-TW"/>
        </w:rPr>
        <w:t>至</w:t>
      </w:r>
      <w:r>
        <w:rPr>
          <w:rFonts w:asciiTheme="majorHAnsi" w:eastAsiaTheme="majorEastAsia" w:hAnsiTheme="majorHAnsi"/>
          <w:lang w:eastAsia="zh-TW"/>
        </w:rPr>
        <w:t>7.0%</w:t>
      </w:r>
      <w:r>
        <w:rPr>
          <w:rFonts w:asciiTheme="majorHAnsi" w:eastAsiaTheme="majorEastAsia" w:hAnsiTheme="majorHAnsi" w:hint="eastAsia"/>
          <w:lang w:eastAsia="zh-TW"/>
        </w:rPr>
        <w:t>（此前為：</w:t>
      </w:r>
      <w:r>
        <w:rPr>
          <w:rFonts w:asciiTheme="majorHAnsi" w:eastAsiaTheme="majorEastAsia" w:hAnsiTheme="majorHAnsi"/>
          <w:lang w:eastAsia="zh-TW"/>
        </w:rPr>
        <w:t>7.5%</w:t>
      </w:r>
      <w:r>
        <w:rPr>
          <w:rFonts w:asciiTheme="majorHAnsi" w:eastAsiaTheme="majorEastAsia" w:hAnsiTheme="majorHAnsi" w:hint="eastAsia"/>
          <w:lang w:eastAsia="zh-TW"/>
        </w:rPr>
        <w:t>至</w:t>
      </w:r>
      <w:r>
        <w:rPr>
          <w:rFonts w:asciiTheme="majorHAnsi" w:eastAsiaTheme="majorEastAsia" w:hAnsiTheme="majorHAnsi"/>
          <w:lang w:eastAsia="zh-TW"/>
        </w:rPr>
        <w:t>10.0%</w:t>
      </w:r>
      <w:r>
        <w:rPr>
          <w:rFonts w:asciiTheme="majorHAnsi" w:eastAsiaTheme="majorEastAsia" w:hAnsiTheme="majorHAnsi" w:hint="eastAsia"/>
          <w:lang w:eastAsia="zh-TW"/>
        </w:rPr>
        <w:t>），</w:t>
      </w:r>
      <w:r>
        <w:rPr>
          <w:rFonts w:asciiTheme="majorHAnsi" w:eastAsiaTheme="majorEastAsia" w:hAnsiTheme="majorHAnsi" w:hint="eastAsia"/>
          <w:b/>
          <w:bCs/>
          <w:lang w:eastAsia="zh-TW"/>
        </w:rPr>
        <w:t>洗滌劑及家用護理業務部</w:t>
      </w:r>
      <w:r>
        <w:rPr>
          <w:rFonts w:asciiTheme="majorHAnsi" w:eastAsiaTheme="majorEastAsia" w:hAnsiTheme="majorHAnsi" w:hint="eastAsia"/>
          <w:lang w:eastAsia="zh-TW"/>
        </w:rPr>
        <w:t>為</w:t>
      </w:r>
      <w:r>
        <w:rPr>
          <w:rFonts w:asciiTheme="majorHAnsi" w:eastAsiaTheme="majorEastAsia" w:hAnsiTheme="majorHAnsi"/>
          <w:lang w:eastAsia="zh-TW"/>
        </w:rPr>
        <w:t>7.0%</w:t>
      </w:r>
      <w:r>
        <w:rPr>
          <w:rFonts w:asciiTheme="majorHAnsi" w:eastAsiaTheme="majorEastAsia" w:hAnsiTheme="majorHAnsi" w:hint="eastAsia"/>
          <w:lang w:eastAsia="zh-TW"/>
        </w:rPr>
        <w:t>至</w:t>
      </w:r>
      <w:r>
        <w:rPr>
          <w:rFonts w:asciiTheme="majorHAnsi" w:eastAsiaTheme="majorEastAsia" w:hAnsiTheme="majorHAnsi"/>
          <w:lang w:eastAsia="zh-TW"/>
        </w:rPr>
        <w:t>9.0%</w:t>
      </w:r>
      <w:r>
        <w:rPr>
          <w:rFonts w:asciiTheme="majorHAnsi" w:eastAsiaTheme="majorEastAsia" w:hAnsiTheme="majorHAnsi" w:hint="eastAsia"/>
          <w:lang w:eastAsia="zh-TW"/>
        </w:rPr>
        <w:t>（此前為：</w:t>
      </w:r>
      <w:r>
        <w:rPr>
          <w:rFonts w:asciiTheme="majorHAnsi" w:eastAsiaTheme="majorEastAsia" w:hAnsiTheme="majorHAnsi"/>
          <w:lang w:eastAsia="zh-TW"/>
        </w:rPr>
        <w:t>10.5%</w:t>
      </w:r>
      <w:r>
        <w:rPr>
          <w:rFonts w:asciiTheme="majorHAnsi" w:eastAsiaTheme="majorEastAsia" w:hAnsiTheme="majorHAnsi" w:hint="eastAsia"/>
          <w:lang w:eastAsia="zh-TW"/>
        </w:rPr>
        <w:t>至</w:t>
      </w:r>
      <w:r>
        <w:rPr>
          <w:rFonts w:asciiTheme="majorHAnsi" w:eastAsiaTheme="majorEastAsia" w:hAnsiTheme="majorHAnsi"/>
          <w:lang w:eastAsia="zh-TW"/>
        </w:rPr>
        <w:t>13.0%</w:t>
      </w:r>
      <w:r>
        <w:rPr>
          <w:rFonts w:asciiTheme="majorHAnsi" w:eastAsiaTheme="majorEastAsia" w:hAnsiTheme="majorHAnsi" w:hint="eastAsia"/>
          <w:lang w:eastAsia="zh-TW"/>
        </w:rPr>
        <w:t>）。</w:t>
      </w:r>
    </w:p>
    <w:p w14:paraId="3AF9B308" w14:textId="77777777" w:rsidR="00125827" w:rsidRPr="00125827" w:rsidRDefault="00125827" w:rsidP="00D3397A">
      <w:pPr>
        <w:spacing w:afterLines="240" w:after="576"/>
        <w:contextualSpacing/>
        <w:rPr>
          <w:lang w:eastAsia="zh-TW"/>
        </w:rPr>
      </w:pPr>
    </w:p>
    <w:p w14:paraId="5F4B09C1" w14:textId="77777777" w:rsidR="00E35C6F" w:rsidRDefault="00CB6DD5" w:rsidP="00E35C6F">
      <w:pPr>
        <w:spacing w:afterLines="240" w:after="576"/>
        <w:contextualSpacing/>
        <w:rPr>
          <w:rFonts w:asciiTheme="majorHAnsi" w:eastAsia="PMingLiU" w:hAnsiTheme="majorHAnsi"/>
          <w:lang w:eastAsia="zh-TW"/>
        </w:rPr>
      </w:pPr>
      <w:r>
        <w:rPr>
          <w:rFonts w:asciiTheme="majorHAnsi" w:eastAsiaTheme="majorEastAsia" w:hAnsiTheme="majorHAnsi" w:hint="eastAsia"/>
          <w:lang w:eastAsia="zh-TW"/>
        </w:rPr>
        <w:lastRenderedPageBreak/>
        <w:t>對於以固定匯率計算的</w:t>
      </w:r>
      <w:r>
        <w:rPr>
          <w:rFonts w:asciiTheme="majorHAnsi" w:eastAsiaTheme="majorEastAsia" w:hAnsiTheme="majorHAnsi" w:hint="eastAsia"/>
          <w:b/>
          <w:bCs/>
          <w:lang w:eastAsia="zh-TW"/>
        </w:rPr>
        <w:t>調整後優先股每股收益（</w:t>
      </w:r>
      <w:r>
        <w:rPr>
          <w:rFonts w:asciiTheme="majorHAnsi" w:eastAsiaTheme="majorEastAsia" w:hAnsiTheme="majorHAnsi"/>
          <w:b/>
          <w:bCs/>
          <w:lang w:eastAsia="zh-TW"/>
        </w:rPr>
        <w:t>EPS</w:t>
      </w:r>
      <w:r>
        <w:rPr>
          <w:rFonts w:asciiTheme="majorHAnsi" w:eastAsiaTheme="majorEastAsia" w:hAnsiTheme="majorHAnsi" w:hint="eastAsia"/>
          <w:b/>
          <w:bCs/>
          <w:lang w:eastAsia="zh-TW"/>
        </w:rPr>
        <w:t>）</w:t>
      </w:r>
      <w:r>
        <w:rPr>
          <w:rFonts w:asciiTheme="majorHAnsi" w:eastAsiaTheme="majorEastAsia" w:hAnsiTheme="majorHAnsi" w:hint="eastAsia"/>
          <w:lang w:eastAsia="zh-TW"/>
        </w:rPr>
        <w:t>，漢高現在預計下降幅度為</w:t>
      </w:r>
      <w:r>
        <w:rPr>
          <w:rFonts w:asciiTheme="majorHAnsi" w:eastAsiaTheme="majorEastAsia" w:hAnsiTheme="majorHAnsi"/>
          <w:lang w:eastAsia="zh-TW"/>
        </w:rPr>
        <w:t>-35%</w:t>
      </w:r>
      <w:r>
        <w:rPr>
          <w:rFonts w:asciiTheme="majorHAnsi" w:eastAsiaTheme="majorEastAsia" w:hAnsiTheme="majorHAnsi" w:hint="eastAsia"/>
          <w:lang w:eastAsia="zh-TW"/>
        </w:rPr>
        <w:t>至</w:t>
      </w:r>
      <w:r>
        <w:rPr>
          <w:rFonts w:asciiTheme="majorHAnsi" w:eastAsiaTheme="majorEastAsia" w:hAnsiTheme="majorHAnsi"/>
          <w:lang w:eastAsia="zh-TW"/>
        </w:rPr>
        <w:t>-15%</w:t>
      </w:r>
      <w:r>
        <w:rPr>
          <w:rFonts w:asciiTheme="majorHAnsi" w:eastAsiaTheme="majorEastAsia" w:hAnsiTheme="majorHAnsi" w:hint="eastAsia"/>
          <w:lang w:eastAsia="zh-TW"/>
        </w:rPr>
        <w:t>（此前為：</w:t>
      </w:r>
      <w:r>
        <w:rPr>
          <w:rFonts w:asciiTheme="majorHAnsi" w:eastAsiaTheme="majorEastAsia" w:hAnsiTheme="majorHAnsi"/>
          <w:lang w:eastAsia="zh-TW"/>
        </w:rPr>
        <w:t>-15%</w:t>
      </w:r>
      <w:r>
        <w:rPr>
          <w:rFonts w:asciiTheme="majorHAnsi" w:eastAsiaTheme="majorEastAsia" w:hAnsiTheme="majorHAnsi" w:hint="eastAsia"/>
          <w:lang w:eastAsia="zh-TW"/>
        </w:rPr>
        <w:t>至</w:t>
      </w:r>
      <w:r>
        <w:rPr>
          <w:rFonts w:asciiTheme="majorHAnsi" w:eastAsiaTheme="majorEastAsia" w:hAnsiTheme="majorHAnsi"/>
          <w:lang w:eastAsia="zh-TW"/>
        </w:rPr>
        <w:t>+5%</w:t>
      </w:r>
      <w:r>
        <w:rPr>
          <w:rFonts w:asciiTheme="majorHAnsi" w:eastAsiaTheme="majorEastAsia" w:hAnsiTheme="majorHAnsi" w:hint="eastAsia"/>
          <w:lang w:eastAsia="zh-TW"/>
        </w:rPr>
        <w:t>）。</w:t>
      </w:r>
    </w:p>
    <w:p w14:paraId="1BB7DDFA" w14:textId="77777777" w:rsidR="00E35C6F" w:rsidRDefault="00E35C6F" w:rsidP="00E35C6F">
      <w:pPr>
        <w:spacing w:afterLines="240" w:after="576"/>
        <w:contextualSpacing/>
        <w:rPr>
          <w:rFonts w:asciiTheme="majorHAnsi" w:eastAsia="PMingLiU" w:hAnsiTheme="majorHAnsi"/>
          <w:lang w:eastAsia="zh-TW"/>
        </w:rPr>
      </w:pPr>
    </w:p>
    <w:p w14:paraId="7E78F72E" w14:textId="77777777" w:rsidR="00E35C6F" w:rsidRDefault="00CB6DD5" w:rsidP="00E35C6F">
      <w:pPr>
        <w:spacing w:afterLines="240" w:after="576"/>
        <w:contextualSpacing/>
        <w:rPr>
          <w:rFonts w:eastAsia="PMingLiU"/>
          <w:lang w:eastAsia="zh-TW"/>
        </w:rPr>
      </w:pPr>
      <w:r>
        <w:rPr>
          <w:rFonts w:hint="eastAsia"/>
          <w:lang w:eastAsia="zh-TW"/>
        </w:rPr>
        <w:t>這一新財務展望基於的假設為，烏克蘭戰爭的影響不會顯著惡化，並且工業和零售業不會因新冠</w:t>
      </w:r>
      <w:proofErr w:type="gramStart"/>
      <w:r>
        <w:rPr>
          <w:rFonts w:hint="eastAsia"/>
          <w:lang w:eastAsia="zh-TW"/>
        </w:rPr>
        <w:t>疫情而</w:t>
      </w:r>
      <w:proofErr w:type="gramEnd"/>
      <w:r>
        <w:rPr>
          <w:rFonts w:hint="eastAsia"/>
          <w:lang w:eastAsia="zh-TW"/>
        </w:rPr>
        <w:t>重新出現大規模的業務停止和生產關閉的情況。</w:t>
      </w:r>
    </w:p>
    <w:p w14:paraId="4688C8EE" w14:textId="77777777" w:rsidR="00E35C6F" w:rsidRDefault="00E35C6F" w:rsidP="00E35C6F">
      <w:pPr>
        <w:spacing w:afterLines="240" w:after="576"/>
        <w:contextualSpacing/>
        <w:rPr>
          <w:rFonts w:eastAsia="PMingLiU"/>
          <w:lang w:eastAsia="zh-TW"/>
        </w:rPr>
      </w:pPr>
    </w:p>
    <w:p w14:paraId="0826F6E0" w14:textId="4C552E08" w:rsidR="00E35C6F" w:rsidRDefault="00CB6DD5" w:rsidP="00E35C6F">
      <w:pPr>
        <w:spacing w:afterLines="240" w:after="576"/>
        <w:contextualSpacing/>
        <w:rPr>
          <w:rFonts w:asciiTheme="majorHAnsi" w:eastAsia="PMingLiU" w:hAnsiTheme="majorHAnsi"/>
          <w:lang w:eastAsia="zh-TW"/>
        </w:rPr>
      </w:pPr>
      <w:r>
        <w:rPr>
          <w:rFonts w:asciiTheme="majorHAnsi" w:eastAsiaTheme="majorEastAsia" w:hAnsiTheme="majorHAnsi" w:hint="eastAsia"/>
          <w:lang w:eastAsia="zh-TW"/>
        </w:rPr>
        <w:t>卡斯</w:t>
      </w:r>
      <w:proofErr w:type="gramStart"/>
      <w:r>
        <w:rPr>
          <w:rFonts w:asciiTheme="majorHAnsi" w:eastAsiaTheme="majorEastAsia" w:hAnsiTheme="majorHAnsi" w:hint="eastAsia"/>
          <w:lang w:eastAsia="zh-TW"/>
        </w:rPr>
        <w:t>滕</w:t>
      </w:r>
      <w:proofErr w:type="gramEnd"/>
      <w:r>
        <w:rPr>
          <w:rFonts w:asciiTheme="majorHAnsi" w:eastAsiaTheme="majorEastAsia" w:hAnsiTheme="majorHAnsi" w:hint="eastAsia"/>
          <w:lang w:eastAsia="zh-TW"/>
        </w:rPr>
        <w:t>·諾貝爾說到：“儘管外部環境異常艱難，我們仍追求目標性增長</w:t>
      </w:r>
      <w:r w:rsidR="00866F54">
        <w:rPr>
          <w:rFonts w:asciiTheme="majorHAnsi" w:eastAsiaTheme="majorEastAsia" w:hAnsiTheme="majorHAnsi" w:hint="eastAsia"/>
          <w:lang w:eastAsia="zh-TW"/>
        </w:rPr>
        <w:t>策略</w:t>
      </w:r>
      <w:r>
        <w:rPr>
          <w:rFonts w:asciiTheme="majorHAnsi" w:eastAsiaTheme="majorEastAsia" w:hAnsiTheme="majorHAnsi" w:hint="eastAsia"/>
          <w:lang w:eastAsia="zh-TW"/>
        </w:rPr>
        <w:t>。在粘合劑技術業務領域，我們是全球領導者，為許多重要行業提供創新解決方案，並明確專注於移動性、連線性和</w:t>
      </w:r>
      <w:proofErr w:type="gramStart"/>
      <w:r>
        <w:rPr>
          <w:rFonts w:asciiTheme="majorHAnsi" w:eastAsiaTheme="majorEastAsia" w:hAnsiTheme="majorHAnsi" w:hint="eastAsia"/>
          <w:lang w:eastAsia="zh-TW"/>
        </w:rPr>
        <w:t>可</w:t>
      </w:r>
      <w:proofErr w:type="gramEnd"/>
      <w:r>
        <w:rPr>
          <w:rFonts w:asciiTheme="majorHAnsi" w:eastAsiaTheme="majorEastAsia" w:hAnsiTheme="majorHAnsi" w:hint="eastAsia"/>
          <w:lang w:eastAsia="zh-TW"/>
        </w:rPr>
        <w:t>持續性等未來趨勢。通過將我們的洗滌劑及家用護理以及化妝品</w:t>
      </w:r>
      <w:r w:rsidR="00D74A5C">
        <w:rPr>
          <w:rFonts w:asciiTheme="majorHAnsi" w:eastAsiaTheme="majorEastAsia" w:hAnsiTheme="majorHAnsi" w:hint="eastAsia"/>
          <w:lang w:eastAsia="zh-TW"/>
        </w:rPr>
        <w:t>/</w:t>
      </w:r>
      <w:r>
        <w:rPr>
          <w:rFonts w:asciiTheme="majorHAnsi" w:eastAsiaTheme="majorEastAsia" w:hAnsiTheme="majorHAnsi" w:hint="eastAsia"/>
          <w:lang w:eastAsia="zh-TW"/>
        </w:rPr>
        <w:t>美容用品這兩項消費品業務合併為漢高消費品牌業務部，我們正在創建一個銷售額約為</w:t>
      </w:r>
      <w:r w:rsidR="00D74A5C">
        <w:rPr>
          <w:rFonts w:asciiTheme="majorHAnsi" w:eastAsiaTheme="majorEastAsia" w:hAnsiTheme="majorHAnsi" w:hint="eastAsia"/>
          <w:lang w:eastAsia="zh-TW"/>
        </w:rPr>
        <w:t>100</w:t>
      </w:r>
      <w:r>
        <w:rPr>
          <w:rFonts w:asciiTheme="majorHAnsi" w:eastAsiaTheme="majorEastAsia" w:hAnsiTheme="majorHAnsi" w:hint="eastAsia"/>
          <w:lang w:eastAsia="zh-TW"/>
        </w:rPr>
        <w:t>億歐元的多品類平</w:t>
      </w:r>
      <w:proofErr w:type="gramStart"/>
      <w:r>
        <w:rPr>
          <w:rFonts w:asciiTheme="majorHAnsi" w:eastAsiaTheme="majorEastAsia" w:hAnsiTheme="majorHAnsi" w:hint="eastAsia"/>
          <w:lang w:eastAsia="zh-TW"/>
        </w:rPr>
        <w:t>臺</w:t>
      </w:r>
      <w:proofErr w:type="gramEnd"/>
      <w:r>
        <w:rPr>
          <w:rFonts w:asciiTheme="majorHAnsi" w:eastAsiaTheme="majorEastAsia" w:hAnsiTheme="majorHAnsi" w:hint="eastAsia"/>
          <w:lang w:eastAsia="zh-TW"/>
        </w:rPr>
        <w:t>。我們未來的消費品牌業務預計最遲將在</w:t>
      </w:r>
      <w:r w:rsidR="00D74A5C">
        <w:rPr>
          <w:rFonts w:asciiTheme="majorHAnsi" w:eastAsiaTheme="majorEastAsia" w:hAnsiTheme="majorHAnsi" w:hint="eastAsia"/>
          <w:lang w:eastAsia="zh-TW"/>
        </w:rPr>
        <w:t>2023</w:t>
      </w:r>
      <w:r>
        <w:rPr>
          <w:rFonts w:asciiTheme="majorHAnsi" w:eastAsiaTheme="majorEastAsia" w:hAnsiTheme="majorHAnsi" w:hint="eastAsia"/>
          <w:lang w:eastAsia="zh-TW"/>
        </w:rPr>
        <w:t>年初建立，為更一致地優化我們的產品組合並實現更高的增長和利潤率提供更廣泛的基礎。”</w:t>
      </w:r>
    </w:p>
    <w:p w14:paraId="0B580D3E" w14:textId="77777777" w:rsidR="00E35C6F" w:rsidRDefault="00E35C6F" w:rsidP="00E35C6F">
      <w:pPr>
        <w:spacing w:afterLines="240" w:after="576"/>
        <w:contextualSpacing/>
        <w:rPr>
          <w:rFonts w:asciiTheme="majorHAnsi" w:eastAsia="PMingLiU" w:hAnsiTheme="majorHAnsi"/>
          <w:lang w:eastAsia="zh-TW"/>
        </w:rPr>
      </w:pPr>
    </w:p>
    <w:p w14:paraId="54ABCCB0" w14:textId="59D995E3" w:rsidR="007B60D1" w:rsidRPr="00E35C6F" w:rsidRDefault="00CB6DD5" w:rsidP="00E35C6F">
      <w:pPr>
        <w:spacing w:afterLines="240" w:after="576"/>
        <w:contextualSpacing/>
        <w:rPr>
          <w:rFonts w:asciiTheme="majorHAnsi" w:eastAsia="PMingLiU" w:hAnsiTheme="majorHAnsi" w:cstheme="majorHAnsi"/>
          <w:szCs w:val="22"/>
          <w:lang w:eastAsia="zh-TW"/>
        </w:rPr>
      </w:pPr>
      <w:r>
        <w:rPr>
          <w:rFonts w:asciiTheme="majorHAnsi" w:eastAsiaTheme="majorEastAsia" w:hAnsiTheme="majorHAnsi" w:hint="eastAsia"/>
          <w:lang w:eastAsia="zh-TW"/>
        </w:rPr>
        <w:t>漢高將於</w:t>
      </w:r>
      <w:r w:rsidR="00D74A5C">
        <w:rPr>
          <w:rFonts w:asciiTheme="majorHAnsi" w:eastAsiaTheme="majorEastAsia" w:hAnsiTheme="majorHAnsi" w:hint="eastAsia"/>
          <w:lang w:eastAsia="zh-TW"/>
        </w:rPr>
        <w:t>5</w:t>
      </w:r>
      <w:r>
        <w:rPr>
          <w:rFonts w:asciiTheme="majorHAnsi" w:eastAsiaTheme="majorEastAsia" w:hAnsiTheme="majorHAnsi" w:hint="eastAsia"/>
          <w:lang w:eastAsia="zh-TW"/>
        </w:rPr>
        <w:t>月</w:t>
      </w:r>
      <w:r w:rsidR="00D74A5C">
        <w:rPr>
          <w:rFonts w:asciiTheme="majorHAnsi" w:eastAsiaTheme="majorEastAsia" w:hAnsiTheme="majorHAnsi" w:hint="eastAsia"/>
          <w:lang w:eastAsia="zh-TW"/>
        </w:rPr>
        <w:t>5</w:t>
      </w:r>
      <w:r>
        <w:rPr>
          <w:rFonts w:asciiTheme="majorHAnsi" w:eastAsiaTheme="majorEastAsia" w:hAnsiTheme="majorHAnsi" w:hint="eastAsia"/>
          <w:lang w:eastAsia="zh-TW"/>
        </w:rPr>
        <w:t>日發佈</w:t>
      </w:r>
      <w:r w:rsidR="00D74A5C">
        <w:rPr>
          <w:rFonts w:asciiTheme="majorHAnsi" w:eastAsiaTheme="majorEastAsia" w:hAnsiTheme="majorHAnsi" w:hint="eastAsia"/>
          <w:lang w:eastAsia="zh-TW"/>
        </w:rPr>
        <w:t>2022</w:t>
      </w:r>
      <w:r>
        <w:rPr>
          <w:rFonts w:asciiTheme="majorHAnsi" w:eastAsiaTheme="majorEastAsia" w:hAnsiTheme="majorHAnsi" w:hint="eastAsia"/>
          <w:lang w:eastAsia="zh-TW"/>
        </w:rPr>
        <w:t>年第一季度的財報，並將如此前宣佈的那樣，披露有關兩個業務部整合過程的進一步資訊以及計畫中的產品組合管理措施，包括預期的協同效應和重組費用。</w:t>
      </w:r>
    </w:p>
    <w:p w14:paraId="502B9BC8" w14:textId="6387363A" w:rsidR="007B60D1" w:rsidRDefault="007B60D1" w:rsidP="00D3397A">
      <w:pPr>
        <w:spacing w:afterLines="240" w:after="576"/>
        <w:contextualSpacing/>
        <w:rPr>
          <w:rFonts w:asciiTheme="majorHAnsi" w:hAnsiTheme="majorHAnsi" w:cstheme="majorHAnsi"/>
          <w:b/>
          <w:bCs/>
          <w:lang w:eastAsia="zh-TW"/>
        </w:rPr>
      </w:pPr>
    </w:p>
    <w:p w14:paraId="016FBF32" w14:textId="1E62A928" w:rsidR="00C300CC" w:rsidRDefault="00CB6DD5" w:rsidP="00D3397A">
      <w:pPr>
        <w:autoSpaceDE w:val="0"/>
        <w:autoSpaceDN w:val="0"/>
        <w:adjustRightInd w:val="0"/>
        <w:spacing w:afterLines="240" w:after="576"/>
        <w:contextualSpacing/>
        <w:rPr>
          <w:sz w:val="16"/>
          <w:szCs w:val="16"/>
          <w:lang w:eastAsia="zh-TW"/>
        </w:rPr>
      </w:pPr>
      <w:r>
        <w:rPr>
          <w:sz w:val="16"/>
          <w:lang w:eastAsia="zh-TW"/>
        </w:rPr>
        <w:t>*</w:t>
      </w:r>
      <w:r>
        <w:rPr>
          <w:rFonts w:hint="eastAsia"/>
          <w:sz w:val="16"/>
          <w:lang w:eastAsia="zh-TW"/>
        </w:rPr>
        <w:t>對一次性費用和收入以及重組費用進行了調整。</w:t>
      </w:r>
    </w:p>
    <w:p w14:paraId="55383A4B" w14:textId="69212650" w:rsidR="00C300CC" w:rsidRDefault="00C300CC">
      <w:pPr>
        <w:rPr>
          <w:rFonts w:asciiTheme="majorHAnsi" w:hAnsiTheme="majorHAnsi" w:cstheme="majorHAnsi"/>
          <w:b/>
          <w:bCs/>
          <w:lang w:eastAsia="zh-TW"/>
        </w:rPr>
      </w:pPr>
    </w:p>
    <w:p w14:paraId="37C7A773" w14:textId="77777777" w:rsidR="00C300CC" w:rsidRDefault="00C300CC">
      <w:pPr>
        <w:rPr>
          <w:rFonts w:asciiTheme="majorHAnsi" w:hAnsiTheme="majorHAnsi" w:cstheme="majorHAnsi"/>
          <w:b/>
          <w:bCs/>
          <w:lang w:eastAsia="zh-TW"/>
        </w:rPr>
      </w:pPr>
    </w:p>
    <w:p w14:paraId="1892DBC8" w14:textId="146F9303" w:rsidR="007B60D1" w:rsidRDefault="007B60D1">
      <w:pPr>
        <w:tabs>
          <w:tab w:val="left" w:pos="1080"/>
          <w:tab w:val="left" w:pos="4500"/>
        </w:tabs>
        <w:spacing w:line="264" w:lineRule="auto"/>
        <w:rPr>
          <w:rStyle w:val="af2"/>
          <w:rFonts w:asciiTheme="minorHAnsi" w:hAnsiTheme="minorHAnsi" w:cstheme="minorHAnsi"/>
          <w:vanish/>
          <w:lang w:eastAsia="zh-TW"/>
        </w:rPr>
      </w:pPr>
    </w:p>
    <w:sectPr w:rsidR="007B60D1">
      <w:headerReference w:type="even" r:id="rId8"/>
      <w:headerReference w:type="default" r:id="rId9"/>
      <w:footerReference w:type="default" r:id="rId10"/>
      <w:headerReference w:type="first" r:id="rId11"/>
      <w:footerReference w:type="first" r:id="rId12"/>
      <w:pgSz w:w="11907" w:h="16840"/>
      <w:pgMar w:top="128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3DDBE" w14:textId="77777777" w:rsidR="00A16D49" w:rsidRDefault="00A16D49">
      <w:pPr>
        <w:spacing w:after="0" w:line="240" w:lineRule="auto"/>
      </w:pPr>
      <w:r>
        <w:separator/>
      </w:r>
    </w:p>
  </w:endnote>
  <w:endnote w:type="continuationSeparator" w:id="0">
    <w:p w14:paraId="0CA2D008" w14:textId="77777777" w:rsidR="00A16D49" w:rsidRDefault="00A1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96AE" w14:textId="674A0B34" w:rsidR="007B60D1" w:rsidRDefault="00D74A5C">
    <w:pPr>
      <w:pStyle w:val="ad"/>
      <w:tabs>
        <w:tab w:val="clear" w:pos="7083"/>
        <w:tab w:val="clear" w:pos="8640"/>
        <w:tab w:val="right" w:pos="9071"/>
      </w:tabs>
      <w:jc w:val="both"/>
    </w:pPr>
    <w:r>
      <w:rPr>
        <w:rFonts w:hint="eastAsia"/>
      </w:rPr>
      <w:tab/>
    </w:r>
    <w:r>
      <w:rPr>
        <w:rFonts w:hint="eastAsia"/>
      </w:rPr>
      <w:t>页码</w:t>
    </w:r>
    <w:r>
      <w:fldChar w:fldCharType="begin"/>
    </w:r>
    <w:r>
      <w:instrText xml:space="preserve"> PAGE  \* Arabic  \* MERGEFORMAT </w:instrText>
    </w:r>
    <w:r>
      <w:fldChar w:fldCharType="separate"/>
    </w:r>
    <w:r>
      <w:t>6</w:t>
    </w:r>
    <w:r>
      <w:fldChar w:fldCharType="end"/>
    </w:r>
    <w:r>
      <w:rPr>
        <w:rFonts w:hint="eastAsia"/>
      </w:rPr>
      <w:t>/</w:t>
    </w:r>
    <w:r w:rsidR="00866F54">
      <w:fldChar w:fldCharType="begin"/>
    </w:r>
    <w:r w:rsidR="00866F54">
      <w:instrText xml:space="preserve"> NUMPAGES  \* Arabic  \* MERGEFORMAT </w:instrText>
    </w:r>
    <w:r w:rsidR="00866F54">
      <w:fldChar w:fldCharType="separate"/>
    </w:r>
    <w:r>
      <w:t>6</w:t>
    </w:r>
    <w:r w:rsidR="00866F54">
      <w:fldChar w:fldCharType="end"/>
    </w:r>
  </w:p>
  <w:p w14:paraId="0D335998" w14:textId="2EFF2678" w:rsidR="007B60D1" w:rsidRDefault="00D74A5C">
    <w:pPr>
      <w:pStyle w:val="ad"/>
      <w:tabs>
        <w:tab w:val="clear" w:pos="7083"/>
        <w:tab w:val="clear" w:pos="8640"/>
        <w:tab w:val="right" w:pos="9071"/>
      </w:tabs>
      <w:jc w:val="both"/>
    </w:pPr>
    <w:r>
      <w:rPr>
        <w:rFonts w:hint="eastAsia"/>
      </w:rPr>
      <w:tab/>
      <w:t xml:space="preserve">Page </w:t>
    </w:r>
    <w:r>
      <w:rPr>
        <w:rFonts w:hint="eastAsia"/>
      </w:rPr>
      <w:fldChar w:fldCharType="begin"/>
    </w:r>
    <w:r>
      <w:rPr>
        <w:rFonts w:hint="eastAsia"/>
      </w:rPr>
      <w:instrText xml:space="preserve"> PAGE  \* Arabic  \* MERGEFORMAT </w:instrText>
    </w:r>
    <w:r>
      <w:rPr>
        <w:rFonts w:hint="eastAsia"/>
      </w:rPr>
      <w:fldChar w:fldCharType="separate"/>
    </w:r>
    <w:r>
      <w:t>6</w:t>
    </w:r>
    <w:r>
      <w:rPr>
        <w:rFonts w:hint="eastAsia"/>
      </w:rPr>
      <w:fldChar w:fldCharType="end"/>
    </w:r>
    <w:r>
      <w:rPr>
        <w:rFonts w:hint="eastAsia"/>
      </w:rPr>
      <w:t>/</w:t>
    </w:r>
    <w:r w:rsidR="00866F54">
      <w:fldChar w:fldCharType="begin"/>
    </w:r>
    <w:r w:rsidR="00866F54">
      <w:instrText xml:space="preserve"> NUMPAGES  \* Arabic  \* MERGEFORMAT </w:instrText>
    </w:r>
    <w:r w:rsidR="00866F54">
      <w:fldChar w:fldCharType="separate"/>
    </w:r>
    <w:r>
      <w:t>6</w:t>
    </w:r>
    <w:r w:rsidR="00866F5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96B7" w14:textId="77777777" w:rsidR="007B60D1" w:rsidRDefault="00D74A5C">
    <w:pPr>
      <w:pStyle w:val="ad"/>
    </w:pPr>
    <w:bookmarkStart w:id="1" w:name="_Hlk505758583"/>
    <w:r>
      <w:rPr>
        <w:rFonts w:hint="eastAsia"/>
        <w:noProof/>
      </w:rPr>
      <w:drawing>
        <wp:anchor distT="0" distB="0" distL="114300" distR="114300" simplePos="0" relativeHeight="251659264" behindDoc="0" locked="0" layoutInCell="1" allowOverlap="1" wp14:anchorId="5E10B758" wp14:editId="425696A4">
          <wp:simplePos x="0" y="0"/>
          <wp:positionH relativeFrom="column">
            <wp:posOffset>1270</wp:posOffset>
          </wp:positionH>
          <wp:positionV relativeFrom="paragraph">
            <wp:posOffset>-483870</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384810"/>
                  </a:xfrm>
                  <a:prstGeom prst="rect">
                    <a:avLst/>
                  </a:prstGeom>
                  <a:noFill/>
                  <a:ln>
                    <a:noFill/>
                  </a:ln>
                </pic:spPr>
              </pic:pic>
            </a:graphicData>
          </a:graphic>
        </wp:anchor>
      </w:drawing>
    </w:r>
    <w:bookmarkEnd w:id="1"/>
    <w:r>
      <w:rPr>
        <w:rFonts w:hint="eastAsia"/>
      </w:rPr>
      <w:t>页码</w:t>
    </w:r>
    <w:r>
      <w:fldChar w:fldCharType="begin"/>
    </w:r>
    <w:r>
      <w:instrText xml:space="preserve"> PAGE  \* Arabic  \* MERGEFORMAT </w:instrText>
    </w:r>
    <w:r>
      <w:fldChar w:fldCharType="separate"/>
    </w:r>
    <w:r>
      <w:t>1</w:t>
    </w:r>
    <w:r>
      <w:fldChar w:fldCharType="end"/>
    </w:r>
    <w:r>
      <w:rPr>
        <w:rFonts w:hint="eastAsia"/>
      </w:rPr>
      <w:t>/</w:t>
    </w:r>
    <w:r w:rsidR="00866F54">
      <w:fldChar w:fldCharType="begin"/>
    </w:r>
    <w:r w:rsidR="00866F54">
      <w:instrText xml:space="preserve"> NUMPAGES  \* Arabic  \* MERGEFORMAT </w:instrText>
    </w:r>
    <w:r w:rsidR="00866F54">
      <w:fldChar w:fldCharType="separate"/>
    </w:r>
    <w:r>
      <w:t>6</w:t>
    </w:r>
    <w:r w:rsidR="00866F54">
      <w:fldChar w:fldCharType="end"/>
    </w:r>
  </w:p>
  <w:p w14:paraId="1EF7926B" w14:textId="77777777" w:rsidR="007B60D1" w:rsidRDefault="00D74A5C">
    <w:pPr>
      <w:pStyle w:val="ad"/>
      <w:rPr>
        <w:vanish/>
      </w:rPr>
    </w:pPr>
    <w:r>
      <w:rPr>
        <w:rFonts w:hint="eastAsia"/>
        <w:vanish/>
      </w:rPr>
      <w:t xml:space="preserve">Page </w:t>
    </w:r>
    <w:r>
      <w:rPr>
        <w:rFonts w:hint="eastAsia"/>
        <w:vanish/>
      </w:rPr>
      <w:fldChar w:fldCharType="begin"/>
    </w:r>
    <w:r>
      <w:rPr>
        <w:rFonts w:hint="eastAsia"/>
        <w:vanish/>
      </w:rPr>
      <w:instrText xml:space="preserve"> PAGE  \* Arabic  \* MERGEFORMAT </w:instrText>
    </w:r>
    <w:r>
      <w:rPr>
        <w:rFonts w:hint="eastAsia"/>
        <w:vanish/>
      </w:rPr>
      <w:fldChar w:fldCharType="separate"/>
    </w:r>
    <w:r>
      <w:rPr>
        <w:vanish/>
      </w:rPr>
      <w:t>1</w:t>
    </w:r>
    <w:r>
      <w:rPr>
        <w:rFonts w:hint="eastAsia"/>
        <w:vanish/>
      </w:rPr>
      <w:fldChar w:fldCharType="end"/>
    </w:r>
    <w:r>
      <w:rPr>
        <w:rFonts w:hint="eastAsia"/>
        <w:vanish/>
      </w:rPr>
      <w:t>/</w:t>
    </w:r>
    <w:r>
      <w:rPr>
        <w:rFonts w:hint="eastAsia"/>
        <w:vanish/>
      </w:rPr>
      <w:fldChar w:fldCharType="begin"/>
    </w:r>
    <w:r>
      <w:rPr>
        <w:rFonts w:hint="eastAsia"/>
        <w:vanish/>
      </w:rPr>
      <w:instrText xml:space="preserve"> NUMPAGES  \* Arabic  \* MERGEFORMAT </w:instrText>
    </w:r>
    <w:r>
      <w:rPr>
        <w:rFonts w:hint="eastAsia"/>
        <w:vanish/>
      </w:rPr>
      <w:fldChar w:fldCharType="separate"/>
    </w:r>
    <w:r>
      <w:rPr>
        <w:vanish/>
      </w:rPr>
      <w:t>6</w:t>
    </w:r>
    <w:r>
      <w:rPr>
        <w:rFonts w:hint="eastAsia"/>
        <w:vanis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B402" w14:textId="77777777" w:rsidR="00A16D49" w:rsidRDefault="00A16D49">
      <w:pPr>
        <w:spacing w:after="0" w:line="240" w:lineRule="auto"/>
      </w:pPr>
      <w:r>
        <w:separator/>
      </w:r>
    </w:p>
  </w:footnote>
  <w:footnote w:type="continuationSeparator" w:id="0">
    <w:p w14:paraId="45F7968D" w14:textId="77777777" w:rsidR="00A16D49" w:rsidRDefault="00A1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7057" w14:textId="77777777" w:rsidR="007B60D1" w:rsidRDefault="007B60D1">
    <w:pPr>
      <w:pStyle w:val="af"/>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9CB1" w14:textId="77777777" w:rsidR="00CB6DD5" w:rsidRDefault="00CB6DD5" w:rsidP="00F15041">
    <w:pPr>
      <w:pStyle w:val="af"/>
      <w:spacing w:before="0" w:after="0"/>
      <w:ind w:right="1605"/>
      <w:contextualSpacing/>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8D28E" w14:textId="61D33762" w:rsidR="007B60D1" w:rsidRDefault="00D74A5C">
    <w:pPr>
      <w:pStyle w:val="af"/>
      <w:tabs>
        <w:tab w:val="clear" w:pos="2607"/>
        <w:tab w:val="clear" w:pos="4320"/>
        <w:tab w:val="left" w:pos="0"/>
      </w:tabs>
    </w:pPr>
    <w:r>
      <w:rPr>
        <w:rFonts w:hint="eastAsia"/>
        <w:noProof/>
      </w:rPr>
      <w:drawing>
        <wp:anchor distT="0" distB="0" distL="114300" distR="114300" simplePos="0" relativeHeight="251658240" behindDoc="0" locked="1" layoutInCell="1" allowOverlap="1" wp14:anchorId="15717A2A" wp14:editId="3D6847E4">
          <wp:simplePos x="0" y="0"/>
          <wp:positionH relativeFrom="margin">
            <wp:posOffset>4940935</wp:posOffset>
          </wp:positionH>
          <wp:positionV relativeFrom="margin">
            <wp:posOffset>-1833245</wp:posOffset>
          </wp:positionV>
          <wp:extent cx="1051560" cy="60325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a:xfrm>
                    <a:off x="0" y="0"/>
                    <a:ext cx="1051560" cy="603250"/>
                  </a:xfrm>
                  <a:prstGeom prst="rect">
                    <a:avLst/>
                  </a:prstGeom>
                  <a:noFill/>
                </pic:spPr>
              </pic:pic>
            </a:graphicData>
          </a:graphic>
        </wp:anchor>
      </w:drawing>
    </w:r>
    <w:r>
      <w:rPr>
        <w:rFonts w:hint="eastAsia"/>
        <w:noProof/>
      </w:rPr>
      <mc:AlternateContent>
        <mc:Choice Requires="wpg">
          <w:drawing>
            <wp:anchor distT="0" distB="0" distL="114300" distR="114300" simplePos="0" relativeHeight="251657216" behindDoc="0" locked="0" layoutInCell="1" allowOverlap="1" wp14:anchorId="649ADD3A" wp14:editId="2425ED6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 xmlns:a="http://schemas.openxmlformats.org/drawingml/2006/main">
                <a:graphicData uri="http://schemas.microsoft.com/office/word/2010/wordprocessingGroup">
                  <wpg:wgp>
                    <wpg:cNvGrpSpPr/>
                    <wpg:grpSpPr>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anchor>
          </w:drawing>
        </mc:Choice>
        <mc:Fallback xmlns:wpsCustomData="http://www.wps.cn/officeDocument/2013/wpsCustomData">
          <w:pict>
            <v:group id="Group 16" o:spid="_x0000_s1026" o:spt="203" style="position:absolute;left:0pt;margin-left:14.2pt;margin-top:297.7pt;height:297.65pt;width:14.15pt;mso-position-horizontal-relative:page;mso-position-vertical-relative:page;z-index:251657216;mso-width-relative:page;mso-height-relative:page;" coordorigin="0,5954" coordsize="283,5953" o:gfxdata="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Vzc8F2wAAAAoBAAAPAAAAAAAAAAEAIAAAADgAAABkcnMvZG93&#10;bnJldi54bWxQSwECFAAUAAAACACHTuJAxEsEKiACAABMBwAADgAAAAAAAAABACAAAABAAQAAZHJz&#10;L2Uyb0RvYy54bWxQSwUGAAAAAAYABgBZAQAA0gUAAAAA&#10;">
              <o:lock v:ext="edit" aspectratio="f"/>
              <v:line id="Line 17" o:spid="_x0000_s1026" o:spt="20" style="position:absolute;left:0;top:5954;height:0;width:283;" filled="f" stroked="f" coordsize="21600,21600" o:gfxdata="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XIM4lvAAAANoAAAAPAAAAAAAAAAEAIAAAADgAAABkcnMvZG93bnJldi54&#10;bWxQSwECFAAUAAAACACHTuJAMy8FnjsAAAA5AAAAEAAAAAAAAAABACAAAAAhAQAAZHJzL3NoYXBl&#10;eG1sLnhtbFBLBQYAAAAABgAGAFsBAADLAwAAAAA=&#10;">
                <v:fill on="f" focussize="0,0"/>
                <v:stroke on="f"/>
                <v:imagedata o:title=""/>
                <o:lock v:ext="edit" aspectratio="f"/>
              </v:line>
              <v:line id="Line 18" o:spid="_x0000_s1026" o:spt="20" style="position:absolute;left:0;top:8420;height:0;width:283;" filled="f" stroked="f" coordsize="21600,21600" o:gfxdata="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jJVlG+AAAA2gAAAA8AAAAAAAAAAQAgAAAAOAAAAGRycy9kb3ducmV2&#10;LnhtbFBLAQIUABQAAAAIAIdO4kAzLwWeOwAAADkAAAAQAAAAAAAAAAEAIAAAACMBAABkcnMvc2hh&#10;cGV4bWwueG1sUEsFBgAAAAAGAAYAWwEAAM0DAAAAAA==&#10;">
                <v:fill on="f" focussize="0,0"/>
                <v:stroke on="f"/>
                <v:imagedata o:title=""/>
                <o:lock v:ext="edit" aspectratio="f"/>
              </v:line>
              <v:line id="Line 19" o:spid="_x0000_s1026" o:spt="20" style="position:absolute;left:0;top:11907;height:0;width:283;" filled="f" stroked="f" coordsize="21600,21600" o:gfxdata="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eF88q+AAAA2gAAAA8AAAAAAAAAAQAgAAAAOAAAAGRycy9kb3ducmV2&#10;LnhtbFBLAQIUABQAAAAIAIdO4kAzLwWeOwAAADkAAAAQAAAAAAAAAAEAIAAAACMBAABkcnMvc2hh&#10;cGV4bWwueG1sUEsFBgAAAAAGAAYAWwEAAM0DAAAAAA==&#10;">
                <v:fill on="f" focussize="0,0"/>
                <v:stroke on="f"/>
                <v:imagedata o:title=""/>
                <o:lock v:ext="edit" aspectratio="f"/>
              </v:line>
            </v:group>
          </w:pict>
        </mc:Fallback>
      </mc:AlternateContent>
    </w:r>
    <w:r>
      <w:rPr>
        <w:rFonts w:hint="eastAsia"/>
      </w:rPr>
      <w:tab/>
    </w:r>
    <w:r w:rsidR="00CB6DD5">
      <w:rPr>
        <w:rFonts w:hint="eastAsia"/>
        <w:lang w:eastAsia="zh-TW"/>
      </w:rPr>
      <w:t>新聞稿</w:t>
    </w:r>
  </w:p>
  <w:p w14:paraId="1B127B9D" w14:textId="77777777" w:rsidR="007B60D1" w:rsidRDefault="00D74A5C">
    <w:pPr>
      <w:pStyle w:val="af"/>
      <w:tabs>
        <w:tab w:val="clear" w:pos="2607"/>
        <w:tab w:val="clear" w:pos="4320"/>
        <w:tab w:val="left" w:pos="0"/>
      </w:tabs>
      <w:spacing w:before="0"/>
    </w:pPr>
    <w:r>
      <w:rPr>
        <w:rFonts w:hint="eastAsia"/>
      </w:rPr>
      <w:t>News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multilevel"/>
    <w:tmpl w:val="00F614AC"/>
    <w:lvl w:ilvl="0">
      <w:start w:val="1"/>
      <w:numFmt w:val="bullet"/>
      <w:pStyle w:val="He01FlietextAufzhlung1Ebene"/>
      <w:lvlText w:val=""/>
      <w:lvlJc w:val="left"/>
      <w:pPr>
        <w:ind w:left="360" w:hanging="360"/>
      </w:pPr>
      <w:rPr>
        <w:rFonts w:ascii="Wingdings" w:hAnsi="Wingdings" w:hint="default"/>
        <w:color w:val="D7000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F4270"/>
    <w:multiLevelType w:val="multilevel"/>
    <w:tmpl w:val="07CF4270"/>
    <w:lvl w:ilvl="0">
      <w:start w:val="1"/>
      <w:numFmt w:val="bullet"/>
      <w:pStyle w:val="NumBullet"/>
      <w:lvlText w:val="•"/>
      <w:lvlJc w:val="left"/>
      <w:pPr>
        <w:tabs>
          <w:tab w:val="left" w:pos="567"/>
        </w:tabs>
        <w:ind w:left="567" w:hanging="567"/>
      </w:pPr>
      <w:rPr>
        <w:rFonts w:ascii="Times New Roman" w:hAnsi="Times New Roman" w:cs="Times New Roman" w:hint="default"/>
        <w:color w:val="E1000F"/>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6740AFE"/>
    <w:multiLevelType w:val="multilevel"/>
    <w:tmpl w:val="16740AFE"/>
    <w:lvl w:ilvl="0">
      <w:start w:val="1"/>
      <w:numFmt w:val="bullet"/>
      <w:pStyle w:val="He01FlietextAufzhlung2Ebene"/>
      <w:lvlText w:val="–"/>
      <w:lvlJc w:val="left"/>
      <w:pPr>
        <w:ind w:left="700" w:hanging="360"/>
      </w:pPr>
      <w:rPr>
        <w:rFonts w:ascii="Segoe UI" w:hAnsi="Segoe UI" w:hint="default"/>
        <w:color w:val="D7000F"/>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3" w15:restartNumberingAfterBreak="0">
    <w:nsid w:val="3F4B6752"/>
    <w:multiLevelType w:val="multilevel"/>
    <w:tmpl w:val="3F4B6752"/>
    <w:lvl w:ilvl="0">
      <w:start w:val="1"/>
      <w:numFmt w:val="bullet"/>
      <w:lvlText w:val=""/>
      <w:lvlJc w:val="left"/>
      <w:pPr>
        <w:ind w:left="360" w:hanging="360"/>
      </w:pPr>
      <w:rPr>
        <w:rFonts w:ascii="Wingdings" w:hAnsi="Wingdings" w:hint="default"/>
        <w:color w:val="E1000F"/>
        <w:sz w:val="24"/>
        <w:szCs w:val="24"/>
      </w:rPr>
    </w:lvl>
    <w:lvl w:ilvl="1">
      <w:numFmt w:val="bullet"/>
      <w:lvlText w:val="-"/>
      <w:lvlJc w:val="left"/>
      <w:pPr>
        <w:ind w:left="1080" w:hanging="360"/>
      </w:pPr>
      <w:rPr>
        <w:rFonts w:ascii="Arial" w:hAnsi="Arial" w:hint="default"/>
        <w:color w:val="FF000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69A0646A"/>
    <w:multiLevelType w:val="multilevel"/>
    <w:tmpl w:val="69A0646A"/>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DisplayPageBoundaries/>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FDFE91B4"/>
    <w:rsid w:val="00000839"/>
    <w:rsid w:val="00002AA4"/>
    <w:rsid w:val="0000321D"/>
    <w:rsid w:val="00005267"/>
    <w:rsid w:val="00006346"/>
    <w:rsid w:val="000069EB"/>
    <w:rsid w:val="00006A45"/>
    <w:rsid w:val="00007ACA"/>
    <w:rsid w:val="0001002C"/>
    <w:rsid w:val="00010B8E"/>
    <w:rsid w:val="0001158A"/>
    <w:rsid w:val="000117AD"/>
    <w:rsid w:val="00015E27"/>
    <w:rsid w:val="00016137"/>
    <w:rsid w:val="0001793F"/>
    <w:rsid w:val="000211FD"/>
    <w:rsid w:val="00021C67"/>
    <w:rsid w:val="000229DD"/>
    <w:rsid w:val="00023179"/>
    <w:rsid w:val="00025106"/>
    <w:rsid w:val="00027932"/>
    <w:rsid w:val="000301F0"/>
    <w:rsid w:val="00030202"/>
    <w:rsid w:val="00030557"/>
    <w:rsid w:val="00030701"/>
    <w:rsid w:val="00030BA0"/>
    <w:rsid w:val="00030F51"/>
    <w:rsid w:val="00031FAF"/>
    <w:rsid w:val="000343EB"/>
    <w:rsid w:val="00035A84"/>
    <w:rsid w:val="000372E0"/>
    <w:rsid w:val="0004027E"/>
    <w:rsid w:val="00040C1B"/>
    <w:rsid w:val="00040CC9"/>
    <w:rsid w:val="000423FE"/>
    <w:rsid w:val="000425ED"/>
    <w:rsid w:val="00042726"/>
    <w:rsid w:val="000442A9"/>
    <w:rsid w:val="00046B63"/>
    <w:rsid w:val="000510FC"/>
    <w:rsid w:val="00051E86"/>
    <w:rsid w:val="00052338"/>
    <w:rsid w:val="000527CE"/>
    <w:rsid w:val="00054AFE"/>
    <w:rsid w:val="00055487"/>
    <w:rsid w:val="000555E6"/>
    <w:rsid w:val="000575F9"/>
    <w:rsid w:val="000618FC"/>
    <w:rsid w:val="00062B50"/>
    <w:rsid w:val="00062CE8"/>
    <w:rsid w:val="00065D64"/>
    <w:rsid w:val="000665F3"/>
    <w:rsid w:val="00066B26"/>
    <w:rsid w:val="00067071"/>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2BDE"/>
    <w:rsid w:val="0008357F"/>
    <w:rsid w:val="0008406B"/>
    <w:rsid w:val="00092814"/>
    <w:rsid w:val="00092B87"/>
    <w:rsid w:val="0009394D"/>
    <w:rsid w:val="0009456C"/>
    <w:rsid w:val="00096AD4"/>
    <w:rsid w:val="000972B9"/>
    <w:rsid w:val="000A1F17"/>
    <w:rsid w:val="000A6808"/>
    <w:rsid w:val="000A7E38"/>
    <w:rsid w:val="000B005C"/>
    <w:rsid w:val="000B2E86"/>
    <w:rsid w:val="000B397F"/>
    <w:rsid w:val="000B50B6"/>
    <w:rsid w:val="000B52BE"/>
    <w:rsid w:val="000B598C"/>
    <w:rsid w:val="000B5D2F"/>
    <w:rsid w:val="000B6244"/>
    <w:rsid w:val="000B695A"/>
    <w:rsid w:val="000B72A8"/>
    <w:rsid w:val="000C03F4"/>
    <w:rsid w:val="000C0DB8"/>
    <w:rsid w:val="000C101C"/>
    <w:rsid w:val="000C19B8"/>
    <w:rsid w:val="000C210A"/>
    <w:rsid w:val="000C23A8"/>
    <w:rsid w:val="000C27E5"/>
    <w:rsid w:val="000C56DD"/>
    <w:rsid w:val="000C6AB3"/>
    <w:rsid w:val="000D0BE3"/>
    <w:rsid w:val="000D10D2"/>
    <w:rsid w:val="000D1672"/>
    <w:rsid w:val="000D178A"/>
    <w:rsid w:val="000D1DE8"/>
    <w:rsid w:val="000D3835"/>
    <w:rsid w:val="000D4A49"/>
    <w:rsid w:val="000D4C65"/>
    <w:rsid w:val="000D554E"/>
    <w:rsid w:val="000D6C67"/>
    <w:rsid w:val="000E1B84"/>
    <w:rsid w:val="000E2F62"/>
    <w:rsid w:val="000E3893"/>
    <w:rsid w:val="000E38ED"/>
    <w:rsid w:val="000E39B1"/>
    <w:rsid w:val="000E63FA"/>
    <w:rsid w:val="000E7D21"/>
    <w:rsid w:val="000E7F24"/>
    <w:rsid w:val="000F03BE"/>
    <w:rsid w:val="000F1757"/>
    <w:rsid w:val="000F225B"/>
    <w:rsid w:val="000F2CB4"/>
    <w:rsid w:val="000F3112"/>
    <w:rsid w:val="000F48E9"/>
    <w:rsid w:val="000F7FAF"/>
    <w:rsid w:val="00103C95"/>
    <w:rsid w:val="0010465B"/>
    <w:rsid w:val="00105975"/>
    <w:rsid w:val="00105FB6"/>
    <w:rsid w:val="00105FF3"/>
    <w:rsid w:val="00107AC4"/>
    <w:rsid w:val="00107C62"/>
    <w:rsid w:val="00111156"/>
    <w:rsid w:val="0011116D"/>
    <w:rsid w:val="00111F4D"/>
    <w:rsid w:val="00112A28"/>
    <w:rsid w:val="00112DC3"/>
    <w:rsid w:val="00115230"/>
    <w:rsid w:val="00115B5F"/>
    <w:rsid w:val="001162B4"/>
    <w:rsid w:val="001163B8"/>
    <w:rsid w:val="00117138"/>
    <w:rsid w:val="0012058F"/>
    <w:rsid w:val="00122CBC"/>
    <w:rsid w:val="0012372F"/>
    <w:rsid w:val="00124A74"/>
    <w:rsid w:val="00125827"/>
    <w:rsid w:val="00126C65"/>
    <w:rsid w:val="00126D4A"/>
    <w:rsid w:val="00131811"/>
    <w:rsid w:val="001318EB"/>
    <w:rsid w:val="00131A47"/>
    <w:rsid w:val="001325BF"/>
    <w:rsid w:val="00132779"/>
    <w:rsid w:val="00132DA9"/>
    <w:rsid w:val="0013305B"/>
    <w:rsid w:val="00133B99"/>
    <w:rsid w:val="001348BE"/>
    <w:rsid w:val="0013569C"/>
    <w:rsid w:val="0014223F"/>
    <w:rsid w:val="0014352D"/>
    <w:rsid w:val="001442F5"/>
    <w:rsid w:val="001443BD"/>
    <w:rsid w:val="00144A87"/>
    <w:rsid w:val="00144D06"/>
    <w:rsid w:val="00146193"/>
    <w:rsid w:val="00151FEB"/>
    <w:rsid w:val="00153F48"/>
    <w:rsid w:val="001564B0"/>
    <w:rsid w:val="0015653C"/>
    <w:rsid w:val="001577E9"/>
    <w:rsid w:val="0016138C"/>
    <w:rsid w:val="00161FCE"/>
    <w:rsid w:val="00162D60"/>
    <w:rsid w:val="001640D5"/>
    <w:rsid w:val="001659FB"/>
    <w:rsid w:val="001674D3"/>
    <w:rsid w:val="001677AE"/>
    <w:rsid w:val="001716FD"/>
    <w:rsid w:val="001718DB"/>
    <w:rsid w:val="00172C99"/>
    <w:rsid w:val="001731CE"/>
    <w:rsid w:val="00175A27"/>
    <w:rsid w:val="00175A52"/>
    <w:rsid w:val="00175C72"/>
    <w:rsid w:val="00175DBA"/>
    <w:rsid w:val="00175E63"/>
    <w:rsid w:val="00177238"/>
    <w:rsid w:val="001800B7"/>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56C2"/>
    <w:rsid w:val="001B771D"/>
    <w:rsid w:val="001B7C20"/>
    <w:rsid w:val="001C0B32"/>
    <w:rsid w:val="001C2D66"/>
    <w:rsid w:val="001C2E62"/>
    <w:rsid w:val="001C36F7"/>
    <w:rsid w:val="001C3846"/>
    <w:rsid w:val="001C4507"/>
    <w:rsid w:val="001C4BE1"/>
    <w:rsid w:val="001D1404"/>
    <w:rsid w:val="001D1ABE"/>
    <w:rsid w:val="001D7ADF"/>
    <w:rsid w:val="001E0F71"/>
    <w:rsid w:val="001E13CE"/>
    <w:rsid w:val="001E28AF"/>
    <w:rsid w:val="001E2B9B"/>
    <w:rsid w:val="001E3D73"/>
    <w:rsid w:val="001E4CCB"/>
    <w:rsid w:val="001E6D05"/>
    <w:rsid w:val="001E73E8"/>
    <w:rsid w:val="001E7625"/>
    <w:rsid w:val="001E7888"/>
    <w:rsid w:val="001E7C28"/>
    <w:rsid w:val="001F0257"/>
    <w:rsid w:val="001F1BDF"/>
    <w:rsid w:val="001F35F8"/>
    <w:rsid w:val="001F3E7D"/>
    <w:rsid w:val="001F4DD6"/>
    <w:rsid w:val="001F52E0"/>
    <w:rsid w:val="001F590C"/>
    <w:rsid w:val="001F7110"/>
    <w:rsid w:val="001F7E96"/>
    <w:rsid w:val="002005F5"/>
    <w:rsid w:val="002010BC"/>
    <w:rsid w:val="00201AA6"/>
    <w:rsid w:val="00202284"/>
    <w:rsid w:val="0020528D"/>
    <w:rsid w:val="0020543B"/>
    <w:rsid w:val="00205A66"/>
    <w:rsid w:val="002063CF"/>
    <w:rsid w:val="00206613"/>
    <w:rsid w:val="00207FE2"/>
    <w:rsid w:val="0021158F"/>
    <w:rsid w:val="00212488"/>
    <w:rsid w:val="002129A6"/>
    <w:rsid w:val="002157C4"/>
    <w:rsid w:val="00220628"/>
    <w:rsid w:val="002214E1"/>
    <w:rsid w:val="00224FA2"/>
    <w:rsid w:val="002260C7"/>
    <w:rsid w:val="00226640"/>
    <w:rsid w:val="002304D2"/>
    <w:rsid w:val="00232EEF"/>
    <w:rsid w:val="00233D04"/>
    <w:rsid w:val="0023469C"/>
    <w:rsid w:val="00234ABD"/>
    <w:rsid w:val="00236491"/>
    <w:rsid w:val="002364AE"/>
    <w:rsid w:val="00236C3B"/>
    <w:rsid w:val="00236E2A"/>
    <w:rsid w:val="00237F62"/>
    <w:rsid w:val="002407BF"/>
    <w:rsid w:val="00240DBF"/>
    <w:rsid w:val="00242B1B"/>
    <w:rsid w:val="00242CFA"/>
    <w:rsid w:val="00245660"/>
    <w:rsid w:val="0024586A"/>
    <w:rsid w:val="00245DA3"/>
    <w:rsid w:val="00245DAC"/>
    <w:rsid w:val="00246978"/>
    <w:rsid w:val="00247D21"/>
    <w:rsid w:val="00247DAA"/>
    <w:rsid w:val="00247ED5"/>
    <w:rsid w:val="002502E1"/>
    <w:rsid w:val="002518A2"/>
    <w:rsid w:val="002528B3"/>
    <w:rsid w:val="00254985"/>
    <w:rsid w:val="00255B7E"/>
    <w:rsid w:val="00255E7E"/>
    <w:rsid w:val="00256174"/>
    <w:rsid w:val="00256F0C"/>
    <w:rsid w:val="00257C5D"/>
    <w:rsid w:val="00262C05"/>
    <w:rsid w:val="002647DE"/>
    <w:rsid w:val="00264E91"/>
    <w:rsid w:val="0027001E"/>
    <w:rsid w:val="002715AF"/>
    <w:rsid w:val="00271AC3"/>
    <w:rsid w:val="0027348F"/>
    <w:rsid w:val="00273CBB"/>
    <w:rsid w:val="00281D14"/>
    <w:rsid w:val="00282C13"/>
    <w:rsid w:val="002833D8"/>
    <w:rsid w:val="00283716"/>
    <w:rsid w:val="00283803"/>
    <w:rsid w:val="00283971"/>
    <w:rsid w:val="00286BF6"/>
    <w:rsid w:val="002932C6"/>
    <w:rsid w:val="00293C4D"/>
    <w:rsid w:val="00295D73"/>
    <w:rsid w:val="002968D9"/>
    <w:rsid w:val="002A0DF7"/>
    <w:rsid w:val="002A1CA8"/>
    <w:rsid w:val="002A2975"/>
    <w:rsid w:val="002A29A2"/>
    <w:rsid w:val="002A460D"/>
    <w:rsid w:val="002A5EE9"/>
    <w:rsid w:val="002A60E0"/>
    <w:rsid w:val="002B0FE6"/>
    <w:rsid w:val="002B2511"/>
    <w:rsid w:val="002B687A"/>
    <w:rsid w:val="002B773B"/>
    <w:rsid w:val="002C09D5"/>
    <w:rsid w:val="002C1344"/>
    <w:rsid w:val="002C20D6"/>
    <w:rsid w:val="002C252E"/>
    <w:rsid w:val="002C6018"/>
    <w:rsid w:val="002C6773"/>
    <w:rsid w:val="002D05A9"/>
    <w:rsid w:val="002D1CB7"/>
    <w:rsid w:val="002D1E9F"/>
    <w:rsid w:val="002D269A"/>
    <w:rsid w:val="002D292F"/>
    <w:rsid w:val="002D2A3D"/>
    <w:rsid w:val="002D5D1D"/>
    <w:rsid w:val="002D6EFD"/>
    <w:rsid w:val="002D74CF"/>
    <w:rsid w:val="002E0B17"/>
    <w:rsid w:val="002E1990"/>
    <w:rsid w:val="002E26B4"/>
    <w:rsid w:val="002E2988"/>
    <w:rsid w:val="002E411E"/>
    <w:rsid w:val="002E4FFB"/>
    <w:rsid w:val="002E7DED"/>
    <w:rsid w:val="002F0401"/>
    <w:rsid w:val="002F2C7C"/>
    <w:rsid w:val="002F31DA"/>
    <w:rsid w:val="002F563D"/>
    <w:rsid w:val="002F75CC"/>
    <w:rsid w:val="002F7CC3"/>
    <w:rsid w:val="002F7E11"/>
    <w:rsid w:val="00302CF9"/>
    <w:rsid w:val="00304087"/>
    <w:rsid w:val="003041A1"/>
    <w:rsid w:val="00304A8B"/>
    <w:rsid w:val="003057B1"/>
    <w:rsid w:val="003062AD"/>
    <w:rsid w:val="003064AC"/>
    <w:rsid w:val="00310ACD"/>
    <w:rsid w:val="0031146E"/>
    <w:rsid w:val="00311CB1"/>
    <w:rsid w:val="0031379F"/>
    <w:rsid w:val="0031621E"/>
    <w:rsid w:val="00316638"/>
    <w:rsid w:val="00316A16"/>
    <w:rsid w:val="00320429"/>
    <w:rsid w:val="00320909"/>
    <w:rsid w:val="00320A26"/>
    <w:rsid w:val="00321344"/>
    <w:rsid w:val="00323885"/>
    <w:rsid w:val="00325064"/>
    <w:rsid w:val="00325EC9"/>
    <w:rsid w:val="00330A28"/>
    <w:rsid w:val="00331488"/>
    <w:rsid w:val="003333AC"/>
    <w:rsid w:val="0033451C"/>
    <w:rsid w:val="003359EB"/>
    <w:rsid w:val="00336854"/>
    <w:rsid w:val="0033769B"/>
    <w:rsid w:val="00337AB4"/>
    <w:rsid w:val="0034015C"/>
    <w:rsid w:val="003402D8"/>
    <w:rsid w:val="003442F4"/>
    <w:rsid w:val="00350CB4"/>
    <w:rsid w:val="00351AE7"/>
    <w:rsid w:val="00353705"/>
    <w:rsid w:val="003562E8"/>
    <w:rsid w:val="003627F8"/>
    <w:rsid w:val="0036337F"/>
    <w:rsid w:val="0036357D"/>
    <w:rsid w:val="003649BC"/>
    <w:rsid w:val="00364BF6"/>
    <w:rsid w:val="00364F7E"/>
    <w:rsid w:val="00365E44"/>
    <w:rsid w:val="003662B1"/>
    <w:rsid w:val="00367AA1"/>
    <w:rsid w:val="00370A5B"/>
    <w:rsid w:val="0037148A"/>
    <w:rsid w:val="00371A15"/>
    <w:rsid w:val="0037234D"/>
    <w:rsid w:val="00372E36"/>
    <w:rsid w:val="0037380A"/>
    <w:rsid w:val="00375F7D"/>
    <w:rsid w:val="00376EE9"/>
    <w:rsid w:val="00376FFC"/>
    <w:rsid w:val="00377CBB"/>
    <w:rsid w:val="00382051"/>
    <w:rsid w:val="00382735"/>
    <w:rsid w:val="00384EDA"/>
    <w:rsid w:val="00384F62"/>
    <w:rsid w:val="00385438"/>
    <w:rsid w:val="003858E5"/>
    <w:rsid w:val="00385BCB"/>
    <w:rsid w:val="00386774"/>
    <w:rsid w:val="00387363"/>
    <w:rsid w:val="003877B6"/>
    <w:rsid w:val="00391539"/>
    <w:rsid w:val="00391A5F"/>
    <w:rsid w:val="00392F69"/>
    <w:rsid w:val="00393887"/>
    <w:rsid w:val="00394BED"/>
    <w:rsid w:val="00394C6B"/>
    <w:rsid w:val="003950C2"/>
    <w:rsid w:val="00396A5D"/>
    <w:rsid w:val="003A37C1"/>
    <w:rsid w:val="003A4DB5"/>
    <w:rsid w:val="003A4E2E"/>
    <w:rsid w:val="003A4E62"/>
    <w:rsid w:val="003A5A6A"/>
    <w:rsid w:val="003B1069"/>
    <w:rsid w:val="003B306D"/>
    <w:rsid w:val="003B3700"/>
    <w:rsid w:val="003B38CC"/>
    <w:rsid w:val="003B390A"/>
    <w:rsid w:val="003B3D71"/>
    <w:rsid w:val="003B4029"/>
    <w:rsid w:val="003B4E3A"/>
    <w:rsid w:val="003C13A8"/>
    <w:rsid w:val="003C15DE"/>
    <w:rsid w:val="003C2889"/>
    <w:rsid w:val="003C36F4"/>
    <w:rsid w:val="003C3D03"/>
    <w:rsid w:val="003C4EB2"/>
    <w:rsid w:val="003C61EC"/>
    <w:rsid w:val="003C6BE1"/>
    <w:rsid w:val="003C7E16"/>
    <w:rsid w:val="003C7FDA"/>
    <w:rsid w:val="003D284B"/>
    <w:rsid w:val="003D3968"/>
    <w:rsid w:val="003D404A"/>
    <w:rsid w:val="003D42AF"/>
    <w:rsid w:val="003D46D5"/>
    <w:rsid w:val="003D48D4"/>
    <w:rsid w:val="003D67EF"/>
    <w:rsid w:val="003D715C"/>
    <w:rsid w:val="003D76CD"/>
    <w:rsid w:val="003D7726"/>
    <w:rsid w:val="003E031D"/>
    <w:rsid w:val="003E0EE6"/>
    <w:rsid w:val="003E216F"/>
    <w:rsid w:val="003E6512"/>
    <w:rsid w:val="003F19D6"/>
    <w:rsid w:val="003F1AF3"/>
    <w:rsid w:val="003F3FEF"/>
    <w:rsid w:val="003F42E1"/>
    <w:rsid w:val="003F4D8D"/>
    <w:rsid w:val="003F4F63"/>
    <w:rsid w:val="003F5784"/>
    <w:rsid w:val="003F72BB"/>
    <w:rsid w:val="00400066"/>
    <w:rsid w:val="00401508"/>
    <w:rsid w:val="00401688"/>
    <w:rsid w:val="0040386D"/>
    <w:rsid w:val="00404066"/>
    <w:rsid w:val="00407A59"/>
    <w:rsid w:val="004104FE"/>
    <w:rsid w:val="00412332"/>
    <w:rsid w:val="00412EEE"/>
    <w:rsid w:val="004137C0"/>
    <w:rsid w:val="004138F3"/>
    <w:rsid w:val="004174D6"/>
    <w:rsid w:val="00420339"/>
    <w:rsid w:val="0042073E"/>
    <w:rsid w:val="00421F20"/>
    <w:rsid w:val="00421FB8"/>
    <w:rsid w:val="004228FF"/>
    <w:rsid w:val="00423DA8"/>
    <w:rsid w:val="00427198"/>
    <w:rsid w:val="00430747"/>
    <w:rsid w:val="004313E7"/>
    <w:rsid w:val="00432330"/>
    <w:rsid w:val="004324A7"/>
    <w:rsid w:val="004332A2"/>
    <w:rsid w:val="004339B2"/>
    <w:rsid w:val="0044022D"/>
    <w:rsid w:val="00441341"/>
    <w:rsid w:val="00442172"/>
    <w:rsid w:val="0044303A"/>
    <w:rsid w:val="004433E7"/>
    <w:rsid w:val="00444A70"/>
    <w:rsid w:val="00446CE1"/>
    <w:rsid w:val="004475D1"/>
    <w:rsid w:val="0044763B"/>
    <w:rsid w:val="00452504"/>
    <w:rsid w:val="00452696"/>
    <w:rsid w:val="0045292F"/>
    <w:rsid w:val="0045600B"/>
    <w:rsid w:val="00456A53"/>
    <w:rsid w:val="004615D7"/>
    <w:rsid w:val="0046266D"/>
    <w:rsid w:val="004629B3"/>
    <w:rsid w:val="0046376E"/>
    <w:rsid w:val="0046461E"/>
    <w:rsid w:val="00465320"/>
    <w:rsid w:val="0046554B"/>
    <w:rsid w:val="0046690F"/>
    <w:rsid w:val="0046718A"/>
    <w:rsid w:val="00472FEC"/>
    <w:rsid w:val="00476F05"/>
    <w:rsid w:val="004811A1"/>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447A"/>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D6873"/>
    <w:rsid w:val="004E0907"/>
    <w:rsid w:val="004E3341"/>
    <w:rsid w:val="004E4850"/>
    <w:rsid w:val="004E7FEB"/>
    <w:rsid w:val="004F033E"/>
    <w:rsid w:val="004F10C1"/>
    <w:rsid w:val="004F220D"/>
    <w:rsid w:val="004F5AD9"/>
    <w:rsid w:val="004F7F2B"/>
    <w:rsid w:val="00502E62"/>
    <w:rsid w:val="00505F85"/>
    <w:rsid w:val="0050625C"/>
    <w:rsid w:val="0050696A"/>
    <w:rsid w:val="00506B8A"/>
    <w:rsid w:val="00511803"/>
    <w:rsid w:val="005120B9"/>
    <w:rsid w:val="00515119"/>
    <w:rsid w:val="00515D7A"/>
    <w:rsid w:val="005166F6"/>
    <w:rsid w:val="0052212B"/>
    <w:rsid w:val="005230C7"/>
    <w:rsid w:val="0052565F"/>
    <w:rsid w:val="00525AEE"/>
    <w:rsid w:val="005266EA"/>
    <w:rsid w:val="005314A3"/>
    <w:rsid w:val="00534841"/>
    <w:rsid w:val="00534B46"/>
    <w:rsid w:val="00535F56"/>
    <w:rsid w:val="00537B4E"/>
    <w:rsid w:val="00540358"/>
    <w:rsid w:val="005407EC"/>
    <w:rsid w:val="00540D47"/>
    <w:rsid w:val="00542578"/>
    <w:rsid w:val="005428D7"/>
    <w:rsid w:val="00542D43"/>
    <w:rsid w:val="00542DD3"/>
    <w:rsid w:val="00542F43"/>
    <w:rsid w:val="00544715"/>
    <w:rsid w:val="0054525D"/>
    <w:rsid w:val="005463C3"/>
    <w:rsid w:val="00550864"/>
    <w:rsid w:val="00551D6C"/>
    <w:rsid w:val="0055571E"/>
    <w:rsid w:val="00555FF7"/>
    <w:rsid w:val="005567E2"/>
    <w:rsid w:val="00556F67"/>
    <w:rsid w:val="00565031"/>
    <w:rsid w:val="005652E8"/>
    <w:rsid w:val="00566096"/>
    <w:rsid w:val="00575457"/>
    <w:rsid w:val="00575BB6"/>
    <w:rsid w:val="0057667C"/>
    <w:rsid w:val="00576BDA"/>
    <w:rsid w:val="00580458"/>
    <w:rsid w:val="00581E62"/>
    <w:rsid w:val="005826DA"/>
    <w:rsid w:val="005833F0"/>
    <w:rsid w:val="00585C65"/>
    <w:rsid w:val="00586280"/>
    <w:rsid w:val="005865CC"/>
    <w:rsid w:val="005869CE"/>
    <w:rsid w:val="00586CAF"/>
    <w:rsid w:val="005873E9"/>
    <w:rsid w:val="005877E8"/>
    <w:rsid w:val="00591180"/>
    <w:rsid w:val="00591B6F"/>
    <w:rsid w:val="0059248D"/>
    <w:rsid w:val="00595613"/>
    <w:rsid w:val="00595B9C"/>
    <w:rsid w:val="0059722C"/>
    <w:rsid w:val="00597D07"/>
    <w:rsid w:val="005A16E6"/>
    <w:rsid w:val="005A1BB2"/>
    <w:rsid w:val="005A201F"/>
    <w:rsid w:val="005A30D7"/>
    <w:rsid w:val="005A3846"/>
    <w:rsid w:val="005A63CE"/>
    <w:rsid w:val="005A7E97"/>
    <w:rsid w:val="005B12AC"/>
    <w:rsid w:val="005B2CD2"/>
    <w:rsid w:val="005B4D92"/>
    <w:rsid w:val="005B4F69"/>
    <w:rsid w:val="005B538C"/>
    <w:rsid w:val="005B582B"/>
    <w:rsid w:val="005B6658"/>
    <w:rsid w:val="005B6A58"/>
    <w:rsid w:val="005C2E4C"/>
    <w:rsid w:val="005C3F32"/>
    <w:rsid w:val="005C4750"/>
    <w:rsid w:val="005C4A5B"/>
    <w:rsid w:val="005C58DB"/>
    <w:rsid w:val="005C7112"/>
    <w:rsid w:val="005D0561"/>
    <w:rsid w:val="005D0AD9"/>
    <w:rsid w:val="005D0F4D"/>
    <w:rsid w:val="005D1A67"/>
    <w:rsid w:val="005D22F6"/>
    <w:rsid w:val="005D68AA"/>
    <w:rsid w:val="005E0C30"/>
    <w:rsid w:val="005E3FBB"/>
    <w:rsid w:val="005E69D9"/>
    <w:rsid w:val="005F25E2"/>
    <w:rsid w:val="005F27F4"/>
    <w:rsid w:val="005F3239"/>
    <w:rsid w:val="005F5835"/>
    <w:rsid w:val="005F6567"/>
    <w:rsid w:val="005F7A8A"/>
    <w:rsid w:val="00600ACF"/>
    <w:rsid w:val="00601CAB"/>
    <w:rsid w:val="006034EA"/>
    <w:rsid w:val="006058ED"/>
    <w:rsid w:val="00607094"/>
    <w:rsid w:val="00607256"/>
    <w:rsid w:val="0060790C"/>
    <w:rsid w:val="00610304"/>
    <w:rsid w:val="00613322"/>
    <w:rsid w:val="006144B1"/>
    <w:rsid w:val="00615A20"/>
    <w:rsid w:val="006177FF"/>
    <w:rsid w:val="00620AF8"/>
    <w:rsid w:val="006212DD"/>
    <w:rsid w:val="00622A08"/>
    <w:rsid w:val="00625859"/>
    <w:rsid w:val="00626028"/>
    <w:rsid w:val="00626B5E"/>
    <w:rsid w:val="00626DF0"/>
    <w:rsid w:val="00627CB7"/>
    <w:rsid w:val="00631369"/>
    <w:rsid w:val="0063219D"/>
    <w:rsid w:val="00632854"/>
    <w:rsid w:val="006335F1"/>
    <w:rsid w:val="006342C5"/>
    <w:rsid w:val="006345B6"/>
    <w:rsid w:val="00635616"/>
    <w:rsid w:val="00635712"/>
    <w:rsid w:val="006368FF"/>
    <w:rsid w:val="006372E9"/>
    <w:rsid w:val="0064107F"/>
    <w:rsid w:val="0064184C"/>
    <w:rsid w:val="00641E6D"/>
    <w:rsid w:val="0064222A"/>
    <w:rsid w:val="00643D8A"/>
    <w:rsid w:val="00645A5C"/>
    <w:rsid w:val="00646C84"/>
    <w:rsid w:val="00652229"/>
    <w:rsid w:val="00652793"/>
    <w:rsid w:val="00653716"/>
    <w:rsid w:val="0066187E"/>
    <w:rsid w:val="00661F33"/>
    <w:rsid w:val="006626CA"/>
    <w:rsid w:val="00663487"/>
    <w:rsid w:val="00667CC1"/>
    <w:rsid w:val="00667E07"/>
    <w:rsid w:val="006703AB"/>
    <w:rsid w:val="00672382"/>
    <w:rsid w:val="00675835"/>
    <w:rsid w:val="00676986"/>
    <w:rsid w:val="0067716E"/>
    <w:rsid w:val="00681257"/>
    <w:rsid w:val="00682535"/>
    <w:rsid w:val="00682643"/>
    <w:rsid w:val="0068276D"/>
    <w:rsid w:val="00682EB9"/>
    <w:rsid w:val="0068441A"/>
    <w:rsid w:val="00690B19"/>
    <w:rsid w:val="00691A86"/>
    <w:rsid w:val="00695DA3"/>
    <w:rsid w:val="00696ABD"/>
    <w:rsid w:val="00697C34"/>
    <w:rsid w:val="006A0A3C"/>
    <w:rsid w:val="006A59E9"/>
    <w:rsid w:val="006A73A5"/>
    <w:rsid w:val="006A79F0"/>
    <w:rsid w:val="006B0BA1"/>
    <w:rsid w:val="006B0F52"/>
    <w:rsid w:val="006B4235"/>
    <w:rsid w:val="006B454D"/>
    <w:rsid w:val="006B47EE"/>
    <w:rsid w:val="006B499F"/>
    <w:rsid w:val="006B592A"/>
    <w:rsid w:val="006B748B"/>
    <w:rsid w:val="006B7E62"/>
    <w:rsid w:val="006C214A"/>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3006"/>
    <w:rsid w:val="006E348B"/>
    <w:rsid w:val="006E3F30"/>
    <w:rsid w:val="006E5032"/>
    <w:rsid w:val="006E5721"/>
    <w:rsid w:val="006E5881"/>
    <w:rsid w:val="006E5BDA"/>
    <w:rsid w:val="006E6365"/>
    <w:rsid w:val="006F0FC7"/>
    <w:rsid w:val="006F1848"/>
    <w:rsid w:val="006F27E7"/>
    <w:rsid w:val="006F39A9"/>
    <w:rsid w:val="006F4119"/>
    <w:rsid w:val="006F4724"/>
    <w:rsid w:val="006F50AC"/>
    <w:rsid w:val="006F643F"/>
    <w:rsid w:val="006F670F"/>
    <w:rsid w:val="006F77F3"/>
    <w:rsid w:val="00702921"/>
    <w:rsid w:val="00703272"/>
    <w:rsid w:val="007041BA"/>
    <w:rsid w:val="0070733C"/>
    <w:rsid w:val="0071028A"/>
    <w:rsid w:val="00710C5D"/>
    <w:rsid w:val="00713395"/>
    <w:rsid w:val="0071348C"/>
    <w:rsid w:val="00717273"/>
    <w:rsid w:val="00717F26"/>
    <w:rsid w:val="00720E78"/>
    <w:rsid w:val="00720FD4"/>
    <w:rsid w:val="007243F1"/>
    <w:rsid w:val="00724AF2"/>
    <w:rsid w:val="00727C2D"/>
    <w:rsid w:val="0073096C"/>
    <w:rsid w:val="0073100D"/>
    <w:rsid w:val="00731364"/>
    <w:rsid w:val="0073246B"/>
    <w:rsid w:val="007328ED"/>
    <w:rsid w:val="00732CA6"/>
    <w:rsid w:val="007333D0"/>
    <w:rsid w:val="00733429"/>
    <w:rsid w:val="00733A46"/>
    <w:rsid w:val="00735A8E"/>
    <w:rsid w:val="00735CD5"/>
    <w:rsid w:val="00735E2D"/>
    <w:rsid w:val="007419C8"/>
    <w:rsid w:val="00742398"/>
    <w:rsid w:val="00742911"/>
    <w:rsid w:val="007432A9"/>
    <w:rsid w:val="007455B9"/>
    <w:rsid w:val="00746918"/>
    <w:rsid w:val="007507B5"/>
    <w:rsid w:val="0075091D"/>
    <w:rsid w:val="00753A24"/>
    <w:rsid w:val="0075430D"/>
    <w:rsid w:val="007544FC"/>
    <w:rsid w:val="0075662E"/>
    <w:rsid w:val="00764547"/>
    <w:rsid w:val="007648C1"/>
    <w:rsid w:val="00765A93"/>
    <w:rsid w:val="00772188"/>
    <w:rsid w:val="0077222A"/>
    <w:rsid w:val="00772EDE"/>
    <w:rsid w:val="0077306F"/>
    <w:rsid w:val="00773C4A"/>
    <w:rsid w:val="007813D0"/>
    <w:rsid w:val="0078294E"/>
    <w:rsid w:val="00783799"/>
    <w:rsid w:val="007845AC"/>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1B45"/>
    <w:rsid w:val="007A2AAD"/>
    <w:rsid w:val="007A36ED"/>
    <w:rsid w:val="007A4432"/>
    <w:rsid w:val="007A53B3"/>
    <w:rsid w:val="007A5B82"/>
    <w:rsid w:val="007A784E"/>
    <w:rsid w:val="007A7E31"/>
    <w:rsid w:val="007B0792"/>
    <w:rsid w:val="007B08DF"/>
    <w:rsid w:val="007B2A5F"/>
    <w:rsid w:val="007B2DAD"/>
    <w:rsid w:val="007B4939"/>
    <w:rsid w:val="007B499C"/>
    <w:rsid w:val="007B4D4B"/>
    <w:rsid w:val="007B58C6"/>
    <w:rsid w:val="007B60D1"/>
    <w:rsid w:val="007C0646"/>
    <w:rsid w:val="007C13D5"/>
    <w:rsid w:val="007C1E9D"/>
    <w:rsid w:val="007C3AE3"/>
    <w:rsid w:val="007C474B"/>
    <w:rsid w:val="007C7432"/>
    <w:rsid w:val="007D0000"/>
    <w:rsid w:val="007D13D7"/>
    <w:rsid w:val="007D2A02"/>
    <w:rsid w:val="007D62A4"/>
    <w:rsid w:val="007E0748"/>
    <w:rsid w:val="007E1736"/>
    <w:rsid w:val="007E243B"/>
    <w:rsid w:val="007E2887"/>
    <w:rsid w:val="007E381A"/>
    <w:rsid w:val="007E44F1"/>
    <w:rsid w:val="007E65AA"/>
    <w:rsid w:val="007E6EA1"/>
    <w:rsid w:val="007E7F63"/>
    <w:rsid w:val="007F06E6"/>
    <w:rsid w:val="007F0F63"/>
    <w:rsid w:val="007F2B1E"/>
    <w:rsid w:val="007F36DC"/>
    <w:rsid w:val="007F4562"/>
    <w:rsid w:val="007F4590"/>
    <w:rsid w:val="007F62B4"/>
    <w:rsid w:val="007F7CF6"/>
    <w:rsid w:val="007F7DF9"/>
    <w:rsid w:val="0080006E"/>
    <w:rsid w:val="0080106D"/>
    <w:rsid w:val="00801517"/>
    <w:rsid w:val="00801649"/>
    <w:rsid w:val="00803A87"/>
    <w:rsid w:val="00804CE3"/>
    <w:rsid w:val="00806F73"/>
    <w:rsid w:val="00807F64"/>
    <w:rsid w:val="00813492"/>
    <w:rsid w:val="008159C7"/>
    <w:rsid w:val="0081612A"/>
    <w:rsid w:val="00817895"/>
    <w:rsid w:val="00817AE8"/>
    <w:rsid w:val="00817C08"/>
    <w:rsid w:val="00817DE8"/>
    <w:rsid w:val="008229F5"/>
    <w:rsid w:val="00822C71"/>
    <w:rsid w:val="00822D2D"/>
    <w:rsid w:val="00822D7D"/>
    <w:rsid w:val="00825B70"/>
    <w:rsid w:val="00826143"/>
    <w:rsid w:val="0082699A"/>
    <w:rsid w:val="00827F2A"/>
    <w:rsid w:val="00832633"/>
    <w:rsid w:val="008329B9"/>
    <w:rsid w:val="00832FC7"/>
    <w:rsid w:val="00833CEB"/>
    <w:rsid w:val="008372D2"/>
    <w:rsid w:val="00837336"/>
    <w:rsid w:val="008377BC"/>
    <w:rsid w:val="0084074C"/>
    <w:rsid w:val="008411D5"/>
    <w:rsid w:val="00844C17"/>
    <w:rsid w:val="00846017"/>
    <w:rsid w:val="00846443"/>
    <w:rsid w:val="00847726"/>
    <w:rsid w:val="00851CB1"/>
    <w:rsid w:val="00852511"/>
    <w:rsid w:val="00854685"/>
    <w:rsid w:val="00855D87"/>
    <w:rsid w:val="00857408"/>
    <w:rsid w:val="008578A9"/>
    <w:rsid w:val="0086072A"/>
    <w:rsid w:val="0086088F"/>
    <w:rsid w:val="008614F1"/>
    <w:rsid w:val="00861AA4"/>
    <w:rsid w:val="00861DEE"/>
    <w:rsid w:val="008639B3"/>
    <w:rsid w:val="00863C1A"/>
    <w:rsid w:val="00863EAC"/>
    <w:rsid w:val="008641FB"/>
    <w:rsid w:val="0086470F"/>
    <w:rsid w:val="00865126"/>
    <w:rsid w:val="0086521A"/>
    <w:rsid w:val="00865882"/>
    <w:rsid w:val="00866CDD"/>
    <w:rsid w:val="00866F54"/>
    <w:rsid w:val="008712FE"/>
    <w:rsid w:val="0087142D"/>
    <w:rsid w:val="00872928"/>
    <w:rsid w:val="00873416"/>
    <w:rsid w:val="00873956"/>
    <w:rsid w:val="00873CF5"/>
    <w:rsid w:val="008745AB"/>
    <w:rsid w:val="00877800"/>
    <w:rsid w:val="00880E72"/>
    <w:rsid w:val="008825EE"/>
    <w:rsid w:val="0088264F"/>
    <w:rsid w:val="0088336E"/>
    <w:rsid w:val="0088596E"/>
    <w:rsid w:val="00886C54"/>
    <w:rsid w:val="008870ED"/>
    <w:rsid w:val="008877FC"/>
    <w:rsid w:val="00893006"/>
    <w:rsid w:val="008942E8"/>
    <w:rsid w:val="0089765C"/>
    <w:rsid w:val="0089796A"/>
    <w:rsid w:val="008A004C"/>
    <w:rsid w:val="008A2375"/>
    <w:rsid w:val="008A54B6"/>
    <w:rsid w:val="008A6298"/>
    <w:rsid w:val="008A7CDB"/>
    <w:rsid w:val="008B0906"/>
    <w:rsid w:val="008B2BCB"/>
    <w:rsid w:val="008C1B59"/>
    <w:rsid w:val="008C2A96"/>
    <w:rsid w:val="008C6041"/>
    <w:rsid w:val="008C6821"/>
    <w:rsid w:val="008C74E3"/>
    <w:rsid w:val="008C7671"/>
    <w:rsid w:val="008D0268"/>
    <w:rsid w:val="008D5EE5"/>
    <w:rsid w:val="008D76C5"/>
    <w:rsid w:val="008D7A24"/>
    <w:rsid w:val="008E0A04"/>
    <w:rsid w:val="008E0AF9"/>
    <w:rsid w:val="008E0AFA"/>
    <w:rsid w:val="008E48FD"/>
    <w:rsid w:val="008E4B17"/>
    <w:rsid w:val="008E4CE5"/>
    <w:rsid w:val="008E75D3"/>
    <w:rsid w:val="008F02E9"/>
    <w:rsid w:val="008F0CE4"/>
    <w:rsid w:val="008F125E"/>
    <w:rsid w:val="008F2B54"/>
    <w:rsid w:val="008F4C1E"/>
    <w:rsid w:val="008F4D2F"/>
    <w:rsid w:val="008F510A"/>
    <w:rsid w:val="008F6D25"/>
    <w:rsid w:val="00900235"/>
    <w:rsid w:val="00900CFC"/>
    <w:rsid w:val="00904000"/>
    <w:rsid w:val="00904FDF"/>
    <w:rsid w:val="00906292"/>
    <w:rsid w:val="00906F00"/>
    <w:rsid w:val="0090795A"/>
    <w:rsid w:val="009129C3"/>
    <w:rsid w:val="00913A99"/>
    <w:rsid w:val="00914B5B"/>
    <w:rsid w:val="00915BD4"/>
    <w:rsid w:val="00917162"/>
    <w:rsid w:val="009172B9"/>
    <w:rsid w:val="009178AA"/>
    <w:rsid w:val="00917CF6"/>
    <w:rsid w:val="00920A30"/>
    <w:rsid w:val="00922748"/>
    <w:rsid w:val="009251CC"/>
    <w:rsid w:val="00925548"/>
    <w:rsid w:val="00926980"/>
    <w:rsid w:val="00926AE6"/>
    <w:rsid w:val="0092714E"/>
    <w:rsid w:val="00930986"/>
    <w:rsid w:val="00931F4C"/>
    <w:rsid w:val="009324F0"/>
    <w:rsid w:val="00934807"/>
    <w:rsid w:val="0093535F"/>
    <w:rsid w:val="00942002"/>
    <w:rsid w:val="00942359"/>
    <w:rsid w:val="00942AAE"/>
    <w:rsid w:val="009435FB"/>
    <w:rsid w:val="00947885"/>
    <w:rsid w:val="009504AB"/>
    <w:rsid w:val="00951212"/>
    <w:rsid w:val="00952168"/>
    <w:rsid w:val="009527FE"/>
    <w:rsid w:val="009529B2"/>
    <w:rsid w:val="009535A6"/>
    <w:rsid w:val="00954BB4"/>
    <w:rsid w:val="00956551"/>
    <w:rsid w:val="00960539"/>
    <w:rsid w:val="00961B24"/>
    <w:rsid w:val="00961B86"/>
    <w:rsid w:val="0096509E"/>
    <w:rsid w:val="00971FD4"/>
    <w:rsid w:val="009723B1"/>
    <w:rsid w:val="00973835"/>
    <w:rsid w:val="009739A0"/>
    <w:rsid w:val="009741E4"/>
    <w:rsid w:val="00974EE4"/>
    <w:rsid w:val="00974F29"/>
    <w:rsid w:val="00974F84"/>
    <w:rsid w:val="00976216"/>
    <w:rsid w:val="009767C7"/>
    <w:rsid w:val="00976F58"/>
    <w:rsid w:val="00977041"/>
    <w:rsid w:val="0097787E"/>
    <w:rsid w:val="00977986"/>
    <w:rsid w:val="009801ED"/>
    <w:rsid w:val="00981892"/>
    <w:rsid w:val="0098579A"/>
    <w:rsid w:val="00991475"/>
    <w:rsid w:val="009918DD"/>
    <w:rsid w:val="0099195A"/>
    <w:rsid w:val="00992A11"/>
    <w:rsid w:val="00994681"/>
    <w:rsid w:val="0099486A"/>
    <w:rsid w:val="00997AAD"/>
    <w:rsid w:val="009A0E26"/>
    <w:rsid w:val="009A16EC"/>
    <w:rsid w:val="009A1A45"/>
    <w:rsid w:val="009A1AC0"/>
    <w:rsid w:val="009A22C2"/>
    <w:rsid w:val="009A3854"/>
    <w:rsid w:val="009A420A"/>
    <w:rsid w:val="009A512F"/>
    <w:rsid w:val="009A65BD"/>
    <w:rsid w:val="009B0BA1"/>
    <w:rsid w:val="009B29B7"/>
    <w:rsid w:val="009B2C6F"/>
    <w:rsid w:val="009B3199"/>
    <w:rsid w:val="009B3B37"/>
    <w:rsid w:val="009B500D"/>
    <w:rsid w:val="009B7D1F"/>
    <w:rsid w:val="009C088E"/>
    <w:rsid w:val="009C1415"/>
    <w:rsid w:val="009C4D35"/>
    <w:rsid w:val="009C52FC"/>
    <w:rsid w:val="009C7CE1"/>
    <w:rsid w:val="009D0AC3"/>
    <w:rsid w:val="009D1165"/>
    <w:rsid w:val="009D1522"/>
    <w:rsid w:val="009D4D68"/>
    <w:rsid w:val="009D4EFE"/>
    <w:rsid w:val="009D58FB"/>
    <w:rsid w:val="009D7252"/>
    <w:rsid w:val="009E2890"/>
    <w:rsid w:val="009E4285"/>
    <w:rsid w:val="009E43AA"/>
    <w:rsid w:val="009E5EB4"/>
    <w:rsid w:val="009F00FC"/>
    <w:rsid w:val="009F16C7"/>
    <w:rsid w:val="009F1DB3"/>
    <w:rsid w:val="009F37DE"/>
    <w:rsid w:val="009F41D9"/>
    <w:rsid w:val="009F563C"/>
    <w:rsid w:val="009F610E"/>
    <w:rsid w:val="00A00DD1"/>
    <w:rsid w:val="00A00F7E"/>
    <w:rsid w:val="00A01A5D"/>
    <w:rsid w:val="00A044D6"/>
    <w:rsid w:val="00A0468C"/>
    <w:rsid w:val="00A04ADB"/>
    <w:rsid w:val="00A04F89"/>
    <w:rsid w:val="00A0538F"/>
    <w:rsid w:val="00A059A0"/>
    <w:rsid w:val="00A05F11"/>
    <w:rsid w:val="00A060EF"/>
    <w:rsid w:val="00A116E2"/>
    <w:rsid w:val="00A119D5"/>
    <w:rsid w:val="00A11E0F"/>
    <w:rsid w:val="00A141E9"/>
    <w:rsid w:val="00A15D78"/>
    <w:rsid w:val="00A1612F"/>
    <w:rsid w:val="00A161D9"/>
    <w:rsid w:val="00A16D49"/>
    <w:rsid w:val="00A171D8"/>
    <w:rsid w:val="00A175DC"/>
    <w:rsid w:val="00A207C7"/>
    <w:rsid w:val="00A20D2D"/>
    <w:rsid w:val="00A20EE2"/>
    <w:rsid w:val="00A216E5"/>
    <w:rsid w:val="00A230BB"/>
    <w:rsid w:val="00A26744"/>
    <w:rsid w:val="00A26998"/>
    <w:rsid w:val="00A26CB6"/>
    <w:rsid w:val="00A27A66"/>
    <w:rsid w:val="00A32F82"/>
    <w:rsid w:val="00A32F8B"/>
    <w:rsid w:val="00A33CF6"/>
    <w:rsid w:val="00A344E8"/>
    <w:rsid w:val="00A34D6C"/>
    <w:rsid w:val="00A3505C"/>
    <w:rsid w:val="00A3756F"/>
    <w:rsid w:val="00A37A18"/>
    <w:rsid w:val="00A40FD5"/>
    <w:rsid w:val="00A4276C"/>
    <w:rsid w:val="00A42D6F"/>
    <w:rsid w:val="00A4474B"/>
    <w:rsid w:val="00A45A62"/>
    <w:rsid w:val="00A47342"/>
    <w:rsid w:val="00A5315C"/>
    <w:rsid w:val="00A53296"/>
    <w:rsid w:val="00A53E51"/>
    <w:rsid w:val="00A5407E"/>
    <w:rsid w:val="00A54AC5"/>
    <w:rsid w:val="00A54DF6"/>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5C7A"/>
    <w:rsid w:val="00A75E63"/>
    <w:rsid w:val="00A81BAB"/>
    <w:rsid w:val="00A84116"/>
    <w:rsid w:val="00A842D5"/>
    <w:rsid w:val="00A877FA"/>
    <w:rsid w:val="00A87870"/>
    <w:rsid w:val="00A909D7"/>
    <w:rsid w:val="00A91A70"/>
    <w:rsid w:val="00A92F51"/>
    <w:rsid w:val="00A94D89"/>
    <w:rsid w:val="00A957F6"/>
    <w:rsid w:val="00A97316"/>
    <w:rsid w:val="00AA0799"/>
    <w:rsid w:val="00AA0D54"/>
    <w:rsid w:val="00AA1268"/>
    <w:rsid w:val="00AA1B85"/>
    <w:rsid w:val="00AA258F"/>
    <w:rsid w:val="00AA3290"/>
    <w:rsid w:val="00AA6853"/>
    <w:rsid w:val="00AB0EE9"/>
    <w:rsid w:val="00AB1CB6"/>
    <w:rsid w:val="00AB1D9A"/>
    <w:rsid w:val="00AB3C7F"/>
    <w:rsid w:val="00AB45F2"/>
    <w:rsid w:val="00AB5448"/>
    <w:rsid w:val="00AB6C95"/>
    <w:rsid w:val="00AC3540"/>
    <w:rsid w:val="00AC35B4"/>
    <w:rsid w:val="00AC4DC1"/>
    <w:rsid w:val="00AD0C22"/>
    <w:rsid w:val="00AD442C"/>
    <w:rsid w:val="00AD44FE"/>
    <w:rsid w:val="00AD5077"/>
    <w:rsid w:val="00AD5A37"/>
    <w:rsid w:val="00AD6BF9"/>
    <w:rsid w:val="00AE05A4"/>
    <w:rsid w:val="00AE25FC"/>
    <w:rsid w:val="00AE3E1A"/>
    <w:rsid w:val="00AE400C"/>
    <w:rsid w:val="00AE48EF"/>
    <w:rsid w:val="00AE49F1"/>
    <w:rsid w:val="00AE4A1C"/>
    <w:rsid w:val="00AE4B7A"/>
    <w:rsid w:val="00AE5532"/>
    <w:rsid w:val="00AE67F4"/>
    <w:rsid w:val="00AF3411"/>
    <w:rsid w:val="00AF36C9"/>
    <w:rsid w:val="00AF79D0"/>
    <w:rsid w:val="00B04C53"/>
    <w:rsid w:val="00B05CCA"/>
    <w:rsid w:val="00B11F16"/>
    <w:rsid w:val="00B138C3"/>
    <w:rsid w:val="00B14271"/>
    <w:rsid w:val="00B15A1F"/>
    <w:rsid w:val="00B16270"/>
    <w:rsid w:val="00B17765"/>
    <w:rsid w:val="00B17B32"/>
    <w:rsid w:val="00B23C16"/>
    <w:rsid w:val="00B23C52"/>
    <w:rsid w:val="00B259E1"/>
    <w:rsid w:val="00B2685D"/>
    <w:rsid w:val="00B2695B"/>
    <w:rsid w:val="00B27006"/>
    <w:rsid w:val="00B30351"/>
    <w:rsid w:val="00B31BE4"/>
    <w:rsid w:val="00B33C2A"/>
    <w:rsid w:val="00B35967"/>
    <w:rsid w:val="00B400FE"/>
    <w:rsid w:val="00B40396"/>
    <w:rsid w:val="00B4092D"/>
    <w:rsid w:val="00B41706"/>
    <w:rsid w:val="00B422EC"/>
    <w:rsid w:val="00B4276F"/>
    <w:rsid w:val="00B44875"/>
    <w:rsid w:val="00B46713"/>
    <w:rsid w:val="00B46B4A"/>
    <w:rsid w:val="00B47F0A"/>
    <w:rsid w:val="00B50B6B"/>
    <w:rsid w:val="00B535FF"/>
    <w:rsid w:val="00B54885"/>
    <w:rsid w:val="00B54D71"/>
    <w:rsid w:val="00B57DF5"/>
    <w:rsid w:val="00B57F9A"/>
    <w:rsid w:val="00B61D49"/>
    <w:rsid w:val="00B634AB"/>
    <w:rsid w:val="00B63624"/>
    <w:rsid w:val="00B65592"/>
    <w:rsid w:val="00B65DA8"/>
    <w:rsid w:val="00B665A1"/>
    <w:rsid w:val="00B66D10"/>
    <w:rsid w:val="00B70AA3"/>
    <w:rsid w:val="00B724E4"/>
    <w:rsid w:val="00B726D4"/>
    <w:rsid w:val="00B72CC5"/>
    <w:rsid w:val="00B75933"/>
    <w:rsid w:val="00B75D66"/>
    <w:rsid w:val="00B76B72"/>
    <w:rsid w:val="00B81618"/>
    <w:rsid w:val="00B81DEA"/>
    <w:rsid w:val="00B8214F"/>
    <w:rsid w:val="00B82B43"/>
    <w:rsid w:val="00B82B48"/>
    <w:rsid w:val="00B84E9C"/>
    <w:rsid w:val="00B85133"/>
    <w:rsid w:val="00B86A4F"/>
    <w:rsid w:val="00B91CBC"/>
    <w:rsid w:val="00B93035"/>
    <w:rsid w:val="00B945CA"/>
    <w:rsid w:val="00B952B2"/>
    <w:rsid w:val="00B9576F"/>
    <w:rsid w:val="00B958E8"/>
    <w:rsid w:val="00B95BF8"/>
    <w:rsid w:val="00B97E4A"/>
    <w:rsid w:val="00BA09B2"/>
    <w:rsid w:val="00BA0B63"/>
    <w:rsid w:val="00BA0F35"/>
    <w:rsid w:val="00BA207C"/>
    <w:rsid w:val="00BA28F3"/>
    <w:rsid w:val="00BA42DA"/>
    <w:rsid w:val="00BA42FE"/>
    <w:rsid w:val="00BA465D"/>
    <w:rsid w:val="00BA5B46"/>
    <w:rsid w:val="00BA7232"/>
    <w:rsid w:val="00BB0327"/>
    <w:rsid w:val="00BB0739"/>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20E5"/>
    <w:rsid w:val="00BD3A53"/>
    <w:rsid w:val="00BD3AF5"/>
    <w:rsid w:val="00BD6035"/>
    <w:rsid w:val="00BD631B"/>
    <w:rsid w:val="00BD656A"/>
    <w:rsid w:val="00BD6BDE"/>
    <w:rsid w:val="00BE2210"/>
    <w:rsid w:val="00BE28C2"/>
    <w:rsid w:val="00BE2D0A"/>
    <w:rsid w:val="00BE3AD1"/>
    <w:rsid w:val="00BE47D4"/>
    <w:rsid w:val="00BE616C"/>
    <w:rsid w:val="00BE793A"/>
    <w:rsid w:val="00BE7A0B"/>
    <w:rsid w:val="00BE7BB4"/>
    <w:rsid w:val="00BF11B1"/>
    <w:rsid w:val="00BF1887"/>
    <w:rsid w:val="00BF1EC9"/>
    <w:rsid w:val="00BF2017"/>
    <w:rsid w:val="00BF2A29"/>
    <w:rsid w:val="00BF2B82"/>
    <w:rsid w:val="00BF432A"/>
    <w:rsid w:val="00BF6CB4"/>
    <w:rsid w:val="00BF6E82"/>
    <w:rsid w:val="00BF7D9B"/>
    <w:rsid w:val="00C045D1"/>
    <w:rsid w:val="00C057E5"/>
    <w:rsid w:val="00C060C7"/>
    <w:rsid w:val="00C06396"/>
    <w:rsid w:val="00C06F76"/>
    <w:rsid w:val="00C10EA4"/>
    <w:rsid w:val="00C132DD"/>
    <w:rsid w:val="00C13F7E"/>
    <w:rsid w:val="00C17A38"/>
    <w:rsid w:val="00C20C32"/>
    <w:rsid w:val="00C21897"/>
    <w:rsid w:val="00C24C17"/>
    <w:rsid w:val="00C25662"/>
    <w:rsid w:val="00C27240"/>
    <w:rsid w:val="00C300CC"/>
    <w:rsid w:val="00C31148"/>
    <w:rsid w:val="00C34829"/>
    <w:rsid w:val="00C359B3"/>
    <w:rsid w:val="00C3699C"/>
    <w:rsid w:val="00C3758F"/>
    <w:rsid w:val="00C40B88"/>
    <w:rsid w:val="00C40FD1"/>
    <w:rsid w:val="00C439F9"/>
    <w:rsid w:val="00C44489"/>
    <w:rsid w:val="00C44FC2"/>
    <w:rsid w:val="00C45028"/>
    <w:rsid w:val="00C46BAC"/>
    <w:rsid w:val="00C47D87"/>
    <w:rsid w:val="00C511CD"/>
    <w:rsid w:val="00C516A3"/>
    <w:rsid w:val="00C52F76"/>
    <w:rsid w:val="00C5376E"/>
    <w:rsid w:val="00C55AEE"/>
    <w:rsid w:val="00C5627D"/>
    <w:rsid w:val="00C5701B"/>
    <w:rsid w:val="00C60651"/>
    <w:rsid w:val="00C608C1"/>
    <w:rsid w:val="00C61161"/>
    <w:rsid w:val="00C639C2"/>
    <w:rsid w:val="00C64D40"/>
    <w:rsid w:val="00C66218"/>
    <w:rsid w:val="00C677C9"/>
    <w:rsid w:val="00C70DBC"/>
    <w:rsid w:val="00C76ECD"/>
    <w:rsid w:val="00C8065D"/>
    <w:rsid w:val="00C808A6"/>
    <w:rsid w:val="00C81B8A"/>
    <w:rsid w:val="00C83C29"/>
    <w:rsid w:val="00C84824"/>
    <w:rsid w:val="00C855DB"/>
    <w:rsid w:val="00C855F3"/>
    <w:rsid w:val="00C85A2F"/>
    <w:rsid w:val="00C86270"/>
    <w:rsid w:val="00C86B56"/>
    <w:rsid w:val="00C9128B"/>
    <w:rsid w:val="00C97091"/>
    <w:rsid w:val="00C97260"/>
    <w:rsid w:val="00CA1F0F"/>
    <w:rsid w:val="00CA2001"/>
    <w:rsid w:val="00CA6361"/>
    <w:rsid w:val="00CA69DB"/>
    <w:rsid w:val="00CA7B7C"/>
    <w:rsid w:val="00CB0160"/>
    <w:rsid w:val="00CB091B"/>
    <w:rsid w:val="00CB3782"/>
    <w:rsid w:val="00CB5B6C"/>
    <w:rsid w:val="00CB5DAE"/>
    <w:rsid w:val="00CB6DD5"/>
    <w:rsid w:val="00CC052E"/>
    <w:rsid w:val="00CC328D"/>
    <w:rsid w:val="00CC3A13"/>
    <w:rsid w:val="00CD0731"/>
    <w:rsid w:val="00CD0DB3"/>
    <w:rsid w:val="00CD147F"/>
    <w:rsid w:val="00CD16BE"/>
    <w:rsid w:val="00CD2268"/>
    <w:rsid w:val="00CD33A5"/>
    <w:rsid w:val="00CD4616"/>
    <w:rsid w:val="00CD56AF"/>
    <w:rsid w:val="00CD64E3"/>
    <w:rsid w:val="00CD6F17"/>
    <w:rsid w:val="00CD7D77"/>
    <w:rsid w:val="00CE087D"/>
    <w:rsid w:val="00CE33D5"/>
    <w:rsid w:val="00CE3BCE"/>
    <w:rsid w:val="00CE3F2D"/>
    <w:rsid w:val="00CE4712"/>
    <w:rsid w:val="00CF13E9"/>
    <w:rsid w:val="00CF22D9"/>
    <w:rsid w:val="00CF234D"/>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7467"/>
    <w:rsid w:val="00D07A0C"/>
    <w:rsid w:val="00D10D4D"/>
    <w:rsid w:val="00D12024"/>
    <w:rsid w:val="00D17A5E"/>
    <w:rsid w:val="00D17E3B"/>
    <w:rsid w:val="00D17FC9"/>
    <w:rsid w:val="00D2119E"/>
    <w:rsid w:val="00D2306F"/>
    <w:rsid w:val="00D23C09"/>
    <w:rsid w:val="00D23CED"/>
    <w:rsid w:val="00D241D1"/>
    <w:rsid w:val="00D24939"/>
    <w:rsid w:val="00D24BD2"/>
    <w:rsid w:val="00D250AF"/>
    <w:rsid w:val="00D2573D"/>
    <w:rsid w:val="00D260A2"/>
    <w:rsid w:val="00D26D4D"/>
    <w:rsid w:val="00D27B53"/>
    <w:rsid w:val="00D308B8"/>
    <w:rsid w:val="00D30CC6"/>
    <w:rsid w:val="00D31722"/>
    <w:rsid w:val="00D3260C"/>
    <w:rsid w:val="00D3397A"/>
    <w:rsid w:val="00D33DB5"/>
    <w:rsid w:val="00D35790"/>
    <w:rsid w:val="00D36DF7"/>
    <w:rsid w:val="00D36FDC"/>
    <w:rsid w:val="00D40ECC"/>
    <w:rsid w:val="00D42585"/>
    <w:rsid w:val="00D51350"/>
    <w:rsid w:val="00D519AF"/>
    <w:rsid w:val="00D532A9"/>
    <w:rsid w:val="00D5437A"/>
    <w:rsid w:val="00D5611E"/>
    <w:rsid w:val="00D5653B"/>
    <w:rsid w:val="00D56BCF"/>
    <w:rsid w:val="00D5726D"/>
    <w:rsid w:val="00D60843"/>
    <w:rsid w:val="00D61D6E"/>
    <w:rsid w:val="00D628AF"/>
    <w:rsid w:val="00D62EF1"/>
    <w:rsid w:val="00D6309D"/>
    <w:rsid w:val="00D6384E"/>
    <w:rsid w:val="00D644CA"/>
    <w:rsid w:val="00D64EA0"/>
    <w:rsid w:val="00D66FC2"/>
    <w:rsid w:val="00D670C9"/>
    <w:rsid w:val="00D7044E"/>
    <w:rsid w:val="00D74A5C"/>
    <w:rsid w:val="00D757DD"/>
    <w:rsid w:val="00D76C7E"/>
    <w:rsid w:val="00D771DE"/>
    <w:rsid w:val="00D7776D"/>
    <w:rsid w:val="00D77875"/>
    <w:rsid w:val="00D834F1"/>
    <w:rsid w:val="00D83609"/>
    <w:rsid w:val="00D83DCD"/>
    <w:rsid w:val="00D84494"/>
    <w:rsid w:val="00D876D6"/>
    <w:rsid w:val="00D90BBF"/>
    <w:rsid w:val="00D90EE9"/>
    <w:rsid w:val="00D92179"/>
    <w:rsid w:val="00D922C6"/>
    <w:rsid w:val="00D927DF"/>
    <w:rsid w:val="00D9293F"/>
    <w:rsid w:val="00D92DE7"/>
    <w:rsid w:val="00D93598"/>
    <w:rsid w:val="00D93FDD"/>
    <w:rsid w:val="00D94A39"/>
    <w:rsid w:val="00D957EB"/>
    <w:rsid w:val="00DA1E18"/>
    <w:rsid w:val="00DA2009"/>
    <w:rsid w:val="00DA3801"/>
    <w:rsid w:val="00DA7769"/>
    <w:rsid w:val="00DB05B1"/>
    <w:rsid w:val="00DB2781"/>
    <w:rsid w:val="00DB2823"/>
    <w:rsid w:val="00DB2D74"/>
    <w:rsid w:val="00DB36E9"/>
    <w:rsid w:val="00DB3786"/>
    <w:rsid w:val="00DB4782"/>
    <w:rsid w:val="00DB59E8"/>
    <w:rsid w:val="00DB5A79"/>
    <w:rsid w:val="00DB7756"/>
    <w:rsid w:val="00DC1530"/>
    <w:rsid w:val="00DC1F08"/>
    <w:rsid w:val="00DC2465"/>
    <w:rsid w:val="00DC523F"/>
    <w:rsid w:val="00DC7D48"/>
    <w:rsid w:val="00DD12BD"/>
    <w:rsid w:val="00DD145A"/>
    <w:rsid w:val="00DD17B7"/>
    <w:rsid w:val="00DD1A30"/>
    <w:rsid w:val="00DD33C9"/>
    <w:rsid w:val="00DD512E"/>
    <w:rsid w:val="00DD5274"/>
    <w:rsid w:val="00DD531B"/>
    <w:rsid w:val="00DD55B9"/>
    <w:rsid w:val="00DD58D5"/>
    <w:rsid w:val="00DD5EC8"/>
    <w:rsid w:val="00DE0C42"/>
    <w:rsid w:val="00DE112C"/>
    <w:rsid w:val="00DE1177"/>
    <w:rsid w:val="00DE1C50"/>
    <w:rsid w:val="00DE2CEA"/>
    <w:rsid w:val="00DE33CF"/>
    <w:rsid w:val="00DE52C8"/>
    <w:rsid w:val="00DE6154"/>
    <w:rsid w:val="00DE61C7"/>
    <w:rsid w:val="00DE63BD"/>
    <w:rsid w:val="00DE6A3C"/>
    <w:rsid w:val="00DE74F4"/>
    <w:rsid w:val="00DE76A5"/>
    <w:rsid w:val="00DE7F97"/>
    <w:rsid w:val="00DF1010"/>
    <w:rsid w:val="00DF1C80"/>
    <w:rsid w:val="00DF2002"/>
    <w:rsid w:val="00DF25F5"/>
    <w:rsid w:val="00DF5298"/>
    <w:rsid w:val="00DF5AEA"/>
    <w:rsid w:val="00DF63F6"/>
    <w:rsid w:val="00DF7BD0"/>
    <w:rsid w:val="00E0174F"/>
    <w:rsid w:val="00E0219D"/>
    <w:rsid w:val="00E0374B"/>
    <w:rsid w:val="00E03EAA"/>
    <w:rsid w:val="00E04784"/>
    <w:rsid w:val="00E07D11"/>
    <w:rsid w:val="00E10B28"/>
    <w:rsid w:val="00E117FD"/>
    <w:rsid w:val="00E13747"/>
    <w:rsid w:val="00E14758"/>
    <w:rsid w:val="00E21088"/>
    <w:rsid w:val="00E2166F"/>
    <w:rsid w:val="00E21C2A"/>
    <w:rsid w:val="00E22C40"/>
    <w:rsid w:val="00E23E29"/>
    <w:rsid w:val="00E24632"/>
    <w:rsid w:val="00E25AEA"/>
    <w:rsid w:val="00E30D26"/>
    <w:rsid w:val="00E30DEF"/>
    <w:rsid w:val="00E30ED2"/>
    <w:rsid w:val="00E31276"/>
    <w:rsid w:val="00E31B77"/>
    <w:rsid w:val="00E32102"/>
    <w:rsid w:val="00E34666"/>
    <w:rsid w:val="00E35C6F"/>
    <w:rsid w:val="00E3600B"/>
    <w:rsid w:val="00E36A66"/>
    <w:rsid w:val="00E37B51"/>
    <w:rsid w:val="00E37F70"/>
    <w:rsid w:val="00E4017F"/>
    <w:rsid w:val="00E41377"/>
    <w:rsid w:val="00E41985"/>
    <w:rsid w:val="00E446C1"/>
    <w:rsid w:val="00E446D4"/>
    <w:rsid w:val="00E461C4"/>
    <w:rsid w:val="00E46BCD"/>
    <w:rsid w:val="00E50A53"/>
    <w:rsid w:val="00E5376C"/>
    <w:rsid w:val="00E53786"/>
    <w:rsid w:val="00E545D7"/>
    <w:rsid w:val="00E547FE"/>
    <w:rsid w:val="00E5669C"/>
    <w:rsid w:val="00E57DDC"/>
    <w:rsid w:val="00E6024E"/>
    <w:rsid w:val="00E60ECA"/>
    <w:rsid w:val="00E613AB"/>
    <w:rsid w:val="00E61705"/>
    <w:rsid w:val="00E61783"/>
    <w:rsid w:val="00E62786"/>
    <w:rsid w:val="00E663B6"/>
    <w:rsid w:val="00E6780D"/>
    <w:rsid w:val="00E752AE"/>
    <w:rsid w:val="00E758B9"/>
    <w:rsid w:val="00E811FD"/>
    <w:rsid w:val="00E81620"/>
    <w:rsid w:val="00E81BA3"/>
    <w:rsid w:val="00E82191"/>
    <w:rsid w:val="00E828EE"/>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3BCC"/>
    <w:rsid w:val="00EA3DCD"/>
    <w:rsid w:val="00EA3FFE"/>
    <w:rsid w:val="00EA539B"/>
    <w:rsid w:val="00EA55B4"/>
    <w:rsid w:val="00EA5A89"/>
    <w:rsid w:val="00EA5BDB"/>
    <w:rsid w:val="00EA63E6"/>
    <w:rsid w:val="00EA63FA"/>
    <w:rsid w:val="00EB051C"/>
    <w:rsid w:val="00EB46D9"/>
    <w:rsid w:val="00EB5823"/>
    <w:rsid w:val="00EB64C3"/>
    <w:rsid w:val="00EB7099"/>
    <w:rsid w:val="00EC0BBF"/>
    <w:rsid w:val="00EC0E64"/>
    <w:rsid w:val="00EC142D"/>
    <w:rsid w:val="00EC1E16"/>
    <w:rsid w:val="00EC22F4"/>
    <w:rsid w:val="00EC2DD1"/>
    <w:rsid w:val="00EC52DA"/>
    <w:rsid w:val="00EC5459"/>
    <w:rsid w:val="00EC7003"/>
    <w:rsid w:val="00EC7100"/>
    <w:rsid w:val="00ED0024"/>
    <w:rsid w:val="00ED0EA0"/>
    <w:rsid w:val="00ED0F85"/>
    <w:rsid w:val="00ED136E"/>
    <w:rsid w:val="00ED1BD7"/>
    <w:rsid w:val="00ED2B5C"/>
    <w:rsid w:val="00ED3269"/>
    <w:rsid w:val="00ED3A18"/>
    <w:rsid w:val="00ED75D1"/>
    <w:rsid w:val="00ED75FE"/>
    <w:rsid w:val="00ED7836"/>
    <w:rsid w:val="00ED7A67"/>
    <w:rsid w:val="00EE020F"/>
    <w:rsid w:val="00EE1A8C"/>
    <w:rsid w:val="00EE2E77"/>
    <w:rsid w:val="00EE44AE"/>
    <w:rsid w:val="00EE4643"/>
    <w:rsid w:val="00EE529F"/>
    <w:rsid w:val="00EE7F1A"/>
    <w:rsid w:val="00EF09BC"/>
    <w:rsid w:val="00EF1330"/>
    <w:rsid w:val="00EF15FF"/>
    <w:rsid w:val="00EF2293"/>
    <w:rsid w:val="00EF26B3"/>
    <w:rsid w:val="00EF26EB"/>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072E2"/>
    <w:rsid w:val="00F105AE"/>
    <w:rsid w:val="00F108A8"/>
    <w:rsid w:val="00F11830"/>
    <w:rsid w:val="00F135BE"/>
    <w:rsid w:val="00F15041"/>
    <w:rsid w:val="00F15475"/>
    <w:rsid w:val="00F216E1"/>
    <w:rsid w:val="00F22FE6"/>
    <w:rsid w:val="00F24B37"/>
    <w:rsid w:val="00F25DC4"/>
    <w:rsid w:val="00F266D2"/>
    <w:rsid w:val="00F26E64"/>
    <w:rsid w:val="00F270E9"/>
    <w:rsid w:val="00F27440"/>
    <w:rsid w:val="00F275C0"/>
    <w:rsid w:val="00F317B5"/>
    <w:rsid w:val="00F322CF"/>
    <w:rsid w:val="00F346B6"/>
    <w:rsid w:val="00F36145"/>
    <w:rsid w:val="00F37BDD"/>
    <w:rsid w:val="00F41503"/>
    <w:rsid w:val="00F41AA3"/>
    <w:rsid w:val="00F44B8B"/>
    <w:rsid w:val="00F44D82"/>
    <w:rsid w:val="00F4532C"/>
    <w:rsid w:val="00F46207"/>
    <w:rsid w:val="00F466C8"/>
    <w:rsid w:val="00F469A9"/>
    <w:rsid w:val="00F46B50"/>
    <w:rsid w:val="00F46DD7"/>
    <w:rsid w:val="00F47C20"/>
    <w:rsid w:val="00F47DDB"/>
    <w:rsid w:val="00F50B46"/>
    <w:rsid w:val="00F50D1F"/>
    <w:rsid w:val="00F512A1"/>
    <w:rsid w:val="00F51545"/>
    <w:rsid w:val="00F532A5"/>
    <w:rsid w:val="00F54163"/>
    <w:rsid w:val="00F56043"/>
    <w:rsid w:val="00F56BD8"/>
    <w:rsid w:val="00F57E26"/>
    <w:rsid w:val="00F6171A"/>
    <w:rsid w:val="00F628E9"/>
    <w:rsid w:val="00F635FC"/>
    <w:rsid w:val="00F63D03"/>
    <w:rsid w:val="00F63D84"/>
    <w:rsid w:val="00F65615"/>
    <w:rsid w:val="00F658C9"/>
    <w:rsid w:val="00F65E2F"/>
    <w:rsid w:val="00F66832"/>
    <w:rsid w:val="00F6703D"/>
    <w:rsid w:val="00F67DF1"/>
    <w:rsid w:val="00F67DF6"/>
    <w:rsid w:val="00F7054E"/>
    <w:rsid w:val="00F72C76"/>
    <w:rsid w:val="00F742C5"/>
    <w:rsid w:val="00F74C74"/>
    <w:rsid w:val="00F75193"/>
    <w:rsid w:val="00F754FF"/>
    <w:rsid w:val="00F7562B"/>
    <w:rsid w:val="00F82079"/>
    <w:rsid w:val="00F8309B"/>
    <w:rsid w:val="00F833C9"/>
    <w:rsid w:val="00F861F1"/>
    <w:rsid w:val="00F86BE2"/>
    <w:rsid w:val="00F90064"/>
    <w:rsid w:val="00F937B9"/>
    <w:rsid w:val="00F94217"/>
    <w:rsid w:val="00F9586C"/>
    <w:rsid w:val="00F96AFD"/>
    <w:rsid w:val="00FA07F4"/>
    <w:rsid w:val="00FA0AB1"/>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7C2"/>
    <w:rsid w:val="00FC27C8"/>
    <w:rsid w:val="00FC4477"/>
    <w:rsid w:val="00FC46FB"/>
    <w:rsid w:val="00FC72C9"/>
    <w:rsid w:val="00FC7B66"/>
    <w:rsid w:val="00FD0C2F"/>
    <w:rsid w:val="00FD106C"/>
    <w:rsid w:val="00FD2BD3"/>
    <w:rsid w:val="00FD3349"/>
    <w:rsid w:val="00FD3DEF"/>
    <w:rsid w:val="00FD45B3"/>
    <w:rsid w:val="00FD4CCA"/>
    <w:rsid w:val="00FD6C53"/>
    <w:rsid w:val="00FE01B7"/>
    <w:rsid w:val="00FE234B"/>
    <w:rsid w:val="00FE24FA"/>
    <w:rsid w:val="00FE2A9E"/>
    <w:rsid w:val="00FE34B3"/>
    <w:rsid w:val="00FE46B7"/>
    <w:rsid w:val="00FE575B"/>
    <w:rsid w:val="00FF0278"/>
    <w:rsid w:val="00FF0374"/>
    <w:rsid w:val="00FF0420"/>
    <w:rsid w:val="00FF53B5"/>
    <w:rsid w:val="00FF6419"/>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9388E0"/>
  <w15:docId w15:val="{CE526243-5D3D-4865-A923-CF363DCB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EastAsia" w:hAnsi="Segoe UI"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Samp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line="276" w:lineRule="auto"/>
      <w:jc w:val="both"/>
    </w:pPr>
    <w:rPr>
      <w:sz w:val="22"/>
      <w:szCs w:val="24"/>
    </w:rPr>
  </w:style>
  <w:style w:type="paragraph" w:styleId="1">
    <w:name w:val="heading 1"/>
    <w:basedOn w:val="a"/>
    <w:next w:val="a"/>
    <w:link w:val="10"/>
    <w:uiPriority w:val="99"/>
    <w:qFormat/>
    <w:pPr>
      <w:keepNext/>
      <w:spacing w:line="420" w:lineRule="atLeast"/>
      <w:outlineLvl w:val="0"/>
    </w:pPr>
    <w:rPr>
      <w:rFonts w:cs="Arial"/>
      <w:b/>
      <w:bCs/>
      <w:kern w:val="32"/>
      <w:sz w:val="36"/>
      <w:szCs w:val="32"/>
    </w:rPr>
  </w:style>
  <w:style w:type="paragraph" w:styleId="2">
    <w:name w:val="heading 2"/>
    <w:basedOn w:val="a"/>
    <w:next w:val="a"/>
    <w:qFormat/>
    <w:pPr>
      <w:keepNext/>
      <w:outlineLvl w:val="1"/>
    </w:pPr>
    <w:rPr>
      <w:rFonts w:cs="Arial"/>
      <w:bCs/>
      <w:iCs/>
      <w:color w:val="E1000F"/>
      <w:szCs w:val="28"/>
    </w:rPr>
  </w:style>
  <w:style w:type="paragraph" w:styleId="3">
    <w:name w:val="heading 3"/>
    <w:basedOn w:val="2"/>
    <w:next w:val="a"/>
    <w:qFormat/>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pPr>
      <w:spacing w:line="240" w:lineRule="auto"/>
      <w:jc w:val="both"/>
    </w:pPr>
    <w:rPr>
      <w:rFonts w:ascii="Segoe UI" w:hAnsi="Segoe UI"/>
      <w:b/>
      <w:bCs/>
      <w:lang w:val="en-US"/>
    </w:rPr>
  </w:style>
  <w:style w:type="paragraph" w:styleId="a4">
    <w:name w:val="annotation text"/>
    <w:basedOn w:val="a"/>
    <w:link w:val="a6"/>
    <w:uiPriority w:val="99"/>
    <w:qFormat/>
    <w:pPr>
      <w:spacing w:line="260" w:lineRule="atLeast"/>
      <w:jc w:val="left"/>
    </w:pPr>
    <w:rPr>
      <w:rFonts w:ascii="Arial" w:eastAsia="宋体" w:hAnsi="Arial"/>
      <w:sz w:val="20"/>
      <w:szCs w:val="20"/>
      <w:lang w:val="de-DE"/>
    </w:rPr>
  </w:style>
  <w:style w:type="paragraph" w:styleId="a7">
    <w:name w:val="Body Text"/>
    <w:basedOn w:val="a"/>
    <w:link w:val="a8"/>
    <w:qFormat/>
    <w:pPr>
      <w:spacing w:line="360" w:lineRule="auto"/>
    </w:pPr>
    <w:rPr>
      <w:rFonts w:ascii="Arial" w:eastAsia="宋体" w:hAnsi="Arial"/>
      <w:lang w:val="de-DE"/>
    </w:rPr>
  </w:style>
  <w:style w:type="paragraph" w:styleId="a9">
    <w:name w:val="Plain Text"/>
    <w:basedOn w:val="a"/>
    <w:link w:val="aa"/>
    <w:uiPriority w:val="99"/>
    <w:unhideWhenUsed/>
    <w:qFormat/>
    <w:pPr>
      <w:spacing w:line="240" w:lineRule="auto"/>
      <w:jc w:val="left"/>
    </w:pPr>
    <w:rPr>
      <w:rFonts w:ascii="Calibri" w:eastAsiaTheme="minorHAnsi" w:hAnsi="Calibri" w:cs="Calibri"/>
      <w:szCs w:val="22"/>
      <w:lang w:val="de-DE"/>
    </w:rPr>
  </w:style>
  <w:style w:type="paragraph" w:styleId="ab">
    <w:name w:val="Balloon Text"/>
    <w:basedOn w:val="a"/>
    <w:link w:val="ac"/>
    <w:qFormat/>
    <w:pPr>
      <w:spacing w:line="240" w:lineRule="auto"/>
    </w:pPr>
    <w:rPr>
      <w:sz w:val="18"/>
      <w:szCs w:val="18"/>
    </w:rPr>
  </w:style>
  <w:style w:type="paragraph" w:styleId="ad">
    <w:name w:val="footer"/>
    <w:basedOn w:val="a"/>
    <w:link w:val="ae"/>
    <w:uiPriority w:val="99"/>
    <w:qFormat/>
    <w:pPr>
      <w:tabs>
        <w:tab w:val="right" w:pos="7083"/>
        <w:tab w:val="right" w:pos="8640"/>
      </w:tabs>
      <w:spacing w:line="180" w:lineRule="atLeast"/>
      <w:jc w:val="right"/>
    </w:pPr>
    <w:rPr>
      <w:bCs/>
      <w:sz w:val="12"/>
    </w:rPr>
  </w:style>
  <w:style w:type="paragraph" w:styleId="af">
    <w:name w:val="header"/>
    <w:basedOn w:val="a"/>
    <w:link w:val="af0"/>
    <w:uiPriority w:val="99"/>
    <w:qFormat/>
    <w:pPr>
      <w:tabs>
        <w:tab w:val="left" w:pos="2607"/>
        <w:tab w:val="center" w:pos="4320"/>
        <w:tab w:val="right" w:pos="9356"/>
      </w:tabs>
      <w:spacing w:before="1440" w:line="100" w:lineRule="atLeast"/>
      <w:jc w:val="right"/>
    </w:pPr>
    <w:rPr>
      <w:rFonts w:cs="Segoe UI"/>
      <w:b/>
      <w:bCs/>
      <w:color w:val="3E3C3C"/>
      <w:sz w:val="40"/>
      <w:szCs w:val="40"/>
    </w:rPr>
  </w:style>
  <w:style w:type="character" w:styleId="af1">
    <w:name w:val="Strong"/>
    <w:basedOn w:val="a0"/>
    <w:uiPriority w:val="22"/>
    <w:qFormat/>
    <w:rPr>
      <w:b/>
      <w:bCs/>
    </w:rPr>
  </w:style>
  <w:style w:type="character" w:styleId="af2">
    <w:name w:val="Hyperlink"/>
    <w:qFormat/>
    <w:rPr>
      <w:rFonts w:ascii="Segoe UI" w:eastAsia="宋体" w:hAnsi="Segoe UI"/>
      <w:color w:val="0000FF"/>
      <w:sz w:val="18"/>
      <w:szCs w:val="18"/>
      <w:u w:val="single"/>
    </w:rPr>
  </w:style>
  <w:style w:type="character" w:styleId="af3">
    <w:name w:val="annotation reference"/>
    <w:uiPriority w:val="99"/>
    <w:qFormat/>
    <w:rPr>
      <w:sz w:val="16"/>
      <w:szCs w:val="16"/>
    </w:rPr>
  </w:style>
  <w:style w:type="character" w:styleId="af4">
    <w:name w:val="footnote reference"/>
    <w:basedOn w:val="a0"/>
    <w:uiPriority w:val="99"/>
    <w:unhideWhenUsed/>
    <w:qFormat/>
    <w:rPr>
      <w:vertAlign w:val="superscript"/>
    </w:rPr>
  </w:style>
  <w:style w:type="table" w:styleId="af5">
    <w:name w:val="Table Grid"/>
    <w:basedOn w:val="a1"/>
    <w:qFormat/>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a"/>
    <w:qFormat/>
    <w:pPr>
      <w:spacing w:after="300"/>
    </w:pPr>
    <w:rPr>
      <w:color w:val="415055"/>
      <w:sz w:val="24"/>
    </w:rPr>
  </w:style>
  <w:style w:type="paragraph" w:customStyle="1" w:styleId="NumBullet">
    <w:name w:val="Num_Bullet"/>
    <w:basedOn w:val="a"/>
    <w:qFormat/>
    <w:pPr>
      <w:numPr>
        <w:numId w:val="1"/>
      </w:numPr>
      <w:tabs>
        <w:tab w:val="clear" w:pos="567"/>
        <w:tab w:val="left" w:pos="357"/>
      </w:tabs>
      <w:ind w:left="357" w:hanging="357"/>
    </w:pPr>
  </w:style>
  <w:style w:type="paragraph" w:customStyle="1" w:styleId="Page1Name">
    <w:name w:val="Page1_Name"/>
    <w:basedOn w:val="a"/>
    <w:qFormat/>
    <w:pPr>
      <w:spacing w:after="420" w:line="360" w:lineRule="atLeast"/>
    </w:pPr>
    <w:rPr>
      <w:b/>
      <w:sz w:val="30"/>
    </w:rPr>
  </w:style>
  <w:style w:type="paragraph" w:customStyle="1" w:styleId="Page1Title">
    <w:name w:val="Page1_Title"/>
    <w:basedOn w:val="a"/>
    <w:qFormat/>
    <w:pPr>
      <w:spacing w:line="228" w:lineRule="auto"/>
    </w:pPr>
    <w:rPr>
      <w:color w:val="E1000F"/>
      <w:sz w:val="90"/>
    </w:rPr>
  </w:style>
  <w:style w:type="paragraph" w:customStyle="1" w:styleId="Page1Author">
    <w:name w:val="Page1_Author"/>
    <w:basedOn w:val="Page1Name"/>
    <w:qFormat/>
    <w:pPr>
      <w:spacing w:before="240" w:after="0"/>
    </w:pPr>
    <w:rPr>
      <w:b w:val="0"/>
      <w:bCs/>
    </w:rPr>
  </w:style>
  <w:style w:type="paragraph" w:customStyle="1" w:styleId="Info">
    <w:name w:val="Info"/>
    <w:basedOn w:val="a"/>
    <w:link w:val="InfoZchn"/>
    <w:qFormat/>
    <w:pPr>
      <w:spacing w:line="240" w:lineRule="atLeast"/>
    </w:pPr>
    <w:rPr>
      <w:sz w:val="13"/>
    </w:rPr>
  </w:style>
  <w:style w:type="character" w:customStyle="1" w:styleId="InfoZchn">
    <w:name w:val="Info Zchn"/>
    <w:link w:val="Info"/>
    <w:qFormat/>
    <w:rPr>
      <w:rFonts w:ascii="Arial" w:eastAsia="宋体" w:hAnsi="Arial"/>
      <w:sz w:val="13"/>
      <w:szCs w:val="24"/>
      <w:lang w:val="de-DE" w:eastAsia="zh-CN" w:bidi="ar-SA"/>
    </w:rPr>
  </w:style>
  <w:style w:type="paragraph" w:customStyle="1" w:styleId="Standard12pt">
    <w:name w:val="Standard_12pt"/>
    <w:basedOn w:val="a"/>
    <w:qFormat/>
    <w:pPr>
      <w:spacing w:line="300" w:lineRule="atLeast"/>
    </w:pPr>
    <w:rPr>
      <w:sz w:val="24"/>
    </w:rPr>
  </w:style>
  <w:style w:type="character" w:customStyle="1" w:styleId="10">
    <w:name w:val="标题 1 字符"/>
    <w:link w:val="1"/>
    <w:uiPriority w:val="99"/>
    <w:qFormat/>
    <w:locked/>
    <w:rPr>
      <w:rFonts w:ascii="Arial" w:eastAsia="宋体" w:hAnsi="Arial" w:cs="Arial"/>
      <w:b/>
      <w:bCs/>
      <w:kern w:val="32"/>
      <w:sz w:val="36"/>
      <w:szCs w:val="32"/>
      <w:lang w:val="de-DE"/>
    </w:rPr>
  </w:style>
  <w:style w:type="paragraph" w:customStyle="1" w:styleId="MittleresRaster1-Akzent21">
    <w:name w:val="Mittleres Raster 1 - Akzent 21"/>
    <w:basedOn w:val="a"/>
    <w:uiPriority w:val="34"/>
    <w:qFormat/>
    <w:pPr>
      <w:ind w:left="720"/>
    </w:pPr>
  </w:style>
  <w:style w:type="character" w:customStyle="1" w:styleId="ac">
    <w:name w:val="批注框文本 字符"/>
    <w:link w:val="ab"/>
    <w:qFormat/>
    <w:rPr>
      <w:rFonts w:ascii="Segoe UI" w:eastAsia="宋体" w:hAnsi="Segoe UI"/>
      <w:sz w:val="18"/>
      <w:szCs w:val="18"/>
      <w:lang w:val="de-DE"/>
    </w:rPr>
  </w:style>
  <w:style w:type="paragraph" w:customStyle="1" w:styleId="MittlereListe2-Akzent21">
    <w:name w:val="Mittlere Liste 2 - Akzent 21"/>
    <w:hidden/>
    <w:uiPriority w:val="99"/>
    <w:semiHidden/>
    <w:qFormat/>
    <w:rPr>
      <w:rFonts w:ascii="Arial" w:eastAsia="宋体" w:hAnsi="Arial"/>
      <w:sz w:val="18"/>
      <w:szCs w:val="24"/>
      <w:lang w:val="de-DE"/>
    </w:rPr>
  </w:style>
  <w:style w:type="character" w:customStyle="1" w:styleId="ae">
    <w:name w:val="页脚 字符"/>
    <w:link w:val="ad"/>
    <w:uiPriority w:val="99"/>
    <w:qFormat/>
    <w:rPr>
      <w:rFonts w:ascii="Segoe UI" w:eastAsia="宋体" w:hAnsi="Segoe UI"/>
      <w:bCs/>
      <w:sz w:val="12"/>
      <w:szCs w:val="24"/>
      <w:lang w:val="de-DE"/>
    </w:rPr>
  </w:style>
  <w:style w:type="character" w:customStyle="1" w:styleId="11">
    <w:name w:val="未处理的提及1"/>
    <w:uiPriority w:val="99"/>
    <w:unhideWhenUsed/>
    <w:qFormat/>
    <w:rPr>
      <w:color w:val="605E5C"/>
      <w:shd w:val="clear" w:color="auto" w:fill="E1DFDD"/>
    </w:rPr>
  </w:style>
  <w:style w:type="paragraph" w:customStyle="1" w:styleId="Style12ptJustifiedLinespacing15lines">
    <w:name w:val="Style 12 pt Justified Line spacing:  1.5 lines"/>
    <w:basedOn w:val="a"/>
    <w:qFormat/>
    <w:rPr>
      <w:szCs w:val="20"/>
    </w:rPr>
  </w:style>
  <w:style w:type="paragraph" w:customStyle="1" w:styleId="Style12ptJustifiedLinespacing15lines1">
    <w:name w:val="Style 12 pt Justified Line spacing:  1.5 lines1"/>
    <w:basedOn w:val="a"/>
    <w:qFormat/>
    <w:pPr>
      <w:spacing w:before="120"/>
    </w:pPr>
    <w:rPr>
      <w:szCs w:val="20"/>
    </w:rPr>
  </w:style>
  <w:style w:type="character" w:customStyle="1" w:styleId="Headline">
    <w:name w:val="Headline"/>
    <w:basedOn w:val="a0"/>
    <w:qFormat/>
    <w:rPr>
      <w:b/>
      <w:bCs/>
      <w:sz w:val="32"/>
    </w:rPr>
  </w:style>
  <w:style w:type="paragraph" w:customStyle="1" w:styleId="MonthDayYear">
    <w:name w:val="Month Day Year"/>
    <w:basedOn w:val="a"/>
    <w:qFormat/>
    <w:pPr>
      <w:spacing w:before="120"/>
      <w:ind w:right="-1"/>
      <w:jc w:val="right"/>
    </w:pPr>
    <w:rPr>
      <w:szCs w:val="20"/>
    </w:rPr>
  </w:style>
  <w:style w:type="paragraph" w:customStyle="1" w:styleId="Topline">
    <w:name w:val="Topline"/>
    <w:basedOn w:val="a"/>
    <w:qFormat/>
    <w:pPr>
      <w:spacing w:before="560" w:after="560"/>
    </w:pPr>
    <w:rPr>
      <w:rFonts w:cs="Segoe UI"/>
      <w:szCs w:val="22"/>
    </w:rPr>
  </w:style>
  <w:style w:type="character" w:customStyle="1" w:styleId="AboutandContactBody">
    <w:name w:val="About and Contact Body"/>
    <w:basedOn w:val="a0"/>
    <w:qFormat/>
    <w:rPr>
      <w:rFonts w:ascii="Segoe UI" w:eastAsia="宋体" w:hAnsi="Segoe UI"/>
      <w:sz w:val="18"/>
    </w:rPr>
  </w:style>
  <w:style w:type="character" w:customStyle="1" w:styleId="AboutandContactHeadline">
    <w:name w:val="About and Contact Headline"/>
    <w:basedOn w:val="a0"/>
    <w:qFormat/>
    <w:rPr>
      <w:rFonts w:ascii="Segoe UI" w:eastAsia="宋体" w:hAnsi="Segoe UI"/>
      <w:b/>
      <w:bCs/>
      <w:sz w:val="18"/>
    </w:rPr>
  </w:style>
  <w:style w:type="paragraph" w:customStyle="1" w:styleId="12">
    <w:name w:val="列表段落1"/>
    <w:basedOn w:val="a"/>
    <w:uiPriority w:val="34"/>
    <w:qFormat/>
    <w:pPr>
      <w:ind w:left="720"/>
      <w:contextualSpacing/>
    </w:pPr>
  </w:style>
  <w:style w:type="character" w:customStyle="1" w:styleId="a6">
    <w:name w:val="批注文字 字符"/>
    <w:basedOn w:val="a0"/>
    <w:link w:val="a4"/>
    <w:uiPriority w:val="99"/>
    <w:qFormat/>
    <w:rPr>
      <w:rFonts w:ascii="Arial" w:eastAsia="宋体" w:hAnsi="Arial"/>
      <w:sz w:val="20"/>
      <w:szCs w:val="20"/>
      <w:lang w:val="de-DE"/>
    </w:rPr>
  </w:style>
  <w:style w:type="character" w:customStyle="1" w:styleId="a5">
    <w:name w:val="批注主题 字符"/>
    <w:basedOn w:val="a6"/>
    <w:link w:val="a3"/>
    <w:qFormat/>
    <w:rPr>
      <w:rFonts w:ascii="Arial" w:eastAsia="宋体" w:hAnsi="Arial"/>
      <w:b/>
      <w:bCs/>
      <w:sz w:val="20"/>
      <w:szCs w:val="20"/>
      <w:lang w:val="de-DE"/>
    </w:rPr>
  </w:style>
  <w:style w:type="paragraph" w:customStyle="1" w:styleId="He01FlietextAufzhlung1Ebene">
    <w:name w:val="_He_01_Fließtext Aufzählung 1. Ebene"/>
    <w:next w:val="a"/>
    <w:qFormat/>
    <w:pPr>
      <w:numPr>
        <w:numId w:val="2"/>
      </w:numPr>
      <w:spacing w:after="113"/>
      <w:ind w:left="357" w:hanging="357"/>
    </w:pPr>
    <w:rPr>
      <w:rFonts w:eastAsiaTheme="minorHAnsi" w:cstheme="minorBidi"/>
      <w:sz w:val="22"/>
      <w:szCs w:val="22"/>
      <w:lang w:val="de-DE"/>
    </w:rPr>
  </w:style>
  <w:style w:type="paragraph" w:customStyle="1" w:styleId="He01FlietextAufzhlung2Ebene">
    <w:name w:val="_He_01_Fließtext Aufzählung 2. Ebene"/>
    <w:next w:val="a"/>
    <w:qFormat/>
    <w:pPr>
      <w:numPr>
        <w:numId w:val="3"/>
      </w:numPr>
    </w:pPr>
    <w:rPr>
      <w:rFonts w:eastAsiaTheme="minorHAnsi" w:cstheme="minorBidi"/>
      <w:sz w:val="22"/>
      <w:szCs w:val="22"/>
      <w:lang w:val="de-DE"/>
    </w:rPr>
  </w:style>
  <w:style w:type="paragraph" w:customStyle="1" w:styleId="THe01berschrift">
    <w:name w:val="T_He_01_Überschrift"/>
    <w:next w:val="a"/>
    <w:qFormat/>
    <w:pPr>
      <w:numPr>
        <w:numId w:val="4"/>
      </w:numPr>
    </w:pPr>
    <w:rPr>
      <w:rFonts w:eastAsiaTheme="minorHAnsi" w:cstheme="minorBidi"/>
      <w:b/>
      <w:color w:val="5F6973"/>
      <w:sz w:val="24"/>
      <w:szCs w:val="22"/>
      <w:lang w:val="de-DE"/>
    </w:rPr>
  </w:style>
  <w:style w:type="paragraph" w:customStyle="1" w:styleId="THe02liFunotenummeriert">
    <w:name w:val="T_He_02_li Fußnote nummeriert"/>
    <w:qFormat/>
    <w:pPr>
      <w:numPr>
        <w:ilvl w:val="1"/>
        <w:numId w:val="4"/>
      </w:numPr>
      <w:spacing w:before="20" w:after="20"/>
      <w:contextualSpacing/>
    </w:pPr>
    <w:rPr>
      <w:rFonts w:eastAsiaTheme="minorHAnsi" w:cstheme="minorBidi"/>
      <w:color w:val="5F6973"/>
      <w:sz w:val="14"/>
      <w:szCs w:val="22"/>
      <w:lang w:val="de-DE"/>
    </w:rPr>
  </w:style>
  <w:style w:type="paragraph" w:customStyle="1" w:styleId="13">
    <w:name w:val="修订1"/>
    <w:hidden/>
    <w:uiPriority w:val="62"/>
    <w:unhideWhenUsed/>
    <w:qFormat/>
    <w:rPr>
      <w:sz w:val="22"/>
      <w:szCs w:val="24"/>
    </w:rPr>
  </w:style>
  <w:style w:type="character" w:customStyle="1" w:styleId="14">
    <w:name w:val="@他1"/>
    <w:basedOn w:val="a0"/>
    <w:uiPriority w:val="99"/>
    <w:unhideWhenUsed/>
    <w:qFormat/>
    <w:rPr>
      <w:color w:val="2B579A"/>
      <w:shd w:val="clear" w:color="auto" w:fill="E1DFDD"/>
    </w:rPr>
  </w:style>
  <w:style w:type="character" w:customStyle="1" w:styleId="aa">
    <w:name w:val="纯文本 字符"/>
    <w:basedOn w:val="a0"/>
    <w:link w:val="a9"/>
    <w:uiPriority w:val="99"/>
    <w:qFormat/>
    <w:rPr>
      <w:rFonts w:ascii="Calibri" w:eastAsiaTheme="minorHAnsi" w:hAnsi="Calibri" w:cs="Calibri"/>
      <w:sz w:val="22"/>
      <w:szCs w:val="22"/>
      <w:lang w:val="de-DE"/>
    </w:rPr>
  </w:style>
  <w:style w:type="paragraph" w:customStyle="1" w:styleId="Default">
    <w:name w:val="Default"/>
    <w:qFormat/>
    <w:pPr>
      <w:autoSpaceDE w:val="0"/>
      <w:autoSpaceDN w:val="0"/>
      <w:adjustRightInd w:val="0"/>
    </w:pPr>
    <w:rPr>
      <w:rFonts w:ascii="Arial" w:eastAsia="宋体" w:hAnsi="Arial" w:cs="Arial"/>
      <w:color w:val="000000"/>
      <w:sz w:val="24"/>
      <w:szCs w:val="24"/>
      <w:lang w:val="de-DE"/>
    </w:rPr>
  </w:style>
  <w:style w:type="character" w:customStyle="1" w:styleId="a8">
    <w:name w:val="正文文本 字符"/>
    <w:basedOn w:val="a0"/>
    <w:link w:val="a7"/>
    <w:qFormat/>
    <w:rPr>
      <w:rFonts w:ascii="Arial" w:eastAsia="宋体" w:hAnsi="Arial"/>
      <w:sz w:val="22"/>
      <w:lang w:val="de-DE" w:eastAsia="zh-CN"/>
    </w:rPr>
  </w:style>
  <w:style w:type="character" w:customStyle="1" w:styleId="af0">
    <w:name w:val="页眉 字符"/>
    <w:basedOn w:val="a0"/>
    <w:link w:val="af"/>
    <w:uiPriority w:val="99"/>
    <w:rsid w:val="0009394D"/>
    <w:rPr>
      <w:rFonts w:cs="Segoe UI"/>
      <w:b/>
      <w:bCs/>
      <w:color w:val="3E3C3C"/>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spPr>
      <a:bodyPr vert="horz" wrap="none" lIns="90000" tIns="46800" rIns="90000" bIns="46800" numCol="1" anchor="ctr" anchorCtr="0" compatLnSpc="1"/>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1996</Words>
  <Characters>264</Characters>
  <Application>Microsoft Office Word</Application>
  <DocSecurity>4</DocSecurity>
  <Lines>2</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Wulf Klueppelholz</dc:creator>
  <cp:lastModifiedBy>Liki Qin</cp:lastModifiedBy>
  <cp:revision>2</cp:revision>
  <cp:lastPrinted>2022-04-29T13:59:00Z</cp:lastPrinted>
  <dcterms:created xsi:type="dcterms:W3CDTF">2022-05-05T06:02:00Z</dcterms:created>
  <dcterms:modified xsi:type="dcterms:W3CDTF">2022-05-05T06:02:00Z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KSOProductBuildVer">
    <vt:lpwstr>2052-3.8.1.6116</vt:lpwstr>
  </property>
</Properties>
</file>