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F15" w14:textId="5645F24C" w:rsidR="008E6502" w:rsidRDefault="00480B0F" w:rsidP="008E6502">
      <w:pPr>
        <w:pStyle w:val="MonthDayYear"/>
        <w:rPr>
          <w:lang w:val="cs-CZ"/>
        </w:rPr>
      </w:pPr>
      <w:r w:rsidRPr="00E56869">
        <w:rPr>
          <w:lang w:val="cs-CZ"/>
        </w:rPr>
        <w:t>31</w:t>
      </w:r>
      <w:r w:rsidR="008E6502" w:rsidRPr="00E56869">
        <w:rPr>
          <w:lang w:val="cs-CZ"/>
        </w:rPr>
        <w:t xml:space="preserve">. </w:t>
      </w:r>
      <w:r w:rsidR="001A02FB" w:rsidRPr="00E56869">
        <w:rPr>
          <w:lang w:val="cs-CZ"/>
        </w:rPr>
        <w:t>březn</w:t>
      </w:r>
      <w:r w:rsidR="00DA5188">
        <w:rPr>
          <w:lang w:val="cs-CZ"/>
        </w:rPr>
        <w:t>a</w:t>
      </w:r>
      <w:r w:rsidR="008E6502" w:rsidRPr="00E56869">
        <w:rPr>
          <w:lang w:val="cs-CZ"/>
        </w:rPr>
        <w:t xml:space="preserve"> 2022</w:t>
      </w:r>
    </w:p>
    <w:p w14:paraId="06C64998" w14:textId="77777777" w:rsidR="00FD7088" w:rsidRPr="00E56869" w:rsidRDefault="00FD7088" w:rsidP="008E6502">
      <w:pPr>
        <w:pStyle w:val="MonthDayYear"/>
        <w:rPr>
          <w:lang w:val="cs-CZ"/>
        </w:rPr>
      </w:pPr>
    </w:p>
    <w:p w14:paraId="1C21766A" w14:textId="0A8B19F6" w:rsidR="00A67194" w:rsidRPr="00E56869" w:rsidRDefault="00A67194" w:rsidP="00A67194">
      <w:pPr>
        <w:pStyle w:val="Untertitel1"/>
        <w:widowControl w:val="0"/>
        <w:spacing w:after="0" w:line="276" w:lineRule="auto"/>
        <w:ind w:right="-2"/>
        <w:rPr>
          <w:rFonts w:ascii="Segoe UI" w:hAnsi="Segoe UI" w:cs="Segoe UI"/>
          <w:b w:val="0"/>
          <w:bCs/>
          <w:sz w:val="22"/>
          <w:szCs w:val="22"/>
          <w:lang w:val="cs-CZ"/>
        </w:rPr>
      </w:pPr>
      <w:r w:rsidRPr="00E56869">
        <w:rPr>
          <w:rFonts w:ascii="Segoe UI" w:hAnsi="Segoe UI" w:cs="Segoe UI"/>
          <w:b w:val="0"/>
          <w:bCs/>
          <w:sz w:val="22"/>
          <w:szCs w:val="22"/>
          <w:lang w:val="cs-CZ" w:bidi="bo-CN"/>
        </w:rPr>
        <w:t>Spoluprác</w:t>
      </w:r>
      <w:r w:rsidR="007726FF" w:rsidRPr="00E56869">
        <w:rPr>
          <w:rFonts w:ascii="Segoe UI" w:hAnsi="Segoe UI" w:cs="Segoe UI"/>
          <w:b w:val="0"/>
          <w:bCs/>
          <w:sz w:val="22"/>
          <w:szCs w:val="22"/>
          <w:lang w:val="cs-CZ" w:bidi="bo-CN"/>
        </w:rPr>
        <w:t>e při ochraně klimatu</w:t>
      </w:r>
    </w:p>
    <w:p w14:paraId="4AC89208" w14:textId="77777777" w:rsidR="00A67194" w:rsidRPr="00E56869" w:rsidRDefault="00A67194" w:rsidP="00A67194">
      <w:pPr>
        <w:pStyle w:val="Untertitel1"/>
        <w:widowControl w:val="0"/>
        <w:spacing w:after="0" w:line="276" w:lineRule="auto"/>
        <w:ind w:right="-2"/>
        <w:rPr>
          <w:rFonts w:ascii="Segoe UI" w:hAnsi="Segoe UI" w:cs="Segoe UI"/>
          <w:b w:val="0"/>
          <w:bCs/>
          <w:sz w:val="22"/>
          <w:szCs w:val="22"/>
          <w:lang w:val="cs-CZ"/>
        </w:rPr>
      </w:pPr>
    </w:p>
    <w:p w14:paraId="0B97085D" w14:textId="62C1ADD0" w:rsidR="00A67194" w:rsidRPr="00E56869" w:rsidRDefault="00A67194" w:rsidP="00A67194">
      <w:pPr>
        <w:pStyle w:val="Untertitel1"/>
        <w:widowControl w:val="0"/>
        <w:spacing w:after="0" w:line="276" w:lineRule="auto"/>
        <w:ind w:right="-2"/>
        <w:rPr>
          <w:rFonts w:ascii="Segoe UI" w:hAnsi="Segoe UI" w:cs="Segoe UI"/>
          <w:sz w:val="32"/>
          <w:szCs w:val="32"/>
          <w:lang w:val="cs-CZ"/>
        </w:rPr>
      </w:pPr>
      <w:r w:rsidRPr="00E56869">
        <w:rPr>
          <w:rFonts w:ascii="Segoe UI" w:hAnsi="Segoe UI" w:cs="Segoe UI"/>
          <w:sz w:val="32"/>
          <w:szCs w:val="32"/>
          <w:lang w:val="cs-CZ" w:bidi="bo-CN"/>
        </w:rPr>
        <w:t>BASF a Henkel</w:t>
      </w:r>
      <w:r w:rsidR="00F43303">
        <w:rPr>
          <w:rFonts w:ascii="Segoe UI" w:hAnsi="Segoe UI" w:cs="Segoe UI"/>
          <w:sz w:val="32"/>
          <w:szCs w:val="32"/>
          <w:lang w:val="cs-CZ" w:bidi="bo-CN"/>
        </w:rPr>
        <w:t xml:space="preserve"> se</w:t>
      </w:r>
      <w:r w:rsidRPr="00E56869">
        <w:rPr>
          <w:rFonts w:ascii="Segoe UI" w:hAnsi="Segoe UI" w:cs="Segoe UI"/>
          <w:sz w:val="32"/>
          <w:szCs w:val="32"/>
          <w:lang w:val="cs-CZ" w:bidi="bo-CN"/>
        </w:rPr>
        <w:t xml:space="preserve"> </w:t>
      </w:r>
      <w:r w:rsidR="007726FF" w:rsidRPr="00E56869">
        <w:rPr>
          <w:rFonts w:ascii="Segoe UI" w:hAnsi="Segoe UI" w:cs="Segoe UI"/>
          <w:sz w:val="32"/>
          <w:szCs w:val="32"/>
          <w:lang w:val="cs-CZ" w:bidi="bo-CN"/>
        </w:rPr>
        <w:t xml:space="preserve">zaměřili na obnovitelné suroviny ve </w:t>
      </w:r>
      <w:r w:rsidR="00E56869" w:rsidRPr="00E56869">
        <w:rPr>
          <w:rFonts w:ascii="Segoe UI" w:hAnsi="Segoe UI" w:cs="Segoe UI"/>
          <w:sz w:val="32"/>
          <w:szCs w:val="32"/>
          <w:lang w:val="cs-CZ" w:bidi="bo-CN"/>
        </w:rPr>
        <w:t>spotřebních</w:t>
      </w:r>
      <w:r w:rsidR="007726FF" w:rsidRPr="00E56869">
        <w:rPr>
          <w:rFonts w:ascii="Segoe UI" w:hAnsi="Segoe UI" w:cs="Segoe UI"/>
          <w:sz w:val="32"/>
          <w:szCs w:val="32"/>
          <w:lang w:val="cs-CZ" w:bidi="bo-CN"/>
        </w:rPr>
        <w:t xml:space="preserve"> výrobcích společnosti Henkel</w:t>
      </w:r>
    </w:p>
    <w:p w14:paraId="3C2887E4" w14:textId="77777777" w:rsidR="00A67194" w:rsidRPr="00E56869" w:rsidRDefault="00A67194" w:rsidP="00A67194">
      <w:pPr>
        <w:pStyle w:val="Untertitel1"/>
        <w:widowControl w:val="0"/>
        <w:spacing w:after="0" w:line="276" w:lineRule="auto"/>
        <w:ind w:right="-2"/>
        <w:rPr>
          <w:rFonts w:ascii="Segoe UI" w:hAnsi="Segoe UI" w:cs="Segoe UI"/>
          <w:sz w:val="32"/>
          <w:szCs w:val="32"/>
          <w:lang w:val="cs-CZ"/>
        </w:rPr>
      </w:pPr>
    </w:p>
    <w:p w14:paraId="3436D4A8" w14:textId="77777777" w:rsidR="00381ABC" w:rsidRPr="00E56869" w:rsidRDefault="00381ABC" w:rsidP="0051318F">
      <w:pPr>
        <w:pStyle w:val="Untertitel1"/>
        <w:widowControl w:val="0"/>
        <w:numPr>
          <w:ilvl w:val="0"/>
          <w:numId w:val="12"/>
        </w:numPr>
        <w:spacing w:after="0" w:line="276" w:lineRule="auto"/>
        <w:ind w:right="13"/>
        <w:rPr>
          <w:rFonts w:ascii="Segoe UI" w:hAnsi="Segoe UI" w:cs="Segoe UI"/>
          <w:sz w:val="22"/>
          <w:szCs w:val="22"/>
          <w:lang w:val="cs-CZ"/>
        </w:rPr>
      </w:pPr>
      <w:r w:rsidRPr="00E56869">
        <w:rPr>
          <w:rFonts w:ascii="Segoe UI" w:hAnsi="Segoe UI" w:cs="Segoe UI"/>
          <w:sz w:val="22"/>
          <w:szCs w:val="22"/>
          <w:lang w:val="cs-CZ" w:bidi="bo-CN"/>
        </w:rPr>
        <w:t>Pomocí certifikované metody rovnováhy biomasy společnosti BASF společnost Henkel ročně nahradí přibližně 110 000 tun surovin z fosilních zdrojů obnovitelnými zdroji.</w:t>
      </w:r>
    </w:p>
    <w:p w14:paraId="079332CA" w14:textId="0AA40CB9" w:rsidR="00A67194" w:rsidRPr="00E56869" w:rsidRDefault="00381ABC" w:rsidP="0051318F">
      <w:pPr>
        <w:pStyle w:val="Untertitel1"/>
        <w:widowControl w:val="0"/>
        <w:numPr>
          <w:ilvl w:val="0"/>
          <w:numId w:val="12"/>
        </w:numPr>
        <w:spacing w:after="0" w:line="276" w:lineRule="auto"/>
        <w:ind w:right="13"/>
        <w:rPr>
          <w:rFonts w:ascii="Segoe UI" w:hAnsi="Segoe UI" w:cs="Segoe UI"/>
          <w:sz w:val="22"/>
          <w:szCs w:val="22"/>
          <w:lang w:val="cs-CZ"/>
        </w:rPr>
      </w:pPr>
      <w:r w:rsidRPr="00E56869">
        <w:rPr>
          <w:rFonts w:ascii="Segoe UI" w:hAnsi="Segoe UI" w:cs="Segoe UI"/>
          <w:sz w:val="22"/>
          <w:szCs w:val="22"/>
          <w:lang w:val="cs-CZ" w:bidi="bo-CN"/>
        </w:rPr>
        <w:t>Rychlým zavedením tohoto opatření se celkově podaří ušetřit přibližně 200 000 tun emisí CO</w:t>
      </w:r>
      <w:r w:rsidRPr="009F7625">
        <w:rPr>
          <w:rFonts w:ascii="Segoe UI" w:hAnsi="Segoe UI" w:cs="Segoe UI"/>
          <w:sz w:val="22"/>
          <w:szCs w:val="22"/>
          <w:vertAlign w:val="subscript"/>
          <w:lang w:val="cs-CZ" w:bidi="bo-CN"/>
        </w:rPr>
        <w:t>2</w:t>
      </w:r>
      <w:r w:rsidRPr="00E56869">
        <w:rPr>
          <w:rFonts w:ascii="Segoe UI" w:hAnsi="Segoe UI" w:cs="Segoe UI"/>
          <w:sz w:val="22"/>
          <w:szCs w:val="22"/>
          <w:lang w:val="cs-CZ" w:bidi="bo-CN"/>
        </w:rPr>
        <w:t>.</w:t>
      </w:r>
    </w:p>
    <w:p w14:paraId="5288C0AA" w14:textId="77777777" w:rsidR="00381ABC" w:rsidRPr="00E56869" w:rsidRDefault="00381ABC" w:rsidP="00381ABC">
      <w:pPr>
        <w:pStyle w:val="Untertitel1"/>
        <w:widowControl w:val="0"/>
        <w:spacing w:after="0" w:line="276" w:lineRule="auto"/>
        <w:ind w:left="1004" w:right="13"/>
        <w:rPr>
          <w:rFonts w:ascii="Segoe UI" w:hAnsi="Segoe UI" w:cs="Segoe UI"/>
          <w:sz w:val="22"/>
          <w:szCs w:val="22"/>
          <w:lang w:val="cs-CZ"/>
        </w:rPr>
      </w:pPr>
    </w:p>
    <w:p w14:paraId="45BA533E" w14:textId="2851413B" w:rsidR="00A67194" w:rsidRPr="00E56869" w:rsidRDefault="00381ABC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cs-CZ"/>
        </w:rPr>
      </w:pPr>
      <w:r w:rsidRPr="00E56869">
        <w:rPr>
          <w:rFonts w:ascii="Segoe UI" w:hAnsi="Segoe UI" w:cs="Segoe UI"/>
          <w:sz w:val="22"/>
          <w:szCs w:val="22"/>
          <w:lang w:val="cs-CZ"/>
        </w:rPr>
        <w:t>Ludwigshafen/Düsseldorf – BASF a Henkel se společně zavázaly v následujících čtyřech letech postupně nahradit vstupní suroviny z fosilních zdrojů ve většině produktů dvou evropských obchodních divizí společnosti Henkel, Laundry &amp; Home Care a Beauty Care, surovinami z obnovitelných zdrojů. Tento krok navazuje na pilotní projekt, který společnosti realizovaly v roce 2021 u produktové řady značky Love Nature. S využitím certifikované metody rovnováhy biomasy společnosti BASF spolupráce ročně povede k nahrazení přibližně 110 000 tun vstupních materiálů surovinami z obnovitelných zdrojů. Značkám jako Persil, Pril, Fa a Schauma se tak podaří snížit svoji uhlíkovou stopu a zredukovat celkové emise CO</w:t>
      </w:r>
      <w:r w:rsidRPr="009F7625">
        <w:rPr>
          <w:rFonts w:ascii="Segoe UI" w:hAnsi="Segoe UI" w:cs="Segoe UI"/>
          <w:sz w:val="22"/>
          <w:szCs w:val="22"/>
          <w:vertAlign w:val="subscript"/>
          <w:lang w:val="cs-CZ"/>
        </w:rPr>
        <w:t>2</w:t>
      </w:r>
      <w:r w:rsidRPr="00E56869">
        <w:rPr>
          <w:rFonts w:ascii="Segoe UI" w:hAnsi="Segoe UI" w:cs="Segoe UI"/>
          <w:sz w:val="22"/>
          <w:szCs w:val="22"/>
          <w:lang w:val="cs-CZ"/>
        </w:rPr>
        <w:t xml:space="preserve"> asi o 200 000 tun.</w:t>
      </w:r>
    </w:p>
    <w:p w14:paraId="504029C8" w14:textId="77777777" w:rsidR="00381ABC" w:rsidRPr="00E56869" w:rsidRDefault="00381ABC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cs-CZ"/>
        </w:rPr>
      </w:pPr>
    </w:p>
    <w:p w14:paraId="76FBE15C" w14:textId="69B44070" w:rsidR="00A67194" w:rsidRPr="00E56869" w:rsidRDefault="00326226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cs-CZ"/>
        </w:rPr>
      </w:pPr>
      <w:r w:rsidRPr="00E56869">
        <w:rPr>
          <w:rFonts w:ascii="Segoe UI" w:hAnsi="Segoe UI" w:cs="Segoe UI"/>
          <w:i/>
          <w:iCs/>
          <w:sz w:val="22"/>
          <w:szCs w:val="22"/>
          <w:lang w:val="cs-CZ" w:bidi="bo-CN"/>
        </w:rPr>
        <w:t>„Jsme rádi, že budeme ve spolupráci se společností BASF pokračovat a výrazně zvýšíme podíl biomasy při výrobě našich produktů, které každý den používají miliony lidí na celém světě</w:t>
      </w:r>
      <w:r w:rsidRPr="009F7625">
        <w:rPr>
          <w:rFonts w:ascii="Segoe UI" w:hAnsi="Segoe UI" w:cs="Segoe UI"/>
          <w:sz w:val="22"/>
          <w:szCs w:val="22"/>
          <w:lang w:val="cs-CZ" w:bidi="bo-CN"/>
        </w:rPr>
        <w:t>,“ řekl předseda představenstva společnosti Henkel Carsten Knobel</w:t>
      </w:r>
      <w:r w:rsidRPr="00E56869">
        <w:rPr>
          <w:rFonts w:ascii="Segoe UI" w:hAnsi="Segoe UI" w:cs="Segoe UI"/>
          <w:i/>
          <w:iCs/>
          <w:sz w:val="22"/>
          <w:szCs w:val="22"/>
          <w:lang w:val="cs-CZ" w:bidi="bo-CN"/>
        </w:rPr>
        <w:t>. „Abychom podpořili regenerující planetu, vydali jsme se na cestu environmentální transformace našeho podnikání. Chceme kontinuálně zlepšovat své procesy, produkty a využívání surovin ve prospěch efektivního nakládání se zdroji a uhlíkově neutrální budoucnosti. Zařazení metody rovnováhy biomasy společnosti BASF do našeho dodavatelského řetězce představuje správný krok tímto směrem.“</w:t>
      </w:r>
    </w:p>
    <w:p w14:paraId="38017CA9" w14:textId="77777777" w:rsidR="00A67194" w:rsidRPr="00E56869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cs-CZ"/>
        </w:rPr>
      </w:pPr>
    </w:p>
    <w:p w14:paraId="2C182B26" w14:textId="2FB1A712" w:rsidR="00A67194" w:rsidRPr="00E56869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i/>
          <w:iCs/>
          <w:sz w:val="22"/>
          <w:szCs w:val="22"/>
          <w:lang w:val="cs-CZ"/>
        </w:rPr>
      </w:pPr>
      <w:r w:rsidRPr="00E56869">
        <w:rPr>
          <w:rFonts w:ascii="Segoe UI" w:hAnsi="Segoe UI" w:cs="Segoe UI"/>
          <w:i/>
          <w:iCs/>
          <w:sz w:val="22"/>
          <w:szCs w:val="22"/>
          <w:lang w:val="cs-CZ" w:bidi="bo-CN"/>
        </w:rPr>
        <w:t xml:space="preserve"> </w:t>
      </w:r>
      <w:r w:rsidR="00326226" w:rsidRPr="00E56869">
        <w:rPr>
          <w:rFonts w:ascii="Segoe UI" w:hAnsi="Segoe UI" w:cs="Segoe UI"/>
          <w:i/>
          <w:iCs/>
          <w:sz w:val="22"/>
          <w:szCs w:val="22"/>
          <w:lang w:val="cs-CZ" w:bidi="bo-CN"/>
        </w:rPr>
        <w:t xml:space="preserve">„Jsem velmi hrdý, že společnost Henkel oceňuje úsilí, které BASF vynakládá na to, aby jí dodávala produkty s nízkou uhlíkovou stopou,“ </w:t>
      </w:r>
      <w:r w:rsidR="00326226" w:rsidRPr="009F7625">
        <w:rPr>
          <w:rFonts w:ascii="Segoe UI" w:hAnsi="Segoe UI" w:cs="Segoe UI"/>
          <w:sz w:val="22"/>
          <w:szCs w:val="22"/>
          <w:lang w:val="cs-CZ" w:bidi="bo-CN"/>
        </w:rPr>
        <w:t xml:space="preserve">řekl Dr. Martin Brudermüller, předseda představenstva </w:t>
      </w:r>
      <w:r w:rsidR="00326226" w:rsidRPr="009F7625">
        <w:rPr>
          <w:rFonts w:ascii="Segoe UI" w:hAnsi="Segoe UI" w:cs="Segoe UI"/>
          <w:sz w:val="22"/>
          <w:szCs w:val="22"/>
          <w:lang w:val="cs-CZ" w:bidi="bo-CN"/>
        </w:rPr>
        <w:lastRenderedPageBreak/>
        <w:t>společnosti BASF</w:t>
      </w:r>
      <w:r w:rsidR="00326226" w:rsidRPr="00E56869">
        <w:rPr>
          <w:rFonts w:ascii="Segoe UI" w:hAnsi="Segoe UI" w:cs="Segoe UI"/>
          <w:i/>
          <w:iCs/>
          <w:sz w:val="22"/>
          <w:szCs w:val="22"/>
          <w:lang w:val="cs-CZ" w:bidi="bo-CN"/>
        </w:rPr>
        <w:t>. „Zároveň jsme hrdí, že můžeme podporovat takovou inovativní značku, která jako první přináší svým koncovým zákazníkům udržitelnější řešení v tak velkém rozsahu. Společným projektem potvrzujeme závazek obou společností budovat trvale udržitelnou budoucnost.“</w:t>
      </w:r>
    </w:p>
    <w:p w14:paraId="363C1CC8" w14:textId="77777777" w:rsidR="00A67194" w:rsidRPr="00E56869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cs-CZ"/>
        </w:rPr>
      </w:pPr>
    </w:p>
    <w:p w14:paraId="2FC653A7" w14:textId="367FA494" w:rsidR="00A67194" w:rsidRPr="00E56869" w:rsidRDefault="00326226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cs-CZ" w:bidi="bo-CN"/>
        </w:rPr>
      </w:pPr>
      <w:r w:rsidRPr="00E56869">
        <w:rPr>
          <w:rFonts w:ascii="Segoe UI" w:hAnsi="Segoe UI" w:cs="Segoe UI"/>
          <w:sz w:val="22"/>
          <w:szCs w:val="22"/>
          <w:lang w:val="cs-CZ" w:bidi="bo-CN"/>
        </w:rPr>
        <w:t>Nahrazení vstupních surovin z fosilních zdrojů je možné díky použití metody rovnováhy biomasy společnosti BASF: obnovitelné zdroje surovin se používají již na samotném začátku chemické výroby. Množství vstupních surovin z biomasy se následně přiřadí konkrétním produktům pomocí této certifikované metody.</w:t>
      </w:r>
    </w:p>
    <w:p w14:paraId="59D996A8" w14:textId="77777777" w:rsidR="00326226" w:rsidRPr="00E56869" w:rsidRDefault="00326226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cs-CZ"/>
        </w:rPr>
      </w:pPr>
    </w:p>
    <w:p w14:paraId="717FDF23" w14:textId="023987B5" w:rsidR="00A67194" w:rsidRPr="00E56869" w:rsidRDefault="00326226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cs-CZ" w:bidi="bo-CN"/>
        </w:rPr>
      </w:pPr>
      <w:r w:rsidRPr="00E56869">
        <w:rPr>
          <w:rFonts w:ascii="Segoe UI" w:hAnsi="Segoe UI" w:cs="Segoe UI"/>
          <w:sz w:val="22"/>
          <w:szCs w:val="22"/>
          <w:lang w:val="cs-CZ" w:bidi="bo-CN"/>
        </w:rPr>
        <w:t>Společnost BASF vytvořila uzavřený výrobní řetězec od obnovitelných vstupních surovin, které používá, až po konečný produkt. Nezávislá certifikační instituce TÜV Nord podporuje praktickou implementaci a na základě certifikačního schématu REDCert2 pravidelně posuzuje, zda společnost BASF nahrazuje požadované množství fosilních zdrojů obnovitelnými zdroji v souladu s metodou rovnováhy biomasy.</w:t>
      </w:r>
    </w:p>
    <w:p w14:paraId="7417CDBE" w14:textId="77777777" w:rsidR="00326226" w:rsidRPr="00E56869" w:rsidRDefault="00326226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highlight w:val="yellow"/>
          <w:lang w:val="cs-CZ"/>
        </w:rPr>
      </w:pPr>
    </w:p>
    <w:p w14:paraId="51A04211" w14:textId="04CC9212" w:rsidR="00A67194" w:rsidRPr="00E56869" w:rsidRDefault="009F7625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E56869">
        <w:rPr>
          <w:rFonts w:ascii="Segoe UI" w:hAnsi="Segoe UI" w:cs="Segoe UI"/>
          <w:b/>
          <w:bCs/>
          <w:sz w:val="22"/>
          <w:szCs w:val="22"/>
          <w:lang w:val="cs-CZ" w:bidi="bo-CN"/>
        </w:rPr>
        <w:t>Podrobnější</w:t>
      </w:r>
      <w:r w:rsidR="00326226" w:rsidRPr="00E56869">
        <w:rPr>
          <w:rFonts w:ascii="Segoe UI" w:hAnsi="Segoe UI" w:cs="Segoe UI"/>
          <w:b/>
          <w:bCs/>
          <w:sz w:val="22"/>
          <w:szCs w:val="22"/>
          <w:lang w:val="cs-CZ" w:bidi="bo-CN"/>
        </w:rPr>
        <w:t xml:space="preserve"> informace o metodě rovnováhy biomasy společnosti BASF</w:t>
      </w:r>
      <w:r w:rsidR="00A67194" w:rsidRPr="00E56869">
        <w:rPr>
          <w:rFonts w:ascii="Segoe UI" w:hAnsi="Segoe UI" w:cs="Segoe UI"/>
          <w:b/>
          <w:bCs/>
          <w:sz w:val="22"/>
          <w:szCs w:val="22"/>
          <w:lang w:val="cs-CZ" w:bidi="bo-CN"/>
        </w:rPr>
        <w:t>:</w:t>
      </w:r>
    </w:p>
    <w:tbl>
      <w:tblPr>
        <w:tblW w:w="77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4349"/>
      </w:tblGrid>
      <w:tr w:rsidR="00A67194" w:rsidRPr="00E56869" w14:paraId="6F5E277C" w14:textId="77777777" w:rsidTr="005A66FE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365DD" w14:textId="0C9EB46A" w:rsidR="00A67194" w:rsidRPr="00E56869" w:rsidRDefault="00A67194" w:rsidP="005A66FE">
            <w:pPr>
              <w:pStyle w:val="Normlnweb"/>
              <w:spacing w:before="0" w:beforeAutospacing="0" w:after="0" w:afterAutospacing="0" w:line="276" w:lineRule="auto"/>
              <w:rPr>
                <w:rFonts w:ascii="Segoe UI" w:hAnsi="Segoe UI" w:cs="Segoe UI"/>
                <w:color w:val="333333"/>
                <w:sz w:val="22"/>
                <w:szCs w:val="22"/>
                <w:lang w:val="cs-CZ"/>
              </w:rPr>
            </w:pPr>
            <w:r w:rsidRPr="00E56869">
              <w:rPr>
                <w:rFonts w:ascii="Segoe UI" w:hAnsi="Segoe UI" w:cs="Segoe UI"/>
                <w:sz w:val="22"/>
                <w:szCs w:val="22"/>
                <w:lang w:val="cs-CZ" w:bidi="bo-CN"/>
              </w:rPr>
              <w:t>Met</w:t>
            </w:r>
            <w:r w:rsidR="00326226" w:rsidRPr="00E56869">
              <w:rPr>
                <w:rFonts w:ascii="Segoe UI" w:hAnsi="Segoe UI" w:cs="Segoe UI"/>
                <w:sz w:val="22"/>
                <w:szCs w:val="22"/>
                <w:lang w:val="cs-CZ" w:bidi="bo-CN"/>
              </w:rPr>
              <w:t>o</w:t>
            </w:r>
            <w:r w:rsidRPr="00E56869">
              <w:rPr>
                <w:rFonts w:ascii="Segoe UI" w:hAnsi="Segoe UI" w:cs="Segoe UI"/>
                <w:sz w:val="22"/>
                <w:szCs w:val="22"/>
                <w:lang w:val="cs-CZ" w:bidi="bo-CN"/>
              </w:rPr>
              <w:t>da rovnováhy biomasy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5F378109" w14:textId="77777777" w:rsidR="00A67194" w:rsidRPr="00E56869" w:rsidRDefault="00A71A69" w:rsidP="005A66FE">
            <w:pPr>
              <w:pStyle w:val="Normlnweb"/>
              <w:spacing w:before="0" w:beforeAutospacing="0" w:after="0" w:afterAutospacing="0" w:line="276" w:lineRule="auto"/>
              <w:rPr>
                <w:rFonts w:ascii="Segoe UI" w:hAnsi="Segoe UI" w:cs="Segoe UI"/>
                <w:color w:val="333333"/>
                <w:sz w:val="22"/>
                <w:szCs w:val="22"/>
                <w:lang w:val="cs-CZ"/>
              </w:rPr>
            </w:pPr>
            <w:hyperlink r:id="rId11" w:history="1">
              <w:r w:rsidR="00A67194" w:rsidRPr="00E56869">
                <w:rPr>
                  <w:rStyle w:val="Hypertextovodkaz"/>
                  <w:rFonts w:cs="Segoe UI"/>
                  <w:sz w:val="22"/>
                  <w:szCs w:val="22"/>
                  <w:lang w:val="cs-CZ" w:bidi="bo-CN"/>
                </w:rPr>
                <w:t>Biomass balance approach (basf.com)</w:t>
              </w:r>
            </w:hyperlink>
          </w:p>
        </w:tc>
      </w:tr>
      <w:tr w:rsidR="00A67194" w:rsidRPr="00E56869" w14:paraId="1BB4EB27" w14:textId="77777777" w:rsidTr="005A66FE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DAB7F" w14:textId="3F1910D9" w:rsidR="00A67194" w:rsidRPr="00E56869" w:rsidRDefault="009F7625" w:rsidP="005A66FE">
            <w:pPr>
              <w:pStyle w:val="Normlnweb"/>
              <w:spacing w:before="0" w:beforeAutospacing="0" w:after="0" w:afterAutospacing="0" w:line="276" w:lineRule="auto"/>
              <w:rPr>
                <w:rFonts w:ascii="Segoe UI" w:hAnsi="Segoe UI" w:cs="Segoe UI"/>
                <w:color w:val="333333"/>
                <w:sz w:val="22"/>
                <w:szCs w:val="22"/>
                <w:lang w:val="cs-CZ"/>
              </w:rPr>
            </w:pPr>
            <w:r w:rsidRPr="00E56869">
              <w:rPr>
                <w:rFonts w:ascii="Segoe UI" w:hAnsi="Segoe UI" w:cs="Segoe UI"/>
                <w:sz w:val="22"/>
                <w:szCs w:val="22"/>
                <w:lang w:val="cs-CZ" w:bidi="bo-CN"/>
              </w:rPr>
              <w:t>Vysvětlující</w:t>
            </w:r>
            <w:r w:rsidR="00A67194" w:rsidRPr="00E56869">
              <w:rPr>
                <w:rFonts w:ascii="Segoe UI" w:hAnsi="Segoe UI" w:cs="Segoe UI"/>
                <w:sz w:val="22"/>
                <w:szCs w:val="22"/>
                <w:lang w:val="cs-CZ" w:bidi="bo-CN"/>
              </w:rPr>
              <w:t xml:space="preserve"> video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2F48ECE5" w14:textId="77777777" w:rsidR="00A67194" w:rsidRPr="00E56869" w:rsidRDefault="00A71A69" w:rsidP="005A66FE">
            <w:pPr>
              <w:pStyle w:val="Normlnweb"/>
              <w:spacing w:before="0" w:beforeAutospacing="0" w:after="0" w:afterAutospacing="0" w:line="276" w:lineRule="auto"/>
              <w:rPr>
                <w:rFonts w:ascii="Segoe UI" w:hAnsi="Segoe UI" w:cs="Segoe UI"/>
                <w:color w:val="333333"/>
                <w:sz w:val="22"/>
                <w:szCs w:val="22"/>
                <w:lang w:val="cs-CZ"/>
              </w:rPr>
            </w:pPr>
            <w:hyperlink r:id="rId12" w:history="1">
              <w:r w:rsidR="00A67194" w:rsidRPr="00E56869">
                <w:rPr>
                  <w:rStyle w:val="Hypertextovodkaz"/>
                  <w:rFonts w:cs="Segoe UI"/>
                  <w:sz w:val="22"/>
                  <w:szCs w:val="22"/>
                  <w:lang w:val="cs-CZ" w:bidi="bo-CN"/>
                </w:rPr>
                <w:t>Biomass Balance Approach BASF - YouTube</w:t>
              </w:r>
            </w:hyperlink>
          </w:p>
        </w:tc>
      </w:tr>
    </w:tbl>
    <w:p w14:paraId="06AE0878" w14:textId="77777777" w:rsidR="00A67194" w:rsidRPr="00E56869" w:rsidRDefault="00A67194" w:rsidP="00A67194">
      <w:pPr>
        <w:rPr>
          <w:rFonts w:cs="Segoe UI"/>
          <w:lang w:val="cs-CZ"/>
        </w:rPr>
      </w:pPr>
    </w:p>
    <w:p w14:paraId="5D879A24" w14:textId="77777777" w:rsidR="00A67194" w:rsidRPr="00E56869" w:rsidRDefault="00A67194" w:rsidP="00A67194">
      <w:pPr>
        <w:pStyle w:val="BoilerplateText"/>
        <w:spacing w:after="0" w:line="276" w:lineRule="auto"/>
        <w:ind w:right="0"/>
        <w:jc w:val="both"/>
        <w:rPr>
          <w:rFonts w:ascii="Segoe UI" w:hAnsi="Segoe UI" w:cs="Segoe UI"/>
          <w:b/>
          <w:sz w:val="18"/>
          <w:szCs w:val="18"/>
          <w:highlight w:val="yellow"/>
          <w:lang w:val="cs-CZ"/>
        </w:rPr>
      </w:pPr>
    </w:p>
    <w:p w14:paraId="363139E9" w14:textId="26C216CA" w:rsidR="00A67194" w:rsidRPr="00E56869" w:rsidRDefault="00A67194" w:rsidP="00A67194">
      <w:pPr>
        <w:rPr>
          <w:rFonts w:cs="Segoe UI"/>
          <w:sz w:val="18"/>
          <w:szCs w:val="18"/>
          <w:lang w:val="cs-CZ"/>
        </w:rPr>
      </w:pPr>
      <w:r w:rsidRPr="00E56869">
        <w:rPr>
          <w:rFonts w:cs="Segoe UI"/>
          <w:b/>
          <w:bCs/>
          <w:sz w:val="18"/>
          <w:szCs w:val="18"/>
          <w:lang w:val="cs-CZ" w:bidi="bo-CN"/>
        </w:rPr>
        <w:t>O spol</w:t>
      </w:r>
      <w:r w:rsidR="00326226" w:rsidRPr="00E56869">
        <w:rPr>
          <w:rFonts w:cs="Segoe UI"/>
          <w:b/>
          <w:bCs/>
          <w:sz w:val="18"/>
          <w:szCs w:val="18"/>
          <w:lang w:val="cs-CZ" w:bidi="bo-CN"/>
        </w:rPr>
        <w:t>e</w:t>
      </w:r>
      <w:r w:rsidRPr="00E56869">
        <w:rPr>
          <w:rFonts w:cs="Segoe UI"/>
          <w:b/>
          <w:bCs/>
          <w:sz w:val="18"/>
          <w:szCs w:val="18"/>
          <w:lang w:val="cs-CZ" w:bidi="bo-CN"/>
        </w:rPr>
        <w:t>čnosti BASF</w:t>
      </w:r>
    </w:p>
    <w:p w14:paraId="7AE81743" w14:textId="7EDB5DD0" w:rsidR="00A67194" w:rsidRPr="00E56869" w:rsidRDefault="00326226" w:rsidP="00A67194">
      <w:pPr>
        <w:rPr>
          <w:rFonts w:cs="Segoe UI"/>
          <w:sz w:val="18"/>
          <w:szCs w:val="18"/>
          <w:lang w:val="cs-CZ" w:bidi="bo-CN"/>
        </w:rPr>
      </w:pPr>
      <w:r w:rsidRPr="00E56869">
        <w:rPr>
          <w:rFonts w:cs="Segoe UI"/>
          <w:sz w:val="18"/>
          <w:szCs w:val="18"/>
          <w:lang w:val="cs-CZ" w:bidi="bo-CN"/>
        </w:rPr>
        <w:t xml:space="preserve">Ve společnosti BASF tvoříme chemii pro trvale udržitelnou budoucnost. Spojujeme ekonomický úspěch, ochranu životního prostředí a společenskou zodpovědnost. Přibližně 111 000 zaměstnanců koncernu BASF přispívá k úspěchu našich zákazníků prakticky ve všech odvětvích téměř po celém světě. Portfolio společnosti BASF je rozděleno do šesti segmentů: Chemicals, Materials, Industrial Solutions, Surface Technologies, Nutrition &amp; Care a Agricultural Solutions. V roce 2021 dosáhl obrat společnosti 78,6 miliard. eur. Akcie společnosti BASF se obchodují na akciových trzích ve Frankfurtu (BAS) a v podobě amerických depozitních certifikátů také v USA (BASFY). Více informací naleznete na </w:t>
      </w:r>
      <w:hyperlink r:id="rId13" w:history="1">
        <w:r w:rsidRPr="00E56869">
          <w:rPr>
            <w:rStyle w:val="Hypertextovodkaz"/>
            <w:rFonts w:cs="Segoe UI"/>
            <w:lang w:val="cs-CZ" w:bidi="bo-CN"/>
          </w:rPr>
          <w:t>www.basf.com</w:t>
        </w:r>
      </w:hyperlink>
      <w:r w:rsidRPr="00E56869">
        <w:rPr>
          <w:rFonts w:cs="Segoe UI"/>
          <w:sz w:val="18"/>
          <w:szCs w:val="18"/>
          <w:lang w:val="cs-CZ" w:bidi="bo-CN"/>
        </w:rPr>
        <w:t>.</w:t>
      </w:r>
    </w:p>
    <w:p w14:paraId="3F927769" w14:textId="77777777" w:rsidR="00326226" w:rsidRPr="00E56869" w:rsidRDefault="00326226" w:rsidP="00A67194">
      <w:pPr>
        <w:rPr>
          <w:rFonts w:cs="Segoe UI"/>
          <w:sz w:val="18"/>
          <w:szCs w:val="18"/>
          <w:lang w:val="cs-CZ"/>
        </w:rPr>
      </w:pPr>
    </w:p>
    <w:p w14:paraId="34D16086" w14:textId="536BDF31" w:rsidR="00A67194" w:rsidRPr="00E56869" w:rsidRDefault="00A67194" w:rsidP="00A67194">
      <w:pPr>
        <w:pStyle w:val="BoilerplateText"/>
        <w:spacing w:after="0" w:line="276" w:lineRule="auto"/>
        <w:ind w:right="0"/>
        <w:jc w:val="both"/>
        <w:rPr>
          <w:rFonts w:ascii="Segoe UI" w:hAnsi="Segoe UI" w:cs="Segoe UI"/>
          <w:b/>
          <w:sz w:val="18"/>
          <w:szCs w:val="18"/>
          <w:lang w:val="cs-CZ"/>
        </w:rPr>
      </w:pPr>
      <w:r w:rsidRPr="00E56869">
        <w:rPr>
          <w:rFonts w:ascii="Segoe UI" w:hAnsi="Segoe UI" w:cs="Segoe UI"/>
          <w:b/>
          <w:sz w:val="18"/>
          <w:szCs w:val="18"/>
          <w:lang w:val="cs-CZ" w:bidi="bo-CN"/>
        </w:rPr>
        <w:t>O div</w:t>
      </w:r>
      <w:r w:rsidR="00326226" w:rsidRPr="00E56869">
        <w:rPr>
          <w:rFonts w:ascii="Segoe UI" w:hAnsi="Segoe UI" w:cs="Segoe UI"/>
          <w:b/>
          <w:sz w:val="18"/>
          <w:szCs w:val="18"/>
          <w:lang w:val="cs-CZ" w:bidi="bo-CN"/>
        </w:rPr>
        <w:t>i</w:t>
      </w:r>
      <w:r w:rsidRPr="00E56869">
        <w:rPr>
          <w:rFonts w:ascii="Segoe UI" w:hAnsi="Segoe UI" w:cs="Segoe UI"/>
          <w:b/>
          <w:sz w:val="18"/>
          <w:szCs w:val="18"/>
          <w:lang w:val="cs-CZ" w:bidi="bo-CN"/>
        </w:rPr>
        <w:t>zi Care Chemicals spol</w:t>
      </w:r>
      <w:r w:rsidR="00326226" w:rsidRPr="00E56869">
        <w:rPr>
          <w:rFonts w:ascii="Segoe UI" w:hAnsi="Segoe UI" w:cs="Segoe UI"/>
          <w:b/>
          <w:sz w:val="18"/>
          <w:szCs w:val="18"/>
          <w:lang w:val="cs-CZ" w:bidi="bo-CN"/>
        </w:rPr>
        <w:t>e</w:t>
      </w:r>
      <w:r w:rsidRPr="00E56869">
        <w:rPr>
          <w:rFonts w:ascii="Segoe UI" w:hAnsi="Segoe UI" w:cs="Segoe UI"/>
          <w:b/>
          <w:sz w:val="18"/>
          <w:szCs w:val="18"/>
          <w:lang w:val="cs-CZ" w:bidi="bo-CN"/>
        </w:rPr>
        <w:t>čnosti BASF</w:t>
      </w:r>
      <w:r w:rsidRPr="00E56869">
        <w:rPr>
          <w:rFonts w:ascii="Segoe UI" w:hAnsi="Segoe UI" w:cs="Segoe UI"/>
          <w:b/>
          <w:sz w:val="18"/>
          <w:szCs w:val="18"/>
          <w:lang w:val="cs-CZ"/>
        </w:rPr>
        <w:t xml:space="preserve"> </w:t>
      </w:r>
    </w:p>
    <w:p w14:paraId="74DCD38C" w14:textId="491E18F6" w:rsidR="007F0F63" w:rsidRPr="00E56869" w:rsidRDefault="00326226" w:rsidP="00643D8A">
      <w:pPr>
        <w:rPr>
          <w:rFonts w:eastAsia="SimSun" w:cs="Segoe UI"/>
          <w:sz w:val="18"/>
          <w:szCs w:val="18"/>
          <w:lang w:val="cs-CZ" w:bidi="bo-CN"/>
        </w:rPr>
      </w:pPr>
      <w:r w:rsidRPr="00E56869">
        <w:rPr>
          <w:rFonts w:eastAsia="SimSun" w:cs="Segoe UI"/>
          <w:sz w:val="18"/>
          <w:szCs w:val="18"/>
          <w:lang w:val="cs-CZ" w:bidi="bo-CN"/>
        </w:rPr>
        <w:t xml:space="preserve">Divize Care Chemicals nabízí široké portfolio účinných složek a látek, které se používají ve výrobcích určených pro osobní hygienu, péči o domácnost, průmyslové čištění a technické využití. Jsme přední světový dodavatel surovin pro kosmetický průmysl a výrobu čistících prostředků a své zákazníky podporujeme inovativními a udržitelnými produkty, řešeními a koncepty. Naše portfolio vysoce účinných produktů zahrnuje povrchově aktivní látky, emulgátory, polymery, změkčovadla, cheláty, aktivní látky pro kosmetický průmysl a UV filtry. Své výrobní a vývojové provozy máme ve všech regionech a pokračujeme v rozšiřování své přítomnosti na rozvíjejících se trzích. Více informací je k dispozici online na </w:t>
      </w:r>
      <w:hyperlink r:id="rId14" w:history="1">
        <w:r w:rsidRPr="00E56869">
          <w:rPr>
            <w:rStyle w:val="Hypertextovodkaz"/>
            <w:rFonts w:eastAsia="SimSun" w:cs="Segoe UI"/>
            <w:lang w:val="cs-CZ" w:bidi="bo-CN"/>
          </w:rPr>
          <w:t>www.care-chemicals.basf.com</w:t>
        </w:r>
      </w:hyperlink>
      <w:r w:rsidRPr="00E56869">
        <w:rPr>
          <w:rFonts w:eastAsia="SimSun" w:cs="Segoe UI"/>
          <w:sz w:val="18"/>
          <w:szCs w:val="18"/>
          <w:lang w:val="cs-CZ" w:bidi="bo-CN"/>
        </w:rPr>
        <w:t>.</w:t>
      </w:r>
    </w:p>
    <w:p w14:paraId="223C8801" w14:textId="77777777" w:rsidR="00326226" w:rsidRPr="00E56869" w:rsidRDefault="00326226" w:rsidP="00643D8A">
      <w:pPr>
        <w:rPr>
          <w:rFonts w:cs="Segoe UI"/>
          <w:szCs w:val="22"/>
          <w:lang w:val="cs-CZ"/>
        </w:rPr>
      </w:pPr>
    </w:p>
    <w:p w14:paraId="67D20096" w14:textId="77777777" w:rsidR="00513307" w:rsidRPr="00E56869" w:rsidRDefault="00513307" w:rsidP="00513307">
      <w:pPr>
        <w:rPr>
          <w:rStyle w:val="AboutandContactHeadline"/>
          <w:lang w:val="cs-CZ"/>
        </w:rPr>
      </w:pPr>
      <w:r w:rsidRPr="00E56869">
        <w:rPr>
          <w:rStyle w:val="AboutandContactHeadline"/>
          <w:lang w:val="cs-CZ"/>
        </w:rPr>
        <w:t>O společnosti Henkel</w:t>
      </w:r>
    </w:p>
    <w:p w14:paraId="426F7004" w14:textId="7369EEF5" w:rsidR="00513307" w:rsidRPr="00E56869" w:rsidRDefault="00513307" w:rsidP="00513307">
      <w:pPr>
        <w:rPr>
          <w:rStyle w:val="AboutandContactHeadline"/>
          <w:b w:val="0"/>
          <w:bCs w:val="0"/>
          <w:lang w:val="cs-CZ"/>
        </w:rPr>
      </w:pPr>
      <w:r w:rsidRPr="00E56869">
        <w:rPr>
          <w:rStyle w:val="AboutandContactHeadline"/>
          <w:b w:val="0"/>
          <w:bCs w:val="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</w:t>
      </w:r>
      <w:r w:rsidRPr="00E56869">
        <w:rPr>
          <w:rStyle w:val="AboutandContactHeadline"/>
          <w:b w:val="0"/>
          <w:bCs w:val="0"/>
          <w:lang w:val="cs-CZ"/>
        </w:rPr>
        <w:lastRenderedPageBreak/>
        <w:t xml:space="preserve">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roku 1876, se ohlíží zpět na více než 140 let úspěchu. V roce 2020 společnost Henkel vykázala tržby ve výši přibližně 19 mld. eur a provozní zisk ve výši přibližně 2,6 mld. eur. Společnost Henkel zaměstnává po celém světě kolem 53 000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5" w:history="1">
        <w:r w:rsidRPr="00E56869">
          <w:rPr>
            <w:rStyle w:val="Hypertextovodkaz"/>
            <w:szCs w:val="24"/>
            <w:lang w:val="cs-CZ"/>
          </w:rPr>
          <w:t>www.henkel.com</w:t>
        </w:r>
      </w:hyperlink>
      <w:r w:rsidRPr="00E56869">
        <w:rPr>
          <w:rStyle w:val="AboutandContactHeadline"/>
          <w:b w:val="0"/>
          <w:bCs w:val="0"/>
          <w:lang w:val="cs-CZ"/>
        </w:rPr>
        <w:t>.</w:t>
      </w:r>
    </w:p>
    <w:p w14:paraId="1560725D" w14:textId="77777777" w:rsidR="00513307" w:rsidRPr="00E56869" w:rsidRDefault="00513307" w:rsidP="00513307">
      <w:pPr>
        <w:rPr>
          <w:rStyle w:val="AboutandContactHeadline"/>
          <w:b w:val="0"/>
          <w:bCs w:val="0"/>
          <w:lang w:val="cs-CZ"/>
        </w:rPr>
      </w:pPr>
    </w:p>
    <w:p w14:paraId="48291DF9" w14:textId="77777777" w:rsidR="00513307" w:rsidRPr="00E56869" w:rsidRDefault="00513307" w:rsidP="00513307">
      <w:pPr>
        <w:rPr>
          <w:rStyle w:val="AboutandContactHeadline"/>
          <w:lang w:val="cs-CZ"/>
        </w:rPr>
      </w:pPr>
      <w:r w:rsidRPr="00E56869">
        <w:rPr>
          <w:rStyle w:val="AboutandContactHeadline"/>
          <w:lang w:val="cs-CZ"/>
        </w:rPr>
        <w:t>O společnosti HENKEL ČR</w:t>
      </w:r>
    </w:p>
    <w:p w14:paraId="51474588" w14:textId="1B944D8B" w:rsidR="008C56CF" w:rsidRPr="00E56869" w:rsidRDefault="00513307" w:rsidP="00513307">
      <w:pPr>
        <w:rPr>
          <w:rStyle w:val="AboutandContactHeadline"/>
          <w:b w:val="0"/>
          <w:bCs w:val="0"/>
          <w:lang w:val="cs-CZ"/>
        </w:rPr>
      </w:pPr>
      <w:r w:rsidRPr="00E56869">
        <w:rPr>
          <w:rStyle w:val="AboutandContactHeadline"/>
          <w:b w:val="0"/>
          <w:bCs w:val="0"/>
          <w:lang w:val="cs-CZ"/>
        </w:rPr>
        <w:t xml:space="preserve">V České republice působí Henkel ve všech třech strategických obchodních divizích: Adhesive Technologies, Beauty Care a Laundry &amp; Home Care. Celkem společnost distribuuje v České republice přibližně 50 mezinárodních a národních značek, z nichž celá řada zaujímá vedoucí postavení, nebo jednu z předních pozic na trzích, na kterých působí. První zahraniční pobočka Henkel CEE byla založena mezi lety 1900/91v tehdejší Československé federativní republice. Dnes HENKEL ČR zaměstnává přibližně 250 zaměstnanců, má 1 výrobní závod a 1 kancelářské pracoviště. Více informací najdete na stránce </w:t>
      </w:r>
      <w:hyperlink r:id="rId16" w:history="1">
        <w:r w:rsidRPr="00E56869">
          <w:rPr>
            <w:rStyle w:val="Hypertextovodkaz"/>
            <w:szCs w:val="24"/>
            <w:lang w:val="cs-CZ"/>
          </w:rPr>
          <w:t>www.henkel.cz</w:t>
        </w:r>
      </w:hyperlink>
      <w:r w:rsidRPr="00E56869">
        <w:rPr>
          <w:rStyle w:val="AboutandContactHeadline"/>
          <w:b w:val="0"/>
          <w:bCs w:val="0"/>
          <w:lang w:val="cs-CZ"/>
        </w:rPr>
        <w:t>.</w:t>
      </w:r>
    </w:p>
    <w:p w14:paraId="28E7CF7C" w14:textId="600F95E5" w:rsidR="00513307" w:rsidRPr="00E56869" w:rsidRDefault="00513307" w:rsidP="00BF6E82">
      <w:pPr>
        <w:rPr>
          <w:rStyle w:val="AboutandContactHeadline"/>
          <w:lang w:val="cs-CZ"/>
        </w:rPr>
      </w:pPr>
    </w:p>
    <w:p w14:paraId="50F667D4" w14:textId="17FA109A" w:rsidR="00513307" w:rsidRPr="00E56869" w:rsidRDefault="00513307" w:rsidP="00BF6E82">
      <w:pPr>
        <w:rPr>
          <w:rStyle w:val="AboutandContactHeadline"/>
          <w:lang w:val="cs-CZ"/>
        </w:rPr>
      </w:pPr>
    </w:p>
    <w:p w14:paraId="6F5B9C97" w14:textId="77777777" w:rsidR="00513307" w:rsidRPr="00E56869" w:rsidRDefault="00513307" w:rsidP="00BF6E82">
      <w:pPr>
        <w:rPr>
          <w:rStyle w:val="AboutandContactHeadline"/>
          <w:lang w:val="cs-CZ"/>
        </w:rPr>
      </w:pPr>
    </w:p>
    <w:p w14:paraId="0ED67B46" w14:textId="77777777" w:rsidR="006E719D" w:rsidRPr="00E56869" w:rsidRDefault="006E719D" w:rsidP="006E719D">
      <w:pPr>
        <w:rPr>
          <w:rStyle w:val="AboutandContactBody"/>
          <w:b/>
          <w:bCs/>
          <w:sz w:val="20"/>
          <w:szCs w:val="20"/>
          <w:lang w:val="cs-CZ"/>
        </w:rPr>
      </w:pPr>
      <w:r w:rsidRPr="00E56869">
        <w:rPr>
          <w:rStyle w:val="AboutandContactBody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E56869" w:rsidRDefault="006E719D" w:rsidP="006E719D">
      <w:pPr>
        <w:rPr>
          <w:rStyle w:val="AboutandContactBody"/>
          <w:sz w:val="20"/>
          <w:szCs w:val="20"/>
          <w:lang w:val="cs-CZ"/>
        </w:rPr>
      </w:pPr>
      <w:r w:rsidRPr="00E56869">
        <w:rPr>
          <w:rStyle w:val="AboutandContactBody"/>
          <w:sz w:val="20"/>
          <w:szCs w:val="20"/>
          <w:lang w:val="cs-CZ"/>
        </w:rPr>
        <w:t>Zuzana Kaňuchová</w:t>
      </w:r>
      <w:r w:rsidRPr="00E56869">
        <w:rPr>
          <w:rStyle w:val="AboutandContactBody"/>
          <w:sz w:val="20"/>
          <w:szCs w:val="20"/>
          <w:lang w:val="cs-CZ"/>
        </w:rPr>
        <w:tab/>
      </w:r>
      <w:r w:rsidRPr="00E56869">
        <w:rPr>
          <w:rStyle w:val="AboutandContactBody"/>
          <w:sz w:val="20"/>
          <w:szCs w:val="20"/>
          <w:lang w:val="cs-CZ"/>
        </w:rPr>
        <w:tab/>
      </w:r>
      <w:r w:rsidRPr="00E56869">
        <w:rPr>
          <w:rStyle w:val="AboutandContactBody"/>
          <w:sz w:val="20"/>
          <w:szCs w:val="20"/>
          <w:lang w:val="cs-CZ"/>
        </w:rPr>
        <w:tab/>
      </w:r>
      <w:r w:rsidRPr="00E56869">
        <w:rPr>
          <w:rStyle w:val="AboutandContactBody"/>
          <w:sz w:val="20"/>
          <w:szCs w:val="20"/>
          <w:lang w:val="cs-CZ"/>
        </w:rPr>
        <w:tab/>
      </w:r>
      <w:r w:rsidRPr="00E56869">
        <w:rPr>
          <w:rStyle w:val="AboutandContactBody"/>
          <w:sz w:val="20"/>
          <w:szCs w:val="20"/>
          <w:lang w:val="cs-CZ"/>
        </w:rPr>
        <w:tab/>
      </w:r>
      <w:r w:rsidRPr="00E56869">
        <w:rPr>
          <w:rStyle w:val="AboutandContactBody"/>
          <w:sz w:val="20"/>
          <w:szCs w:val="20"/>
          <w:lang w:val="cs-CZ"/>
        </w:rPr>
        <w:tab/>
      </w:r>
    </w:p>
    <w:p w14:paraId="2A7E1B99" w14:textId="1D432B7E" w:rsidR="006E719D" w:rsidRPr="00E56869" w:rsidRDefault="00513307" w:rsidP="006E719D">
      <w:pPr>
        <w:rPr>
          <w:rStyle w:val="AboutandContactBody"/>
          <w:sz w:val="20"/>
          <w:szCs w:val="20"/>
          <w:lang w:val="cs-CZ"/>
        </w:rPr>
      </w:pPr>
      <w:r w:rsidRPr="00E56869">
        <w:rPr>
          <w:rStyle w:val="AboutandContactBody"/>
          <w:sz w:val="20"/>
          <w:szCs w:val="20"/>
          <w:lang w:val="cs-CZ"/>
        </w:rPr>
        <w:t>Ředitelka korporátní komunikace</w:t>
      </w:r>
      <w:r w:rsidR="006E719D" w:rsidRPr="00E56869">
        <w:rPr>
          <w:rStyle w:val="AboutandContactBody"/>
          <w:sz w:val="20"/>
          <w:szCs w:val="20"/>
          <w:lang w:val="cs-CZ"/>
        </w:rPr>
        <w:tab/>
      </w:r>
      <w:r w:rsidR="006E719D" w:rsidRPr="00E56869">
        <w:rPr>
          <w:rStyle w:val="AboutandContactBody"/>
          <w:sz w:val="20"/>
          <w:szCs w:val="20"/>
          <w:lang w:val="cs-CZ"/>
        </w:rPr>
        <w:tab/>
      </w:r>
    </w:p>
    <w:p w14:paraId="42F58736" w14:textId="77777777" w:rsidR="006E719D" w:rsidRPr="00E56869" w:rsidRDefault="006E719D" w:rsidP="006E719D">
      <w:pPr>
        <w:rPr>
          <w:rStyle w:val="AboutandContactBody"/>
          <w:sz w:val="20"/>
          <w:szCs w:val="20"/>
          <w:lang w:val="cs-CZ"/>
        </w:rPr>
      </w:pPr>
    </w:p>
    <w:p w14:paraId="6050F928" w14:textId="5DEE30A9" w:rsidR="006E719D" w:rsidRPr="00E56869" w:rsidRDefault="006E719D" w:rsidP="006E719D">
      <w:pPr>
        <w:rPr>
          <w:rStyle w:val="AboutandContactBody"/>
          <w:sz w:val="20"/>
          <w:szCs w:val="20"/>
          <w:lang w:val="cs-CZ"/>
        </w:rPr>
      </w:pPr>
      <w:r w:rsidRPr="00E56869">
        <w:rPr>
          <w:rStyle w:val="AboutandContactBody"/>
          <w:sz w:val="20"/>
          <w:szCs w:val="20"/>
          <w:lang w:val="cs-CZ"/>
        </w:rPr>
        <w:t>Telef</w:t>
      </w:r>
      <w:r w:rsidR="00513307" w:rsidRPr="00E56869">
        <w:rPr>
          <w:rStyle w:val="AboutandContactBody"/>
          <w:sz w:val="20"/>
          <w:szCs w:val="20"/>
          <w:lang w:val="cs-CZ"/>
        </w:rPr>
        <w:t>o</w:t>
      </w:r>
      <w:r w:rsidRPr="00E56869">
        <w:rPr>
          <w:rStyle w:val="AboutandContactBody"/>
          <w:sz w:val="20"/>
          <w:szCs w:val="20"/>
          <w:lang w:val="cs-CZ"/>
        </w:rPr>
        <w:t>n: +421 917 160 597</w:t>
      </w:r>
      <w:r w:rsidRPr="00E56869">
        <w:rPr>
          <w:rStyle w:val="AboutandContactBody"/>
          <w:sz w:val="20"/>
          <w:szCs w:val="20"/>
          <w:lang w:val="cs-CZ"/>
        </w:rPr>
        <w:tab/>
      </w:r>
      <w:r w:rsidRPr="00E56869">
        <w:rPr>
          <w:rStyle w:val="AboutandContactBody"/>
          <w:sz w:val="20"/>
          <w:szCs w:val="20"/>
          <w:lang w:val="cs-CZ"/>
        </w:rPr>
        <w:tab/>
      </w:r>
      <w:r w:rsidRPr="00E56869">
        <w:rPr>
          <w:rStyle w:val="AboutandContactBody"/>
          <w:sz w:val="20"/>
          <w:szCs w:val="20"/>
          <w:lang w:val="cs-CZ"/>
        </w:rPr>
        <w:tab/>
      </w:r>
    </w:p>
    <w:p w14:paraId="0BFF6B34" w14:textId="70496E61" w:rsidR="00BF6E82" w:rsidRPr="00E56869" w:rsidRDefault="006E719D" w:rsidP="006E719D">
      <w:pPr>
        <w:rPr>
          <w:rStyle w:val="AboutandContactBody"/>
          <w:sz w:val="20"/>
          <w:szCs w:val="20"/>
          <w:lang w:val="cs-CZ"/>
        </w:rPr>
      </w:pPr>
      <w:r w:rsidRPr="00E56869">
        <w:rPr>
          <w:rStyle w:val="AboutandContactBody"/>
          <w:sz w:val="20"/>
          <w:szCs w:val="20"/>
          <w:lang w:val="cs-CZ"/>
        </w:rPr>
        <w:t xml:space="preserve">E-mail:  </w:t>
      </w:r>
      <w:hyperlink r:id="rId17" w:history="1">
        <w:r w:rsidR="00BB1DFA" w:rsidRPr="00E56869">
          <w:rPr>
            <w:rStyle w:val="Hypertextovodkaz"/>
            <w:sz w:val="20"/>
            <w:szCs w:val="20"/>
            <w:lang w:val="cs-CZ"/>
          </w:rPr>
          <w:t>zuzana.kanuchova@henkel.com</w:t>
        </w:r>
      </w:hyperlink>
      <w:r w:rsidR="00BB1DFA" w:rsidRPr="00E56869">
        <w:rPr>
          <w:rStyle w:val="AboutandContactBody"/>
          <w:sz w:val="20"/>
          <w:szCs w:val="20"/>
          <w:lang w:val="cs-CZ"/>
        </w:rPr>
        <w:t xml:space="preserve"> </w:t>
      </w:r>
    </w:p>
    <w:sectPr w:rsidR="00BF6E82" w:rsidRPr="00E56869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A43D" w14:textId="77777777" w:rsidR="00A71A69" w:rsidRDefault="00A71A69">
      <w:r>
        <w:separator/>
      </w:r>
    </w:p>
  </w:endnote>
  <w:endnote w:type="continuationSeparator" w:id="0">
    <w:p w14:paraId="2F91E1E1" w14:textId="77777777" w:rsidR="00A71A69" w:rsidRDefault="00A7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21C868AC" w:rsidR="00CF6F33" w:rsidRPr="00992A11" w:rsidRDefault="00DA5188" w:rsidP="00992A11">
    <w:pPr>
      <w:pStyle w:val="Zpat"/>
    </w:pPr>
    <w:r>
      <w:drawing>
        <wp:inline distT="0" distB="0" distL="0" distR="0" wp14:anchorId="20644E53" wp14:editId="431D96B3">
          <wp:extent cx="5759450" cy="359410"/>
          <wp:effectExtent l="0" t="0" r="0" b="2540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6952" w14:textId="77777777" w:rsidR="00A71A69" w:rsidRDefault="00A71A69">
      <w:r>
        <w:separator/>
      </w:r>
    </w:p>
  </w:footnote>
  <w:footnote w:type="continuationSeparator" w:id="0">
    <w:p w14:paraId="6320CC73" w14:textId="77777777" w:rsidR="00A71A69" w:rsidRDefault="00A7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8C9C5B5" w:rsidR="00CF6F33" w:rsidRPr="003876AC" w:rsidRDefault="0059722C" w:rsidP="00EB46D9">
    <w:pPr>
      <w:pStyle w:val="Zhlav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A02FB">
      <w:rPr>
        <w:noProof/>
        <w:lang w:val="sk-SK"/>
      </w:rPr>
      <w:t>Tisková zpráv</w:t>
    </w:r>
    <w:r w:rsidR="007726FF">
      <w:rPr>
        <w:noProof/>
        <w:lang w:val="sk-SK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306B9F"/>
    <w:multiLevelType w:val="hybridMultilevel"/>
    <w:tmpl w:val="1C847D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C06626"/>
    <w:multiLevelType w:val="hybridMultilevel"/>
    <w:tmpl w:val="FFFFFFFF"/>
    <w:lvl w:ilvl="0" w:tplc="71A072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1028">
    <w:abstractNumId w:val="2"/>
  </w:num>
  <w:num w:numId="2" w16cid:durableId="1844390406">
    <w:abstractNumId w:val="1"/>
  </w:num>
  <w:num w:numId="3" w16cid:durableId="1007560923">
    <w:abstractNumId w:val="10"/>
  </w:num>
  <w:num w:numId="4" w16cid:durableId="1533571423">
    <w:abstractNumId w:val="8"/>
  </w:num>
  <w:num w:numId="5" w16cid:durableId="415900702">
    <w:abstractNumId w:val="5"/>
  </w:num>
  <w:num w:numId="6" w16cid:durableId="889532877">
    <w:abstractNumId w:val="9"/>
  </w:num>
  <w:num w:numId="7" w16cid:durableId="863786254">
    <w:abstractNumId w:val="11"/>
  </w:num>
  <w:num w:numId="8" w16cid:durableId="1889948425">
    <w:abstractNumId w:val="3"/>
  </w:num>
  <w:num w:numId="9" w16cid:durableId="1140726843">
    <w:abstractNumId w:val="4"/>
  </w:num>
  <w:num w:numId="10" w16cid:durableId="1929579593">
    <w:abstractNumId w:val="0"/>
  </w:num>
  <w:num w:numId="11" w16cid:durableId="1248660008">
    <w:abstractNumId w:val="7"/>
  </w:num>
  <w:num w:numId="12" w16cid:durableId="289670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4391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A02FB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16D47"/>
    <w:rsid w:val="00320A26"/>
    <w:rsid w:val="00321344"/>
    <w:rsid w:val="00326226"/>
    <w:rsid w:val="00331EF1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1ABC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80B0F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E6E57"/>
    <w:rsid w:val="004F10C1"/>
    <w:rsid w:val="00502E62"/>
    <w:rsid w:val="00504452"/>
    <w:rsid w:val="00506B8A"/>
    <w:rsid w:val="00513307"/>
    <w:rsid w:val="0052212B"/>
    <w:rsid w:val="005308F8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1B3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26FF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B66D9"/>
    <w:rsid w:val="007D2A02"/>
    <w:rsid w:val="007E6EA1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255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9F7625"/>
    <w:rsid w:val="00A01F56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194"/>
    <w:rsid w:val="00A67A92"/>
    <w:rsid w:val="00A71A69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57FB4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5188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56869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3303"/>
    <w:rsid w:val="00F466C8"/>
    <w:rsid w:val="00F469A9"/>
    <w:rsid w:val="00F47EED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0F62"/>
    <w:rsid w:val="00FC4477"/>
    <w:rsid w:val="00FC46FB"/>
    <w:rsid w:val="00FD0A38"/>
    <w:rsid w:val="00FD2BD3"/>
    <w:rsid w:val="00FD4CCA"/>
    <w:rsid w:val="00FD7088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ZpatChar">
    <w:name w:val="Zápatí Char"/>
    <w:link w:val="Zpat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eenzm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/>
      <w:b/>
      <w:bCs/>
      <w:sz w:val="18"/>
    </w:rPr>
  </w:style>
  <w:style w:type="paragraph" w:styleId="Odstavecseseznamem">
    <w:name w:val="List Paragraph"/>
    <w:basedOn w:val="Normln"/>
    <w:qFormat/>
    <w:rsid w:val="0034425D"/>
    <w:pPr>
      <w:ind w:left="720"/>
      <w:contextualSpacing/>
    </w:pPr>
  </w:style>
  <w:style w:type="character" w:styleId="Odkaznakoment">
    <w:name w:val="annotation reference"/>
    <w:basedOn w:val="Standardnpsmoodstavce"/>
    <w:rsid w:val="00BB1D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1D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1D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BB1D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customStyle="1" w:styleId="BoilerplateText">
    <w:name w:val="Boilerplate Text"/>
    <w:basedOn w:val="Normln"/>
    <w:rsid w:val="00A67194"/>
    <w:pPr>
      <w:spacing w:after="200" w:line="360" w:lineRule="auto"/>
      <w:ind w:right="3124"/>
      <w:jc w:val="left"/>
    </w:pPr>
    <w:rPr>
      <w:rFonts w:ascii="Arial" w:eastAsia="SimSun" w:hAnsi="Arial"/>
      <w:sz w:val="20"/>
      <w:szCs w:val="20"/>
      <w:lang w:val="de-DE"/>
    </w:rPr>
  </w:style>
  <w:style w:type="paragraph" w:customStyle="1" w:styleId="FormatStandard">
    <w:name w:val="Format Standard"/>
    <w:basedOn w:val="Normln"/>
    <w:rsid w:val="00A67194"/>
    <w:pPr>
      <w:spacing w:after="200" w:line="360" w:lineRule="auto"/>
      <w:ind w:right="3124"/>
      <w:jc w:val="left"/>
    </w:pPr>
    <w:rPr>
      <w:rFonts w:ascii="Arial" w:eastAsia="SimSun" w:hAnsi="Arial"/>
      <w:sz w:val="24"/>
      <w:lang w:val="de-DE"/>
    </w:rPr>
  </w:style>
  <w:style w:type="paragraph" w:styleId="Normlnweb">
    <w:name w:val="Normal (Web)"/>
    <w:basedOn w:val="Normln"/>
    <w:uiPriority w:val="99"/>
    <w:unhideWhenUsed/>
    <w:rsid w:val="00A67194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customStyle="1" w:styleId="Untertitel1">
    <w:name w:val="Untertitel1"/>
    <w:basedOn w:val="Nadpis2"/>
    <w:rsid w:val="00A67194"/>
    <w:pPr>
      <w:keepNext w:val="0"/>
      <w:spacing w:after="360" w:line="340" w:lineRule="exact"/>
      <w:ind w:right="3124"/>
      <w:jc w:val="left"/>
    </w:pPr>
    <w:rPr>
      <w:rFonts w:ascii="Arial" w:eastAsia="SimSun" w:hAnsi="Arial" w:cs="Times New Roman"/>
      <w:b/>
      <w:bCs w:val="0"/>
      <w:iCs w:val="0"/>
      <w:color w:val="auto"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sf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cyeXzKzz3s8&amp;t=3s" TargetMode="External"/><Relationship Id="rId17" Type="http://schemas.openxmlformats.org/officeDocument/2006/relationships/hyperlink" Target="mailto:zuzana.kanuchova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www.henkel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sf.com/global/en/who-we-are/sustainability/we-drive-sustainable-solutions/circular-economy/mass-balance-approach/biomass-balanc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re-chemicals.basf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1010</Words>
  <Characters>5964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6961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Lucie Buresova</cp:lastModifiedBy>
  <cp:revision>60</cp:revision>
  <cp:lastPrinted>2016-11-16T01:11:00Z</cp:lastPrinted>
  <dcterms:created xsi:type="dcterms:W3CDTF">2020-07-16T10:22:00Z</dcterms:created>
  <dcterms:modified xsi:type="dcterms:W3CDTF">2022-06-07T06:52:00Z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