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D5E39A" w14:textId="1F9FCEC6" w:rsidR="00B422EC" w:rsidRPr="00EF1330" w:rsidRDefault="008B1DF6" w:rsidP="00643D8A">
      <w:pPr>
        <w:pStyle w:val="MonthDayYear"/>
        <w:rPr>
          <w:lang w:eastAsia="zh-CN"/>
        </w:rPr>
      </w:pPr>
      <w:r>
        <w:rPr>
          <w:lang w:eastAsia="zh-CN"/>
        </w:rPr>
        <w:t>2022</w:t>
      </w:r>
      <w:r>
        <w:rPr>
          <w:rFonts w:hint="eastAsia"/>
          <w:lang w:eastAsia="zh-CN"/>
        </w:rPr>
        <w:t>年</w:t>
      </w:r>
      <w:r w:rsidR="00D84FD4">
        <w:rPr>
          <w:lang w:eastAsia="zh-CN"/>
        </w:rPr>
        <w:t>5</w:t>
      </w:r>
      <w:r>
        <w:rPr>
          <w:rFonts w:hint="eastAsia"/>
          <w:lang w:eastAsia="zh-CN"/>
        </w:rPr>
        <w:t>月</w:t>
      </w:r>
      <w:r w:rsidR="00A706FD">
        <w:rPr>
          <w:lang w:eastAsia="zh-CN"/>
        </w:rPr>
        <w:t>25</w:t>
      </w:r>
      <w:r>
        <w:rPr>
          <w:rFonts w:hint="eastAsia"/>
          <w:lang w:eastAsia="zh-CN"/>
        </w:rPr>
        <w:t>日</w:t>
      </w:r>
    </w:p>
    <w:p w14:paraId="09896324" w14:textId="301C6F19" w:rsidR="007F0F63" w:rsidRPr="009D1522" w:rsidRDefault="00AC1D61" w:rsidP="009D1522">
      <w:pPr>
        <w:pStyle w:val="Topline"/>
        <w:rPr>
          <w:lang w:eastAsia="zh-CN"/>
        </w:rPr>
      </w:pPr>
      <w:bookmarkStart w:id="0" w:name="_Hlk103360037"/>
      <w:r w:rsidRPr="00AC1D61">
        <w:rPr>
          <w:rFonts w:hint="eastAsia"/>
          <w:lang w:eastAsia="zh-CN"/>
        </w:rPr>
        <w:t>“高”招领航，家添“绿”意</w:t>
      </w:r>
      <w:bookmarkEnd w:id="0"/>
    </w:p>
    <w:p w14:paraId="76AD0789" w14:textId="656B5B96" w:rsidR="007F0F63" w:rsidRPr="00A3756F" w:rsidRDefault="00D920A5" w:rsidP="00A3756F">
      <w:pPr>
        <w:rPr>
          <w:rStyle w:val="Headline"/>
          <w:lang w:eastAsia="zh-CN"/>
        </w:rPr>
      </w:pPr>
      <w:bookmarkStart w:id="1" w:name="_Hlk103360029"/>
      <w:r w:rsidRPr="00D920A5">
        <w:rPr>
          <w:rStyle w:val="Headline"/>
          <w:rFonts w:hint="eastAsia"/>
          <w:lang w:eastAsia="zh-CN"/>
        </w:rPr>
        <w:t>汉高创新</w:t>
      </w:r>
      <w:r w:rsidRPr="00D920A5">
        <w:rPr>
          <w:rStyle w:val="Headline"/>
          <w:rFonts w:hint="eastAsia"/>
          <w:lang w:eastAsia="zh-CN"/>
        </w:rPr>
        <w:t>PUR</w:t>
      </w:r>
      <w:r w:rsidRPr="00D920A5">
        <w:rPr>
          <w:rStyle w:val="Headline"/>
          <w:rFonts w:hint="eastAsia"/>
          <w:lang w:eastAsia="zh-CN"/>
        </w:rPr>
        <w:t>热熔胶解决方案，赋能绿色家具高效生产</w:t>
      </w:r>
      <w:bookmarkEnd w:id="1"/>
    </w:p>
    <w:p w14:paraId="6706FA18" w14:textId="77777777" w:rsidR="00852511" w:rsidRPr="00795AF2" w:rsidRDefault="00852511" w:rsidP="00365E44">
      <w:pPr>
        <w:rPr>
          <w:lang w:eastAsia="zh-CN"/>
        </w:rPr>
      </w:pPr>
    </w:p>
    <w:p w14:paraId="4C86496A" w14:textId="0367253E" w:rsidR="009226DF" w:rsidRPr="009226DF" w:rsidRDefault="009226DF" w:rsidP="009226DF">
      <w:pPr>
        <w:rPr>
          <w:rFonts w:cs="Segoe UI"/>
          <w:szCs w:val="22"/>
          <w:lang w:eastAsia="zh-CN"/>
        </w:rPr>
      </w:pPr>
      <w:r w:rsidRPr="009226DF">
        <w:rPr>
          <w:rFonts w:cs="Segoe UI" w:hint="eastAsia"/>
          <w:szCs w:val="22"/>
          <w:lang w:eastAsia="zh-CN"/>
        </w:rPr>
        <w:t>近年来，可持续发展之风吹遍各行各业，越来越多的消费者开始</w:t>
      </w:r>
      <w:proofErr w:type="gramStart"/>
      <w:r w:rsidRPr="009226DF">
        <w:rPr>
          <w:rFonts w:cs="Segoe UI" w:hint="eastAsia"/>
          <w:szCs w:val="22"/>
          <w:lang w:eastAsia="zh-CN"/>
        </w:rPr>
        <w:t>践行</w:t>
      </w:r>
      <w:proofErr w:type="gramEnd"/>
      <w:r w:rsidRPr="009226DF">
        <w:rPr>
          <w:rFonts w:cs="Segoe UI" w:hint="eastAsia"/>
          <w:szCs w:val="22"/>
          <w:lang w:eastAsia="zh-CN"/>
        </w:rPr>
        <w:t>更可持续的绿色生活方式，进而对环境友好、格调清新的家居空间与家具产品提出了高要求；正是这样的绿色居家生活变革，激活了家具与建材产业链的新一轮“绿色革命”。</w:t>
      </w:r>
    </w:p>
    <w:p w14:paraId="56BB3E59" w14:textId="77777777" w:rsidR="009226DF" w:rsidRPr="009226DF" w:rsidRDefault="009226DF" w:rsidP="009226DF">
      <w:pPr>
        <w:rPr>
          <w:rFonts w:cs="Segoe UI"/>
          <w:szCs w:val="22"/>
          <w:lang w:eastAsia="zh-CN"/>
        </w:rPr>
      </w:pPr>
    </w:p>
    <w:p w14:paraId="39752BE7" w14:textId="6D33B3E8" w:rsidR="004B4140" w:rsidRDefault="009226DF" w:rsidP="009226DF">
      <w:pPr>
        <w:rPr>
          <w:rFonts w:cs="Segoe UI"/>
          <w:szCs w:val="22"/>
          <w:lang w:eastAsia="zh-CN"/>
        </w:rPr>
      </w:pPr>
      <w:r w:rsidRPr="009226DF">
        <w:rPr>
          <w:rFonts w:cs="Segoe UI" w:hint="eastAsia"/>
          <w:szCs w:val="22"/>
          <w:lang w:eastAsia="zh-CN"/>
        </w:rPr>
        <w:t>作为家具与建材粘合剂供应商，汉高针对平贴和包覆两类主流家具生产工艺，全新升级</w:t>
      </w:r>
      <w:r w:rsidRPr="009226DF">
        <w:rPr>
          <w:rFonts w:cs="Segoe UI" w:hint="eastAsia"/>
          <w:szCs w:val="22"/>
          <w:lang w:eastAsia="zh-CN"/>
        </w:rPr>
        <w:t>PUR</w:t>
      </w:r>
      <w:r w:rsidRPr="009226DF">
        <w:rPr>
          <w:rFonts w:cs="Segoe UI" w:hint="eastAsia"/>
          <w:szCs w:val="22"/>
          <w:lang w:eastAsia="zh-CN"/>
        </w:rPr>
        <w:t>热熔胶解决方案，推出卓越系列平贴粘合剂</w:t>
      </w:r>
      <w:r w:rsidRPr="009226DF">
        <w:rPr>
          <w:rFonts w:cs="Segoe UI" w:hint="eastAsia"/>
          <w:szCs w:val="22"/>
          <w:lang w:eastAsia="zh-CN"/>
        </w:rPr>
        <w:t>TECHNOMELT PUR 4506</w:t>
      </w:r>
      <w:r w:rsidRPr="009226DF">
        <w:rPr>
          <w:rFonts w:cs="Segoe UI" w:hint="eastAsia"/>
          <w:szCs w:val="22"/>
          <w:lang w:eastAsia="zh-CN"/>
        </w:rPr>
        <w:t>和新升级包覆粘合剂</w:t>
      </w:r>
      <w:r w:rsidRPr="009226DF">
        <w:rPr>
          <w:rFonts w:cs="Segoe UI" w:hint="eastAsia"/>
          <w:szCs w:val="22"/>
          <w:lang w:eastAsia="zh-CN"/>
        </w:rPr>
        <w:t>TECHNOMELT PUR 4916</w:t>
      </w:r>
      <w:r w:rsidRPr="009226DF">
        <w:rPr>
          <w:rFonts w:cs="Segoe UI" w:hint="eastAsia"/>
          <w:szCs w:val="22"/>
          <w:lang w:eastAsia="zh-CN"/>
        </w:rPr>
        <w:t>，全方位满足家具建材客户在粘合性能、环保可续、提质增效等方面的需求，实力展现其赋能绿色家居生产、“粘”造绿色家居纪元的魄力与匠心。</w:t>
      </w:r>
    </w:p>
    <w:p w14:paraId="7389BB85" w14:textId="77777777" w:rsidR="009226DF" w:rsidRPr="004B4140" w:rsidRDefault="009226DF" w:rsidP="009226DF">
      <w:pPr>
        <w:rPr>
          <w:rFonts w:cs="Segoe UI"/>
          <w:szCs w:val="22"/>
          <w:lang w:eastAsia="zh-CN"/>
        </w:rPr>
      </w:pPr>
    </w:p>
    <w:p w14:paraId="262AEC24" w14:textId="136DE4FA" w:rsidR="00E819AF" w:rsidRDefault="00E819AF" w:rsidP="00E819AF">
      <w:pPr>
        <w:rPr>
          <w:rFonts w:cs="Segoe UI"/>
          <w:b/>
          <w:bCs/>
          <w:szCs w:val="22"/>
          <w:lang w:eastAsia="zh-CN"/>
        </w:rPr>
      </w:pPr>
      <w:r w:rsidRPr="00E819AF">
        <w:rPr>
          <w:rFonts w:cs="Segoe UI" w:hint="eastAsia"/>
          <w:b/>
          <w:bCs/>
          <w:szCs w:val="22"/>
          <w:lang w:eastAsia="zh-CN"/>
        </w:rPr>
        <w:t>隐形全能王</w:t>
      </w:r>
      <w:r w:rsidRPr="00E819AF">
        <w:rPr>
          <w:rFonts w:cs="Segoe UI" w:hint="eastAsia"/>
          <w:b/>
          <w:bCs/>
          <w:szCs w:val="22"/>
          <w:lang w:eastAsia="zh-CN"/>
        </w:rPr>
        <w:t xml:space="preserve"> TECHNOMELT PUR 4506</w:t>
      </w:r>
    </w:p>
    <w:p w14:paraId="79F60137" w14:textId="77777777" w:rsidR="00E819AF" w:rsidRPr="00E819AF" w:rsidRDefault="00E819AF" w:rsidP="00E819AF">
      <w:pPr>
        <w:rPr>
          <w:rFonts w:cs="Segoe UI"/>
          <w:b/>
          <w:bCs/>
          <w:szCs w:val="22"/>
          <w:lang w:eastAsia="zh-CN"/>
        </w:rPr>
      </w:pPr>
    </w:p>
    <w:p w14:paraId="39208A0A" w14:textId="5F81373C" w:rsidR="004B4140" w:rsidRDefault="00E819AF" w:rsidP="00E819AF">
      <w:pPr>
        <w:rPr>
          <w:rFonts w:cs="Segoe UI"/>
          <w:szCs w:val="22"/>
          <w:lang w:eastAsia="zh-CN"/>
        </w:rPr>
      </w:pPr>
      <w:r w:rsidRPr="00E819AF">
        <w:rPr>
          <w:rFonts w:cs="Segoe UI" w:hint="eastAsia"/>
          <w:szCs w:val="22"/>
          <w:lang w:eastAsia="zh-CN"/>
        </w:rPr>
        <w:t>平贴是指在板式部件上复合装饰材料，从而实现美化板材外观的目的。这类工艺广泛应用于家具、门、地板、墙板和吊顶等领域，适合较为平整或结构相对较少的板面。随着生产端对“质效合一”的追求不断提高、行业环保政策法规的日益趋严，平贴工艺对粘合剂性能也提出了更高的要求。</w:t>
      </w:r>
    </w:p>
    <w:p w14:paraId="7B30E238" w14:textId="77777777" w:rsidR="00E819AF" w:rsidRPr="004B4140" w:rsidRDefault="00E819AF" w:rsidP="00E819AF">
      <w:pPr>
        <w:rPr>
          <w:rFonts w:cs="Segoe UI"/>
          <w:szCs w:val="22"/>
          <w:lang w:eastAsia="zh-CN"/>
        </w:rPr>
      </w:pPr>
    </w:p>
    <w:p w14:paraId="1D624D70" w14:textId="77777777" w:rsidR="00A637C0" w:rsidRPr="00A637C0" w:rsidRDefault="00A637C0" w:rsidP="00A637C0">
      <w:pPr>
        <w:rPr>
          <w:rFonts w:cs="Segoe UI"/>
          <w:szCs w:val="22"/>
          <w:lang w:eastAsia="zh-CN"/>
        </w:rPr>
      </w:pPr>
      <w:r w:rsidRPr="00A637C0">
        <w:rPr>
          <w:rFonts w:cs="Segoe UI" w:hint="eastAsia"/>
          <w:szCs w:val="22"/>
          <w:lang w:eastAsia="zh-CN"/>
        </w:rPr>
        <w:t>汉高平贴粘合剂</w:t>
      </w:r>
      <w:r w:rsidRPr="00A637C0">
        <w:rPr>
          <w:rFonts w:cs="Segoe UI" w:hint="eastAsia"/>
          <w:szCs w:val="22"/>
          <w:lang w:eastAsia="zh-CN"/>
        </w:rPr>
        <w:t>TECHNOMELT PUR 4506</w:t>
      </w:r>
      <w:r w:rsidRPr="00A637C0">
        <w:rPr>
          <w:rFonts w:cs="Segoe UI" w:hint="eastAsia"/>
          <w:szCs w:val="22"/>
          <w:lang w:eastAsia="zh-CN"/>
        </w:rPr>
        <w:t>凭借其优异的胶膜透明性、有效控制气泡、</w:t>
      </w:r>
      <w:proofErr w:type="gramStart"/>
      <w:r w:rsidRPr="00A637C0">
        <w:rPr>
          <w:rFonts w:cs="Segoe UI" w:hint="eastAsia"/>
          <w:szCs w:val="22"/>
          <w:lang w:eastAsia="zh-CN"/>
        </w:rPr>
        <w:t>不</w:t>
      </w:r>
      <w:proofErr w:type="gramEnd"/>
      <w:r w:rsidRPr="00A637C0">
        <w:rPr>
          <w:rFonts w:cs="Segoe UI" w:hint="eastAsia"/>
          <w:szCs w:val="22"/>
          <w:lang w:eastAsia="zh-CN"/>
        </w:rPr>
        <w:t>鼓包，被誉为“隐形全能王”，能够有效确保家具板材呈现更美观的应用效果。这款产品</w:t>
      </w:r>
      <w:proofErr w:type="gramStart"/>
      <w:r w:rsidRPr="00A637C0">
        <w:rPr>
          <w:rFonts w:cs="Segoe UI" w:hint="eastAsia"/>
          <w:szCs w:val="22"/>
          <w:lang w:eastAsia="zh-CN"/>
        </w:rPr>
        <w:t>具有高初粘力</w:t>
      </w:r>
      <w:proofErr w:type="gramEnd"/>
      <w:r w:rsidRPr="00A637C0">
        <w:rPr>
          <w:rFonts w:cs="Segoe UI" w:hint="eastAsia"/>
          <w:szCs w:val="22"/>
          <w:lang w:eastAsia="zh-CN"/>
        </w:rPr>
        <w:t>，有效避免厚膜粘贴时的反弹问题，保障生产效率及质量。其拥有优异的基材适用性、浸润性强，能够广泛适用于</w:t>
      </w:r>
      <w:r w:rsidRPr="00A637C0">
        <w:rPr>
          <w:rFonts w:cs="Segoe UI" w:hint="eastAsia"/>
          <w:szCs w:val="22"/>
          <w:lang w:eastAsia="zh-CN"/>
        </w:rPr>
        <w:t>PVC</w:t>
      </w:r>
      <w:r w:rsidRPr="00A637C0">
        <w:rPr>
          <w:rFonts w:cs="Segoe UI" w:hint="eastAsia"/>
          <w:szCs w:val="22"/>
          <w:lang w:eastAsia="zh-CN"/>
        </w:rPr>
        <w:t>膜、</w:t>
      </w:r>
      <w:r w:rsidRPr="00A637C0">
        <w:rPr>
          <w:rFonts w:cs="Segoe UI" w:hint="eastAsia"/>
          <w:szCs w:val="22"/>
          <w:lang w:eastAsia="zh-CN"/>
        </w:rPr>
        <w:t>PET</w:t>
      </w:r>
      <w:r w:rsidRPr="00A637C0">
        <w:rPr>
          <w:rFonts w:cs="Segoe UI" w:hint="eastAsia"/>
          <w:szCs w:val="22"/>
          <w:lang w:eastAsia="zh-CN"/>
        </w:rPr>
        <w:t>膜、</w:t>
      </w:r>
      <w:r w:rsidRPr="00A637C0">
        <w:rPr>
          <w:rFonts w:cs="Segoe UI" w:hint="eastAsia"/>
          <w:szCs w:val="22"/>
          <w:lang w:eastAsia="zh-CN"/>
        </w:rPr>
        <w:t>MDF</w:t>
      </w:r>
      <w:r w:rsidRPr="00A637C0">
        <w:rPr>
          <w:rFonts w:cs="Segoe UI" w:hint="eastAsia"/>
          <w:szCs w:val="22"/>
          <w:lang w:eastAsia="zh-CN"/>
        </w:rPr>
        <w:t>板、木塑板、石塑板、</w:t>
      </w:r>
      <w:proofErr w:type="gramStart"/>
      <w:r w:rsidRPr="00A637C0">
        <w:rPr>
          <w:rFonts w:cs="Segoe UI" w:hint="eastAsia"/>
          <w:szCs w:val="22"/>
          <w:lang w:eastAsia="zh-CN"/>
        </w:rPr>
        <w:t>三胺板等</w:t>
      </w:r>
      <w:proofErr w:type="gramEnd"/>
      <w:r w:rsidRPr="00A637C0">
        <w:rPr>
          <w:rFonts w:cs="Segoe UI" w:hint="eastAsia"/>
          <w:szCs w:val="22"/>
          <w:lang w:eastAsia="zh-CN"/>
        </w:rPr>
        <w:t>基材。对于低表面能的基材有优异的最终粘结强度，以确保稳定的产品质量。此外，这款粘合剂有着更广泛的气温普适性，可以满足全年适用的生产需求，避免频繁切换产品。产品不含溶剂、低</w:t>
      </w:r>
      <w:r w:rsidRPr="00A637C0">
        <w:rPr>
          <w:rFonts w:cs="Segoe UI" w:hint="eastAsia"/>
          <w:szCs w:val="22"/>
          <w:lang w:eastAsia="zh-CN"/>
        </w:rPr>
        <w:t>VOC</w:t>
      </w:r>
      <w:r w:rsidRPr="00A637C0">
        <w:rPr>
          <w:rFonts w:cs="Segoe UI" w:hint="eastAsia"/>
          <w:szCs w:val="22"/>
          <w:lang w:eastAsia="zh-CN"/>
        </w:rPr>
        <w:t>、低气味，使用操作上也更环保安全。凭借其多项卓越性能，</w:t>
      </w:r>
      <w:r w:rsidRPr="00A637C0">
        <w:rPr>
          <w:rFonts w:cs="Segoe UI" w:hint="eastAsia"/>
          <w:szCs w:val="22"/>
          <w:lang w:eastAsia="zh-CN"/>
        </w:rPr>
        <w:t>TECHNOMELT PUR 4506</w:t>
      </w:r>
      <w:r w:rsidRPr="00A637C0">
        <w:rPr>
          <w:rFonts w:cs="Segoe UI" w:hint="eastAsia"/>
          <w:szCs w:val="22"/>
          <w:lang w:eastAsia="zh-CN"/>
        </w:rPr>
        <w:t>当之无愧荣获今年</w:t>
      </w:r>
      <w:proofErr w:type="spellStart"/>
      <w:r w:rsidRPr="00A637C0">
        <w:rPr>
          <w:rFonts w:cs="Segoe UI" w:hint="eastAsia"/>
          <w:szCs w:val="22"/>
          <w:lang w:eastAsia="zh-CN"/>
        </w:rPr>
        <w:t>interzum</w:t>
      </w:r>
      <w:proofErr w:type="spellEnd"/>
      <w:r w:rsidRPr="00A637C0">
        <w:rPr>
          <w:rFonts w:cs="Segoe UI" w:hint="eastAsia"/>
          <w:szCs w:val="22"/>
          <w:lang w:eastAsia="zh-CN"/>
        </w:rPr>
        <w:t>（中国广州国际家具生产设备及配料展览会）</w:t>
      </w:r>
      <w:r w:rsidRPr="00A637C0">
        <w:rPr>
          <w:rFonts w:cs="Segoe UI" w:hint="eastAsia"/>
          <w:szCs w:val="22"/>
          <w:lang w:eastAsia="zh-CN"/>
        </w:rPr>
        <w:t>20 PLUS 20</w:t>
      </w:r>
      <w:r w:rsidRPr="00A637C0">
        <w:rPr>
          <w:rFonts w:cs="Segoe UI" w:hint="eastAsia"/>
          <w:szCs w:val="22"/>
          <w:lang w:eastAsia="zh-CN"/>
        </w:rPr>
        <w:t>卓越辅料年度榜单。</w:t>
      </w:r>
    </w:p>
    <w:p w14:paraId="5F417B91" w14:textId="77777777" w:rsidR="00A637C0" w:rsidRPr="00A637C0" w:rsidRDefault="00A637C0" w:rsidP="00A637C0">
      <w:pPr>
        <w:rPr>
          <w:rFonts w:cs="Segoe UI"/>
          <w:szCs w:val="22"/>
          <w:lang w:eastAsia="zh-CN"/>
        </w:rPr>
      </w:pPr>
    </w:p>
    <w:p w14:paraId="5EDF65F9" w14:textId="77777777" w:rsidR="00A637C0" w:rsidRDefault="00A637C0" w:rsidP="00A637C0">
      <w:pPr>
        <w:rPr>
          <w:rFonts w:cs="Segoe UI"/>
          <w:b/>
          <w:bCs/>
          <w:szCs w:val="22"/>
          <w:lang w:eastAsia="zh-CN"/>
        </w:rPr>
      </w:pPr>
      <w:r w:rsidRPr="00A637C0">
        <w:rPr>
          <w:rFonts w:cs="Segoe UI" w:hint="eastAsia"/>
          <w:b/>
          <w:bCs/>
          <w:szCs w:val="22"/>
          <w:lang w:eastAsia="zh-CN"/>
        </w:rPr>
        <w:t>全季通用粘贴王</w:t>
      </w:r>
      <w:r w:rsidRPr="00A637C0">
        <w:rPr>
          <w:rFonts w:cs="Segoe UI" w:hint="eastAsia"/>
          <w:b/>
          <w:bCs/>
          <w:szCs w:val="22"/>
          <w:lang w:eastAsia="zh-CN"/>
        </w:rPr>
        <w:t xml:space="preserve"> TECHNOMELT PUR 4916</w:t>
      </w:r>
    </w:p>
    <w:p w14:paraId="35BE1630" w14:textId="77777777" w:rsidR="00A637C0" w:rsidRDefault="00A637C0" w:rsidP="00A637C0">
      <w:pPr>
        <w:rPr>
          <w:rFonts w:cs="Segoe UI"/>
          <w:b/>
          <w:bCs/>
          <w:szCs w:val="22"/>
          <w:lang w:eastAsia="zh-CN"/>
        </w:rPr>
      </w:pPr>
    </w:p>
    <w:p w14:paraId="29DFBA11" w14:textId="3B57E377" w:rsidR="00EE70E2" w:rsidRPr="00A637C0" w:rsidRDefault="00A637C0" w:rsidP="00A637C0">
      <w:pPr>
        <w:rPr>
          <w:rFonts w:cs="Segoe UI"/>
          <w:b/>
          <w:bCs/>
          <w:szCs w:val="22"/>
          <w:lang w:eastAsia="zh-CN"/>
        </w:rPr>
      </w:pPr>
      <w:r w:rsidRPr="00A637C0">
        <w:rPr>
          <w:rFonts w:cs="Segoe UI" w:hint="eastAsia"/>
          <w:szCs w:val="22"/>
          <w:lang w:eastAsia="zh-CN"/>
        </w:rPr>
        <w:t>包覆是指利用粘合剂，将表面装饰材料通过覆膜机包覆在不同线型的型材上。包覆工艺一般应用在相框、踢脚线、门窗框线条、衣柜和家具配件等领域。粘合剂的效能品质对这一工艺的生产效率和终端产品质量有着不可忽略的影响。</w:t>
      </w:r>
    </w:p>
    <w:p w14:paraId="3E9A79A2" w14:textId="77777777" w:rsidR="003600A6" w:rsidRDefault="003600A6" w:rsidP="00062A7F">
      <w:pPr>
        <w:rPr>
          <w:lang w:eastAsia="zh-CN"/>
        </w:rPr>
      </w:pPr>
    </w:p>
    <w:p w14:paraId="390705F9" w14:textId="77777777" w:rsidR="003600A6" w:rsidRPr="003600A6" w:rsidRDefault="003600A6" w:rsidP="003600A6">
      <w:pPr>
        <w:rPr>
          <w:rFonts w:cs="Segoe UI"/>
          <w:color w:val="000000"/>
          <w:szCs w:val="22"/>
          <w:shd w:val="clear" w:color="auto" w:fill="FFFFFF"/>
          <w:lang w:eastAsia="zh-CN"/>
        </w:rPr>
      </w:pPr>
      <w:r w:rsidRPr="003600A6">
        <w:rPr>
          <w:rFonts w:cs="Segoe UI" w:hint="eastAsia"/>
          <w:color w:val="000000"/>
          <w:szCs w:val="22"/>
          <w:shd w:val="clear" w:color="auto" w:fill="FFFFFF"/>
          <w:lang w:eastAsia="zh-CN"/>
        </w:rPr>
        <w:t>汉高包覆粘合剂</w:t>
      </w:r>
      <w:r w:rsidRPr="003600A6">
        <w:rPr>
          <w:rFonts w:cs="Segoe UI" w:hint="eastAsia"/>
          <w:color w:val="000000"/>
          <w:szCs w:val="22"/>
          <w:shd w:val="clear" w:color="auto" w:fill="FFFFFF"/>
          <w:lang w:eastAsia="zh-CN"/>
        </w:rPr>
        <w:t>TECHNOMELT PUR 4916</w:t>
      </w:r>
      <w:r w:rsidRPr="003600A6">
        <w:rPr>
          <w:rFonts w:cs="Segoe UI" w:hint="eastAsia"/>
          <w:color w:val="000000"/>
          <w:szCs w:val="22"/>
          <w:shd w:val="clear" w:color="auto" w:fill="FFFFFF"/>
          <w:lang w:eastAsia="zh-CN"/>
        </w:rPr>
        <w:t>因其广泛的气温普适性，被誉为“全季通用粘贴王”。该产品在夏季依然保持优异的初粘力，</w:t>
      </w:r>
      <w:proofErr w:type="gramStart"/>
      <w:r w:rsidRPr="003600A6">
        <w:rPr>
          <w:rFonts w:cs="Segoe UI" w:hint="eastAsia"/>
          <w:color w:val="000000"/>
          <w:szCs w:val="22"/>
          <w:shd w:val="clear" w:color="auto" w:fill="FFFFFF"/>
          <w:lang w:eastAsia="zh-CN"/>
        </w:rPr>
        <w:t>不易翘边反弹</w:t>
      </w:r>
      <w:proofErr w:type="gramEnd"/>
      <w:r w:rsidRPr="003600A6">
        <w:rPr>
          <w:rFonts w:cs="Segoe UI" w:hint="eastAsia"/>
          <w:color w:val="000000"/>
          <w:szCs w:val="22"/>
          <w:shd w:val="clear" w:color="auto" w:fill="FFFFFF"/>
          <w:lang w:eastAsia="zh-CN"/>
        </w:rPr>
        <w:t>。其拥有优异的基材适用性，</w:t>
      </w:r>
      <w:proofErr w:type="gramStart"/>
      <w:r w:rsidRPr="003600A6">
        <w:rPr>
          <w:rFonts w:cs="Segoe UI" w:hint="eastAsia"/>
          <w:color w:val="000000"/>
          <w:szCs w:val="22"/>
          <w:shd w:val="clear" w:color="auto" w:fill="FFFFFF"/>
          <w:lang w:eastAsia="zh-CN"/>
        </w:rPr>
        <w:t>对于厚</w:t>
      </w:r>
      <w:proofErr w:type="gramEnd"/>
      <w:r w:rsidRPr="003600A6">
        <w:rPr>
          <w:rFonts w:cs="Segoe UI" w:hint="eastAsia"/>
          <w:color w:val="000000"/>
          <w:szCs w:val="22"/>
          <w:shd w:val="clear" w:color="auto" w:fill="FFFFFF"/>
          <w:lang w:eastAsia="zh-CN"/>
        </w:rPr>
        <w:t>CPL</w:t>
      </w:r>
      <w:r w:rsidRPr="003600A6">
        <w:rPr>
          <w:rFonts w:cs="Segoe UI" w:hint="eastAsia"/>
          <w:color w:val="000000"/>
          <w:szCs w:val="22"/>
          <w:shd w:val="clear" w:color="auto" w:fill="FFFFFF"/>
          <w:lang w:eastAsia="zh-CN"/>
        </w:rPr>
        <w:t>、</w:t>
      </w:r>
      <w:r w:rsidRPr="003600A6">
        <w:rPr>
          <w:rFonts w:cs="Segoe UI" w:hint="eastAsia"/>
          <w:color w:val="000000"/>
          <w:szCs w:val="22"/>
          <w:shd w:val="clear" w:color="auto" w:fill="FFFFFF"/>
          <w:lang w:eastAsia="zh-CN"/>
        </w:rPr>
        <w:t>PVC</w:t>
      </w:r>
      <w:r w:rsidRPr="003600A6">
        <w:rPr>
          <w:rFonts w:cs="Segoe UI" w:hint="eastAsia"/>
          <w:color w:val="000000"/>
          <w:szCs w:val="22"/>
          <w:shd w:val="clear" w:color="auto" w:fill="FFFFFF"/>
          <w:lang w:eastAsia="zh-CN"/>
        </w:rPr>
        <w:t>膜、木皮</w:t>
      </w:r>
      <w:r w:rsidRPr="003600A6">
        <w:rPr>
          <w:rFonts w:cs="Segoe UI" w:hint="eastAsia"/>
          <w:color w:val="000000"/>
          <w:szCs w:val="22"/>
          <w:shd w:val="clear" w:color="auto" w:fill="FFFFFF"/>
          <w:lang w:eastAsia="zh-CN"/>
        </w:rPr>
        <w:t>+</w:t>
      </w:r>
      <w:r w:rsidRPr="003600A6">
        <w:rPr>
          <w:rFonts w:cs="Segoe UI" w:hint="eastAsia"/>
          <w:color w:val="000000"/>
          <w:szCs w:val="22"/>
          <w:shd w:val="clear" w:color="auto" w:fill="FFFFFF"/>
          <w:lang w:eastAsia="zh-CN"/>
        </w:rPr>
        <w:t>中密度纤维板、木塑或涂泥板等基材都能良好粘接。</w:t>
      </w:r>
      <w:r w:rsidRPr="003600A6">
        <w:rPr>
          <w:rFonts w:cs="Segoe UI" w:hint="eastAsia"/>
          <w:color w:val="000000"/>
          <w:szCs w:val="22"/>
          <w:shd w:val="clear" w:color="auto" w:fill="FFFFFF"/>
          <w:lang w:eastAsia="zh-CN"/>
        </w:rPr>
        <w:t>TECHNOMELT PUR 4916</w:t>
      </w:r>
      <w:r w:rsidRPr="003600A6">
        <w:rPr>
          <w:rFonts w:cs="Segoe UI" w:hint="eastAsia"/>
          <w:color w:val="000000"/>
          <w:szCs w:val="22"/>
          <w:shd w:val="clear" w:color="auto" w:fill="FFFFFF"/>
          <w:lang w:eastAsia="zh-CN"/>
        </w:rPr>
        <w:t>不含溶剂、低</w:t>
      </w:r>
      <w:r w:rsidRPr="003600A6">
        <w:rPr>
          <w:rFonts w:cs="Segoe UI" w:hint="eastAsia"/>
          <w:color w:val="000000"/>
          <w:szCs w:val="22"/>
          <w:shd w:val="clear" w:color="auto" w:fill="FFFFFF"/>
          <w:lang w:eastAsia="zh-CN"/>
        </w:rPr>
        <w:t>VOC</w:t>
      </w:r>
      <w:r w:rsidRPr="003600A6">
        <w:rPr>
          <w:rFonts w:cs="Segoe UI" w:hint="eastAsia"/>
          <w:color w:val="000000"/>
          <w:szCs w:val="22"/>
          <w:shd w:val="clear" w:color="auto" w:fill="FFFFFF"/>
          <w:lang w:eastAsia="zh-CN"/>
        </w:rPr>
        <w:t>、低气味，能够更好守护车间环境和工人健康，满足更高要求的可持续环保安全要求。此外，该产品能有效减少机器的清洁维护并减少停机时间，有效降低生产成本、提高生产效率。</w:t>
      </w:r>
      <w:r w:rsidRPr="003600A6">
        <w:rPr>
          <w:rFonts w:cs="Segoe UI" w:hint="eastAsia"/>
          <w:color w:val="000000"/>
          <w:szCs w:val="22"/>
          <w:shd w:val="clear" w:color="auto" w:fill="FFFFFF"/>
          <w:lang w:eastAsia="zh-CN"/>
        </w:rPr>
        <w:t>TECHNOMELT PUR 4916</w:t>
      </w:r>
      <w:r w:rsidRPr="003600A6">
        <w:rPr>
          <w:rFonts w:cs="Segoe UI" w:hint="eastAsia"/>
          <w:color w:val="000000"/>
          <w:szCs w:val="22"/>
          <w:shd w:val="clear" w:color="auto" w:fill="FFFFFF"/>
          <w:lang w:eastAsia="zh-CN"/>
        </w:rPr>
        <w:t>施胶温度低，有效降低生产能耗、能帮助节省高达</w:t>
      </w:r>
      <w:r w:rsidRPr="003600A6">
        <w:rPr>
          <w:rFonts w:cs="Segoe UI" w:hint="eastAsia"/>
          <w:color w:val="000000"/>
          <w:szCs w:val="22"/>
          <w:shd w:val="clear" w:color="auto" w:fill="FFFFFF"/>
          <w:lang w:eastAsia="zh-CN"/>
        </w:rPr>
        <w:t>15%</w:t>
      </w:r>
      <w:r w:rsidRPr="003600A6">
        <w:rPr>
          <w:rFonts w:cs="Segoe UI" w:hint="eastAsia"/>
          <w:color w:val="000000"/>
          <w:szCs w:val="22"/>
          <w:shd w:val="clear" w:color="auto" w:fill="FFFFFF"/>
          <w:lang w:eastAsia="zh-CN"/>
        </w:rPr>
        <w:t>的用胶量，赋能家具生产降本增效。</w:t>
      </w:r>
    </w:p>
    <w:p w14:paraId="5D7CF00E" w14:textId="77777777" w:rsidR="003600A6" w:rsidRPr="003600A6" w:rsidRDefault="003600A6" w:rsidP="003600A6">
      <w:pPr>
        <w:rPr>
          <w:rFonts w:cs="Segoe UI"/>
          <w:color w:val="000000"/>
          <w:szCs w:val="22"/>
          <w:shd w:val="clear" w:color="auto" w:fill="FFFFFF"/>
          <w:lang w:eastAsia="zh-CN"/>
        </w:rPr>
      </w:pPr>
    </w:p>
    <w:p w14:paraId="438A1599" w14:textId="5EEEEBF2" w:rsidR="00062A7F" w:rsidRDefault="003600A6" w:rsidP="003600A6">
      <w:pPr>
        <w:rPr>
          <w:rFonts w:cs="Segoe UI"/>
          <w:color w:val="000000"/>
          <w:szCs w:val="22"/>
          <w:shd w:val="clear" w:color="auto" w:fill="FFFFFF"/>
          <w:lang w:eastAsia="zh-CN"/>
        </w:rPr>
      </w:pPr>
      <w:r w:rsidRPr="003600A6">
        <w:rPr>
          <w:rFonts w:cs="Segoe UI" w:hint="eastAsia"/>
          <w:color w:val="000000"/>
          <w:szCs w:val="22"/>
          <w:shd w:val="clear" w:color="auto" w:fill="FFFFFF"/>
          <w:lang w:eastAsia="zh-CN"/>
        </w:rPr>
        <w:t>为让广大业务伙伴及消费终端深入体验汉高粘合剂的强大效能，汉高匠心推出名为“绿色家”的云端家居互动空间，通过还原客厅、厨房、卧室等常见家居场景，精准点亮汉高粘合剂的具体应用之处与解决方案，呈现绿色居所之美。</w:t>
      </w:r>
    </w:p>
    <w:p w14:paraId="0EDE85AC" w14:textId="2091B876" w:rsidR="003600A6" w:rsidRDefault="003600A6" w:rsidP="003600A6">
      <w:pPr>
        <w:rPr>
          <w:rFonts w:cs="Segoe UI"/>
          <w:color w:val="000000"/>
          <w:szCs w:val="22"/>
          <w:shd w:val="clear" w:color="auto" w:fill="FFFFFF"/>
          <w:lang w:eastAsia="zh-CN"/>
        </w:rPr>
      </w:pPr>
    </w:p>
    <w:p w14:paraId="115E4F2D" w14:textId="13560028" w:rsidR="00E72522" w:rsidRPr="00E72522" w:rsidRDefault="00E72522" w:rsidP="003600A6">
      <w:pPr>
        <w:rPr>
          <w:rFonts w:cs="Segoe UI"/>
          <w:szCs w:val="22"/>
          <w:lang w:eastAsia="zh-CN"/>
        </w:rPr>
      </w:pPr>
      <w:r w:rsidRPr="00E61E84">
        <w:rPr>
          <w:rFonts w:cs="Segoe UI" w:hint="eastAsia"/>
          <w:szCs w:val="22"/>
          <w:lang w:eastAsia="zh-CN"/>
        </w:rPr>
        <w:t>作为可持续发展</w:t>
      </w:r>
      <w:proofErr w:type="gramStart"/>
      <w:r w:rsidRPr="00E61E84">
        <w:rPr>
          <w:rFonts w:cs="Segoe UI" w:hint="eastAsia"/>
          <w:szCs w:val="22"/>
          <w:lang w:eastAsia="zh-CN"/>
        </w:rPr>
        <w:t>践行</w:t>
      </w:r>
      <w:proofErr w:type="gramEnd"/>
      <w:r w:rsidRPr="00E61E84">
        <w:rPr>
          <w:rFonts w:cs="Segoe UI" w:hint="eastAsia"/>
          <w:szCs w:val="22"/>
          <w:lang w:eastAsia="zh-CN"/>
        </w:rPr>
        <w:t>者，</w:t>
      </w:r>
      <w:bookmarkStart w:id="2" w:name="_Hlk103882429"/>
      <w:r w:rsidRPr="00E61E84">
        <w:rPr>
          <w:rFonts w:cs="Segoe UI" w:hint="eastAsia"/>
          <w:szCs w:val="22"/>
          <w:lang w:eastAsia="zh-CN"/>
        </w:rPr>
        <w:t>汉高聚焦低碳减排与去物质化、循环经济、产品技术安全等三大议题，积极助力客户伙伴的可持续发展。</w:t>
      </w:r>
      <w:bookmarkEnd w:id="2"/>
      <w:r w:rsidRPr="00E61E84">
        <w:rPr>
          <w:rFonts w:cs="Segoe UI" w:hint="eastAsia"/>
          <w:szCs w:val="22"/>
          <w:lang w:eastAsia="zh-CN"/>
        </w:rPr>
        <w:t>长期以来，汉高家居与运动时尚事业</w:t>
      </w:r>
      <w:proofErr w:type="gramStart"/>
      <w:r w:rsidRPr="00E61E84">
        <w:rPr>
          <w:rFonts w:cs="Segoe UI" w:hint="eastAsia"/>
          <w:szCs w:val="22"/>
          <w:lang w:eastAsia="zh-CN"/>
        </w:rPr>
        <w:t>部持续</w:t>
      </w:r>
      <w:proofErr w:type="gramEnd"/>
      <w:r w:rsidRPr="00E61E84">
        <w:rPr>
          <w:rFonts w:cs="Segoe UI" w:hint="eastAsia"/>
          <w:szCs w:val="22"/>
          <w:lang w:eastAsia="zh-CN"/>
        </w:rPr>
        <w:t>为各大应用领域提供领先的可持续解决方案，并以此优化人们的生活空间与格调。面向家具与建材市场</w:t>
      </w:r>
      <w:r w:rsidRPr="00F25A58">
        <w:rPr>
          <w:rFonts w:cs="Segoe UI"/>
          <w:szCs w:val="22"/>
          <w:lang w:eastAsia="zh-CN"/>
        </w:rPr>
        <w:t>，汉高将继续通过创新和智能思维改进产品和解决方案，携手产业链上下游合作伙伴，</w:t>
      </w:r>
      <w:proofErr w:type="gramStart"/>
      <w:r w:rsidR="0066668F">
        <w:rPr>
          <w:rFonts w:cs="Segoe UI" w:hint="eastAsia"/>
          <w:szCs w:val="22"/>
          <w:lang w:eastAsia="zh-CN"/>
        </w:rPr>
        <w:t>“</w:t>
      </w:r>
      <w:r w:rsidRPr="00F25A58">
        <w:rPr>
          <w:rFonts w:cs="Segoe UI"/>
          <w:szCs w:val="22"/>
          <w:lang w:eastAsia="zh-CN"/>
        </w:rPr>
        <w:t>粘</w:t>
      </w:r>
      <w:r w:rsidR="0066668F">
        <w:rPr>
          <w:rFonts w:cs="Segoe UI" w:hint="eastAsia"/>
          <w:szCs w:val="22"/>
          <w:lang w:eastAsia="zh-CN"/>
        </w:rPr>
        <w:t>”</w:t>
      </w:r>
      <w:r w:rsidRPr="00F25A58">
        <w:rPr>
          <w:rFonts w:cs="Segoe UI"/>
          <w:szCs w:val="22"/>
          <w:lang w:eastAsia="zh-CN"/>
        </w:rPr>
        <w:t>造更理想</w:t>
      </w:r>
      <w:proofErr w:type="gramEnd"/>
      <w:r w:rsidRPr="00F25A58">
        <w:rPr>
          <w:rFonts w:cs="Segoe UI"/>
          <w:szCs w:val="22"/>
          <w:lang w:eastAsia="zh-CN"/>
        </w:rPr>
        <w:t>的绿色之家，赋能绿色家居新未来。</w:t>
      </w:r>
    </w:p>
    <w:p w14:paraId="6CAE3097" w14:textId="77777777" w:rsidR="00062A7F" w:rsidRDefault="00062A7F" w:rsidP="00062A7F">
      <w:pPr>
        <w:rPr>
          <w:rFonts w:cs="Segoe UI"/>
          <w:color w:val="000000"/>
          <w:szCs w:val="22"/>
          <w:shd w:val="clear" w:color="auto" w:fill="FFFFFF"/>
          <w:lang w:eastAsia="zh-CN"/>
        </w:rPr>
      </w:pPr>
    </w:p>
    <w:p w14:paraId="7DE98BE7" w14:textId="77777777" w:rsidR="00062A7F" w:rsidRDefault="00062A7F" w:rsidP="00062A7F">
      <w:pPr>
        <w:rPr>
          <w:rFonts w:cs="Segoe UI"/>
          <w:color w:val="000000"/>
          <w:szCs w:val="22"/>
          <w:shd w:val="clear" w:color="auto" w:fill="FFFFFF"/>
          <w:lang w:eastAsia="zh-CN"/>
        </w:rPr>
      </w:pPr>
    </w:p>
    <w:p w14:paraId="07455D3D" w14:textId="77777777" w:rsidR="00062A7F" w:rsidRDefault="00062A7F" w:rsidP="00062A7F">
      <w:pPr>
        <w:rPr>
          <w:rFonts w:cs="Segoe UI"/>
          <w:color w:val="000000"/>
          <w:szCs w:val="22"/>
          <w:shd w:val="clear" w:color="auto" w:fill="FFFFFF"/>
          <w:lang w:eastAsia="zh-CN"/>
        </w:rPr>
      </w:pPr>
    </w:p>
    <w:p w14:paraId="00AFA146" w14:textId="77777777" w:rsidR="00062A7F" w:rsidRDefault="00062A7F" w:rsidP="00062A7F">
      <w:pPr>
        <w:rPr>
          <w:rFonts w:cs="Segoe UI"/>
          <w:color w:val="000000"/>
          <w:szCs w:val="22"/>
          <w:shd w:val="clear" w:color="auto" w:fill="FFFFFF"/>
          <w:lang w:eastAsia="zh-CN"/>
        </w:rPr>
      </w:pPr>
    </w:p>
    <w:p w14:paraId="42D322A1" w14:textId="0B16B1CC" w:rsidR="00EE70E2" w:rsidRPr="0006078E" w:rsidRDefault="00EE70E2" w:rsidP="00062A7F">
      <w:pPr>
        <w:rPr>
          <w:rStyle w:val="AboutandContactHeadline"/>
          <w:sz w:val="16"/>
          <w:lang w:eastAsia="zh-CN"/>
        </w:rPr>
      </w:pPr>
      <w:r w:rsidRPr="0006078E">
        <w:rPr>
          <w:rStyle w:val="AboutandContactHeadline"/>
          <w:rFonts w:hint="eastAsia"/>
          <w:sz w:val="16"/>
          <w:lang w:eastAsia="zh-CN"/>
        </w:rPr>
        <w:t>关于汉高</w:t>
      </w:r>
    </w:p>
    <w:p w14:paraId="38E45574" w14:textId="0926DD82" w:rsidR="00EE70E2" w:rsidRDefault="00EE70E2" w:rsidP="00EE70E2">
      <w:pPr>
        <w:rPr>
          <w:rStyle w:val="AboutandContactBody"/>
          <w:sz w:val="16"/>
          <w:lang w:eastAsia="zh-CN"/>
        </w:rPr>
      </w:pPr>
      <w:r w:rsidRPr="0006078E">
        <w:rPr>
          <w:rStyle w:val="AboutandContactBody"/>
          <w:rFonts w:hint="eastAsia"/>
          <w:sz w:val="16"/>
          <w:lang w:eastAsia="zh-CN"/>
        </w:rPr>
        <w:t>汉高在全球范围内经营均衡且多元化的业务组合。通过强大的品牌、卓越的创新和先进的技术，公司在工业和消费领域的三大业务板块中确立了领先地位。汉高粘合剂技术业务部是全球粘合剂市场的领导者，服务于全球各行各业。</w:t>
      </w:r>
      <w:r>
        <w:rPr>
          <w:rStyle w:val="AboutandContactBody"/>
          <w:rFonts w:hint="eastAsia"/>
          <w:sz w:val="16"/>
          <w:lang w:eastAsia="zh-CN"/>
        </w:rPr>
        <w:t>在</w:t>
      </w:r>
      <w:r w:rsidRPr="0006078E">
        <w:rPr>
          <w:rStyle w:val="AboutandContactBody"/>
          <w:rFonts w:hint="eastAsia"/>
          <w:sz w:val="16"/>
          <w:lang w:eastAsia="zh-CN"/>
        </w:rPr>
        <w:t>洗涤剂及家用护理以及化妆品</w:t>
      </w:r>
      <w:r w:rsidRPr="0006078E">
        <w:rPr>
          <w:rStyle w:val="AboutandContactBody"/>
          <w:rFonts w:hint="eastAsia"/>
          <w:sz w:val="16"/>
          <w:lang w:eastAsia="zh-CN"/>
        </w:rPr>
        <w:t>/</w:t>
      </w:r>
      <w:r w:rsidRPr="0006078E">
        <w:rPr>
          <w:rStyle w:val="AboutandContactBody"/>
          <w:rFonts w:hint="eastAsia"/>
          <w:sz w:val="16"/>
          <w:lang w:eastAsia="zh-CN"/>
        </w:rPr>
        <w:t>美容用品两大业务</w:t>
      </w:r>
      <w:r>
        <w:rPr>
          <w:rStyle w:val="AboutandContactBody"/>
          <w:rFonts w:hint="eastAsia"/>
          <w:sz w:val="16"/>
          <w:lang w:eastAsia="zh-CN"/>
        </w:rPr>
        <w:t>板块中，汉高</w:t>
      </w:r>
      <w:r w:rsidRPr="0006078E">
        <w:rPr>
          <w:rStyle w:val="AboutandContactBody"/>
          <w:rFonts w:hint="eastAsia"/>
          <w:sz w:val="16"/>
          <w:lang w:eastAsia="zh-CN"/>
        </w:rPr>
        <w:t>也</w:t>
      </w:r>
      <w:r>
        <w:rPr>
          <w:rStyle w:val="AboutandContactBody"/>
          <w:rFonts w:hint="eastAsia"/>
          <w:sz w:val="16"/>
          <w:lang w:eastAsia="zh-CN"/>
        </w:rPr>
        <w:t>在</w:t>
      </w:r>
      <w:r w:rsidRPr="0006078E">
        <w:rPr>
          <w:rStyle w:val="AboutandContactBody"/>
          <w:rFonts w:hint="eastAsia"/>
          <w:sz w:val="16"/>
          <w:lang w:eastAsia="zh-CN"/>
        </w:rPr>
        <w:t>各国市场和众多应用领域中</w:t>
      </w:r>
      <w:r>
        <w:rPr>
          <w:rStyle w:val="AboutandContactBody"/>
          <w:rFonts w:hint="eastAsia"/>
          <w:sz w:val="16"/>
          <w:lang w:eastAsia="zh-CN"/>
        </w:rPr>
        <w:t>具有领先地位</w:t>
      </w:r>
      <w:r w:rsidRPr="0006078E">
        <w:rPr>
          <w:rStyle w:val="AboutandContactBody"/>
          <w:rFonts w:hint="eastAsia"/>
          <w:sz w:val="16"/>
          <w:lang w:eastAsia="zh-CN"/>
        </w:rPr>
        <w:t>。公司成立于</w:t>
      </w:r>
      <w:r w:rsidRPr="0006078E">
        <w:rPr>
          <w:rStyle w:val="AboutandContactBody"/>
          <w:rFonts w:hint="eastAsia"/>
          <w:sz w:val="16"/>
          <w:lang w:eastAsia="zh-CN"/>
        </w:rPr>
        <w:t>1876</w:t>
      </w:r>
      <w:r w:rsidRPr="0006078E">
        <w:rPr>
          <w:rStyle w:val="AboutandContactBody"/>
          <w:rFonts w:hint="eastAsia"/>
          <w:sz w:val="16"/>
          <w:lang w:eastAsia="zh-CN"/>
        </w:rPr>
        <w:t>年，迄今已有</w:t>
      </w:r>
      <w:r w:rsidRPr="0006078E">
        <w:rPr>
          <w:rStyle w:val="AboutandContactBody"/>
          <w:rFonts w:hint="eastAsia"/>
          <w:sz w:val="16"/>
          <w:lang w:eastAsia="zh-CN"/>
        </w:rPr>
        <w:t>140</w:t>
      </w:r>
      <w:r w:rsidRPr="0006078E">
        <w:rPr>
          <w:rStyle w:val="AboutandContactBody"/>
          <w:rFonts w:hint="eastAsia"/>
          <w:sz w:val="16"/>
          <w:lang w:eastAsia="zh-CN"/>
        </w:rPr>
        <w:t>多年光辉历史。</w:t>
      </w:r>
      <w:r w:rsidRPr="0006078E">
        <w:rPr>
          <w:rStyle w:val="AboutandContactBody"/>
          <w:rFonts w:hint="eastAsia"/>
          <w:sz w:val="16"/>
          <w:lang w:eastAsia="zh-CN"/>
        </w:rPr>
        <w:t>202</w:t>
      </w:r>
      <w:r>
        <w:rPr>
          <w:rStyle w:val="AboutandContactBody"/>
          <w:sz w:val="16"/>
          <w:lang w:eastAsia="zh-CN"/>
        </w:rPr>
        <w:t>1</w:t>
      </w:r>
      <w:r w:rsidRPr="0006078E">
        <w:rPr>
          <w:rStyle w:val="AboutandContactBody"/>
          <w:rFonts w:hint="eastAsia"/>
          <w:sz w:val="16"/>
          <w:lang w:eastAsia="zh-CN"/>
        </w:rPr>
        <w:t>年，汉高实现销售额逾</w:t>
      </w:r>
      <w:r>
        <w:rPr>
          <w:rStyle w:val="AboutandContactBody"/>
          <w:sz w:val="16"/>
          <w:lang w:eastAsia="zh-CN"/>
        </w:rPr>
        <w:t>200</w:t>
      </w:r>
      <w:r w:rsidRPr="0006078E">
        <w:rPr>
          <w:rStyle w:val="AboutandContactBody"/>
          <w:rFonts w:hint="eastAsia"/>
          <w:sz w:val="16"/>
          <w:lang w:eastAsia="zh-CN"/>
        </w:rPr>
        <w:t>亿欧元</w:t>
      </w:r>
      <w:r>
        <w:rPr>
          <w:rStyle w:val="AboutandContactBody"/>
          <w:rFonts w:hint="eastAsia"/>
          <w:sz w:val="16"/>
          <w:lang w:eastAsia="zh-CN"/>
        </w:rPr>
        <w:t>，</w:t>
      </w:r>
      <w:r w:rsidRPr="00D94EE7">
        <w:rPr>
          <w:rStyle w:val="AboutandContactBody"/>
          <w:rFonts w:hint="eastAsia"/>
          <w:sz w:val="16"/>
          <w:lang w:eastAsia="zh-CN"/>
        </w:rPr>
        <w:t>调整后营业利润达</w:t>
      </w:r>
      <w:r w:rsidRPr="00D94EE7">
        <w:rPr>
          <w:rStyle w:val="AboutandContactBody"/>
          <w:rFonts w:hint="eastAsia"/>
          <w:sz w:val="16"/>
          <w:lang w:eastAsia="zh-CN"/>
        </w:rPr>
        <w:t>2</w:t>
      </w:r>
      <w:r>
        <w:rPr>
          <w:rStyle w:val="AboutandContactBody"/>
          <w:sz w:val="16"/>
          <w:lang w:eastAsia="zh-CN"/>
        </w:rPr>
        <w:t>7</w:t>
      </w:r>
      <w:r w:rsidRPr="00D94EE7">
        <w:rPr>
          <w:rStyle w:val="AboutandContactBody"/>
          <w:rFonts w:hint="eastAsia"/>
          <w:sz w:val="16"/>
          <w:lang w:eastAsia="zh-CN"/>
        </w:rPr>
        <w:t>亿欧元左右</w:t>
      </w:r>
      <w:r w:rsidRPr="0006078E">
        <w:rPr>
          <w:rStyle w:val="AboutandContactBody"/>
          <w:rFonts w:hint="eastAsia"/>
          <w:sz w:val="16"/>
          <w:lang w:eastAsia="zh-CN"/>
        </w:rPr>
        <w:t>。汉高在全球范围内约有</w:t>
      </w:r>
      <w:r w:rsidRPr="0006078E">
        <w:rPr>
          <w:rStyle w:val="AboutandContactBody"/>
          <w:rFonts w:hint="eastAsia"/>
          <w:sz w:val="16"/>
          <w:lang w:eastAsia="zh-CN"/>
        </w:rPr>
        <w:t>5.</w:t>
      </w:r>
      <w:r>
        <w:rPr>
          <w:rStyle w:val="AboutandContactBody"/>
          <w:sz w:val="16"/>
          <w:lang w:eastAsia="zh-CN"/>
        </w:rPr>
        <w:t>2</w:t>
      </w:r>
      <w:r w:rsidRPr="0006078E">
        <w:rPr>
          <w:rStyle w:val="AboutandContactBody"/>
          <w:rFonts w:hint="eastAsia"/>
          <w:sz w:val="16"/>
          <w:lang w:eastAsia="zh-CN"/>
        </w:rPr>
        <w:t>万名员工，在强大的企业文化、共同的企业目标与价值观的引领下，他们融合为一支热情、多元化的团队。作为企业可持续发展的表率，汉高在许多国际性指数和排行榜中名列前茅。汉高的优先股已列入德国</w:t>
      </w:r>
      <w:r w:rsidRPr="0006078E">
        <w:rPr>
          <w:rStyle w:val="AboutandContactBody"/>
          <w:rFonts w:hint="eastAsia"/>
          <w:sz w:val="16"/>
          <w:lang w:eastAsia="zh-CN"/>
        </w:rPr>
        <w:t>DAX</w:t>
      </w:r>
      <w:r w:rsidRPr="0006078E">
        <w:rPr>
          <w:rStyle w:val="AboutandContactBody"/>
          <w:rFonts w:hint="eastAsia"/>
          <w:sz w:val="16"/>
          <w:lang w:eastAsia="zh-CN"/>
        </w:rPr>
        <w:t>指数。更多资讯，敬请访问</w:t>
      </w:r>
      <w:hyperlink r:id="rId12" w:history="1">
        <w:r w:rsidRPr="0006078E">
          <w:rPr>
            <w:rStyle w:val="Hyperlink"/>
            <w:rFonts w:hint="eastAsia"/>
            <w:sz w:val="16"/>
            <w:szCs w:val="16"/>
            <w:lang w:eastAsia="zh-CN"/>
          </w:rPr>
          <w:t>www.henkel.com</w:t>
        </w:r>
      </w:hyperlink>
      <w:r w:rsidRPr="0006078E">
        <w:rPr>
          <w:rStyle w:val="AboutandContactBody"/>
          <w:rFonts w:hint="eastAsia"/>
          <w:sz w:val="16"/>
          <w:lang w:eastAsia="zh-CN"/>
        </w:rPr>
        <w:t>。</w:t>
      </w:r>
    </w:p>
    <w:p w14:paraId="2AAF0A40" w14:textId="77777777" w:rsidR="00EE70E2" w:rsidRPr="00493327" w:rsidRDefault="00EE70E2" w:rsidP="00EE70E2">
      <w:pPr>
        <w:rPr>
          <w:rStyle w:val="AboutandContactBody"/>
          <w:lang w:eastAsia="zh-CN"/>
        </w:rPr>
      </w:pPr>
    </w:p>
    <w:p w14:paraId="1828FB31" w14:textId="77777777" w:rsidR="00EE70E2" w:rsidRPr="00493327" w:rsidRDefault="00EE70E2" w:rsidP="00EE70E2">
      <w:pPr>
        <w:rPr>
          <w:rStyle w:val="AboutandContactBody"/>
          <w:lang w:eastAsia="zh-CN"/>
        </w:rPr>
      </w:pPr>
    </w:p>
    <w:p w14:paraId="77393447" w14:textId="53202959" w:rsidR="00EE70E2" w:rsidRPr="00EE70E2" w:rsidRDefault="00EE70E2" w:rsidP="00EE70E2">
      <w:pPr>
        <w:spacing w:after="120"/>
        <w:rPr>
          <w:rStyle w:val="AboutandContactHeadline"/>
          <w:rFonts w:eastAsiaTheme="minorEastAsia" w:cs="Segoe UI"/>
          <w:sz w:val="16"/>
          <w:szCs w:val="16"/>
          <w:lang w:eastAsia="zh-CN"/>
        </w:rPr>
      </w:pPr>
      <w:r w:rsidRPr="00EE70E2">
        <w:rPr>
          <w:rStyle w:val="AboutandContactHeadline"/>
          <w:rFonts w:eastAsiaTheme="minorEastAsia" w:cs="Segoe UI"/>
          <w:sz w:val="16"/>
          <w:szCs w:val="16"/>
          <w:lang w:eastAsia="zh-CN"/>
        </w:rPr>
        <w:t>媒体联系人</w:t>
      </w:r>
    </w:p>
    <w:p w14:paraId="689791CF" w14:textId="425BB518" w:rsidR="00EE70E2" w:rsidRPr="00EE70E2" w:rsidRDefault="00EE70E2" w:rsidP="00EE70E2">
      <w:pPr>
        <w:tabs>
          <w:tab w:val="left" w:pos="1080"/>
          <w:tab w:val="left" w:pos="4500"/>
        </w:tabs>
        <w:rPr>
          <w:rStyle w:val="AboutandContactBody"/>
          <w:rFonts w:eastAsiaTheme="minorEastAsia" w:cs="Segoe UI"/>
          <w:sz w:val="16"/>
          <w:szCs w:val="16"/>
          <w:lang w:eastAsia="zh-CN"/>
        </w:rPr>
      </w:pPr>
      <w:r w:rsidRPr="00EE70E2">
        <w:rPr>
          <w:rStyle w:val="AboutandContactBody"/>
          <w:rFonts w:eastAsiaTheme="minorEastAsia" w:cs="Segoe UI"/>
          <w:sz w:val="16"/>
          <w:szCs w:val="16"/>
          <w:lang w:eastAsia="zh-CN"/>
        </w:rPr>
        <w:t>姓名</w:t>
      </w:r>
      <w:r w:rsidRPr="00EE70E2">
        <w:rPr>
          <w:rStyle w:val="AboutandContactBody"/>
          <w:rFonts w:eastAsiaTheme="minorEastAsia" w:cs="Segoe UI"/>
          <w:sz w:val="16"/>
          <w:szCs w:val="16"/>
          <w:lang w:eastAsia="zh-CN"/>
        </w:rPr>
        <w:t xml:space="preserve">  </w:t>
      </w:r>
      <w:bookmarkStart w:id="3" w:name="_Hlk103360963"/>
      <w:r w:rsidR="008E2C44" w:rsidRPr="008E2C44">
        <w:rPr>
          <w:rStyle w:val="AboutandContactBody"/>
          <w:rFonts w:eastAsiaTheme="minorEastAsia" w:cs="Segoe UI"/>
          <w:sz w:val="16"/>
          <w:szCs w:val="16"/>
          <w:lang w:eastAsia="zh-CN"/>
        </w:rPr>
        <w:t>Yophie Yuan</w:t>
      </w:r>
      <w:bookmarkEnd w:id="3"/>
      <w:r w:rsidRPr="00EE70E2">
        <w:rPr>
          <w:rStyle w:val="AboutandContactBody"/>
          <w:rFonts w:eastAsiaTheme="minorEastAsia" w:cs="Segoe UI"/>
          <w:sz w:val="16"/>
          <w:szCs w:val="16"/>
          <w:lang w:eastAsia="zh-CN"/>
        </w:rPr>
        <w:tab/>
      </w:r>
    </w:p>
    <w:p w14:paraId="46666528" w14:textId="15ED0F12" w:rsidR="00EE70E2" w:rsidRPr="00C73A21" w:rsidRDefault="00EE70E2" w:rsidP="00C73A21">
      <w:pPr>
        <w:tabs>
          <w:tab w:val="left" w:pos="1080"/>
          <w:tab w:val="left" w:pos="4500"/>
        </w:tabs>
        <w:rPr>
          <w:rStyle w:val="AboutandContactBody"/>
          <w:rFonts w:eastAsiaTheme="minorEastAsia" w:cs="Segoe UI"/>
          <w:sz w:val="16"/>
          <w:szCs w:val="16"/>
          <w:lang w:eastAsia="zh-CN"/>
        </w:rPr>
      </w:pPr>
      <w:r w:rsidRPr="00EE70E2">
        <w:rPr>
          <w:rStyle w:val="AboutandContactBody"/>
          <w:rFonts w:eastAsiaTheme="minorEastAsia" w:cs="Segoe UI"/>
          <w:sz w:val="16"/>
          <w:szCs w:val="16"/>
          <w:lang w:eastAsia="zh-CN"/>
        </w:rPr>
        <w:t>邮箱地址</w:t>
      </w:r>
      <w:r w:rsidRPr="00EE70E2">
        <w:rPr>
          <w:rStyle w:val="AboutandContactBody"/>
          <w:rFonts w:eastAsiaTheme="minorEastAsia" w:cs="Segoe UI"/>
          <w:sz w:val="16"/>
          <w:szCs w:val="16"/>
          <w:lang w:eastAsia="zh-CN"/>
        </w:rPr>
        <w:t xml:space="preserve">  </w:t>
      </w:r>
      <w:bookmarkStart w:id="4" w:name="_Hlk103360974"/>
      <w:r w:rsidR="008F6A6F" w:rsidRPr="008F6A6F">
        <w:rPr>
          <w:rStyle w:val="AboutandContactBody"/>
          <w:rFonts w:eastAsiaTheme="minorEastAsia" w:cs="Segoe UI"/>
          <w:sz w:val="16"/>
          <w:szCs w:val="16"/>
          <w:lang w:eastAsia="zh-CN"/>
        </w:rPr>
        <w:t>yophie.yuan@henkel.com</w:t>
      </w:r>
    </w:p>
    <w:bookmarkEnd w:id="4"/>
    <w:p w14:paraId="6143920F" w14:textId="77777777" w:rsidR="00EE70E2" w:rsidRPr="00493327" w:rsidRDefault="00EE70E2" w:rsidP="00EE70E2">
      <w:pPr>
        <w:rPr>
          <w:rStyle w:val="AboutandContactBody"/>
          <w:lang w:eastAsia="zh-CN"/>
        </w:rPr>
      </w:pPr>
    </w:p>
    <w:p w14:paraId="74DCD38C" w14:textId="2BB27A0E" w:rsidR="00EE70E2" w:rsidRDefault="00EE70E2">
      <w:pPr>
        <w:spacing w:line="240" w:lineRule="auto"/>
        <w:jc w:val="left"/>
        <w:rPr>
          <w:rFonts w:cs="Segoe UI"/>
          <w:szCs w:val="22"/>
          <w:lang w:eastAsia="zh-CN"/>
        </w:rPr>
      </w:pPr>
      <w:r>
        <w:rPr>
          <w:rFonts w:cs="Segoe UI"/>
          <w:szCs w:val="22"/>
          <w:lang w:eastAsia="zh-CN"/>
        </w:rPr>
        <w:br w:type="page"/>
      </w:r>
    </w:p>
    <w:p w14:paraId="1B086F6B" w14:textId="588269DB" w:rsidR="00897CC0" w:rsidRDefault="002847B7" w:rsidP="00897CC0">
      <w:pPr>
        <w:rPr>
          <w:rFonts w:cs="Segoe UI"/>
          <w:szCs w:val="22"/>
          <w:lang w:eastAsia="zh-CN"/>
        </w:rPr>
      </w:pPr>
      <w:r w:rsidRPr="00E30807">
        <w:rPr>
          <w:rFonts w:cs="Segoe UI"/>
          <w:noProof/>
        </w:rPr>
        <w:lastRenderedPageBreak/>
        <w:drawing>
          <wp:anchor distT="0" distB="0" distL="114300" distR="114300" simplePos="0" relativeHeight="251659264" behindDoc="0" locked="0" layoutInCell="1" allowOverlap="1" wp14:anchorId="1E23E442" wp14:editId="5AD26DEC">
            <wp:simplePos x="0" y="0"/>
            <wp:positionH relativeFrom="margin">
              <wp:posOffset>0</wp:posOffset>
            </wp:positionH>
            <wp:positionV relativeFrom="paragraph">
              <wp:posOffset>209550</wp:posOffset>
            </wp:positionV>
            <wp:extent cx="3200400" cy="1800273"/>
            <wp:effectExtent l="0" t="0" r="0" b="9525"/>
            <wp:wrapTopAndBottom/>
            <wp:docPr id="22" name="图片 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descr="Graphical user interface, tex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0400" cy="18002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A71D36" w14:textId="62437BF0" w:rsidR="00897CC0" w:rsidRPr="00897CC0" w:rsidRDefault="00F6503D" w:rsidP="00897CC0">
      <w:pPr>
        <w:rPr>
          <w:rFonts w:cs="Segoe UI"/>
          <w:szCs w:val="22"/>
          <w:lang w:eastAsia="zh-CN"/>
        </w:rPr>
      </w:pPr>
      <w:bookmarkStart w:id="5" w:name="_Hlk103360928"/>
      <w:r w:rsidRPr="00F6503D">
        <w:rPr>
          <w:rFonts w:cs="Segoe UI" w:hint="eastAsia"/>
          <w:szCs w:val="22"/>
          <w:lang w:eastAsia="zh-CN"/>
        </w:rPr>
        <w:t>汉高</w:t>
      </w:r>
      <w:r w:rsidR="008733BB" w:rsidRPr="008733BB">
        <w:rPr>
          <w:rFonts w:cs="Segoe UI" w:hint="eastAsia"/>
          <w:szCs w:val="22"/>
          <w:lang w:eastAsia="zh-CN"/>
        </w:rPr>
        <w:t>发布家具建材解决方案主题海报：“高”招领航，家添“绿”意</w:t>
      </w:r>
      <w:r>
        <w:rPr>
          <w:rFonts w:cs="Segoe UI" w:hint="eastAsia"/>
          <w:szCs w:val="22"/>
          <w:lang w:eastAsia="zh-CN"/>
        </w:rPr>
        <w:t>。</w:t>
      </w:r>
    </w:p>
    <w:bookmarkEnd w:id="5"/>
    <w:p w14:paraId="659DD486" w14:textId="77777777" w:rsidR="00897CC0" w:rsidRPr="00897CC0" w:rsidRDefault="00897CC0" w:rsidP="00897CC0">
      <w:pPr>
        <w:rPr>
          <w:rFonts w:cs="Segoe UI"/>
          <w:szCs w:val="22"/>
          <w:lang w:eastAsia="zh-CN"/>
        </w:rPr>
      </w:pPr>
    </w:p>
    <w:p w14:paraId="0FD49440" w14:textId="77777777" w:rsidR="005A15F7" w:rsidRDefault="005A15F7" w:rsidP="00EE70E2">
      <w:pPr>
        <w:rPr>
          <w:rFonts w:cs="Segoe UI"/>
          <w:szCs w:val="22"/>
          <w:lang w:eastAsia="zh-CN"/>
        </w:rPr>
      </w:pPr>
      <w:r w:rsidRPr="00E30807">
        <w:rPr>
          <w:rFonts w:cs="Segoe UI"/>
          <w:noProof/>
        </w:rPr>
        <w:drawing>
          <wp:inline distT="0" distB="0" distL="0" distR="0" wp14:anchorId="6C358241" wp14:editId="7FC538FC">
            <wp:extent cx="3200400" cy="2512622"/>
            <wp:effectExtent l="0" t="0" r="0" b="2540"/>
            <wp:docPr id="20" name="图片 5" descr="A picture containing person,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descr="A picture containing person, person, indoo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0400" cy="2512622"/>
                    </a:xfrm>
                    <a:prstGeom prst="rect">
                      <a:avLst/>
                    </a:prstGeom>
                    <a:noFill/>
                    <a:ln>
                      <a:noFill/>
                    </a:ln>
                  </pic:spPr>
                </pic:pic>
              </a:graphicData>
            </a:graphic>
          </wp:inline>
        </w:drawing>
      </w:r>
    </w:p>
    <w:p w14:paraId="597DD063" w14:textId="75D0ACD4" w:rsidR="00AD7633" w:rsidRDefault="00AD7633" w:rsidP="00EE70E2">
      <w:pPr>
        <w:rPr>
          <w:rFonts w:cs="Segoe UI"/>
          <w:szCs w:val="22"/>
          <w:lang w:eastAsia="zh-CN"/>
        </w:rPr>
      </w:pPr>
      <w:r w:rsidRPr="00AD7633">
        <w:rPr>
          <w:rFonts w:cs="Segoe UI" w:hint="eastAsia"/>
          <w:szCs w:val="22"/>
          <w:lang w:eastAsia="zh-CN"/>
        </w:rPr>
        <w:t>汉高推出包覆粘合剂</w:t>
      </w:r>
      <w:r w:rsidRPr="00AD7633">
        <w:rPr>
          <w:rFonts w:cs="Segoe UI" w:hint="eastAsia"/>
          <w:szCs w:val="22"/>
          <w:lang w:eastAsia="zh-CN"/>
        </w:rPr>
        <w:t>TECHNOMELT PUR 4916</w:t>
      </w:r>
    </w:p>
    <w:p w14:paraId="6183384D" w14:textId="77777777" w:rsidR="00E03EFA" w:rsidRDefault="00E03EFA" w:rsidP="00EE70E2">
      <w:pPr>
        <w:rPr>
          <w:rFonts w:cs="Segoe UI"/>
          <w:szCs w:val="22"/>
          <w:lang w:eastAsia="zh-CN"/>
        </w:rPr>
      </w:pPr>
    </w:p>
    <w:p w14:paraId="1B374DD2" w14:textId="4A2ABCB0" w:rsidR="0048286D" w:rsidRDefault="0048286D" w:rsidP="00EE70E2">
      <w:pPr>
        <w:rPr>
          <w:rFonts w:cs="Segoe UI"/>
          <w:szCs w:val="22"/>
          <w:lang w:eastAsia="zh-CN"/>
        </w:rPr>
      </w:pPr>
      <w:r>
        <w:rPr>
          <w:rFonts w:eastAsiaTheme="minorEastAsia" w:cs="Segoe UI"/>
          <w:noProof/>
          <w:szCs w:val="22"/>
        </w:rPr>
        <w:drawing>
          <wp:inline distT="0" distB="0" distL="0" distR="0" wp14:anchorId="2D2A0CE5" wp14:editId="34535202">
            <wp:extent cx="3200400" cy="2462530"/>
            <wp:effectExtent l="0" t="0" r="0" b="0"/>
            <wp:docPr id="5" name="Picture 3" descr="Graphical user interface, application,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qr cod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00400" cy="2462530"/>
                    </a:xfrm>
                    <a:prstGeom prst="rect">
                      <a:avLst/>
                    </a:prstGeom>
                  </pic:spPr>
                </pic:pic>
              </a:graphicData>
            </a:graphic>
          </wp:inline>
        </w:drawing>
      </w:r>
    </w:p>
    <w:p w14:paraId="649586AC" w14:textId="53C69A17" w:rsidR="00E03EFA" w:rsidRDefault="00E03EFA" w:rsidP="00E03EFA">
      <w:pPr>
        <w:rPr>
          <w:rFonts w:cs="Segoe UI"/>
          <w:szCs w:val="22"/>
          <w:lang w:eastAsia="zh-CN"/>
        </w:rPr>
      </w:pPr>
      <w:r>
        <w:rPr>
          <w:rFonts w:cs="Segoe UI" w:hint="eastAsia"/>
          <w:szCs w:val="22"/>
          <w:lang w:eastAsia="zh-CN"/>
        </w:rPr>
        <w:t>汉高</w:t>
      </w:r>
      <w:r w:rsidRPr="00E03EFA">
        <w:rPr>
          <w:rFonts w:cs="Segoe UI" w:hint="eastAsia"/>
          <w:szCs w:val="22"/>
          <w:lang w:eastAsia="zh-CN"/>
        </w:rPr>
        <w:t>推出绿色</w:t>
      </w:r>
      <w:proofErr w:type="gramStart"/>
      <w:r w:rsidRPr="00E03EFA">
        <w:rPr>
          <w:rFonts w:cs="Segoe UI" w:hint="eastAsia"/>
          <w:szCs w:val="22"/>
          <w:lang w:eastAsia="zh-CN"/>
        </w:rPr>
        <w:t>家数字</w:t>
      </w:r>
      <w:proofErr w:type="gramEnd"/>
      <w:r w:rsidRPr="00E03EFA">
        <w:rPr>
          <w:rFonts w:cs="Segoe UI" w:hint="eastAsia"/>
          <w:szCs w:val="22"/>
          <w:lang w:eastAsia="zh-CN"/>
        </w:rPr>
        <w:t>互动，让用户在云端探索绿色理想居所</w:t>
      </w:r>
      <w:r>
        <w:rPr>
          <w:rFonts w:cs="Segoe UI" w:hint="eastAsia"/>
          <w:szCs w:val="22"/>
          <w:lang w:eastAsia="zh-CN"/>
        </w:rPr>
        <w:t>。</w:t>
      </w:r>
      <w:proofErr w:type="gramStart"/>
      <w:r w:rsidRPr="00E03EFA">
        <w:rPr>
          <w:rFonts w:cs="Segoe UI" w:hint="eastAsia"/>
          <w:szCs w:val="22"/>
          <w:lang w:eastAsia="zh-CN"/>
        </w:rPr>
        <w:t>即刻扫码体验</w:t>
      </w:r>
      <w:proofErr w:type="gramEnd"/>
      <w:r>
        <w:rPr>
          <w:rFonts w:cs="Segoe UI" w:hint="eastAsia"/>
          <w:szCs w:val="22"/>
          <w:lang w:eastAsia="zh-CN"/>
        </w:rPr>
        <w:t>。</w:t>
      </w:r>
    </w:p>
    <w:sectPr w:rsidR="00E03EFA" w:rsidSect="00DC2465">
      <w:headerReference w:type="even" r:id="rId16"/>
      <w:footerReference w:type="default" r:id="rId17"/>
      <w:headerReference w:type="first" r:id="rId18"/>
      <w:footerReference w:type="first" r:id="rId19"/>
      <w:pgSz w:w="11907" w:h="16840" w:code="9"/>
      <w:pgMar w:top="1944" w:right="1411" w:bottom="1987" w:left="1411" w:header="1253" w:footer="9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BF7902" w14:textId="77777777" w:rsidR="00A510E5" w:rsidRDefault="00A510E5">
      <w:r>
        <w:separator/>
      </w:r>
    </w:p>
  </w:endnote>
  <w:endnote w:type="continuationSeparator" w:id="0">
    <w:p w14:paraId="24A18612" w14:textId="77777777" w:rsidR="00A510E5" w:rsidRDefault="00A510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D10C9" w14:textId="2DC5A480" w:rsidR="00CF6F33" w:rsidRPr="00112A28" w:rsidRDefault="00112A28" w:rsidP="00112A28">
    <w:pPr>
      <w:pStyle w:val="Footer"/>
      <w:tabs>
        <w:tab w:val="clear" w:pos="7083"/>
        <w:tab w:val="clear" w:pos="8640"/>
        <w:tab w:val="right" w:pos="9071"/>
      </w:tabs>
      <w:jc w:val="both"/>
    </w:pPr>
    <w:r w:rsidRPr="00BF6E82">
      <w:t>Henkel AG &amp; Co. KGaA</w:t>
    </w:r>
    <w:r>
      <w:tab/>
    </w:r>
    <w:r w:rsidRPr="00BF6E82">
      <w:t xml:space="preserve">Page </w:t>
    </w:r>
    <w:r w:rsidRPr="00BF6E82">
      <w:fldChar w:fldCharType="begin"/>
    </w:r>
    <w:r w:rsidRPr="00BF6E82">
      <w:instrText xml:space="preserve"> PAGE  \* Arabic  \* MERGEFORMAT </w:instrText>
    </w:r>
    <w:r w:rsidRPr="00BF6E82">
      <w:fldChar w:fldCharType="separate"/>
    </w:r>
    <w:r>
      <w:t>2</w:t>
    </w:r>
    <w:r w:rsidRPr="00BF6E82">
      <w:fldChar w:fldCharType="end"/>
    </w:r>
    <w:r w:rsidRPr="00BF6E82">
      <w:t>/</w:t>
    </w:r>
    <w:r w:rsidR="00F9435E">
      <w:fldChar w:fldCharType="begin"/>
    </w:r>
    <w:r w:rsidR="00F9435E">
      <w:instrText xml:space="preserve"> NUMPAGES  \* Arabic  \* MERGEFORMAT </w:instrText>
    </w:r>
    <w:r w:rsidR="00F9435E">
      <w:fldChar w:fldCharType="separate"/>
    </w:r>
    <w:r>
      <w:t>2</w:t>
    </w:r>
    <w:r w:rsidR="00F9435E">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A058E" w14:textId="77777777" w:rsidR="00CF6F33" w:rsidRPr="00992A11" w:rsidRDefault="0059722C" w:rsidP="00992A11">
    <w:pPr>
      <w:pStyle w:val="Footer"/>
    </w:pPr>
    <w:bookmarkStart w:id="6" w:name="_Hlk505758583"/>
    <w:r w:rsidRPr="00992A11">
      <w:drawing>
        <wp:anchor distT="0" distB="0" distL="114300" distR="114300" simplePos="0" relativeHeight="251659776" behindDoc="0" locked="0" layoutInCell="1" allowOverlap="1" wp14:anchorId="5BBC2405" wp14:editId="5BBEBB71">
          <wp:simplePos x="0" y="0"/>
          <wp:positionH relativeFrom="column">
            <wp:posOffset>1270</wp:posOffset>
          </wp:positionH>
          <wp:positionV relativeFrom="paragraph">
            <wp:posOffset>-484806</wp:posOffset>
          </wp:positionV>
          <wp:extent cx="5756910" cy="38481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6910" cy="384810"/>
                  </a:xfrm>
                  <a:prstGeom prst="rect">
                    <a:avLst/>
                  </a:prstGeom>
                  <a:noFill/>
                  <a:ln>
                    <a:noFill/>
                  </a:ln>
                </pic:spPr>
              </pic:pic>
            </a:graphicData>
          </a:graphic>
        </wp:anchor>
      </w:drawing>
    </w:r>
    <w:bookmarkEnd w:id="6"/>
    <w:r w:rsidR="00B422EC" w:rsidRPr="00992A11">
      <w:t>Page</w:t>
    </w:r>
    <w:r w:rsidR="00CF6F33" w:rsidRPr="00992A11">
      <w:t xml:space="preserve"> </w:t>
    </w:r>
    <w:r w:rsidR="00CF6F33" w:rsidRPr="00992A11">
      <w:fldChar w:fldCharType="begin"/>
    </w:r>
    <w:r w:rsidR="00CF6F33" w:rsidRPr="00992A11">
      <w:instrText xml:space="preserve"> </w:instrText>
    </w:r>
    <w:r w:rsidR="00262C05" w:rsidRPr="00992A11">
      <w:instrText>PAGE</w:instrText>
    </w:r>
    <w:r w:rsidR="00CF6F33" w:rsidRPr="00992A11">
      <w:instrText xml:space="preserve">  \* Arabic  \* MERGEFORMAT </w:instrText>
    </w:r>
    <w:r w:rsidR="00CF6F33" w:rsidRPr="00992A11">
      <w:fldChar w:fldCharType="separate"/>
    </w:r>
    <w:r w:rsidR="006A0A3C" w:rsidRPr="00992A11">
      <w:t>1</w:t>
    </w:r>
    <w:r w:rsidR="00CF6F33" w:rsidRPr="00992A11">
      <w:fldChar w:fldCharType="end"/>
    </w:r>
    <w:r w:rsidR="00CF6F33" w:rsidRPr="00992A11">
      <w:t>/</w:t>
    </w:r>
    <w:r w:rsidR="00CF6F33" w:rsidRPr="00992A11">
      <w:fldChar w:fldCharType="begin"/>
    </w:r>
    <w:r w:rsidR="00CF6F33" w:rsidRPr="00992A11">
      <w:instrText xml:space="preserve"> </w:instrText>
    </w:r>
    <w:r w:rsidR="00262C05" w:rsidRPr="00992A11">
      <w:instrText>NUMPAGES</w:instrText>
    </w:r>
    <w:r w:rsidR="00CF6F33" w:rsidRPr="00992A11">
      <w:instrText xml:space="preserve">  \* Arabic  \* MERGEFORMAT </w:instrText>
    </w:r>
    <w:r w:rsidR="00CF6F33" w:rsidRPr="00992A11">
      <w:fldChar w:fldCharType="separate"/>
    </w:r>
    <w:r w:rsidR="006A0A3C" w:rsidRPr="00992A11">
      <w:t>1</w:t>
    </w:r>
    <w:r w:rsidR="00CF6F33" w:rsidRPr="00992A1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9B8428" w14:textId="77777777" w:rsidR="00A510E5" w:rsidRDefault="00A510E5">
      <w:r>
        <w:separator/>
      </w:r>
    </w:p>
  </w:footnote>
  <w:footnote w:type="continuationSeparator" w:id="0">
    <w:p w14:paraId="1A1C4F7D" w14:textId="77777777" w:rsidR="00A510E5" w:rsidRDefault="00A510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ACE39" w14:textId="77777777" w:rsidR="00112A28" w:rsidRDefault="00112A28" w:rsidP="00112A28">
    <w:pPr>
      <w:pStyle w:val="Header"/>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86010" w14:textId="6E13F496" w:rsidR="00CF6F33" w:rsidRPr="00EB46D9" w:rsidRDefault="0059722C" w:rsidP="00EB46D9">
    <w:pPr>
      <w:pStyle w:val="Header"/>
    </w:pPr>
    <w:r w:rsidRPr="00EB46D9">
      <w:rPr>
        <w:noProof/>
      </w:rPr>
      <w:drawing>
        <wp:anchor distT="0" distB="0" distL="114300" distR="114300" simplePos="0" relativeHeight="251658752" behindDoc="0" locked="1" layoutInCell="1" allowOverlap="1" wp14:anchorId="5559ED3E" wp14:editId="20ECCE45">
          <wp:simplePos x="0" y="0"/>
          <wp:positionH relativeFrom="margin">
            <wp:posOffset>5036820</wp:posOffset>
          </wp:positionH>
          <wp:positionV relativeFrom="margin">
            <wp:posOffset>-1478915</wp:posOffset>
          </wp:positionV>
          <wp:extent cx="1051560" cy="60325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l="4736" t="10539" r="5063" b="12550"/>
                  <a:stretch>
                    <a:fillRect/>
                  </a:stretch>
                </pic:blipFill>
                <pic:spPr bwMode="auto">
                  <a:xfrm>
                    <a:off x="0" y="0"/>
                    <a:ext cx="1051560" cy="603250"/>
                  </a:xfrm>
                  <a:prstGeom prst="rect">
                    <a:avLst/>
                  </a:prstGeom>
                  <a:noFill/>
                </pic:spPr>
              </pic:pic>
            </a:graphicData>
          </a:graphic>
          <wp14:sizeRelH relativeFrom="page">
            <wp14:pctWidth>0</wp14:pctWidth>
          </wp14:sizeRelH>
          <wp14:sizeRelV relativeFrom="page">
            <wp14:pctHeight>0</wp14:pctHeight>
          </wp14:sizeRelV>
        </wp:anchor>
      </w:drawing>
    </w:r>
    <w:r w:rsidRPr="00EB46D9">
      <w:rPr>
        <w:noProof/>
      </w:rPr>
      <mc:AlternateContent>
        <mc:Choice Requires="wpg">
          <w:drawing>
            <wp:anchor distT="0" distB="0" distL="114300" distR="114300" simplePos="0" relativeHeight="251656704" behindDoc="0" locked="0" layoutInCell="1" allowOverlap="1" wp14:anchorId="76D561A9" wp14:editId="7310849B">
              <wp:simplePos x="0" y="0"/>
              <wp:positionH relativeFrom="page">
                <wp:posOffset>180340</wp:posOffset>
              </wp:positionH>
              <wp:positionV relativeFrom="page">
                <wp:posOffset>3780790</wp:posOffset>
              </wp:positionV>
              <wp:extent cx="179705" cy="3780155"/>
              <wp:effectExtent l="0" t="0" r="1905" b="11430"/>
              <wp:wrapNone/>
              <wp:docPr id="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3" name="Line 17"/>
                      <wps:cNvCnPr>
                        <a:cxnSpLocks noChangeShapeType="1"/>
                      </wps:cNvCnPr>
                      <wps:spPr bwMode="auto">
                        <a:xfrm>
                          <a:off x="0" y="5954"/>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4" name="Line 18"/>
                      <wps:cNvCnPr>
                        <a:cxnSpLocks noChangeShapeType="1"/>
                      </wps:cNvCnPr>
                      <wps:spPr bwMode="auto">
                        <a:xfrm>
                          <a:off x="0" y="8420"/>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6" name="Line 19"/>
                      <wps:cNvCnPr>
                        <a:cxnSpLocks noChangeShapeType="1"/>
                      </wps:cNvCnPr>
                      <wps:spPr bwMode="auto">
                        <a:xfrm>
                          <a:off x="0" y="11907"/>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g:wgp>
                </a:graphicData>
              </a:graphic>
              <wp14:sizeRelH relativeFrom="page">
                <wp14:pctWidth>0</wp14:pctWidth>
              </wp14:sizeRelH>
              <wp14:sizeRelV relativeFrom="page">
                <wp14:pctHeight>0</wp14:pctHeight>
              </wp14:sizeRelV>
            </wp:anchor>
          </w:drawing>
        </mc:Choice>
        <mc:Fallback>
          <w:pict>
            <v:group w14:anchorId="5056F730" id="Group 16" o:spid="_x0000_s1026" style="position:absolute;margin-left:14.2pt;margin-top:297.7pt;width:14.15pt;height:297.65pt;z-index:251656704;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">
              <v:line id="Line 17"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" stroked="f" strokecolor="#e1000f" strokeweight=".5pt"/>
              <v:line id="Line 18"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" stroked="f" strokecolor="#e1000f" strokeweight=".5pt"/>
              <v:line id="Line 19"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" stroked="f" strokecolor="#e1000f" strokeweight=".5pt"/>
              <w10:wrap anchorx="page" anchory="page"/>
            </v:group>
          </w:pict>
        </mc:Fallback>
      </mc:AlternateContent>
    </w:r>
    <w:r w:rsidR="008B1DF6">
      <w:rPr>
        <w:rFonts w:ascii="宋体" w:hAnsi="宋体" w:cs="宋体" w:hint="eastAsia"/>
        <w:lang w:eastAsia="zh-CN"/>
      </w:rPr>
      <w:t>新闻稿</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E1865"/>
    <w:multiLevelType w:val="hybridMultilevel"/>
    <w:tmpl w:val="4A063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7045C7"/>
    <w:multiLevelType w:val="hybridMultilevel"/>
    <w:tmpl w:val="7DE89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0B585C"/>
    <w:multiLevelType w:val="hybridMultilevel"/>
    <w:tmpl w:val="70D4F3A4"/>
    <w:lvl w:ilvl="0" w:tplc="68061C8C">
      <w:start w:val="1"/>
      <w:numFmt w:val="bullet"/>
      <w:lvlText w:val=""/>
      <w:lvlJc w:val="left"/>
      <w:pPr>
        <w:ind w:left="1004" w:hanging="360"/>
      </w:pPr>
      <w:rPr>
        <w:rFonts w:ascii="Wingdings" w:hAnsi="Wingdings" w:hint="default"/>
        <w:sz w:val="24"/>
        <w:szCs w:val="24"/>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4" w15:restartNumberingAfterBreak="0">
    <w:nsid w:val="40C5131F"/>
    <w:multiLevelType w:val="hybridMultilevel"/>
    <w:tmpl w:val="8F8421BE"/>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5" w15:restartNumberingAfterBreak="0">
    <w:nsid w:val="549B0C97"/>
    <w:multiLevelType w:val="hybridMultilevel"/>
    <w:tmpl w:val="DCD2F366"/>
    <w:lvl w:ilvl="0" w:tplc="53A0857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89532E"/>
    <w:multiLevelType w:val="hybridMultilevel"/>
    <w:tmpl w:val="357663A0"/>
    <w:lvl w:ilvl="0" w:tplc="5FB28F00">
      <w:start w:val="1"/>
      <w:numFmt w:val="bullet"/>
      <w:lvlText w:val=""/>
      <w:lvlJc w:val="left"/>
      <w:pPr>
        <w:ind w:left="786" w:hanging="360"/>
      </w:pPr>
      <w:rPr>
        <w:rFonts w:ascii="Wingdings" w:hAnsi="Wingdings" w:hint="default"/>
        <w:sz w:val="24"/>
        <w:szCs w:val="24"/>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28686015">
    <w:abstractNumId w:val="1"/>
  </w:num>
  <w:num w:numId="2" w16cid:durableId="59135947">
    <w:abstractNumId w:val="0"/>
  </w:num>
  <w:num w:numId="3" w16cid:durableId="1636178876">
    <w:abstractNumId w:val="6"/>
  </w:num>
  <w:num w:numId="4" w16cid:durableId="843520105">
    <w:abstractNumId w:val="4"/>
  </w:num>
  <w:num w:numId="5" w16cid:durableId="818880908">
    <w:abstractNumId w:val="3"/>
  </w:num>
  <w:num w:numId="6" w16cid:durableId="1419670389">
    <w:abstractNumId w:val="5"/>
  </w:num>
  <w:num w:numId="7" w16cid:durableId="4560696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o:colormru v:ext="edit" colors="#e1000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51C"/>
    <w:rsid w:val="00000839"/>
    <w:rsid w:val="00002AA4"/>
    <w:rsid w:val="00005267"/>
    <w:rsid w:val="00006346"/>
    <w:rsid w:val="00021C67"/>
    <w:rsid w:val="00030557"/>
    <w:rsid w:val="00030F51"/>
    <w:rsid w:val="00035A84"/>
    <w:rsid w:val="00040CC9"/>
    <w:rsid w:val="00051E86"/>
    <w:rsid w:val="000575F9"/>
    <w:rsid w:val="000618FC"/>
    <w:rsid w:val="0006242A"/>
    <w:rsid w:val="00062A7F"/>
    <w:rsid w:val="00067071"/>
    <w:rsid w:val="000722E8"/>
    <w:rsid w:val="00080D10"/>
    <w:rsid w:val="0008357F"/>
    <w:rsid w:val="000B695A"/>
    <w:rsid w:val="000C210A"/>
    <w:rsid w:val="000C56DD"/>
    <w:rsid w:val="000D1672"/>
    <w:rsid w:val="000E2F62"/>
    <w:rsid w:val="000E38ED"/>
    <w:rsid w:val="000E7F24"/>
    <w:rsid w:val="000F03BE"/>
    <w:rsid w:val="000F1757"/>
    <w:rsid w:val="000F225B"/>
    <w:rsid w:val="000F7FAF"/>
    <w:rsid w:val="00105975"/>
    <w:rsid w:val="00111F4D"/>
    <w:rsid w:val="00112A28"/>
    <w:rsid w:val="00115230"/>
    <w:rsid w:val="00115B5F"/>
    <w:rsid w:val="001162B4"/>
    <w:rsid w:val="00122CBC"/>
    <w:rsid w:val="00126D4A"/>
    <w:rsid w:val="00132DA9"/>
    <w:rsid w:val="0013305B"/>
    <w:rsid w:val="00133B99"/>
    <w:rsid w:val="001443BD"/>
    <w:rsid w:val="001577E9"/>
    <w:rsid w:val="0016138C"/>
    <w:rsid w:val="001731CE"/>
    <w:rsid w:val="001B6B4D"/>
    <w:rsid w:val="001B7C20"/>
    <w:rsid w:val="001C0B32"/>
    <w:rsid w:val="001C4BE1"/>
    <w:rsid w:val="001D7ADF"/>
    <w:rsid w:val="001E0F71"/>
    <w:rsid w:val="001E6D05"/>
    <w:rsid w:val="001E7C28"/>
    <w:rsid w:val="001F1BDF"/>
    <w:rsid w:val="001F7110"/>
    <w:rsid w:val="001F7E96"/>
    <w:rsid w:val="00202284"/>
    <w:rsid w:val="00212488"/>
    <w:rsid w:val="00213CE4"/>
    <w:rsid w:val="00220628"/>
    <w:rsid w:val="002304D2"/>
    <w:rsid w:val="002308F8"/>
    <w:rsid w:val="00234ABD"/>
    <w:rsid w:val="00236E2A"/>
    <w:rsid w:val="00237F62"/>
    <w:rsid w:val="0024586A"/>
    <w:rsid w:val="00256F0C"/>
    <w:rsid w:val="00262C05"/>
    <w:rsid w:val="00281D14"/>
    <w:rsid w:val="00282C13"/>
    <w:rsid w:val="002847B7"/>
    <w:rsid w:val="0028550F"/>
    <w:rsid w:val="002A0DF7"/>
    <w:rsid w:val="002A2975"/>
    <w:rsid w:val="002A60E0"/>
    <w:rsid w:val="002C1344"/>
    <w:rsid w:val="002C252E"/>
    <w:rsid w:val="002C6773"/>
    <w:rsid w:val="002D2A3D"/>
    <w:rsid w:val="002E0B17"/>
    <w:rsid w:val="002E4FFB"/>
    <w:rsid w:val="002E7DED"/>
    <w:rsid w:val="002F7E11"/>
    <w:rsid w:val="00304087"/>
    <w:rsid w:val="00306244"/>
    <w:rsid w:val="00310ACD"/>
    <w:rsid w:val="0031379F"/>
    <w:rsid w:val="00313BEE"/>
    <w:rsid w:val="00320A26"/>
    <w:rsid w:val="00321344"/>
    <w:rsid w:val="0033451C"/>
    <w:rsid w:val="00336854"/>
    <w:rsid w:val="0034015C"/>
    <w:rsid w:val="00341A06"/>
    <w:rsid w:val="003421F9"/>
    <w:rsid w:val="003442F4"/>
    <w:rsid w:val="00353705"/>
    <w:rsid w:val="003562E8"/>
    <w:rsid w:val="00357F10"/>
    <w:rsid w:val="003600A6"/>
    <w:rsid w:val="0036357D"/>
    <w:rsid w:val="003649BC"/>
    <w:rsid w:val="00365E44"/>
    <w:rsid w:val="00367AA1"/>
    <w:rsid w:val="00372E36"/>
    <w:rsid w:val="00374C9E"/>
    <w:rsid w:val="003755EA"/>
    <w:rsid w:val="00376EE9"/>
    <w:rsid w:val="00377CBB"/>
    <w:rsid w:val="003877B6"/>
    <w:rsid w:val="00393887"/>
    <w:rsid w:val="00394C6B"/>
    <w:rsid w:val="003A4E62"/>
    <w:rsid w:val="003A621D"/>
    <w:rsid w:val="003B1069"/>
    <w:rsid w:val="003B390A"/>
    <w:rsid w:val="003B3C4B"/>
    <w:rsid w:val="003C15DE"/>
    <w:rsid w:val="003C4EB2"/>
    <w:rsid w:val="003F03D5"/>
    <w:rsid w:val="003F1AF3"/>
    <w:rsid w:val="003F4D8D"/>
    <w:rsid w:val="004124A6"/>
    <w:rsid w:val="004313E7"/>
    <w:rsid w:val="0044763B"/>
    <w:rsid w:val="004509D7"/>
    <w:rsid w:val="00451F34"/>
    <w:rsid w:val="004629B3"/>
    <w:rsid w:val="0046376E"/>
    <w:rsid w:val="0046690F"/>
    <w:rsid w:val="00472FEC"/>
    <w:rsid w:val="0048286D"/>
    <w:rsid w:val="0048695F"/>
    <w:rsid w:val="00490A03"/>
    <w:rsid w:val="00493327"/>
    <w:rsid w:val="00494DBE"/>
    <w:rsid w:val="00495CE6"/>
    <w:rsid w:val="004A323C"/>
    <w:rsid w:val="004A425D"/>
    <w:rsid w:val="004B4140"/>
    <w:rsid w:val="004B54E8"/>
    <w:rsid w:val="004C4FEB"/>
    <w:rsid w:val="004C6B79"/>
    <w:rsid w:val="004D059B"/>
    <w:rsid w:val="004D4CB6"/>
    <w:rsid w:val="004E3341"/>
    <w:rsid w:val="004F10C1"/>
    <w:rsid w:val="00502E62"/>
    <w:rsid w:val="00504452"/>
    <w:rsid w:val="00506B8A"/>
    <w:rsid w:val="0051180C"/>
    <w:rsid w:val="0052212B"/>
    <w:rsid w:val="00531B98"/>
    <w:rsid w:val="00534B46"/>
    <w:rsid w:val="00540358"/>
    <w:rsid w:val="00540D47"/>
    <w:rsid w:val="00550864"/>
    <w:rsid w:val="0055571E"/>
    <w:rsid w:val="00556F67"/>
    <w:rsid w:val="005833F0"/>
    <w:rsid w:val="00586CAF"/>
    <w:rsid w:val="005873E9"/>
    <w:rsid w:val="00591180"/>
    <w:rsid w:val="0059722C"/>
    <w:rsid w:val="00597D07"/>
    <w:rsid w:val="005A15F7"/>
    <w:rsid w:val="005A3846"/>
    <w:rsid w:val="005B6A58"/>
    <w:rsid w:val="005C7112"/>
    <w:rsid w:val="005D0561"/>
    <w:rsid w:val="005D09F0"/>
    <w:rsid w:val="005D0AD9"/>
    <w:rsid w:val="005D22F6"/>
    <w:rsid w:val="005E0C30"/>
    <w:rsid w:val="005E69D9"/>
    <w:rsid w:val="005F2262"/>
    <w:rsid w:val="005F27F4"/>
    <w:rsid w:val="005F3239"/>
    <w:rsid w:val="005F6567"/>
    <w:rsid w:val="00607256"/>
    <w:rsid w:val="006144B1"/>
    <w:rsid w:val="00627FA9"/>
    <w:rsid w:val="006335F1"/>
    <w:rsid w:val="006345B6"/>
    <w:rsid w:val="00635712"/>
    <w:rsid w:val="00643D8A"/>
    <w:rsid w:val="006513EB"/>
    <w:rsid w:val="00652229"/>
    <w:rsid w:val="00652793"/>
    <w:rsid w:val="006626CA"/>
    <w:rsid w:val="00663487"/>
    <w:rsid w:val="00663962"/>
    <w:rsid w:val="0066668F"/>
    <w:rsid w:val="00672382"/>
    <w:rsid w:val="00677EEB"/>
    <w:rsid w:val="00682643"/>
    <w:rsid w:val="00682EB9"/>
    <w:rsid w:val="0068441A"/>
    <w:rsid w:val="00690B19"/>
    <w:rsid w:val="006A0A3C"/>
    <w:rsid w:val="006A79F0"/>
    <w:rsid w:val="006B47EE"/>
    <w:rsid w:val="006B499F"/>
    <w:rsid w:val="006D4996"/>
    <w:rsid w:val="006D54AB"/>
    <w:rsid w:val="006E3006"/>
    <w:rsid w:val="006E5032"/>
    <w:rsid w:val="006E5BDA"/>
    <w:rsid w:val="006F0FC7"/>
    <w:rsid w:val="006F39A9"/>
    <w:rsid w:val="006F670F"/>
    <w:rsid w:val="00703272"/>
    <w:rsid w:val="0070733C"/>
    <w:rsid w:val="00710C5D"/>
    <w:rsid w:val="0071348C"/>
    <w:rsid w:val="00717273"/>
    <w:rsid w:val="00720FD4"/>
    <w:rsid w:val="00724AF2"/>
    <w:rsid w:val="0073096C"/>
    <w:rsid w:val="00742398"/>
    <w:rsid w:val="007437B6"/>
    <w:rsid w:val="007507B5"/>
    <w:rsid w:val="0075091D"/>
    <w:rsid w:val="0075274A"/>
    <w:rsid w:val="00753A24"/>
    <w:rsid w:val="00772188"/>
    <w:rsid w:val="007804CE"/>
    <w:rsid w:val="007813D0"/>
    <w:rsid w:val="00785993"/>
    <w:rsid w:val="007866E2"/>
    <w:rsid w:val="00786BA3"/>
    <w:rsid w:val="00790375"/>
    <w:rsid w:val="0079202F"/>
    <w:rsid w:val="00795AF2"/>
    <w:rsid w:val="007A2AAD"/>
    <w:rsid w:val="007A4432"/>
    <w:rsid w:val="007A784E"/>
    <w:rsid w:val="007B499C"/>
    <w:rsid w:val="007B4D4B"/>
    <w:rsid w:val="007D2A02"/>
    <w:rsid w:val="007E6EA1"/>
    <w:rsid w:val="007F0F63"/>
    <w:rsid w:val="007F2B1E"/>
    <w:rsid w:val="007F62B4"/>
    <w:rsid w:val="00801517"/>
    <w:rsid w:val="00817AE8"/>
    <w:rsid w:val="00817DE8"/>
    <w:rsid w:val="008229F5"/>
    <w:rsid w:val="0082699A"/>
    <w:rsid w:val="00833CEB"/>
    <w:rsid w:val="008372D2"/>
    <w:rsid w:val="008377BC"/>
    <w:rsid w:val="00841063"/>
    <w:rsid w:val="00844C17"/>
    <w:rsid w:val="00847726"/>
    <w:rsid w:val="00852511"/>
    <w:rsid w:val="008614F1"/>
    <w:rsid w:val="008639B3"/>
    <w:rsid w:val="00863C1A"/>
    <w:rsid w:val="0087142D"/>
    <w:rsid w:val="008733BB"/>
    <w:rsid w:val="00873956"/>
    <w:rsid w:val="00880E72"/>
    <w:rsid w:val="008825EE"/>
    <w:rsid w:val="00883758"/>
    <w:rsid w:val="0088596E"/>
    <w:rsid w:val="00894912"/>
    <w:rsid w:val="0089796A"/>
    <w:rsid w:val="00897CC0"/>
    <w:rsid w:val="008A2375"/>
    <w:rsid w:val="008B1DF6"/>
    <w:rsid w:val="008D76C5"/>
    <w:rsid w:val="008E0AFA"/>
    <w:rsid w:val="008E2C44"/>
    <w:rsid w:val="008E68C0"/>
    <w:rsid w:val="008E75D3"/>
    <w:rsid w:val="008E7F34"/>
    <w:rsid w:val="008F125E"/>
    <w:rsid w:val="008F4D2F"/>
    <w:rsid w:val="008F6A6F"/>
    <w:rsid w:val="00906292"/>
    <w:rsid w:val="009076AF"/>
    <w:rsid w:val="00911178"/>
    <w:rsid w:val="00917162"/>
    <w:rsid w:val="009226DF"/>
    <w:rsid w:val="009251CC"/>
    <w:rsid w:val="0092714E"/>
    <w:rsid w:val="00942002"/>
    <w:rsid w:val="00946160"/>
    <w:rsid w:val="00947885"/>
    <w:rsid w:val="00952168"/>
    <w:rsid w:val="009527FE"/>
    <w:rsid w:val="00954AB9"/>
    <w:rsid w:val="00965A9E"/>
    <w:rsid w:val="009739A0"/>
    <w:rsid w:val="00974F84"/>
    <w:rsid w:val="009767C7"/>
    <w:rsid w:val="0098579A"/>
    <w:rsid w:val="0099195A"/>
    <w:rsid w:val="00992A11"/>
    <w:rsid w:val="00994681"/>
    <w:rsid w:val="0099486A"/>
    <w:rsid w:val="009A0E26"/>
    <w:rsid w:val="009A16EC"/>
    <w:rsid w:val="009B29B7"/>
    <w:rsid w:val="009B3B37"/>
    <w:rsid w:val="009B7D1F"/>
    <w:rsid w:val="009C088E"/>
    <w:rsid w:val="009C4D35"/>
    <w:rsid w:val="009D1522"/>
    <w:rsid w:val="009D7252"/>
    <w:rsid w:val="009E5EB4"/>
    <w:rsid w:val="00A044D6"/>
    <w:rsid w:val="00A04ADB"/>
    <w:rsid w:val="00A11E0F"/>
    <w:rsid w:val="00A26CB6"/>
    <w:rsid w:val="00A32F82"/>
    <w:rsid w:val="00A32F8B"/>
    <w:rsid w:val="00A366D3"/>
    <w:rsid w:val="00A36EB4"/>
    <w:rsid w:val="00A3756F"/>
    <w:rsid w:val="00A42D6F"/>
    <w:rsid w:val="00A45A62"/>
    <w:rsid w:val="00A510E5"/>
    <w:rsid w:val="00A54AC5"/>
    <w:rsid w:val="00A55DC3"/>
    <w:rsid w:val="00A56D41"/>
    <w:rsid w:val="00A61353"/>
    <w:rsid w:val="00A637C0"/>
    <w:rsid w:val="00A66DB1"/>
    <w:rsid w:val="00A67A92"/>
    <w:rsid w:val="00A706FD"/>
    <w:rsid w:val="00A7414C"/>
    <w:rsid w:val="00A87870"/>
    <w:rsid w:val="00A91A70"/>
    <w:rsid w:val="00AA1B85"/>
    <w:rsid w:val="00AB1CB6"/>
    <w:rsid w:val="00AB1D9A"/>
    <w:rsid w:val="00AC1D61"/>
    <w:rsid w:val="00AD44FE"/>
    <w:rsid w:val="00AD7633"/>
    <w:rsid w:val="00AE49F1"/>
    <w:rsid w:val="00B05CCA"/>
    <w:rsid w:val="00B14271"/>
    <w:rsid w:val="00B16270"/>
    <w:rsid w:val="00B2685D"/>
    <w:rsid w:val="00B30351"/>
    <w:rsid w:val="00B30BC0"/>
    <w:rsid w:val="00B33C2A"/>
    <w:rsid w:val="00B422EC"/>
    <w:rsid w:val="00B726D4"/>
    <w:rsid w:val="00B8214F"/>
    <w:rsid w:val="00B86A4F"/>
    <w:rsid w:val="00B93035"/>
    <w:rsid w:val="00B9337E"/>
    <w:rsid w:val="00B958E8"/>
    <w:rsid w:val="00B97E4A"/>
    <w:rsid w:val="00BA09B2"/>
    <w:rsid w:val="00BA5B46"/>
    <w:rsid w:val="00BB5D0B"/>
    <w:rsid w:val="00BC0995"/>
    <w:rsid w:val="00BE793A"/>
    <w:rsid w:val="00BF2B82"/>
    <w:rsid w:val="00BF432A"/>
    <w:rsid w:val="00BF6E82"/>
    <w:rsid w:val="00C060C7"/>
    <w:rsid w:val="00C24C17"/>
    <w:rsid w:val="00C3256D"/>
    <w:rsid w:val="00C3758F"/>
    <w:rsid w:val="00C40B88"/>
    <w:rsid w:val="00C42C93"/>
    <w:rsid w:val="00C47D87"/>
    <w:rsid w:val="00C5004A"/>
    <w:rsid w:val="00C5376E"/>
    <w:rsid w:val="00C73A21"/>
    <w:rsid w:val="00C808A6"/>
    <w:rsid w:val="00C97091"/>
    <w:rsid w:val="00C97260"/>
    <w:rsid w:val="00CA2001"/>
    <w:rsid w:val="00CB5B6C"/>
    <w:rsid w:val="00CC052E"/>
    <w:rsid w:val="00CD11D4"/>
    <w:rsid w:val="00CD16BE"/>
    <w:rsid w:val="00CD4616"/>
    <w:rsid w:val="00CD47AC"/>
    <w:rsid w:val="00CD56AF"/>
    <w:rsid w:val="00CD6B32"/>
    <w:rsid w:val="00CE33D5"/>
    <w:rsid w:val="00CF5D37"/>
    <w:rsid w:val="00CF6F33"/>
    <w:rsid w:val="00D02248"/>
    <w:rsid w:val="00D063B8"/>
    <w:rsid w:val="00D06825"/>
    <w:rsid w:val="00D17E3B"/>
    <w:rsid w:val="00D23C09"/>
    <w:rsid w:val="00D23CED"/>
    <w:rsid w:val="00D24BD2"/>
    <w:rsid w:val="00D2573D"/>
    <w:rsid w:val="00D260A2"/>
    <w:rsid w:val="00D30CC6"/>
    <w:rsid w:val="00D3260C"/>
    <w:rsid w:val="00D35790"/>
    <w:rsid w:val="00D5653B"/>
    <w:rsid w:val="00D62EF1"/>
    <w:rsid w:val="00D6309D"/>
    <w:rsid w:val="00D644CA"/>
    <w:rsid w:val="00D66FC2"/>
    <w:rsid w:val="00D76C7E"/>
    <w:rsid w:val="00D771DE"/>
    <w:rsid w:val="00D7776D"/>
    <w:rsid w:val="00D84FD4"/>
    <w:rsid w:val="00D920A5"/>
    <w:rsid w:val="00D9293F"/>
    <w:rsid w:val="00D93598"/>
    <w:rsid w:val="00DA1E18"/>
    <w:rsid w:val="00DA2009"/>
    <w:rsid w:val="00DB05B1"/>
    <w:rsid w:val="00DB5A79"/>
    <w:rsid w:val="00DC2465"/>
    <w:rsid w:val="00DD512E"/>
    <w:rsid w:val="00DE1177"/>
    <w:rsid w:val="00DE2CEA"/>
    <w:rsid w:val="00DE6A3C"/>
    <w:rsid w:val="00DE74F4"/>
    <w:rsid w:val="00DE7F97"/>
    <w:rsid w:val="00DF1010"/>
    <w:rsid w:val="00DF5AEA"/>
    <w:rsid w:val="00DF63F6"/>
    <w:rsid w:val="00E03EFA"/>
    <w:rsid w:val="00E13747"/>
    <w:rsid w:val="00E25AEA"/>
    <w:rsid w:val="00E30DEF"/>
    <w:rsid w:val="00E30ED2"/>
    <w:rsid w:val="00E31276"/>
    <w:rsid w:val="00E37F70"/>
    <w:rsid w:val="00E446C1"/>
    <w:rsid w:val="00E72522"/>
    <w:rsid w:val="00E758B9"/>
    <w:rsid w:val="00E819AF"/>
    <w:rsid w:val="00E835E4"/>
    <w:rsid w:val="00E85569"/>
    <w:rsid w:val="00E856AF"/>
    <w:rsid w:val="00E86B83"/>
    <w:rsid w:val="00E87C64"/>
    <w:rsid w:val="00E93A01"/>
    <w:rsid w:val="00E93FF8"/>
    <w:rsid w:val="00E96EAF"/>
    <w:rsid w:val="00EA1752"/>
    <w:rsid w:val="00EA5A89"/>
    <w:rsid w:val="00EA5BDB"/>
    <w:rsid w:val="00EB46D9"/>
    <w:rsid w:val="00EC142D"/>
    <w:rsid w:val="00EC1E16"/>
    <w:rsid w:val="00ED0024"/>
    <w:rsid w:val="00ED00BF"/>
    <w:rsid w:val="00ED0F85"/>
    <w:rsid w:val="00ED2B5C"/>
    <w:rsid w:val="00ED3269"/>
    <w:rsid w:val="00EE1A8C"/>
    <w:rsid w:val="00EE4643"/>
    <w:rsid w:val="00EE70E2"/>
    <w:rsid w:val="00EF1330"/>
    <w:rsid w:val="00EF15FF"/>
    <w:rsid w:val="00EF7111"/>
    <w:rsid w:val="00EF7D1A"/>
    <w:rsid w:val="00F0448F"/>
    <w:rsid w:val="00F0716C"/>
    <w:rsid w:val="00F161A8"/>
    <w:rsid w:val="00F270E9"/>
    <w:rsid w:val="00F275C0"/>
    <w:rsid w:val="00F346B6"/>
    <w:rsid w:val="00F36145"/>
    <w:rsid w:val="00F37BDD"/>
    <w:rsid w:val="00F41503"/>
    <w:rsid w:val="00F466C8"/>
    <w:rsid w:val="00F469A9"/>
    <w:rsid w:val="00F50B46"/>
    <w:rsid w:val="00F50D1F"/>
    <w:rsid w:val="00F6203E"/>
    <w:rsid w:val="00F63237"/>
    <w:rsid w:val="00F635FC"/>
    <w:rsid w:val="00F63D03"/>
    <w:rsid w:val="00F6503D"/>
    <w:rsid w:val="00F65E2F"/>
    <w:rsid w:val="00F67DF1"/>
    <w:rsid w:val="00F753A2"/>
    <w:rsid w:val="00F82AD0"/>
    <w:rsid w:val="00F8309B"/>
    <w:rsid w:val="00F833C9"/>
    <w:rsid w:val="00F90064"/>
    <w:rsid w:val="00F9435E"/>
    <w:rsid w:val="00F96AFD"/>
    <w:rsid w:val="00FA1398"/>
    <w:rsid w:val="00FA2E19"/>
    <w:rsid w:val="00FA697F"/>
    <w:rsid w:val="00FB4CB2"/>
    <w:rsid w:val="00FB5521"/>
    <w:rsid w:val="00FB610D"/>
    <w:rsid w:val="00FC4477"/>
    <w:rsid w:val="00FC46FB"/>
    <w:rsid w:val="00FD0A38"/>
    <w:rsid w:val="00FD2BD3"/>
    <w:rsid w:val="00FD4CCA"/>
    <w:rsid w:val="00FE2A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1000f"/>
    </o:shapedefaults>
    <o:shapelayout v:ext="edit">
      <o:idmap v:ext="edit" data="2"/>
    </o:shapelayout>
  </w:shapeDefaults>
  <w:decimalSymbol w:val="."/>
  <w:listSeparator w:val=","/>
  <w14:docId w14:val="3FB409AA"/>
  <w15:chartTrackingRefBased/>
  <w15:docId w15:val="{FC10EDE9-391A-4A9D-B917-0294A12E5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goe UI" w:eastAsia="宋体" w:hAnsi="Segoe UI" w:cs="Times New Roman"/>
        <w:sz w:val="18"/>
        <w:szCs w:val="24"/>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Samp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A2975"/>
    <w:pPr>
      <w:spacing w:line="276" w:lineRule="auto"/>
      <w:jc w:val="both"/>
    </w:pPr>
    <w:rPr>
      <w:sz w:val="22"/>
    </w:rPr>
  </w:style>
  <w:style w:type="paragraph" w:styleId="Heading1">
    <w:name w:val="heading 1"/>
    <w:basedOn w:val="Normal"/>
    <w:next w:val="Normal"/>
    <w:link w:val="Heading1Char"/>
    <w:uiPriority w:val="99"/>
    <w:qFormat/>
    <w:rsid w:val="00097261"/>
    <w:pPr>
      <w:keepNext/>
      <w:spacing w:line="420" w:lineRule="atLeast"/>
      <w:outlineLvl w:val="0"/>
    </w:pPr>
    <w:rPr>
      <w:rFonts w:cs="Arial"/>
      <w:b/>
      <w:bCs/>
      <w:kern w:val="32"/>
      <w:sz w:val="36"/>
      <w:szCs w:val="32"/>
    </w:rPr>
  </w:style>
  <w:style w:type="paragraph" w:styleId="Heading2">
    <w:name w:val="heading 2"/>
    <w:basedOn w:val="Normal"/>
    <w:next w:val="Normal"/>
    <w:qFormat/>
    <w:rsid w:val="003F46B0"/>
    <w:pPr>
      <w:keepNext/>
      <w:outlineLvl w:val="1"/>
    </w:pPr>
    <w:rPr>
      <w:rFonts w:cs="Arial"/>
      <w:bCs/>
      <w:iCs/>
      <w:color w:val="E1000F"/>
      <w:szCs w:val="28"/>
    </w:rPr>
  </w:style>
  <w:style w:type="paragraph" w:styleId="Heading3">
    <w:name w:val="heading 3"/>
    <w:basedOn w:val="Heading2"/>
    <w:next w:val="Normal"/>
    <w:qFormat/>
    <w:rsid w:val="006F1596"/>
    <w:pPr>
      <w:outlineLvl w:val="2"/>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3758F"/>
    <w:pPr>
      <w:tabs>
        <w:tab w:val="left" w:pos="2607"/>
        <w:tab w:val="center" w:pos="4320"/>
        <w:tab w:val="right" w:pos="9356"/>
      </w:tabs>
      <w:spacing w:before="1440" w:line="100" w:lineRule="atLeast"/>
      <w:jc w:val="right"/>
    </w:pPr>
    <w:rPr>
      <w:rFonts w:cs="Segoe UI"/>
      <w:b/>
      <w:bCs/>
      <w:color w:val="3E3C3C"/>
      <w:sz w:val="40"/>
      <w:szCs w:val="40"/>
    </w:rPr>
  </w:style>
  <w:style w:type="paragraph" w:styleId="Footer">
    <w:name w:val="footer"/>
    <w:basedOn w:val="Normal"/>
    <w:link w:val="FooterChar"/>
    <w:uiPriority w:val="99"/>
    <w:rsid w:val="00992A11"/>
    <w:pPr>
      <w:tabs>
        <w:tab w:val="right" w:pos="7083"/>
        <w:tab w:val="right" w:pos="8640"/>
      </w:tabs>
      <w:spacing w:line="180" w:lineRule="atLeast"/>
      <w:jc w:val="right"/>
    </w:pPr>
    <w:rPr>
      <w:bCs/>
      <w:noProof/>
      <w:sz w:val="12"/>
    </w:rPr>
  </w:style>
  <w:style w:type="paragraph" w:customStyle="1" w:styleId="Intro">
    <w:name w:val="Intro"/>
    <w:basedOn w:val="Normal"/>
    <w:rsid w:val="006F1596"/>
    <w:pPr>
      <w:spacing w:after="300"/>
    </w:pPr>
    <w:rPr>
      <w:color w:val="415055"/>
      <w:sz w:val="24"/>
    </w:rPr>
  </w:style>
  <w:style w:type="paragraph" w:customStyle="1" w:styleId="NumBullet">
    <w:name w:val="Num_Bullet"/>
    <w:basedOn w:val="Normal"/>
    <w:rsid w:val="00576BC8"/>
    <w:pPr>
      <w:numPr>
        <w:numId w:val="1"/>
      </w:numPr>
      <w:tabs>
        <w:tab w:val="clear" w:pos="567"/>
        <w:tab w:val="left" w:pos="357"/>
      </w:tabs>
      <w:ind w:left="357" w:hanging="357"/>
    </w:pPr>
  </w:style>
  <w:style w:type="paragraph" w:customStyle="1" w:styleId="Page1Name">
    <w:name w:val="Page1_Name"/>
    <w:basedOn w:val="Normal"/>
    <w:rsid w:val="004F237B"/>
    <w:pPr>
      <w:spacing w:after="420" w:line="360" w:lineRule="atLeast"/>
    </w:pPr>
    <w:rPr>
      <w:b/>
      <w:sz w:val="30"/>
    </w:rPr>
  </w:style>
  <w:style w:type="paragraph" w:customStyle="1" w:styleId="Page1Title">
    <w:name w:val="Page1_Title"/>
    <w:basedOn w:val="Normal"/>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leGrid">
    <w:name w:val="Table Grid"/>
    <w:basedOn w:val="TableNormal"/>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Normal"/>
    <w:rsid w:val="0048435F"/>
    <w:pPr>
      <w:spacing w:line="300" w:lineRule="atLeast"/>
    </w:pPr>
    <w:rPr>
      <w:sz w:val="24"/>
    </w:rPr>
  </w:style>
  <w:style w:type="character" w:customStyle="1" w:styleId="Heading1Char">
    <w:name w:val="Heading 1 Char"/>
    <w:link w:val="Heading1"/>
    <w:uiPriority w:val="99"/>
    <w:locked/>
    <w:rsid w:val="00B422EC"/>
    <w:rPr>
      <w:rFonts w:ascii="Arial" w:hAnsi="Arial" w:cs="Arial"/>
      <w:b/>
      <w:bCs/>
      <w:kern w:val="32"/>
      <w:sz w:val="36"/>
      <w:szCs w:val="32"/>
      <w:lang w:val="de-DE"/>
    </w:rPr>
  </w:style>
  <w:style w:type="character" w:styleId="Hyperlink">
    <w:name w:val="Hyperlink"/>
    <w:rsid w:val="00336854"/>
    <w:rPr>
      <w:rFonts w:ascii="Segoe UI" w:hAnsi="Segoe UI"/>
      <w:color w:val="0000FF"/>
      <w:sz w:val="18"/>
      <w:szCs w:val="18"/>
      <w:u w:val="single"/>
    </w:rPr>
  </w:style>
  <w:style w:type="paragraph" w:customStyle="1" w:styleId="MittleresRaster1-Akzent21">
    <w:name w:val="Mittleres Raster 1 - Akzent 21"/>
    <w:basedOn w:val="Normal"/>
    <w:uiPriority w:val="34"/>
    <w:qFormat/>
    <w:rsid w:val="00B422EC"/>
    <w:pPr>
      <w:ind w:left="720"/>
    </w:pPr>
  </w:style>
  <w:style w:type="paragraph" w:styleId="BalloonText">
    <w:name w:val="Balloon Text"/>
    <w:basedOn w:val="Normal"/>
    <w:link w:val="BalloonTextChar"/>
    <w:rsid w:val="00336854"/>
    <w:pPr>
      <w:spacing w:line="240" w:lineRule="auto"/>
    </w:pPr>
    <w:rPr>
      <w:sz w:val="18"/>
      <w:szCs w:val="18"/>
    </w:rPr>
  </w:style>
  <w:style w:type="character" w:customStyle="1" w:styleId="BalloonTextChar">
    <w:name w:val="Balloon Text Char"/>
    <w:link w:val="BalloonText"/>
    <w:rsid w:val="00336854"/>
    <w:rPr>
      <w:rFonts w:ascii="Segoe UI" w:hAnsi="Segoe UI"/>
      <w:sz w:val="18"/>
      <w:szCs w:val="18"/>
      <w:lang w:val="de-DE"/>
    </w:rPr>
  </w:style>
  <w:style w:type="paragraph" w:customStyle="1" w:styleId="MittlereListe2-Akzent21">
    <w:name w:val="Mittlere Liste 2 - Akzent 21"/>
    <w:hidden/>
    <w:uiPriority w:val="99"/>
    <w:semiHidden/>
    <w:rsid w:val="002E0B17"/>
    <w:rPr>
      <w:rFonts w:ascii="Arial" w:hAnsi="Arial"/>
      <w:lang w:val="de-DE"/>
    </w:rPr>
  </w:style>
  <w:style w:type="character" w:customStyle="1" w:styleId="FooterChar">
    <w:name w:val="Footer Char"/>
    <w:link w:val="Footer"/>
    <w:uiPriority w:val="99"/>
    <w:rsid w:val="00992A11"/>
    <w:rPr>
      <w:rFonts w:ascii="Segoe UI" w:hAnsi="Segoe UI"/>
      <w:bCs/>
      <w:noProof/>
      <w:sz w:val="12"/>
      <w:szCs w:val="24"/>
      <w:lang w:val="de-DE"/>
    </w:rPr>
  </w:style>
  <w:style w:type="character" w:styleId="UnresolvedMention">
    <w:name w:val="Unresolved Mention"/>
    <w:uiPriority w:val="99"/>
    <w:semiHidden/>
    <w:unhideWhenUsed/>
    <w:rsid w:val="000C210A"/>
    <w:rPr>
      <w:color w:val="605E5C"/>
      <w:shd w:val="clear" w:color="auto" w:fill="E1DFDD"/>
    </w:rPr>
  </w:style>
  <w:style w:type="paragraph" w:customStyle="1" w:styleId="Style12ptJustifiedLinespacing15lines">
    <w:name w:val="Style 12 pt Justified Line spacing:  1.5 lines"/>
    <w:basedOn w:val="Normal"/>
    <w:rsid w:val="00974F84"/>
    <w:rPr>
      <w:szCs w:val="20"/>
    </w:rPr>
  </w:style>
  <w:style w:type="paragraph" w:customStyle="1" w:styleId="Style12ptJustifiedLinespacing15lines1">
    <w:name w:val="Style 12 pt Justified Line spacing:  1.5 lines1"/>
    <w:basedOn w:val="Normal"/>
    <w:rsid w:val="00974F84"/>
    <w:pPr>
      <w:spacing w:before="120"/>
    </w:pPr>
    <w:rPr>
      <w:szCs w:val="20"/>
    </w:rPr>
  </w:style>
  <w:style w:type="character" w:customStyle="1" w:styleId="Headline">
    <w:name w:val="Headline"/>
    <w:basedOn w:val="DefaultParagraphFont"/>
    <w:rsid w:val="00A3756F"/>
    <w:rPr>
      <w:b/>
      <w:bCs/>
      <w:sz w:val="32"/>
    </w:rPr>
  </w:style>
  <w:style w:type="paragraph" w:customStyle="1" w:styleId="MonthDayYear">
    <w:name w:val="Month Day Year"/>
    <w:basedOn w:val="Normal"/>
    <w:rsid w:val="00643D8A"/>
    <w:pPr>
      <w:spacing w:before="120"/>
      <w:ind w:right="-1"/>
      <w:jc w:val="right"/>
    </w:pPr>
    <w:rPr>
      <w:szCs w:val="20"/>
    </w:rPr>
  </w:style>
  <w:style w:type="paragraph" w:customStyle="1" w:styleId="Topline">
    <w:name w:val="Topline"/>
    <w:basedOn w:val="Normal"/>
    <w:qFormat/>
    <w:rsid w:val="00472FEC"/>
    <w:pPr>
      <w:spacing w:before="560" w:after="560"/>
    </w:pPr>
    <w:rPr>
      <w:rFonts w:cs="Segoe UI"/>
      <w:szCs w:val="22"/>
    </w:rPr>
  </w:style>
  <w:style w:type="character" w:customStyle="1" w:styleId="AboutandContactBody">
    <w:name w:val="About and Contact Body"/>
    <w:basedOn w:val="DefaultParagraphFont"/>
    <w:rsid w:val="00336854"/>
    <w:rPr>
      <w:rFonts w:ascii="Segoe UI" w:hAnsi="Segoe UI"/>
      <w:sz w:val="18"/>
    </w:rPr>
  </w:style>
  <w:style w:type="character" w:customStyle="1" w:styleId="AboutandContactHeadline">
    <w:name w:val="About and Contact Headline"/>
    <w:basedOn w:val="DefaultParagraphFont"/>
    <w:rsid w:val="00336854"/>
    <w:rPr>
      <w:rFonts w:ascii="Segoe UI" w:hAnsi="Segoe UI"/>
      <w:b/>
      <w:bCs/>
      <w:sz w:val="18"/>
    </w:rPr>
  </w:style>
  <w:style w:type="paragraph" w:styleId="ListParagraph">
    <w:name w:val="List Paragraph"/>
    <w:basedOn w:val="Normal"/>
    <w:uiPriority w:val="63"/>
    <w:qFormat/>
    <w:rsid w:val="00A366D3"/>
    <w:pPr>
      <w:ind w:left="720"/>
      <w:contextualSpacing/>
    </w:pPr>
  </w:style>
  <w:style w:type="character" w:styleId="CommentReference">
    <w:name w:val="annotation reference"/>
    <w:basedOn w:val="DefaultParagraphFont"/>
    <w:rsid w:val="00FB4CB2"/>
    <w:rPr>
      <w:sz w:val="16"/>
      <w:szCs w:val="16"/>
    </w:rPr>
  </w:style>
  <w:style w:type="paragraph" w:styleId="CommentText">
    <w:name w:val="annotation text"/>
    <w:basedOn w:val="Normal"/>
    <w:link w:val="CommentTextChar"/>
    <w:rsid w:val="00FB4CB2"/>
    <w:pPr>
      <w:spacing w:line="240" w:lineRule="auto"/>
    </w:pPr>
    <w:rPr>
      <w:sz w:val="20"/>
      <w:szCs w:val="20"/>
    </w:rPr>
  </w:style>
  <w:style w:type="character" w:customStyle="1" w:styleId="CommentTextChar">
    <w:name w:val="Comment Text Char"/>
    <w:basedOn w:val="DefaultParagraphFont"/>
    <w:link w:val="CommentText"/>
    <w:rsid w:val="00FB4CB2"/>
    <w:rPr>
      <w:sz w:val="20"/>
      <w:szCs w:val="20"/>
    </w:rPr>
  </w:style>
  <w:style w:type="paragraph" w:styleId="CommentSubject">
    <w:name w:val="annotation subject"/>
    <w:basedOn w:val="CommentText"/>
    <w:next w:val="CommentText"/>
    <w:link w:val="CommentSubjectChar"/>
    <w:rsid w:val="00FB4CB2"/>
    <w:rPr>
      <w:b/>
      <w:bCs/>
    </w:rPr>
  </w:style>
  <w:style w:type="character" w:customStyle="1" w:styleId="CommentSubjectChar">
    <w:name w:val="Comment Subject Char"/>
    <w:basedOn w:val="CommentTextChar"/>
    <w:link w:val="CommentSubject"/>
    <w:rsid w:val="00FB4CB2"/>
    <w:rPr>
      <w:b/>
      <w:bCs/>
      <w:sz w:val="20"/>
      <w:szCs w:val="20"/>
    </w:rPr>
  </w:style>
  <w:style w:type="character" w:styleId="FollowedHyperlink">
    <w:name w:val="FollowedHyperlink"/>
    <w:basedOn w:val="DefaultParagraphFont"/>
    <w:rsid w:val="0079037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805379">
      <w:bodyDiv w:val="1"/>
      <w:marLeft w:val="0"/>
      <w:marRight w:val="0"/>
      <w:marTop w:val="0"/>
      <w:marBottom w:val="0"/>
      <w:divBdr>
        <w:top w:val="none" w:sz="0" w:space="0" w:color="auto"/>
        <w:left w:val="none" w:sz="0" w:space="0" w:color="auto"/>
        <w:bottom w:val="none" w:sz="0" w:space="0" w:color="auto"/>
        <w:right w:val="none" w:sz="0" w:space="0" w:color="auto"/>
      </w:divBdr>
    </w:div>
    <w:div w:id="732049146">
      <w:bodyDiv w:val="1"/>
      <w:marLeft w:val="0"/>
      <w:marRight w:val="0"/>
      <w:marTop w:val="0"/>
      <w:marBottom w:val="0"/>
      <w:divBdr>
        <w:top w:val="none" w:sz="0" w:space="0" w:color="auto"/>
        <w:left w:val="none" w:sz="0" w:space="0" w:color="auto"/>
        <w:bottom w:val="none" w:sz="0" w:space="0" w:color="auto"/>
        <w:right w:val="none" w:sz="0" w:space="0" w:color="auto"/>
      </w:divBdr>
    </w:div>
    <w:div w:id="830367474">
      <w:bodyDiv w:val="1"/>
      <w:marLeft w:val="0"/>
      <w:marRight w:val="0"/>
      <w:marTop w:val="0"/>
      <w:marBottom w:val="0"/>
      <w:divBdr>
        <w:top w:val="none" w:sz="0" w:space="0" w:color="auto"/>
        <w:left w:val="none" w:sz="0" w:space="0" w:color="auto"/>
        <w:bottom w:val="none" w:sz="0" w:space="0" w:color="auto"/>
        <w:right w:val="none" w:sz="0" w:space="0" w:color="auto"/>
      </w:divBdr>
    </w:div>
    <w:div w:id="1303580746">
      <w:bodyDiv w:val="1"/>
      <w:marLeft w:val="0"/>
      <w:marRight w:val="0"/>
      <w:marTop w:val="0"/>
      <w:marBottom w:val="0"/>
      <w:divBdr>
        <w:top w:val="none" w:sz="0" w:space="0" w:color="auto"/>
        <w:left w:val="none" w:sz="0" w:space="0" w:color="auto"/>
        <w:bottom w:val="none" w:sz="0" w:space="0" w:color="auto"/>
        <w:right w:val="none" w:sz="0" w:space="0" w:color="auto"/>
      </w:divBdr>
    </w:div>
    <w:div w:id="1374620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file:///C:\Users\fischerl\AppData\Local\Microsoft\Windows\INetCache\Content.Outlook\2MGCYH4Y\www.henkel.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jpeg"/><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ohng\AppData\Local\Temp\Temp1_Completed.zip\Completed\segoe-Henkel-press-release-template-2020-english.dotx" TargetMode="External"/></Relationships>
</file>

<file path=word/theme/theme1.xml><?xml version="1.0" encoding="utf-8"?>
<a:theme xmlns:a="http://schemas.openxmlformats.org/drawingml/2006/main" name="Henkel Theme">
  <a:themeElements>
    <a:clrScheme name="Custom 4">
      <a:dk1>
        <a:srgbClr val="000000"/>
      </a:dk1>
      <a:lt1>
        <a:srgbClr val="FFFFFF"/>
      </a:lt1>
      <a:dk2>
        <a:srgbClr val="E1000F"/>
      </a:dk2>
      <a:lt2>
        <a:srgbClr val="E6E7E7"/>
      </a:lt2>
      <a:accent1>
        <a:srgbClr val="5F6973"/>
      </a:accent1>
      <a:accent2>
        <a:srgbClr val="AFB4B9"/>
      </a:accent2>
      <a:accent3>
        <a:srgbClr val="00AA75"/>
      </a:accent3>
      <a:accent4>
        <a:srgbClr val="004C79"/>
      </a:accent4>
      <a:accent5>
        <a:srgbClr val="9A141B"/>
      </a:accent5>
      <a:accent6>
        <a:srgbClr val="FFDB23"/>
      </a:accent6>
      <a:hlink>
        <a:srgbClr val="0563C1"/>
      </a:hlink>
      <a:folHlink>
        <a:srgbClr val="954F72"/>
      </a:folHlink>
    </a:clrScheme>
    <a:fontScheme name="Henkel Template">
      <a:majorFont>
        <a:latin typeface="Segoe UI"/>
        <a:ea typeface=""/>
        <a:cs typeface=""/>
      </a:majorFont>
      <a:minorFont>
        <a:latin typeface="Segoe U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ED1C24"/>
        </a:solidFill>
        <a:ln>
          <a:noFill/>
        </a:ln>
        <a:extLst>
          <a:ext uri="{91240B29-F687-4F45-9708-019B960494DF}">
            <a14:hiddenLine xmlns:a14="http://schemas.microsoft.com/office/drawing/2010/main" w="9525">
              <a:solidFill>
                <a:srgbClr val="000000"/>
              </a:solidFill>
              <a:round/>
              <a:headEnd/>
              <a:tailEnd/>
            </a14:hiddenLine>
          </a:ext>
        </a:extLst>
      </a:spPr>
      <a:bodyPr rot="0" vert="horz" wrap="square" lIns="91440" tIns="45720" rIns="91440" bIns="45720" anchor="t" anchorCtr="0" upright="1">
        <a:noAutofit/>
      </a:bodyPr>
      <a:lstStyle/>
    </a:spDef>
    <a:lnDef>
      <a:spPr bwMode="auto">
        <a:xfrm>
          <a:off x="0" y="0"/>
          <a:ext cx="1" cy="1"/>
        </a:xfrm>
        <a:custGeom>
          <a:avLst/>
          <a:gdLst/>
          <a:ahLst/>
          <a:cxnLst/>
          <a:rect l="0" t="0" r="0" b="0"/>
          <a:pathLst/>
        </a:custGeom>
        <a:solidFill>
          <a:schemeClr val="bg1"/>
        </a:solidFill>
        <a:ln w="952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bodyPr vert="horz" wrap="none" lIns="90000" tIns="46800" rIns="90000" bIns="46800" numCol="1" anchor="ctr" anchorCtr="0" compatLnSpc="1">
        <a:prstTxWarp prst="textNoShape">
          <a:avLst/>
        </a:prstTxWarp>
      </a:bodyPr>
      <a:lstStyle>
        <a:defPPr marL="0" marR="0" indent="0" algn="ctr" defTabSz="914400" rtl="0" eaLnBrk="1" fontAlgn="base" latinLnBrk="0" hangingPunct="1">
          <a:lnSpc>
            <a:spcPct val="105000"/>
          </a:lnSpc>
          <a:spcBef>
            <a:spcPct val="0"/>
          </a:spcBef>
          <a:spcAft>
            <a:spcPct val="0"/>
          </a:spcAft>
          <a:buClr>
            <a:schemeClr val="tx2"/>
          </a:buClr>
          <a:buSzPct val="120000"/>
          <a:buFontTx/>
          <a:buNone/>
          <a:tabLst/>
          <a:defRPr kumimoji="0" lang="de-DE" sz="2000" b="0" i="0" u="none" strike="noStrike" cap="none" normalizeH="0" baseline="0" smtClean="0">
            <a:ln>
              <a:noFill/>
            </a:ln>
            <a:solidFill>
              <a:schemeClr val="tx1"/>
            </a:solidFill>
            <a:effectLst/>
            <a:latin typeface="Arial" charset="0"/>
            <a:cs typeface="Arial" charset="0"/>
          </a:defRPr>
        </a:defPPr>
      </a:lstStyle>
    </a:lnDef>
  </a:objectDefaults>
  <a:extraClrSchemeLst>
    <a:extraClrScheme>
      <a:clrScheme name="Standarddesign 1">
        <a:dk1>
          <a:srgbClr val="000000"/>
        </a:dk1>
        <a:lt1>
          <a:srgbClr val="FFFFFF"/>
        </a:lt1>
        <a:dk2>
          <a:srgbClr val="E1000F"/>
        </a:dk2>
        <a:lt2>
          <a:srgbClr val="CDD2D2"/>
        </a:lt2>
        <a:accent1>
          <a:srgbClr val="AFB4B9"/>
        </a:accent1>
        <a:accent2>
          <a:srgbClr val="828C96"/>
        </a:accent2>
        <a:accent3>
          <a:srgbClr val="FFFFFF"/>
        </a:accent3>
        <a:accent4>
          <a:srgbClr val="000000"/>
        </a:accent4>
        <a:accent5>
          <a:srgbClr val="D4D6D9"/>
        </a:accent5>
        <a:accent6>
          <a:srgbClr val="757E87"/>
        </a:accent6>
        <a:hlink>
          <a:srgbClr val="5F6973"/>
        </a:hlink>
        <a:folHlink>
          <a:srgbClr val="0078C8"/>
        </a:folHlink>
      </a:clrScheme>
      <a:clrMap bg1="lt1" tx1="dk1" bg2="lt2" tx2="dk2" accent1="accent1" accent2="accent2" accent3="accent3" accent4="accent4" accent5="accent5" accent6="accent6" hlink="hlink" folHlink="folHlink"/>
    </a:extraClrScheme>
  </a:extraClrSchemeLst>
  <a:custClrLst>
    <a:custClr name="Henkel Red">
      <a:srgbClr val="E1000F"/>
    </a:custClr>
    <a:custClr name="White">
      <a:srgbClr val="FFFFFF"/>
    </a:custClr>
    <a:custClr name="Black">
      <a:srgbClr val="000000"/>
    </a:custClr>
    <a:custClr name="Grey 1">
      <a:srgbClr val="5F6973"/>
    </a:custClr>
    <a:custClr name="Grey 2">
      <a:srgbClr val="AFB4B9"/>
    </a:custClr>
    <a:custClr name="Grey 3">
      <a:srgbClr val="E6E7E7"/>
    </a:custClr>
    <a:custClr name="Green">
      <a:srgbClr val="00AA75"/>
    </a:custClr>
    <a:custClr name="Blue">
      <a:srgbClr val="004C79"/>
    </a:custClr>
    <a:custClr name="Accent Dark Red">
      <a:srgbClr val="9A141B"/>
    </a:custClr>
    <a:custClr name="Accent Yellow 1">
      <a:srgbClr val="FFDB23"/>
    </a:custClr>
    <a:custClr name="Accent Yellow 2">
      <a:srgbClr val="FCF092"/>
    </a:custClr>
    <a:custClr name="Accent Green">
      <a:srgbClr val="A7DC92"/>
    </a:custClr>
    <a:custClr name="Accent Blue 1">
      <a:srgbClr val="55CAD3"/>
    </a:custClr>
    <a:custClr name="Accent Blue 2">
      <a:srgbClr val="0078C8"/>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8B46845E6F4494787881BCB071FEED2" ma:contentTypeVersion="12" ma:contentTypeDescription="Create a new document." ma:contentTypeScope="" ma:versionID="f2db7ac7c7b01594fb0b5dddb168fe63">
  <xsd:schema xmlns:xsd="http://www.w3.org/2001/XMLSchema" xmlns:xs="http://www.w3.org/2001/XMLSchema" xmlns:p="http://schemas.microsoft.com/office/2006/metadata/properties" xmlns:ns2="ccca362e-cf85-4f16-8b73-f94b25c87397" xmlns:ns3="dd711147-479d-48cd-8cde-486a92a72018" xmlns:ns4="35b47de6-8d4f-4de6-9664-c4f33e1cac18" targetNamespace="http://schemas.microsoft.com/office/2006/metadata/properties" ma:root="true" ma:fieldsID="3b0ba459bc2e53ad93a41e55d48e0e6e" ns2:_="" ns3:_="" ns4:_="">
    <xsd:import namespace="ccca362e-cf85-4f16-8b73-f94b25c87397"/>
    <xsd:import namespace="dd711147-479d-48cd-8cde-486a92a72018"/>
    <xsd:import namespace="35b47de6-8d4f-4de6-9664-c4f33e1cac18"/>
    <xsd:element name="properties">
      <xsd:complexType>
        <xsd:sequence>
          <xsd:element name="documentManagement">
            <xsd:complexType>
              <xsd:all>
                <xsd:element ref="ns2:SharedWithUsers" minOccurs="0"/>
                <xsd:element ref="ns2:SharingHintHash" minOccurs="0"/>
                <xsd:element ref="ns3:SharedWithDetails" minOccurs="0"/>
                <xsd:element ref="ns4:MediaServiceMetadata" minOccurs="0"/>
                <xsd:element ref="ns4:MediaServiceFastMetadata" minOccurs="0"/>
                <xsd:element ref="ns4:MediaServiceEventHashCode" minOccurs="0"/>
                <xsd:element ref="ns4:MediaServiceGenerationTime" minOccurs="0"/>
                <xsd:element ref="ns4:MediaServiceAutoKeyPoints" minOccurs="0"/>
                <xsd:element ref="ns4:MediaServiceKeyPoints" minOccurs="0"/>
                <xsd:element ref="ns4:MediaServiceDateTaken" minOccurs="0"/>
                <xsd:element ref="ns4:MediaServiceAutoTag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ca362e-cf85-4f16-8b73-f94b25c8739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711147-479d-48cd-8cde-486a92a72018" elementFormDefault="qualified">
    <xsd:import namespace="http://schemas.microsoft.com/office/2006/documentManagement/types"/>
    <xsd:import namespace="http://schemas.microsoft.com/office/infopath/2007/PartnerControls"/>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5b47de6-8d4f-4de6-9664-c4f33e1cac1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SharedContentType xmlns="Microsoft.SharePoint.Taxonomy.ContentTypeSync" SourceId="72f792e8-4dad-42c1-ad63-44982727bf4d" ContentTypeId="0x01" PreviousValue="false"/>
</file>

<file path=customXml/itemProps1.xml><?xml version="1.0" encoding="utf-8"?>
<ds:datastoreItem xmlns:ds="http://schemas.openxmlformats.org/officeDocument/2006/customXml" ds:itemID="{2CB53B29-CB05-4BEA-B76A-0A57168091AC}">
  <ds:schemaRefs>
    <ds:schemaRef ds:uri="http://schemas.openxmlformats.org/officeDocument/2006/bibliography"/>
  </ds:schemaRefs>
</ds:datastoreItem>
</file>

<file path=customXml/itemProps2.xml><?xml version="1.0" encoding="utf-8"?>
<ds:datastoreItem xmlns:ds="http://schemas.openxmlformats.org/officeDocument/2006/customXml" ds:itemID="{EC226D13-73FC-4A7A-93C2-AC11939BB4A9}">
  <ds:schemaRefs>
    <ds:schemaRef ds:uri="http://schemas.microsoft.com/sharepoint/v3/contenttype/forms"/>
  </ds:schemaRefs>
</ds:datastoreItem>
</file>

<file path=customXml/itemProps3.xml><?xml version="1.0" encoding="utf-8"?>
<ds:datastoreItem xmlns:ds="http://schemas.openxmlformats.org/officeDocument/2006/customXml" ds:itemID="{3198F03F-B8B7-42AF-859F-4C0015B7A2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ca362e-cf85-4f16-8b73-f94b25c87397"/>
    <ds:schemaRef ds:uri="dd711147-479d-48cd-8cde-486a92a72018"/>
    <ds:schemaRef ds:uri="35b47de6-8d4f-4de6-9664-c4f33e1cac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245D12-BDB4-413F-ABB3-2AF0CF323A38}">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70E590B4-7A0D-4F62-ACD8-2A023F14A264}">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segoe-Henkel-press-release-template-2020-english.dotx</Template>
  <TotalTime>0</TotalTime>
  <Pages>3</Pages>
  <Words>1772</Words>
  <Characters>445</Characters>
  <Application>Microsoft Office Word</Application>
  <DocSecurity>0</DocSecurity>
  <Lines>3</Lines>
  <Paragraphs>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Pressemitteilung</vt:lpstr>
      <vt:lpstr>Pressemitteilung</vt:lpstr>
    </vt:vector>
  </TitlesOfParts>
  <Company>Henkel AG &amp; Co. KGaA</Company>
  <LinksUpToDate>false</LinksUpToDate>
  <CharactersWithSpaces>2213</CharactersWithSpaces>
  <SharedDoc>false</SharedDoc>
  <HLinks>
    <vt:vector size="6" baseType="variant">
      <vt:variant>
        <vt:i4>2490428</vt:i4>
      </vt:variant>
      <vt:variant>
        <vt:i4>0</vt:i4>
      </vt:variant>
      <vt:variant>
        <vt:i4>0</vt:i4>
      </vt:variant>
      <vt:variant>
        <vt:i4>5</vt:i4>
      </vt:variant>
      <vt:variant>
        <vt:lpwstr>http://www.henkel.com/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Henkel</dc:creator>
  <cp:keywords/>
  <dc:description/>
  <cp:lastModifiedBy>Amy Zhou</cp:lastModifiedBy>
  <cp:revision>28</cp:revision>
  <cp:lastPrinted>2016-11-16T01:11:00Z</cp:lastPrinted>
  <dcterms:created xsi:type="dcterms:W3CDTF">2022-05-16T09:37:00Z</dcterms:created>
  <dcterms:modified xsi:type="dcterms:W3CDTF">2022-05-25T07:40:00Z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0x010100A8B46845E6F4494787881BCB071FEED2</vt:lpwstr>
  </property>
</Properties>
</file>