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3944090" w:rsidR="004C034F" w:rsidRPr="00A16FC1" w:rsidRDefault="004C034F" w:rsidP="00E41377">
      <w:pPr>
        <w:pStyle w:val="MonthDayYear"/>
        <w:tabs>
          <w:tab w:val="left" w:pos="7513"/>
        </w:tabs>
        <w:jc w:val="left"/>
      </w:pPr>
    </w:p>
    <w:p w14:paraId="55D5E39A" w14:textId="517F369C" w:rsidR="00B422EC" w:rsidRPr="00207C1F" w:rsidRDefault="00E41377" w:rsidP="00E41377">
      <w:pPr>
        <w:pStyle w:val="MonthDayYear"/>
        <w:tabs>
          <w:tab w:val="left" w:pos="7513"/>
        </w:tabs>
        <w:jc w:val="left"/>
        <w:rPr>
          <w:lang w:val="fr-FR"/>
        </w:rPr>
      </w:pPr>
      <w:r>
        <w:rPr>
          <w:lang w:val="fr-FR"/>
        </w:rPr>
        <w:tab/>
        <w:t>15 août 2022</w:t>
      </w:r>
    </w:p>
    <w:p w14:paraId="09896324" w14:textId="7B36DC40" w:rsidR="007F0F63" w:rsidRPr="00207C1F" w:rsidRDefault="004B7CCC" w:rsidP="00635616">
      <w:pPr>
        <w:pStyle w:val="Topline"/>
        <w:spacing w:after="360"/>
        <w:rPr>
          <w:rFonts w:asciiTheme="majorHAnsi" w:hAnsiTheme="majorHAnsi" w:cstheme="majorHAnsi"/>
          <w:lang w:val="fr-FR"/>
        </w:rPr>
      </w:pPr>
      <w:r>
        <w:rPr>
          <w:rFonts w:asciiTheme="majorHAnsi" w:hAnsiTheme="majorHAnsi" w:cstheme="majorHAnsi"/>
          <w:lang w:val="fr-FR"/>
        </w:rPr>
        <w:t xml:space="preserve">Henkel </w:t>
      </w:r>
      <w:r w:rsidR="00207C1F">
        <w:rPr>
          <w:rFonts w:asciiTheme="majorHAnsi" w:hAnsiTheme="majorHAnsi" w:cstheme="majorHAnsi"/>
          <w:lang w:val="fr-FR"/>
        </w:rPr>
        <w:t xml:space="preserve">annonce ses résultats financiers du premier semestre. </w:t>
      </w:r>
    </w:p>
    <w:p w14:paraId="76AD0789" w14:textId="4DA4E9F7" w:rsidR="007F0F63" w:rsidRPr="00207C1F" w:rsidRDefault="00A16FC1" w:rsidP="00635616">
      <w:pPr>
        <w:jc w:val="left"/>
        <w:rPr>
          <w:rStyle w:val="Headline"/>
          <w:rFonts w:asciiTheme="majorHAnsi" w:hAnsiTheme="majorHAnsi" w:cstheme="majorHAnsi"/>
          <w:lang w:val="fr-FR"/>
        </w:rPr>
      </w:pPr>
      <w:r>
        <w:rPr>
          <w:rStyle w:val="Headline"/>
          <w:rFonts w:asciiTheme="majorHAnsi" w:hAnsiTheme="majorHAnsi" w:cstheme="majorHAnsi"/>
          <w:lang w:val="fr-FR"/>
        </w:rPr>
        <w:t xml:space="preserve">Henkel augmente </w:t>
      </w:r>
      <w:r w:rsidR="00BB1E19">
        <w:rPr>
          <w:rStyle w:val="Headline"/>
          <w:rFonts w:asciiTheme="majorHAnsi" w:hAnsiTheme="majorHAnsi" w:cstheme="majorHAnsi"/>
          <w:lang w:val="fr-FR"/>
        </w:rPr>
        <w:t>significativement</w:t>
      </w:r>
      <w:r>
        <w:rPr>
          <w:rStyle w:val="Headline"/>
          <w:rFonts w:asciiTheme="majorHAnsi" w:hAnsiTheme="majorHAnsi" w:cstheme="majorHAnsi"/>
          <w:lang w:val="fr-FR"/>
        </w:rPr>
        <w:t xml:space="preserve"> ses ventes, poursuit son </w:t>
      </w:r>
      <w:r w:rsidR="00BB20D4">
        <w:rPr>
          <w:rStyle w:val="Headline"/>
          <w:rFonts w:asciiTheme="majorHAnsi" w:hAnsiTheme="majorHAnsi" w:cstheme="majorHAnsi"/>
          <w:lang w:val="fr-FR"/>
        </w:rPr>
        <w:t>agenda</w:t>
      </w:r>
      <w:r>
        <w:rPr>
          <w:rStyle w:val="Headline"/>
          <w:rFonts w:asciiTheme="majorHAnsi" w:hAnsiTheme="majorHAnsi" w:cstheme="majorHAnsi"/>
          <w:lang w:val="fr-FR"/>
        </w:rPr>
        <w:t xml:space="preserve"> stratégique et revoit à la hausse ses estimations de vente</w:t>
      </w:r>
      <w:r w:rsidR="00690102">
        <w:rPr>
          <w:rStyle w:val="Headline"/>
          <w:rFonts w:asciiTheme="majorHAnsi" w:hAnsiTheme="majorHAnsi" w:cstheme="majorHAnsi"/>
          <w:lang w:val="fr-FR"/>
        </w:rPr>
        <w:t>s</w:t>
      </w:r>
      <w:r>
        <w:rPr>
          <w:rStyle w:val="Headline"/>
          <w:rFonts w:asciiTheme="majorHAnsi" w:hAnsiTheme="majorHAnsi" w:cstheme="majorHAnsi"/>
          <w:lang w:val="fr-FR"/>
        </w:rPr>
        <w:t xml:space="preserve"> pour 2022</w:t>
      </w:r>
    </w:p>
    <w:p w14:paraId="6706FA18" w14:textId="77777777" w:rsidR="00852511" w:rsidRPr="00207C1F" w:rsidRDefault="00852511" w:rsidP="00365E44">
      <w:pPr>
        <w:rPr>
          <w:lang w:val="fr-FR"/>
        </w:rPr>
      </w:pPr>
    </w:p>
    <w:p w14:paraId="016710F2" w14:textId="7F36CD47" w:rsidR="0001002C" w:rsidRPr="00207C1F" w:rsidRDefault="00A16FC1" w:rsidP="006655D3">
      <w:pPr>
        <w:pStyle w:val="Paragraphedeliste"/>
        <w:numPr>
          <w:ilvl w:val="0"/>
          <w:numId w:val="7"/>
        </w:numPr>
        <w:spacing w:after="80"/>
        <w:ind w:left="357" w:right="-108" w:hanging="357"/>
        <w:contextualSpacing w:val="0"/>
        <w:jc w:val="left"/>
        <w:rPr>
          <w:rFonts w:asciiTheme="majorHAnsi" w:hAnsiTheme="majorHAnsi" w:cstheme="majorHAnsi"/>
          <w:b/>
          <w:szCs w:val="22"/>
          <w:lang w:val="fr-FR"/>
        </w:rPr>
      </w:pPr>
      <w:bookmarkStart w:id="0" w:name="_Hlk43712519"/>
      <w:r>
        <w:rPr>
          <w:rFonts w:asciiTheme="majorHAnsi" w:hAnsiTheme="majorHAnsi" w:cstheme="majorHAnsi"/>
          <w:b/>
          <w:bCs/>
          <w:szCs w:val="22"/>
          <w:lang w:val="fr-FR"/>
        </w:rPr>
        <w:t xml:space="preserve">Les ventes du </w:t>
      </w:r>
      <w:r w:rsidR="00BB20D4">
        <w:rPr>
          <w:rFonts w:asciiTheme="majorHAnsi" w:hAnsiTheme="majorHAnsi" w:cstheme="majorHAnsi"/>
          <w:b/>
          <w:bCs/>
          <w:szCs w:val="22"/>
          <w:lang w:val="fr-FR"/>
        </w:rPr>
        <w:t>g</w:t>
      </w:r>
      <w:r>
        <w:rPr>
          <w:rFonts w:asciiTheme="majorHAnsi" w:hAnsiTheme="majorHAnsi" w:cstheme="majorHAnsi"/>
          <w:b/>
          <w:bCs/>
          <w:szCs w:val="22"/>
          <w:lang w:val="fr-FR"/>
        </w:rPr>
        <w:t>roupe au premier semestre 2022 ont connu une croissance organique de +8,9</w:t>
      </w:r>
      <w:r>
        <w:rPr>
          <w:rFonts w:asciiTheme="majorHAnsi" w:hAnsiTheme="majorHAnsi" w:cstheme="majorHAnsi"/>
          <w:szCs w:val="22"/>
          <w:lang w:val="fr-FR"/>
        </w:rPr>
        <w:t> </w:t>
      </w:r>
      <w:r>
        <w:rPr>
          <w:rFonts w:asciiTheme="majorHAnsi" w:hAnsiTheme="majorHAnsi" w:cstheme="majorHAnsi"/>
          <w:b/>
          <w:bCs/>
          <w:szCs w:val="22"/>
          <w:lang w:val="fr-FR"/>
        </w:rPr>
        <w:t xml:space="preserve">% </w:t>
      </w:r>
      <w:r w:rsidR="00BB20D4">
        <w:rPr>
          <w:rFonts w:asciiTheme="majorHAnsi" w:hAnsiTheme="majorHAnsi" w:cstheme="majorHAnsi"/>
          <w:b/>
          <w:bCs/>
          <w:szCs w:val="22"/>
          <w:lang w:val="fr-FR"/>
        </w:rPr>
        <w:t xml:space="preserve">pour atteindre </w:t>
      </w:r>
      <w:r>
        <w:rPr>
          <w:rFonts w:asciiTheme="majorHAnsi" w:hAnsiTheme="majorHAnsi" w:cstheme="majorHAnsi"/>
          <w:b/>
          <w:bCs/>
          <w:szCs w:val="22"/>
          <w:lang w:val="fr-FR"/>
        </w:rPr>
        <w:t>environ 10,9 milliards d’euros (croissance nominale : +9,9</w:t>
      </w:r>
      <w:r>
        <w:rPr>
          <w:rFonts w:asciiTheme="majorHAnsi" w:hAnsiTheme="majorHAnsi" w:cstheme="majorHAnsi"/>
          <w:szCs w:val="22"/>
          <w:lang w:val="fr-FR"/>
        </w:rPr>
        <w:t> </w:t>
      </w:r>
      <w:r>
        <w:rPr>
          <w:rFonts w:asciiTheme="majorHAnsi" w:hAnsiTheme="majorHAnsi" w:cstheme="majorHAnsi"/>
          <w:b/>
          <w:bCs/>
          <w:szCs w:val="22"/>
          <w:lang w:val="fr-FR"/>
        </w:rPr>
        <w:t>%), soutenue par toutes les activités et régions</w:t>
      </w:r>
    </w:p>
    <w:p w14:paraId="3B8FD12B" w14:textId="6FEB4148" w:rsidR="00793A4C" w:rsidRPr="00207C1F" w:rsidRDefault="006B3A37" w:rsidP="00604E54">
      <w:pPr>
        <w:pStyle w:val="Paragraphedeliste"/>
        <w:numPr>
          <w:ilvl w:val="0"/>
          <w:numId w:val="7"/>
        </w:numPr>
        <w:spacing w:after="80"/>
        <w:ind w:right="-108"/>
        <w:contextualSpacing w:val="0"/>
        <w:jc w:val="left"/>
        <w:rPr>
          <w:rFonts w:asciiTheme="majorHAnsi" w:hAnsiTheme="majorHAnsi" w:cstheme="majorHAnsi"/>
          <w:b/>
          <w:szCs w:val="22"/>
          <w:lang w:val="fr-FR"/>
        </w:rPr>
      </w:pPr>
      <w:r>
        <w:rPr>
          <w:rFonts w:asciiTheme="majorHAnsi" w:hAnsiTheme="majorHAnsi" w:cstheme="majorHAnsi"/>
          <w:b/>
          <w:bCs/>
          <w:szCs w:val="22"/>
          <w:lang w:val="fr-FR"/>
        </w:rPr>
        <w:t>Comme prévu, les résultats ont été impactés par les coûts d’intrants très élevés</w:t>
      </w:r>
      <w:r>
        <w:rPr>
          <w:rFonts w:asciiTheme="majorHAnsi" w:hAnsiTheme="majorHAnsi" w:cstheme="majorHAnsi"/>
          <w:szCs w:val="22"/>
          <w:lang w:val="fr-FR"/>
        </w:rPr>
        <w:t> </w:t>
      </w:r>
      <w:r>
        <w:rPr>
          <w:rFonts w:asciiTheme="majorHAnsi" w:hAnsiTheme="majorHAnsi" w:cstheme="majorHAnsi"/>
          <w:b/>
          <w:bCs/>
          <w:szCs w:val="22"/>
          <w:lang w:val="fr-FR"/>
        </w:rPr>
        <w:t>:</w:t>
      </w:r>
    </w:p>
    <w:p w14:paraId="58752EFB" w14:textId="11D46798" w:rsidR="00793A4C" w:rsidRPr="00207C1F" w:rsidRDefault="006260F9" w:rsidP="00793A4C">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lang w:val="fr-FR"/>
        </w:rPr>
      </w:pPr>
      <w:r>
        <w:rPr>
          <w:rFonts w:asciiTheme="majorHAnsi" w:hAnsiTheme="majorHAnsi" w:cstheme="majorHAnsi"/>
          <w:b/>
          <w:bCs/>
          <w:szCs w:val="22"/>
          <w:lang w:val="fr-FR"/>
        </w:rPr>
        <w:t>Le résultat d’exploitation (EBIT)* atteint 1</w:t>
      </w:r>
      <w:r>
        <w:rPr>
          <w:rFonts w:asciiTheme="majorHAnsi" w:hAnsiTheme="majorHAnsi" w:cstheme="majorHAnsi"/>
          <w:szCs w:val="22"/>
          <w:lang w:val="fr-FR"/>
        </w:rPr>
        <w:t> </w:t>
      </w:r>
      <w:r>
        <w:rPr>
          <w:rFonts w:asciiTheme="majorHAnsi" w:hAnsiTheme="majorHAnsi" w:cstheme="majorHAnsi"/>
          <w:b/>
          <w:bCs/>
          <w:szCs w:val="22"/>
          <w:lang w:val="fr-FR"/>
        </w:rPr>
        <w:t>166 millions d’euros (-18,5</w:t>
      </w:r>
      <w:r>
        <w:rPr>
          <w:rFonts w:asciiTheme="majorHAnsi" w:hAnsiTheme="majorHAnsi" w:cstheme="majorHAnsi"/>
          <w:szCs w:val="22"/>
          <w:lang w:val="fr-FR"/>
        </w:rPr>
        <w:t> </w:t>
      </w:r>
      <w:r>
        <w:rPr>
          <w:rFonts w:asciiTheme="majorHAnsi" w:hAnsiTheme="majorHAnsi" w:cstheme="majorHAnsi"/>
          <w:b/>
          <w:bCs/>
          <w:szCs w:val="22"/>
          <w:lang w:val="fr-FR"/>
        </w:rPr>
        <w:t>%)</w:t>
      </w:r>
    </w:p>
    <w:p w14:paraId="229837D0" w14:textId="1CD850FB" w:rsidR="00793A4C" w:rsidRPr="00207C1F" w:rsidRDefault="00793A4C" w:rsidP="00793A4C">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lang w:val="fr-FR"/>
        </w:rPr>
      </w:pPr>
      <w:r>
        <w:rPr>
          <w:rFonts w:asciiTheme="majorHAnsi" w:hAnsiTheme="majorHAnsi" w:cstheme="majorHAnsi"/>
          <w:b/>
          <w:bCs/>
          <w:szCs w:val="22"/>
          <w:lang w:val="fr-FR"/>
        </w:rPr>
        <w:t>La marge EBIT* atteint 10,7</w:t>
      </w:r>
      <w:r>
        <w:rPr>
          <w:rFonts w:asciiTheme="majorHAnsi" w:hAnsiTheme="majorHAnsi" w:cstheme="majorHAnsi"/>
          <w:szCs w:val="22"/>
          <w:lang w:val="fr-FR"/>
        </w:rPr>
        <w:t> </w:t>
      </w:r>
      <w:r>
        <w:rPr>
          <w:rFonts w:asciiTheme="majorHAnsi" w:hAnsiTheme="majorHAnsi" w:cstheme="majorHAnsi"/>
          <w:b/>
          <w:bCs/>
          <w:szCs w:val="22"/>
          <w:lang w:val="fr-FR"/>
        </w:rPr>
        <w:t>% (-370 points de base)</w:t>
      </w:r>
    </w:p>
    <w:p w14:paraId="44A1FE3B" w14:textId="6AD11058" w:rsidR="00793A4C" w:rsidRPr="00207C1F" w:rsidRDefault="00793A4C" w:rsidP="00793A4C">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lang w:val="fr-FR"/>
        </w:rPr>
      </w:pPr>
      <w:r>
        <w:rPr>
          <w:rFonts w:asciiTheme="majorHAnsi" w:hAnsiTheme="majorHAnsi" w:cstheme="majorHAnsi"/>
          <w:b/>
          <w:bCs/>
          <w:szCs w:val="22"/>
          <w:lang w:val="fr-FR"/>
        </w:rPr>
        <w:t>Le résultat par action préférentielle (EPS)* atteint 1,95 euro, -20,8</w:t>
      </w:r>
      <w:r>
        <w:rPr>
          <w:rFonts w:asciiTheme="majorHAnsi" w:hAnsiTheme="majorHAnsi" w:cstheme="majorHAnsi"/>
          <w:szCs w:val="22"/>
          <w:lang w:val="fr-FR"/>
        </w:rPr>
        <w:t> </w:t>
      </w:r>
      <w:r>
        <w:rPr>
          <w:rFonts w:asciiTheme="majorHAnsi" w:hAnsiTheme="majorHAnsi" w:cstheme="majorHAnsi"/>
          <w:b/>
          <w:bCs/>
          <w:szCs w:val="22"/>
          <w:lang w:val="fr-FR"/>
        </w:rPr>
        <w:t>% à taux de change constant</w:t>
      </w:r>
    </w:p>
    <w:p w14:paraId="1DCB5E20" w14:textId="746E29CE" w:rsidR="00F5043C" w:rsidRPr="00207C1F" w:rsidRDefault="004C76C0" w:rsidP="00DE55CF">
      <w:pPr>
        <w:pStyle w:val="Paragraphedeliste"/>
        <w:numPr>
          <w:ilvl w:val="0"/>
          <w:numId w:val="7"/>
        </w:numPr>
        <w:spacing w:after="80"/>
        <w:ind w:left="357" w:right="-108" w:hanging="357"/>
        <w:contextualSpacing w:val="0"/>
        <w:jc w:val="left"/>
        <w:rPr>
          <w:rFonts w:asciiTheme="majorHAnsi" w:hAnsiTheme="majorHAnsi" w:cstheme="majorHAnsi"/>
          <w:b/>
          <w:szCs w:val="22"/>
          <w:lang w:val="fr-FR"/>
        </w:rPr>
      </w:pPr>
      <w:r>
        <w:rPr>
          <w:rFonts w:asciiTheme="majorHAnsi" w:hAnsiTheme="majorHAnsi" w:cstheme="majorHAnsi"/>
          <w:b/>
          <w:bCs/>
          <w:szCs w:val="22"/>
          <w:lang w:val="fr-FR"/>
        </w:rPr>
        <w:t xml:space="preserve">Bonne progression dans la mise en œuvre du </w:t>
      </w:r>
      <w:r w:rsidR="00BB20D4">
        <w:rPr>
          <w:rFonts w:asciiTheme="majorHAnsi" w:hAnsiTheme="majorHAnsi" w:cstheme="majorHAnsi"/>
          <w:b/>
          <w:bCs/>
          <w:szCs w:val="22"/>
          <w:lang w:val="fr-FR"/>
        </w:rPr>
        <w:t>plan</w:t>
      </w:r>
      <w:r>
        <w:rPr>
          <w:rFonts w:asciiTheme="majorHAnsi" w:hAnsiTheme="majorHAnsi" w:cstheme="majorHAnsi"/>
          <w:b/>
          <w:bCs/>
          <w:szCs w:val="22"/>
          <w:lang w:val="fr-FR"/>
        </w:rPr>
        <w:t xml:space="preserve"> de croissance ciblée et dans la fusion des activités grand public </w:t>
      </w:r>
      <w:r w:rsidR="00207C1F">
        <w:rPr>
          <w:rFonts w:asciiTheme="majorHAnsi" w:hAnsiTheme="majorHAnsi" w:cstheme="majorHAnsi"/>
          <w:b/>
          <w:bCs/>
          <w:szCs w:val="22"/>
          <w:lang w:val="fr-FR"/>
        </w:rPr>
        <w:t>au sein de l’entité</w:t>
      </w:r>
      <w:r>
        <w:rPr>
          <w:rFonts w:asciiTheme="majorHAnsi" w:hAnsiTheme="majorHAnsi" w:cstheme="majorHAnsi"/>
          <w:b/>
          <w:bCs/>
          <w:szCs w:val="22"/>
          <w:lang w:val="fr-FR"/>
        </w:rPr>
        <w:t xml:space="preserve"> Henkel Consumer Brands</w:t>
      </w:r>
    </w:p>
    <w:p w14:paraId="1741095F" w14:textId="2FB32806" w:rsidR="00391A5F" w:rsidRPr="00207C1F" w:rsidRDefault="004C76C0" w:rsidP="00391A5F">
      <w:pPr>
        <w:pStyle w:val="Paragraphedeliste"/>
        <w:numPr>
          <w:ilvl w:val="0"/>
          <w:numId w:val="7"/>
        </w:numPr>
        <w:spacing w:after="80"/>
        <w:ind w:left="357" w:right="-108" w:hanging="357"/>
        <w:contextualSpacing w:val="0"/>
        <w:jc w:val="left"/>
        <w:rPr>
          <w:rFonts w:asciiTheme="majorHAnsi" w:hAnsiTheme="majorHAnsi" w:cstheme="majorHAnsi"/>
          <w:b/>
          <w:szCs w:val="22"/>
          <w:lang w:val="fr-FR"/>
        </w:rPr>
      </w:pPr>
      <w:r>
        <w:rPr>
          <w:rFonts w:asciiTheme="majorHAnsi" w:hAnsiTheme="majorHAnsi" w:cstheme="majorHAnsi"/>
          <w:b/>
          <w:bCs/>
          <w:szCs w:val="22"/>
          <w:lang w:val="fr-FR"/>
        </w:rPr>
        <w:t>Mise à jour des perspectives pour l’exercice 2022</w:t>
      </w:r>
      <w:r>
        <w:rPr>
          <w:rFonts w:asciiTheme="majorHAnsi" w:hAnsiTheme="majorHAnsi" w:cstheme="majorHAnsi"/>
          <w:szCs w:val="22"/>
          <w:lang w:val="fr-FR"/>
        </w:rPr>
        <w:t> </w:t>
      </w:r>
      <w:r>
        <w:rPr>
          <w:rFonts w:asciiTheme="majorHAnsi" w:hAnsiTheme="majorHAnsi" w:cstheme="majorHAnsi"/>
          <w:b/>
          <w:bCs/>
          <w:szCs w:val="22"/>
          <w:lang w:val="fr-FR"/>
        </w:rPr>
        <w:t>:</w:t>
      </w:r>
    </w:p>
    <w:p w14:paraId="6481FFA1" w14:textId="10AF5629" w:rsidR="00F5043C" w:rsidRPr="00207C1F" w:rsidRDefault="00F5043C" w:rsidP="00F5043C">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lang w:val="fr-FR"/>
        </w:rPr>
      </w:pPr>
      <w:r>
        <w:rPr>
          <w:rFonts w:asciiTheme="majorHAnsi" w:hAnsiTheme="majorHAnsi" w:cstheme="majorHAnsi"/>
          <w:b/>
          <w:bCs/>
          <w:szCs w:val="22"/>
          <w:lang w:val="fr-FR"/>
        </w:rPr>
        <w:t>Croissance organique des ventes</w:t>
      </w:r>
      <w:r>
        <w:rPr>
          <w:rFonts w:asciiTheme="majorHAnsi" w:hAnsiTheme="majorHAnsi" w:cstheme="majorHAnsi"/>
          <w:szCs w:val="22"/>
          <w:lang w:val="fr-FR"/>
        </w:rPr>
        <w:t> </w:t>
      </w:r>
      <w:r>
        <w:rPr>
          <w:rFonts w:asciiTheme="majorHAnsi" w:hAnsiTheme="majorHAnsi" w:cstheme="majorHAnsi"/>
          <w:b/>
          <w:bCs/>
          <w:szCs w:val="22"/>
          <w:lang w:val="fr-FR"/>
        </w:rPr>
        <w:t xml:space="preserve">: </w:t>
      </w:r>
      <w:r w:rsidR="00207C1F">
        <w:rPr>
          <w:rFonts w:asciiTheme="majorHAnsi" w:hAnsiTheme="majorHAnsi" w:cstheme="majorHAnsi"/>
          <w:b/>
          <w:bCs/>
          <w:szCs w:val="22"/>
          <w:lang w:val="fr-FR"/>
        </w:rPr>
        <w:t>relevée de</w:t>
      </w:r>
      <w:r>
        <w:rPr>
          <w:rFonts w:asciiTheme="majorHAnsi" w:hAnsiTheme="majorHAnsi" w:cstheme="majorHAnsi"/>
          <w:b/>
          <w:bCs/>
          <w:szCs w:val="22"/>
          <w:lang w:val="fr-FR"/>
        </w:rPr>
        <w:t xml:space="preserve"> +4,5 à +6,5</w:t>
      </w:r>
      <w:r>
        <w:rPr>
          <w:rFonts w:asciiTheme="majorHAnsi" w:hAnsiTheme="majorHAnsi" w:cstheme="majorHAnsi"/>
          <w:szCs w:val="22"/>
          <w:lang w:val="fr-FR"/>
        </w:rPr>
        <w:t> </w:t>
      </w:r>
      <w:r>
        <w:rPr>
          <w:rFonts w:asciiTheme="majorHAnsi" w:hAnsiTheme="majorHAnsi" w:cstheme="majorHAnsi"/>
          <w:b/>
          <w:bCs/>
          <w:szCs w:val="22"/>
          <w:lang w:val="fr-FR"/>
        </w:rPr>
        <w:t>%</w:t>
      </w:r>
    </w:p>
    <w:p w14:paraId="6A38BDFE" w14:textId="31A75EDD" w:rsidR="00F5043C" w:rsidRPr="004C76C0" w:rsidRDefault="00F5043C" w:rsidP="00F5043C">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rPr>
      </w:pPr>
      <w:r>
        <w:rPr>
          <w:rFonts w:asciiTheme="majorHAnsi" w:hAnsiTheme="majorHAnsi" w:cstheme="majorHAnsi"/>
          <w:b/>
          <w:bCs/>
          <w:szCs w:val="22"/>
          <w:lang w:val="fr-FR"/>
        </w:rPr>
        <w:t>Marge EBIT*</w:t>
      </w:r>
      <w:r>
        <w:rPr>
          <w:rFonts w:asciiTheme="majorHAnsi" w:hAnsiTheme="majorHAnsi" w:cstheme="majorHAnsi"/>
          <w:szCs w:val="22"/>
          <w:lang w:val="fr-FR"/>
        </w:rPr>
        <w:t> </w:t>
      </w:r>
      <w:r>
        <w:rPr>
          <w:rFonts w:asciiTheme="majorHAnsi" w:hAnsiTheme="majorHAnsi" w:cstheme="majorHAnsi"/>
          <w:b/>
          <w:bCs/>
          <w:szCs w:val="22"/>
          <w:lang w:val="fr-FR"/>
        </w:rPr>
        <w:t>: inchangée, 9,0 à 11,0</w:t>
      </w:r>
      <w:r>
        <w:rPr>
          <w:rFonts w:asciiTheme="majorHAnsi" w:hAnsiTheme="majorHAnsi" w:cstheme="majorHAnsi"/>
          <w:szCs w:val="22"/>
          <w:lang w:val="fr-FR"/>
        </w:rPr>
        <w:t> </w:t>
      </w:r>
      <w:r>
        <w:rPr>
          <w:rFonts w:asciiTheme="majorHAnsi" w:hAnsiTheme="majorHAnsi" w:cstheme="majorHAnsi"/>
          <w:b/>
          <w:bCs/>
          <w:szCs w:val="22"/>
          <w:lang w:val="fr-FR"/>
        </w:rPr>
        <w:t>%</w:t>
      </w:r>
    </w:p>
    <w:p w14:paraId="34CDF95F" w14:textId="08B63ACF" w:rsidR="0001002C" w:rsidRPr="00207C1F" w:rsidRDefault="00F5043C" w:rsidP="000A23CD">
      <w:pPr>
        <w:pStyle w:val="Paragraphedeliste"/>
        <w:numPr>
          <w:ilvl w:val="1"/>
          <w:numId w:val="7"/>
        </w:numPr>
        <w:spacing w:after="80" w:line="266" w:lineRule="auto"/>
        <w:ind w:left="709" w:right="-108" w:hanging="283"/>
        <w:contextualSpacing w:val="0"/>
        <w:jc w:val="left"/>
        <w:rPr>
          <w:rFonts w:asciiTheme="majorHAnsi" w:hAnsiTheme="majorHAnsi" w:cstheme="majorHAnsi"/>
          <w:b/>
          <w:szCs w:val="22"/>
          <w:lang w:val="fr-FR"/>
        </w:rPr>
      </w:pPr>
      <w:r>
        <w:rPr>
          <w:rFonts w:asciiTheme="majorHAnsi" w:hAnsiTheme="majorHAnsi" w:cstheme="majorHAnsi"/>
          <w:b/>
          <w:bCs/>
          <w:szCs w:val="22"/>
          <w:lang w:val="fr-FR"/>
        </w:rPr>
        <w:t>Le résultat par action préférentielle (EPS)* à taux de change constant</w:t>
      </w:r>
      <w:r>
        <w:rPr>
          <w:rFonts w:asciiTheme="majorHAnsi" w:hAnsiTheme="majorHAnsi" w:cstheme="majorHAnsi"/>
          <w:szCs w:val="22"/>
          <w:lang w:val="fr-FR"/>
        </w:rPr>
        <w:t> </w:t>
      </w:r>
      <w:r>
        <w:rPr>
          <w:rFonts w:asciiTheme="majorHAnsi" w:hAnsiTheme="majorHAnsi" w:cstheme="majorHAnsi"/>
          <w:b/>
          <w:bCs/>
          <w:szCs w:val="22"/>
          <w:lang w:val="fr-FR"/>
        </w:rPr>
        <w:t>: inchangé, baisse de l’ordre de 35 à 15</w:t>
      </w:r>
      <w:r>
        <w:rPr>
          <w:rFonts w:asciiTheme="majorHAnsi" w:hAnsiTheme="majorHAnsi" w:cstheme="majorHAnsi"/>
          <w:szCs w:val="22"/>
          <w:lang w:val="fr-FR"/>
        </w:rPr>
        <w:t> </w:t>
      </w:r>
      <w:r>
        <w:rPr>
          <w:rFonts w:asciiTheme="majorHAnsi" w:hAnsiTheme="majorHAnsi" w:cstheme="majorHAnsi"/>
          <w:b/>
          <w:bCs/>
          <w:szCs w:val="22"/>
          <w:lang w:val="fr-FR"/>
        </w:rPr>
        <w:t>%</w:t>
      </w:r>
    </w:p>
    <w:p w14:paraId="2F609B08" w14:textId="77777777" w:rsidR="000A23CD" w:rsidRPr="00207C1F" w:rsidRDefault="000A23CD" w:rsidP="00D56358">
      <w:pPr>
        <w:rPr>
          <w:rFonts w:cs="Segoe UI"/>
          <w:b/>
          <w:bCs/>
          <w:szCs w:val="22"/>
          <w:lang w:val="fr-FR"/>
        </w:rPr>
      </w:pPr>
    </w:p>
    <w:p w14:paraId="63BC1C39" w14:textId="14E7C4BF" w:rsidR="00D56358" w:rsidRPr="00207C1F" w:rsidRDefault="0001002C" w:rsidP="00D56358">
      <w:pPr>
        <w:rPr>
          <w:rFonts w:cs="Segoe UI"/>
          <w:b/>
          <w:bCs/>
          <w:szCs w:val="22"/>
          <w:lang w:val="fr-FR"/>
        </w:rPr>
      </w:pPr>
      <w:r>
        <w:rPr>
          <w:rFonts w:cs="Segoe UI"/>
          <w:b/>
          <w:bCs/>
          <w:szCs w:val="22"/>
          <w:lang w:val="fr-FR"/>
        </w:rPr>
        <w:t>Düsseldorf –</w:t>
      </w:r>
      <w:bookmarkStart w:id="1" w:name="_Hlk109033326"/>
      <w:r>
        <w:rPr>
          <w:rFonts w:cs="Segoe UI"/>
          <w:b/>
          <w:bCs/>
          <w:szCs w:val="22"/>
          <w:lang w:val="fr-FR"/>
        </w:rPr>
        <w:t xml:space="preserve"> </w:t>
      </w:r>
      <w:bookmarkEnd w:id="0"/>
      <w:bookmarkEnd w:id="1"/>
      <w:r>
        <w:rPr>
          <w:rFonts w:cs="Segoe UI"/>
          <w:b/>
          <w:bCs/>
          <w:szCs w:val="22"/>
          <w:lang w:val="fr-FR"/>
        </w:rPr>
        <w:t xml:space="preserve">Au premier semestre 2022, les ventes du </w:t>
      </w:r>
      <w:r w:rsidR="00BB20D4">
        <w:rPr>
          <w:rFonts w:cs="Segoe UI"/>
          <w:b/>
          <w:bCs/>
          <w:szCs w:val="22"/>
          <w:lang w:val="fr-FR"/>
        </w:rPr>
        <w:t>g</w:t>
      </w:r>
      <w:r>
        <w:rPr>
          <w:rFonts w:cs="Segoe UI"/>
          <w:b/>
          <w:bCs/>
          <w:szCs w:val="22"/>
          <w:lang w:val="fr-FR"/>
        </w:rPr>
        <w:t>roupe Henkel ont augmenté à environ 10,9</w:t>
      </w:r>
      <w:r>
        <w:rPr>
          <w:rFonts w:cs="Segoe UI"/>
          <w:szCs w:val="22"/>
          <w:lang w:val="fr-FR"/>
        </w:rPr>
        <w:t> </w:t>
      </w:r>
      <w:r>
        <w:rPr>
          <w:rFonts w:cs="Segoe UI"/>
          <w:b/>
          <w:bCs/>
          <w:szCs w:val="22"/>
          <w:lang w:val="fr-FR"/>
        </w:rPr>
        <w:t>milliards d’euros, soit une forte croissance organique des ventes de +8,9</w:t>
      </w:r>
      <w:r>
        <w:rPr>
          <w:rFonts w:cs="Segoe UI"/>
          <w:szCs w:val="22"/>
          <w:lang w:val="fr-FR"/>
        </w:rPr>
        <w:t> </w:t>
      </w:r>
      <w:r>
        <w:rPr>
          <w:rFonts w:cs="Segoe UI"/>
          <w:b/>
          <w:bCs/>
          <w:szCs w:val="22"/>
          <w:lang w:val="fr-FR"/>
        </w:rPr>
        <w:t xml:space="preserve">%. Cette évolution positive a été soutenue par l’ensemble des activités et régions. Comme prévu, les résultats du premier semestre ont été impactés par l’augmentation </w:t>
      </w:r>
      <w:r w:rsidR="005552F0">
        <w:rPr>
          <w:rFonts w:cs="Segoe UI"/>
          <w:b/>
          <w:bCs/>
          <w:szCs w:val="22"/>
          <w:lang w:val="fr-FR"/>
        </w:rPr>
        <w:lastRenderedPageBreak/>
        <w:t>significatives</w:t>
      </w:r>
      <w:r>
        <w:rPr>
          <w:rFonts w:cs="Segoe UI"/>
          <w:b/>
          <w:bCs/>
          <w:szCs w:val="22"/>
          <w:lang w:val="fr-FR"/>
        </w:rPr>
        <w:t xml:space="preserve"> des prix des matières premières et des services logistiques. Malgré des hausses de prix significatives, une gestion stricte des coûts et des améliorations supplémentaires de l’efficacité, ces effets n’ont pas pu être entièrement compensés.</w:t>
      </w:r>
    </w:p>
    <w:p w14:paraId="00BBEF75" w14:textId="25B1CCD3" w:rsidR="004C034F" w:rsidRPr="00207C1F" w:rsidRDefault="004C034F" w:rsidP="004B7CCC">
      <w:pPr>
        <w:rPr>
          <w:rFonts w:cs="Segoe UI"/>
          <w:b/>
          <w:bCs/>
          <w:szCs w:val="22"/>
          <w:lang w:val="fr-FR"/>
        </w:rPr>
      </w:pPr>
    </w:p>
    <w:p w14:paraId="798E4490" w14:textId="5CAAC239" w:rsidR="004B7CCC" w:rsidRPr="00207C1F" w:rsidRDefault="00435150" w:rsidP="004B7CCC">
      <w:pPr>
        <w:rPr>
          <w:rFonts w:cs="Segoe UI"/>
          <w:b/>
          <w:bCs/>
          <w:szCs w:val="22"/>
          <w:lang w:val="fr-FR"/>
        </w:rPr>
      </w:pPr>
      <w:r>
        <w:rPr>
          <w:rFonts w:cs="Segoe UI"/>
          <w:b/>
          <w:bCs/>
          <w:szCs w:val="22"/>
          <w:lang w:val="fr-FR"/>
        </w:rPr>
        <w:t>«</w:t>
      </w:r>
      <w:r>
        <w:rPr>
          <w:rFonts w:cs="Segoe UI"/>
          <w:szCs w:val="22"/>
          <w:lang w:val="fr-FR"/>
        </w:rPr>
        <w:t> </w:t>
      </w:r>
      <w:r>
        <w:rPr>
          <w:rFonts w:cs="Segoe UI"/>
          <w:b/>
          <w:bCs/>
          <w:szCs w:val="22"/>
          <w:lang w:val="fr-FR"/>
        </w:rPr>
        <w:t xml:space="preserve">Dans un environnement très difficile, les performances des ventes au cours des six premiers mois ont dépassé les attentes précédentes pour l’ensemble de l’année, tandis que les </w:t>
      </w:r>
      <w:r w:rsidR="005552F0">
        <w:rPr>
          <w:rFonts w:cs="Segoe UI"/>
          <w:b/>
          <w:bCs/>
          <w:szCs w:val="22"/>
          <w:lang w:val="fr-FR"/>
        </w:rPr>
        <w:t>bénéfices</w:t>
      </w:r>
      <w:r>
        <w:rPr>
          <w:rFonts w:cs="Segoe UI"/>
          <w:b/>
          <w:bCs/>
          <w:szCs w:val="22"/>
          <w:lang w:val="fr-FR"/>
        </w:rPr>
        <w:t xml:space="preserve"> ont évolué conformément aux prévisions du </w:t>
      </w:r>
      <w:r w:rsidR="00BB20D4">
        <w:rPr>
          <w:rFonts w:cs="Segoe UI"/>
          <w:b/>
          <w:bCs/>
          <w:szCs w:val="22"/>
          <w:lang w:val="fr-FR"/>
        </w:rPr>
        <w:t>g</w:t>
      </w:r>
      <w:r>
        <w:rPr>
          <w:rFonts w:cs="Segoe UI"/>
          <w:b/>
          <w:bCs/>
          <w:szCs w:val="22"/>
          <w:lang w:val="fr-FR"/>
        </w:rPr>
        <w:t xml:space="preserve">roupe pour l’exercice 2022. Compte tenu de cette évolution, nous avons revu à la hausse nos prévisions pour l’ensemble de l’année au niveau de la croissance organique des ventes pour le </w:t>
      </w:r>
      <w:r w:rsidR="00BB20D4">
        <w:rPr>
          <w:rFonts w:cs="Segoe UI"/>
          <w:b/>
          <w:bCs/>
          <w:szCs w:val="22"/>
          <w:lang w:val="fr-FR"/>
        </w:rPr>
        <w:t>g</w:t>
      </w:r>
      <w:r>
        <w:rPr>
          <w:rFonts w:cs="Segoe UI"/>
          <w:b/>
          <w:bCs/>
          <w:szCs w:val="22"/>
          <w:lang w:val="fr-FR"/>
        </w:rPr>
        <w:t>roupe et confirmé nos prévisions pour la marge EBIT et le bénéfice par action préférentielle</w:t>
      </w:r>
      <w:r>
        <w:rPr>
          <w:rFonts w:cs="Segoe UI"/>
          <w:szCs w:val="22"/>
          <w:lang w:val="fr-FR"/>
        </w:rPr>
        <w:t> </w:t>
      </w:r>
      <w:r>
        <w:rPr>
          <w:rFonts w:cs="Segoe UI"/>
          <w:b/>
          <w:bCs/>
          <w:szCs w:val="22"/>
          <w:lang w:val="fr-FR"/>
        </w:rPr>
        <w:t>», a déclaré Carsten Knobel, le Président du comité de direction de Henkel.</w:t>
      </w:r>
    </w:p>
    <w:p w14:paraId="5AEA3269" w14:textId="77777777" w:rsidR="004B7CCC" w:rsidRPr="00207C1F" w:rsidRDefault="004B7CCC" w:rsidP="004B7CCC">
      <w:pPr>
        <w:rPr>
          <w:rFonts w:cs="Segoe UI"/>
          <w:b/>
          <w:bCs/>
          <w:szCs w:val="22"/>
          <w:lang w:val="fr-FR"/>
        </w:rPr>
      </w:pPr>
    </w:p>
    <w:p w14:paraId="26C96FBA" w14:textId="5B4C90F2" w:rsidR="004B7CCC" w:rsidRPr="00207C1F" w:rsidRDefault="00DA4D27" w:rsidP="00DA4D27">
      <w:pPr>
        <w:rPr>
          <w:rFonts w:cs="Segoe UI"/>
          <w:b/>
          <w:bCs/>
          <w:szCs w:val="22"/>
          <w:lang w:val="fr-FR"/>
        </w:rPr>
      </w:pPr>
      <w:r>
        <w:rPr>
          <w:rFonts w:cs="Segoe UI"/>
          <w:b/>
          <w:bCs/>
          <w:szCs w:val="22"/>
          <w:lang w:val="fr-FR"/>
        </w:rPr>
        <w:t>«</w:t>
      </w:r>
      <w:r>
        <w:rPr>
          <w:rFonts w:cs="Segoe UI"/>
          <w:szCs w:val="22"/>
          <w:lang w:val="fr-FR"/>
        </w:rPr>
        <w:t> </w:t>
      </w:r>
      <w:r>
        <w:rPr>
          <w:rFonts w:cs="Segoe UI"/>
          <w:b/>
          <w:bCs/>
          <w:szCs w:val="22"/>
          <w:lang w:val="fr-FR"/>
        </w:rPr>
        <w:t xml:space="preserve">Nous avançons constamment dans la mise en œuvre de notre stratégie de croissance ciblée et nous avons enregistré une bonne progression au premier semestre 2022, principalement grâce à l’engagement fort de nos employés dans le monde entier. Avec notre activité Adhesive Technologies, nous sommes leader mondial dans la fourniture de solutions innovantes axées sur des tendances futures comme la mobilité, la connectivité et le développement durable. En </w:t>
      </w:r>
      <w:r w:rsidR="005552F0">
        <w:rPr>
          <w:rFonts w:cs="Segoe UI"/>
          <w:b/>
          <w:bCs/>
          <w:szCs w:val="22"/>
          <w:lang w:val="fr-FR"/>
        </w:rPr>
        <w:t>fusionnant</w:t>
      </w:r>
      <w:r>
        <w:rPr>
          <w:rFonts w:cs="Segoe UI"/>
          <w:b/>
          <w:bCs/>
          <w:szCs w:val="22"/>
          <w:lang w:val="fr-FR"/>
        </w:rPr>
        <w:t xml:space="preserve"> les activités Laundry &amp; Home Care et Beauty Care, nous sommes en train de créer une plateforme multi-catégories présentant des ventes d’environ 10</w:t>
      </w:r>
      <w:r>
        <w:rPr>
          <w:rFonts w:cs="Segoe UI"/>
          <w:szCs w:val="22"/>
          <w:lang w:val="fr-FR"/>
        </w:rPr>
        <w:t> </w:t>
      </w:r>
      <w:r>
        <w:rPr>
          <w:rFonts w:cs="Segoe UI"/>
          <w:b/>
          <w:bCs/>
          <w:szCs w:val="22"/>
          <w:lang w:val="fr-FR"/>
        </w:rPr>
        <w:t xml:space="preserve">milliards d’euros. Nous sommes sur la bonne voie et visons la mise en place de notre future activité Consumer Brands au plus tard début 2023. Cette </w:t>
      </w:r>
      <w:r w:rsidR="005552F0">
        <w:rPr>
          <w:rFonts w:cs="Segoe UI"/>
          <w:b/>
          <w:bCs/>
          <w:szCs w:val="22"/>
          <w:lang w:val="fr-FR"/>
        </w:rPr>
        <w:t>fusion</w:t>
      </w:r>
      <w:r>
        <w:rPr>
          <w:rFonts w:cs="Segoe UI"/>
          <w:b/>
          <w:bCs/>
          <w:szCs w:val="22"/>
          <w:lang w:val="fr-FR"/>
        </w:rPr>
        <w:t xml:space="preserve"> offrira une base plus large pour optimiser notre portefeuille de manière plus cohérente et faire progresser l’activité vers un profil de croissance et de marge plus élevé.</w:t>
      </w:r>
      <w:r>
        <w:rPr>
          <w:rFonts w:cs="Segoe UI"/>
          <w:szCs w:val="22"/>
          <w:lang w:val="fr-FR"/>
        </w:rPr>
        <w:t> </w:t>
      </w:r>
      <w:r>
        <w:rPr>
          <w:rFonts w:cs="Segoe UI"/>
          <w:b/>
          <w:bCs/>
          <w:szCs w:val="22"/>
          <w:lang w:val="fr-FR"/>
        </w:rPr>
        <w:t>»</w:t>
      </w:r>
    </w:p>
    <w:p w14:paraId="12C002F1" w14:textId="77777777" w:rsidR="004B7CCC" w:rsidRPr="00207C1F" w:rsidRDefault="004B7CCC" w:rsidP="00E25F09">
      <w:pPr>
        <w:rPr>
          <w:rFonts w:cs="Segoe UI"/>
          <w:b/>
          <w:bCs/>
          <w:szCs w:val="22"/>
          <w:lang w:val="fr-FR"/>
        </w:rPr>
      </w:pPr>
    </w:p>
    <w:p w14:paraId="2AD961A9" w14:textId="6C1118A1" w:rsidR="004B7CCC" w:rsidRPr="00207C1F" w:rsidRDefault="0084201F" w:rsidP="004B7CCC">
      <w:pPr>
        <w:spacing w:after="120"/>
        <w:ind w:right="-108"/>
        <w:jc w:val="left"/>
        <w:rPr>
          <w:rFonts w:cs="Segoe UI"/>
          <w:b/>
          <w:bCs/>
          <w:szCs w:val="22"/>
          <w:lang w:val="fr-FR"/>
        </w:rPr>
      </w:pPr>
      <w:r>
        <w:rPr>
          <w:rFonts w:cs="Segoe UI"/>
          <w:b/>
          <w:bCs/>
          <w:szCs w:val="22"/>
          <w:lang w:val="fr-FR"/>
        </w:rPr>
        <w:t>Perspectives pour l’exercice 2022 mises à jour</w:t>
      </w:r>
    </w:p>
    <w:p w14:paraId="708451BB" w14:textId="6DD2FEBA" w:rsidR="004B7CCC" w:rsidRDefault="00274D13" w:rsidP="00274D13">
      <w:pPr>
        <w:rPr>
          <w:rFonts w:cs="Segoe UI"/>
          <w:b/>
          <w:bCs/>
          <w:szCs w:val="22"/>
          <w:lang w:val="fr-FR"/>
        </w:rPr>
      </w:pPr>
      <w:r>
        <w:rPr>
          <w:rFonts w:cs="Segoe UI"/>
          <w:b/>
          <w:bCs/>
          <w:szCs w:val="22"/>
          <w:lang w:val="fr-FR"/>
        </w:rPr>
        <w:t>Henkel s’attend désormais à une croissance organique des ventes de +4,5 à +6,5</w:t>
      </w:r>
      <w:r>
        <w:rPr>
          <w:rFonts w:cs="Segoe UI"/>
          <w:szCs w:val="22"/>
          <w:lang w:val="fr-FR"/>
        </w:rPr>
        <w:t> </w:t>
      </w:r>
      <w:r>
        <w:rPr>
          <w:rFonts w:cs="Segoe UI"/>
          <w:b/>
          <w:bCs/>
          <w:szCs w:val="22"/>
          <w:lang w:val="fr-FR"/>
        </w:rPr>
        <w:t>% pour l’exercice 2022 (précédemment</w:t>
      </w:r>
      <w:r>
        <w:rPr>
          <w:rFonts w:cs="Segoe UI"/>
          <w:szCs w:val="22"/>
          <w:lang w:val="fr-FR"/>
        </w:rPr>
        <w:t> </w:t>
      </w:r>
      <w:r>
        <w:rPr>
          <w:rFonts w:cs="Segoe UI"/>
          <w:b/>
          <w:bCs/>
          <w:szCs w:val="22"/>
          <w:lang w:val="fr-FR"/>
        </w:rPr>
        <w:t>: +3,5 à +5,5</w:t>
      </w:r>
      <w:r>
        <w:rPr>
          <w:rFonts w:cs="Segoe UI"/>
          <w:szCs w:val="22"/>
          <w:lang w:val="fr-FR"/>
        </w:rPr>
        <w:t> </w:t>
      </w:r>
      <w:r>
        <w:rPr>
          <w:rFonts w:cs="Segoe UI"/>
          <w:b/>
          <w:bCs/>
          <w:szCs w:val="22"/>
          <w:lang w:val="fr-FR"/>
        </w:rPr>
        <w:t>%). La croissance organique des ventes pour l’activité Adhesive Technologies devrait toujours être de +8,0 à +10,0</w:t>
      </w:r>
      <w:r>
        <w:rPr>
          <w:rFonts w:cs="Segoe UI"/>
          <w:szCs w:val="22"/>
          <w:lang w:val="fr-FR"/>
        </w:rPr>
        <w:t> </w:t>
      </w:r>
      <w:r>
        <w:rPr>
          <w:rFonts w:cs="Segoe UI"/>
          <w:b/>
          <w:bCs/>
          <w:szCs w:val="22"/>
          <w:lang w:val="fr-FR"/>
        </w:rPr>
        <w:t xml:space="preserve">%. Pour Beauty Care, Henkel prévoit maintenant une </w:t>
      </w:r>
      <w:r w:rsidR="00A464DA">
        <w:rPr>
          <w:rFonts w:cs="Segoe UI"/>
          <w:b/>
          <w:bCs/>
          <w:szCs w:val="22"/>
          <w:lang w:val="fr-FR"/>
        </w:rPr>
        <w:t>baisse</w:t>
      </w:r>
      <w:r>
        <w:rPr>
          <w:rFonts w:cs="Segoe UI"/>
          <w:b/>
          <w:bCs/>
          <w:szCs w:val="22"/>
          <w:lang w:val="fr-FR"/>
        </w:rPr>
        <w:t xml:space="preserve"> organique des ventes de -3,0 à -1,0 % (précédemment : -5,0 à -3,0 %). Pour l’activité Laundry &amp; Home Care, Henkel s’attend à présent à une croissance organique des ventes de +4,0 à +6,0</w:t>
      </w:r>
      <w:r>
        <w:rPr>
          <w:rFonts w:cs="Segoe UI"/>
          <w:szCs w:val="22"/>
          <w:lang w:val="fr-FR"/>
        </w:rPr>
        <w:t> </w:t>
      </w:r>
      <w:r>
        <w:rPr>
          <w:rFonts w:cs="Segoe UI"/>
          <w:b/>
          <w:bCs/>
          <w:szCs w:val="22"/>
          <w:lang w:val="fr-FR"/>
        </w:rPr>
        <w:t>% (précédemment</w:t>
      </w:r>
      <w:r>
        <w:rPr>
          <w:rFonts w:cs="Segoe UI"/>
          <w:szCs w:val="22"/>
          <w:lang w:val="fr-FR"/>
        </w:rPr>
        <w:t> </w:t>
      </w:r>
      <w:r>
        <w:rPr>
          <w:rFonts w:cs="Segoe UI"/>
          <w:b/>
          <w:bCs/>
          <w:szCs w:val="22"/>
          <w:lang w:val="fr-FR"/>
        </w:rPr>
        <w:t>: +2,0 à +4,0</w:t>
      </w:r>
      <w:r>
        <w:rPr>
          <w:rFonts w:cs="Segoe UI"/>
          <w:szCs w:val="22"/>
          <w:lang w:val="fr-FR"/>
        </w:rPr>
        <w:t> </w:t>
      </w:r>
      <w:r>
        <w:rPr>
          <w:rFonts w:cs="Segoe UI"/>
          <w:b/>
          <w:bCs/>
          <w:szCs w:val="22"/>
          <w:lang w:val="fr-FR"/>
        </w:rPr>
        <w:t xml:space="preserve">%). La marge EBIT ajustée au niveau du </w:t>
      </w:r>
      <w:r w:rsidR="00BB20D4">
        <w:rPr>
          <w:rFonts w:cs="Segoe UI"/>
          <w:b/>
          <w:bCs/>
          <w:szCs w:val="22"/>
          <w:lang w:val="fr-FR"/>
        </w:rPr>
        <w:t>g</w:t>
      </w:r>
      <w:r>
        <w:rPr>
          <w:rFonts w:cs="Segoe UI"/>
          <w:b/>
          <w:bCs/>
          <w:szCs w:val="22"/>
          <w:lang w:val="fr-FR"/>
        </w:rPr>
        <w:t>roupe devrait rester inchangée dans une fourchette de 9,0 à 11,0</w:t>
      </w:r>
      <w:r>
        <w:rPr>
          <w:rFonts w:cs="Segoe UI"/>
          <w:szCs w:val="22"/>
          <w:lang w:val="fr-FR"/>
        </w:rPr>
        <w:t> </w:t>
      </w:r>
      <w:r>
        <w:rPr>
          <w:rFonts w:cs="Segoe UI"/>
          <w:b/>
          <w:bCs/>
          <w:szCs w:val="22"/>
          <w:lang w:val="fr-FR"/>
        </w:rPr>
        <w:t>%. En ce qui concerne l’évolution du bénéfice ajusté par action préférentielle (EPS) à taux de change constant, Henkel continue de prévoir une baisse de l’ordre de 35 à 15</w:t>
      </w:r>
      <w:r>
        <w:rPr>
          <w:rFonts w:cs="Segoe UI"/>
          <w:szCs w:val="22"/>
          <w:lang w:val="fr-FR"/>
        </w:rPr>
        <w:t> </w:t>
      </w:r>
      <w:r>
        <w:rPr>
          <w:rFonts w:cs="Segoe UI"/>
          <w:b/>
          <w:bCs/>
          <w:szCs w:val="22"/>
          <w:lang w:val="fr-FR"/>
        </w:rPr>
        <w:t>%.</w:t>
      </w:r>
    </w:p>
    <w:p w14:paraId="037B8A9C" w14:textId="5DB444A3" w:rsidR="005552F0" w:rsidRDefault="005552F0" w:rsidP="00274D13">
      <w:pPr>
        <w:rPr>
          <w:rFonts w:cs="Segoe UI"/>
          <w:b/>
          <w:bCs/>
          <w:szCs w:val="22"/>
          <w:lang w:val="fr-FR"/>
        </w:rPr>
      </w:pPr>
    </w:p>
    <w:p w14:paraId="67BA0D09" w14:textId="77777777" w:rsidR="005552F0" w:rsidRPr="00207C1F" w:rsidRDefault="005552F0" w:rsidP="00274D13">
      <w:pPr>
        <w:rPr>
          <w:rFonts w:cs="Segoe UI"/>
          <w:b/>
          <w:bCs/>
          <w:szCs w:val="22"/>
          <w:lang w:val="fr-FR"/>
        </w:rPr>
      </w:pPr>
    </w:p>
    <w:p w14:paraId="69CC0EBD" w14:textId="489A8D3D" w:rsidR="007709ED" w:rsidRPr="00207C1F" w:rsidRDefault="007709ED" w:rsidP="0094024E">
      <w:pPr>
        <w:rPr>
          <w:rFonts w:cs="Segoe UI"/>
          <w:b/>
          <w:bCs/>
          <w:szCs w:val="22"/>
          <w:lang w:val="fr-FR"/>
        </w:rPr>
      </w:pPr>
    </w:p>
    <w:p w14:paraId="6326D8AF" w14:textId="667C2305" w:rsidR="004B7CCC" w:rsidRPr="00207C1F" w:rsidRDefault="0033750F" w:rsidP="006B3442">
      <w:pPr>
        <w:spacing w:after="120"/>
        <w:ind w:right="-108"/>
        <w:jc w:val="left"/>
        <w:rPr>
          <w:rFonts w:cs="Segoe UI"/>
          <w:b/>
          <w:bCs/>
          <w:szCs w:val="22"/>
          <w:lang w:val="fr-FR"/>
        </w:rPr>
      </w:pPr>
      <w:r>
        <w:rPr>
          <w:rFonts w:cs="Segoe UI"/>
          <w:b/>
          <w:bCs/>
          <w:szCs w:val="22"/>
          <w:lang w:val="fr-FR"/>
        </w:rPr>
        <w:lastRenderedPageBreak/>
        <w:t>Arrêt des opérations en Russie et en Biélorussie en cours</w:t>
      </w:r>
    </w:p>
    <w:p w14:paraId="1D5FFC37" w14:textId="52832612" w:rsidR="005552F0" w:rsidRPr="00207C1F" w:rsidRDefault="00D012A9" w:rsidP="0094024E">
      <w:pPr>
        <w:rPr>
          <w:rFonts w:cs="Segoe UI"/>
          <w:b/>
          <w:bCs/>
          <w:szCs w:val="22"/>
          <w:lang w:val="fr-FR"/>
        </w:rPr>
      </w:pPr>
      <w:r>
        <w:rPr>
          <w:rFonts w:cs="Segoe UI"/>
          <w:b/>
          <w:bCs/>
          <w:szCs w:val="22"/>
          <w:lang w:val="fr-FR"/>
        </w:rPr>
        <w:t>En avril 2022, Henkel a décidé de mettre fin à ses activités commerciales en Russie et en Biélorussie. Henkel évalue rigoureusement toutes les options et prévoit de conclure le processus d’ici la fin de l’année.</w:t>
      </w:r>
    </w:p>
    <w:p w14:paraId="52FE6887" w14:textId="77777777" w:rsidR="005552F0" w:rsidRPr="00207C1F" w:rsidRDefault="005552F0" w:rsidP="00316B32">
      <w:pPr>
        <w:rPr>
          <w:rFonts w:cs="Segoe UI"/>
          <w:b/>
          <w:bCs/>
          <w:szCs w:val="22"/>
          <w:lang w:val="fr-FR"/>
        </w:rPr>
      </w:pPr>
    </w:p>
    <w:p w14:paraId="4F0E1CDA" w14:textId="3786EAC5" w:rsidR="00226640" w:rsidRDefault="00D012A9" w:rsidP="005552F0">
      <w:pPr>
        <w:spacing w:line="240" w:lineRule="auto"/>
        <w:jc w:val="left"/>
        <w:rPr>
          <w:rFonts w:ascii="SegoeUI-Bold" w:hAnsi="SegoeUI-Bold" w:cs="SegoeUI-Bold"/>
          <w:b/>
          <w:bCs/>
          <w:szCs w:val="22"/>
          <w:lang w:val="fr-FR"/>
        </w:rPr>
      </w:pPr>
      <w:r>
        <w:rPr>
          <w:rFonts w:ascii="SegoeUI-Bold" w:hAnsi="SegoeUI-Bold" w:cs="SegoeUI-Bold"/>
          <w:b/>
          <w:bCs/>
          <w:szCs w:val="22"/>
          <w:lang w:val="fr-FR"/>
        </w:rPr>
        <w:t xml:space="preserve">Performance des ventes et des résultats du </w:t>
      </w:r>
      <w:r w:rsidR="00BB20D4">
        <w:rPr>
          <w:rFonts w:ascii="SegoeUI-Bold" w:hAnsi="SegoeUI-Bold" w:cs="SegoeUI-Bold"/>
          <w:b/>
          <w:bCs/>
          <w:szCs w:val="22"/>
          <w:lang w:val="fr-FR"/>
        </w:rPr>
        <w:t>g</w:t>
      </w:r>
      <w:r>
        <w:rPr>
          <w:rFonts w:ascii="SegoeUI-Bold" w:hAnsi="SegoeUI-Bold" w:cs="SegoeUI-Bold"/>
          <w:b/>
          <w:bCs/>
          <w:szCs w:val="22"/>
          <w:lang w:val="fr-FR"/>
        </w:rPr>
        <w:t>roupe au premier semestre 2022</w:t>
      </w:r>
    </w:p>
    <w:p w14:paraId="073C6DD5" w14:textId="77777777" w:rsidR="005552F0" w:rsidRPr="00207C1F" w:rsidRDefault="005552F0" w:rsidP="00316B32">
      <w:pPr>
        <w:spacing w:line="240" w:lineRule="auto"/>
        <w:jc w:val="left"/>
        <w:rPr>
          <w:rFonts w:cs="Segoe UI"/>
          <w:b/>
          <w:bCs/>
          <w:szCs w:val="22"/>
          <w:lang w:val="fr-FR"/>
        </w:rPr>
      </w:pPr>
    </w:p>
    <w:p w14:paraId="15B12E1C" w14:textId="4DE9532B" w:rsidR="00466B0F" w:rsidRPr="00207C1F" w:rsidRDefault="006B14D8" w:rsidP="0095097D">
      <w:pPr>
        <w:rPr>
          <w:rFonts w:cs="Segoe UI"/>
          <w:szCs w:val="22"/>
          <w:lang w:val="fr-FR"/>
        </w:rPr>
      </w:pPr>
      <w:r>
        <w:rPr>
          <w:rFonts w:cs="Segoe UI"/>
          <w:szCs w:val="22"/>
          <w:lang w:val="fr-FR"/>
        </w:rPr>
        <w:t xml:space="preserve">À 10 913 millions d’euros, les </w:t>
      </w:r>
      <w:r>
        <w:rPr>
          <w:rFonts w:cs="Segoe UI"/>
          <w:b/>
          <w:bCs/>
          <w:szCs w:val="22"/>
          <w:lang w:val="fr-FR"/>
        </w:rPr>
        <w:t xml:space="preserve">ventes du </w:t>
      </w:r>
      <w:r w:rsidR="00BB20D4">
        <w:rPr>
          <w:rFonts w:cs="Segoe UI"/>
          <w:b/>
          <w:bCs/>
          <w:szCs w:val="22"/>
          <w:lang w:val="fr-FR"/>
        </w:rPr>
        <w:t>g</w:t>
      </w:r>
      <w:r>
        <w:rPr>
          <w:rFonts w:cs="Segoe UI"/>
          <w:b/>
          <w:bCs/>
          <w:szCs w:val="22"/>
          <w:lang w:val="fr-FR"/>
        </w:rPr>
        <w:t>roupe</w:t>
      </w:r>
      <w:r>
        <w:rPr>
          <w:rFonts w:cs="Segoe UI"/>
          <w:szCs w:val="22"/>
          <w:lang w:val="fr-FR"/>
        </w:rPr>
        <w:t xml:space="preserve"> au premier semestre 2022 ont dépassé de +9,9 % le niveau de l’année précédente (T2 : 5 642 millions d’euros, +13,8 %). </w:t>
      </w:r>
      <w:r>
        <w:rPr>
          <w:rFonts w:cs="Segoe UI"/>
          <w:b/>
          <w:bCs/>
          <w:szCs w:val="22"/>
          <w:lang w:val="fr-FR"/>
        </w:rPr>
        <w:t>Les ventes organiques</w:t>
      </w:r>
      <w:r>
        <w:rPr>
          <w:rFonts w:cs="Segoe UI"/>
          <w:szCs w:val="22"/>
          <w:lang w:val="fr-FR"/>
        </w:rPr>
        <w:t>, corrigées de l’impact des effets de change et des acquisitions/désinvestissements, ont enregistré une croissance significative de +8,9 % (T2 : +10,9 %). Les acquisitions et les désinvestissements ont eu un impact négatif de -1,4 % sur les ventes (T2 : -1,8 %). Depuis le début du deuxième trimestre, ceci inclut les effets de l’arrêt annoncé des opérations en Russie et en Biélorussie. Les effets de change ont eu un impact positif sur les ventes de l’ordre de 2,4 % (T2 : +4,7 %). Ceux-ci comprennent les effets de l’application de la norme IAS 29 (Information financière dans les économies hyperinflationnistes) requise pour la Turquie depuis le début de la période de déclaration.</w:t>
      </w:r>
    </w:p>
    <w:p w14:paraId="79381667" w14:textId="5804D6C9" w:rsidR="004B7CCC" w:rsidRPr="00207C1F" w:rsidRDefault="004B7CCC" w:rsidP="0095097D">
      <w:pPr>
        <w:rPr>
          <w:rFonts w:cs="Segoe UI"/>
          <w:szCs w:val="22"/>
          <w:lang w:val="fr-FR"/>
        </w:rPr>
      </w:pPr>
    </w:p>
    <w:p w14:paraId="50B72FBD" w14:textId="3836393E" w:rsidR="004B7CCC" w:rsidRPr="00207C1F" w:rsidRDefault="007927E2" w:rsidP="002C0281">
      <w:pPr>
        <w:rPr>
          <w:rFonts w:cs="Segoe UI"/>
          <w:szCs w:val="22"/>
          <w:lang w:val="fr-FR"/>
        </w:rPr>
      </w:pPr>
      <w:r>
        <w:rPr>
          <w:rFonts w:cs="Segoe UI"/>
          <w:szCs w:val="22"/>
          <w:lang w:val="fr-FR"/>
        </w:rPr>
        <w:t xml:space="preserve">La croissance des ventes au premier semestre est principalement due à l’activité </w:t>
      </w:r>
      <w:r>
        <w:rPr>
          <w:rFonts w:cs="Segoe UI"/>
          <w:b/>
          <w:bCs/>
          <w:szCs w:val="22"/>
          <w:lang w:val="fr-FR"/>
        </w:rPr>
        <w:t>Adhesive Technologies</w:t>
      </w:r>
      <w:r>
        <w:rPr>
          <w:rFonts w:cs="Segoe UI"/>
          <w:szCs w:val="22"/>
          <w:lang w:val="fr-FR"/>
        </w:rPr>
        <w:t xml:space="preserve">, qui a généré une augmentation </w:t>
      </w:r>
      <w:r w:rsidR="003D4409">
        <w:rPr>
          <w:rFonts w:cs="Segoe UI"/>
          <w:szCs w:val="22"/>
          <w:lang w:val="fr-FR"/>
        </w:rPr>
        <w:t xml:space="preserve">des ventes organiques </w:t>
      </w:r>
      <w:r>
        <w:rPr>
          <w:rFonts w:cs="Segoe UI"/>
          <w:szCs w:val="22"/>
          <w:lang w:val="fr-FR"/>
        </w:rPr>
        <w:t xml:space="preserve">à deux chiffres de 12,2 %, portée par tous ses secteurs d’activité. L’activité </w:t>
      </w:r>
      <w:r>
        <w:rPr>
          <w:rFonts w:cs="Segoe UI"/>
          <w:b/>
          <w:bCs/>
          <w:szCs w:val="22"/>
          <w:lang w:val="fr-FR"/>
        </w:rPr>
        <w:t>Beauty Care</w:t>
      </w:r>
      <w:r>
        <w:rPr>
          <w:rFonts w:cs="Segoe UI"/>
          <w:szCs w:val="22"/>
          <w:lang w:val="fr-FR"/>
        </w:rPr>
        <w:t xml:space="preserve"> a enregistré une croissance organique des ventes de +0,4 % au premier semestre. Le secteur d’activité </w:t>
      </w:r>
      <w:r w:rsidR="002C0281">
        <w:rPr>
          <w:rFonts w:cs="Segoe UI"/>
          <w:szCs w:val="22"/>
          <w:lang w:val="fr-FR"/>
        </w:rPr>
        <w:t>à destination des professionnels de la coiffure</w:t>
      </w:r>
      <w:r>
        <w:rPr>
          <w:rFonts w:cs="Segoe UI"/>
          <w:szCs w:val="22"/>
          <w:lang w:val="fr-FR"/>
        </w:rPr>
        <w:t xml:space="preserve"> a réalisé une croissance organique des ventes à deux chiffres. En revanche, le secteur </w:t>
      </w:r>
      <w:r w:rsidR="00C8296F">
        <w:rPr>
          <w:rFonts w:cs="Segoe UI"/>
          <w:szCs w:val="22"/>
          <w:lang w:val="fr-FR"/>
        </w:rPr>
        <w:t xml:space="preserve">grand public </w:t>
      </w:r>
      <w:r>
        <w:rPr>
          <w:rFonts w:cs="Segoe UI"/>
          <w:szCs w:val="22"/>
          <w:lang w:val="fr-FR"/>
        </w:rPr>
        <w:t>a présenté des chiffres inférieurs à ceux de l’année précédente, principalement en raison des mesures d’amélioration du portefeuille qui avaient été annoncées. L’activité</w:t>
      </w:r>
      <w:r>
        <w:rPr>
          <w:rFonts w:cs="Segoe UI"/>
          <w:b/>
          <w:bCs/>
          <w:szCs w:val="22"/>
          <w:lang w:val="fr-FR"/>
        </w:rPr>
        <w:t xml:space="preserve"> Laundry &amp; Home Care</w:t>
      </w:r>
      <w:r>
        <w:rPr>
          <w:rFonts w:cs="Segoe UI"/>
          <w:szCs w:val="22"/>
          <w:lang w:val="fr-FR"/>
        </w:rPr>
        <w:t xml:space="preserve"> a affiché une augmentation considérable des ventes organiques de l’ordre </w:t>
      </w:r>
      <w:proofErr w:type="gramStart"/>
      <w:r>
        <w:rPr>
          <w:rFonts w:cs="Segoe UI"/>
          <w:szCs w:val="22"/>
          <w:lang w:val="fr-FR"/>
        </w:rPr>
        <w:t xml:space="preserve">de </w:t>
      </w:r>
      <w:r w:rsidR="002C0281">
        <w:rPr>
          <w:rFonts w:cs="Segoe UI"/>
          <w:szCs w:val="22"/>
          <w:lang w:val="fr-FR"/>
        </w:rPr>
        <w:t xml:space="preserve"> </w:t>
      </w:r>
      <w:r>
        <w:rPr>
          <w:rFonts w:cs="Segoe UI"/>
          <w:szCs w:val="22"/>
          <w:lang w:val="fr-FR"/>
        </w:rPr>
        <w:t>+</w:t>
      </w:r>
      <w:proofErr w:type="gramEnd"/>
      <w:r>
        <w:rPr>
          <w:rFonts w:cs="Segoe UI"/>
          <w:szCs w:val="22"/>
          <w:lang w:val="fr-FR"/>
        </w:rPr>
        <w:t xml:space="preserve">7,4 %, notamment due à une croissance à deux chiffres dans le secteur d’activité </w:t>
      </w:r>
      <w:r w:rsidR="002C0281">
        <w:rPr>
          <w:rFonts w:cs="Segoe UI"/>
          <w:szCs w:val="22"/>
          <w:lang w:val="fr-FR"/>
        </w:rPr>
        <w:t>de</w:t>
      </w:r>
      <w:r w:rsidR="00C8296F">
        <w:rPr>
          <w:rFonts w:cs="Segoe UI"/>
          <w:szCs w:val="22"/>
          <w:lang w:val="fr-FR"/>
        </w:rPr>
        <w:t>s</w:t>
      </w:r>
      <w:r w:rsidR="002C0281">
        <w:rPr>
          <w:rFonts w:cs="Segoe UI"/>
          <w:szCs w:val="22"/>
          <w:lang w:val="fr-FR"/>
        </w:rPr>
        <w:t xml:space="preserve"> lessive</w:t>
      </w:r>
      <w:r w:rsidR="00C8296F">
        <w:rPr>
          <w:rFonts w:cs="Segoe UI"/>
          <w:szCs w:val="22"/>
          <w:lang w:val="fr-FR"/>
        </w:rPr>
        <w:t>s</w:t>
      </w:r>
      <w:r>
        <w:rPr>
          <w:rFonts w:cs="Segoe UI"/>
          <w:szCs w:val="22"/>
          <w:lang w:val="fr-FR"/>
        </w:rPr>
        <w:t xml:space="preserve">. Le secteur d’activité </w:t>
      </w:r>
      <w:r w:rsidR="002C0281">
        <w:rPr>
          <w:rFonts w:cs="Segoe UI"/>
          <w:szCs w:val="22"/>
          <w:lang w:val="fr-FR"/>
        </w:rPr>
        <w:t>d’entretien de la maison</w:t>
      </w:r>
      <w:r>
        <w:rPr>
          <w:rFonts w:cs="Segoe UI"/>
          <w:szCs w:val="22"/>
          <w:lang w:val="fr-FR"/>
        </w:rPr>
        <w:t xml:space="preserve"> a enregistré une évolution positive des ventes</w:t>
      </w:r>
      <w:r w:rsidR="003D4409">
        <w:rPr>
          <w:rFonts w:cs="Segoe UI"/>
          <w:szCs w:val="22"/>
          <w:lang w:val="fr-FR"/>
        </w:rPr>
        <w:t xml:space="preserve"> organiques</w:t>
      </w:r>
      <w:r>
        <w:rPr>
          <w:rFonts w:cs="Segoe UI"/>
          <w:szCs w:val="22"/>
          <w:lang w:val="fr-FR"/>
        </w:rPr>
        <w:t xml:space="preserve"> au premier semestre.</w:t>
      </w:r>
    </w:p>
    <w:p w14:paraId="1E296B87" w14:textId="2A1209DD" w:rsidR="00226640" w:rsidRPr="00207C1F" w:rsidRDefault="00226640" w:rsidP="00226640">
      <w:pPr>
        <w:rPr>
          <w:rFonts w:cs="Segoe UI"/>
          <w:szCs w:val="22"/>
          <w:lang w:val="fr-FR"/>
        </w:rPr>
      </w:pPr>
    </w:p>
    <w:p w14:paraId="360EE798" w14:textId="1537DFD0" w:rsidR="00226640" w:rsidRPr="00207C1F" w:rsidRDefault="007927E2" w:rsidP="00226640">
      <w:pPr>
        <w:rPr>
          <w:rFonts w:cs="Segoe UI"/>
          <w:szCs w:val="22"/>
          <w:lang w:val="fr-FR"/>
        </w:rPr>
      </w:pPr>
      <w:r>
        <w:rPr>
          <w:rFonts w:cs="Segoe UI"/>
          <w:szCs w:val="22"/>
          <w:lang w:val="fr-FR"/>
        </w:rPr>
        <w:t xml:space="preserve">Sur les </w:t>
      </w:r>
      <w:r>
        <w:rPr>
          <w:rFonts w:cs="Segoe UI"/>
          <w:b/>
          <w:bCs/>
          <w:szCs w:val="22"/>
          <w:lang w:val="fr-FR"/>
        </w:rPr>
        <w:t>marchés émergents</w:t>
      </w:r>
      <w:r>
        <w:rPr>
          <w:rFonts w:cs="Segoe UI"/>
          <w:szCs w:val="22"/>
          <w:lang w:val="fr-FR"/>
        </w:rPr>
        <w:t xml:space="preserve">, les ventes organiques ont réalisé un taux de croissance à deux chiffres de +12,9 % (T2 : +14,6 %). L’activité sur les </w:t>
      </w:r>
      <w:r>
        <w:rPr>
          <w:rFonts w:cs="Segoe UI"/>
          <w:b/>
          <w:bCs/>
          <w:szCs w:val="22"/>
          <w:lang w:val="fr-FR"/>
        </w:rPr>
        <w:t>marchés matures</w:t>
      </w:r>
      <w:r>
        <w:rPr>
          <w:rFonts w:cs="Segoe UI"/>
          <w:szCs w:val="22"/>
          <w:lang w:val="fr-FR"/>
        </w:rPr>
        <w:t xml:space="preserve"> s’est caractérisée par de solides performances des ventes organiques de +5,5 % (T2 : +7,8 %).</w:t>
      </w:r>
    </w:p>
    <w:p w14:paraId="74D78BFB" w14:textId="77777777" w:rsidR="00226640" w:rsidRPr="00207C1F" w:rsidRDefault="00226640" w:rsidP="00226640">
      <w:pPr>
        <w:rPr>
          <w:rFonts w:cs="Segoe UI"/>
          <w:szCs w:val="22"/>
          <w:lang w:val="fr-FR"/>
        </w:rPr>
      </w:pPr>
    </w:p>
    <w:p w14:paraId="0C220D41" w14:textId="133EE222" w:rsidR="00226640" w:rsidRPr="00207C1F" w:rsidRDefault="007927E2" w:rsidP="007927E2">
      <w:pPr>
        <w:rPr>
          <w:rFonts w:cs="Segoe UI"/>
          <w:szCs w:val="22"/>
          <w:lang w:val="fr-FR"/>
        </w:rPr>
      </w:pPr>
      <w:r>
        <w:rPr>
          <w:rFonts w:cs="Segoe UI"/>
          <w:szCs w:val="22"/>
          <w:lang w:val="fr-FR"/>
        </w:rPr>
        <w:t xml:space="preserve">Les ventes en </w:t>
      </w:r>
      <w:r>
        <w:rPr>
          <w:rFonts w:cs="Segoe UI"/>
          <w:b/>
          <w:bCs/>
          <w:szCs w:val="22"/>
          <w:lang w:val="fr-FR"/>
        </w:rPr>
        <w:t>Europe de l’Ouest</w:t>
      </w:r>
      <w:r>
        <w:rPr>
          <w:rFonts w:cs="Segoe UI"/>
          <w:szCs w:val="22"/>
          <w:lang w:val="fr-FR"/>
        </w:rPr>
        <w:t xml:space="preserve"> pour le premier semestre ont connu une évolution organique de +2,2 % (T2 : +4,8 %). En </w:t>
      </w:r>
      <w:r>
        <w:rPr>
          <w:rFonts w:cs="Segoe UI"/>
          <w:b/>
          <w:bCs/>
          <w:szCs w:val="22"/>
          <w:lang w:val="fr-FR"/>
        </w:rPr>
        <w:t>Europe de l’Est</w:t>
      </w:r>
      <w:r>
        <w:rPr>
          <w:rFonts w:cs="Segoe UI"/>
          <w:szCs w:val="22"/>
          <w:lang w:val="fr-FR"/>
        </w:rPr>
        <w:t xml:space="preserve">, la croissance organique des ventes s’est élevée à </w:t>
      </w:r>
      <w:r>
        <w:rPr>
          <w:rFonts w:cs="Segoe UI"/>
          <w:szCs w:val="22"/>
          <w:lang w:val="fr-FR"/>
        </w:rPr>
        <w:br/>
        <w:t xml:space="preserve">+23,2 % (T2 : +26,3 %). En </w:t>
      </w:r>
      <w:r>
        <w:rPr>
          <w:rFonts w:cs="Segoe UI"/>
          <w:b/>
          <w:bCs/>
          <w:szCs w:val="22"/>
          <w:lang w:val="fr-FR"/>
        </w:rPr>
        <w:t>Afrique/Moyen-Orient</w:t>
      </w:r>
      <w:r>
        <w:rPr>
          <w:rFonts w:cs="Segoe UI"/>
          <w:szCs w:val="22"/>
          <w:lang w:val="fr-FR"/>
        </w:rPr>
        <w:t xml:space="preserve">, les ventes organiques ont augmenté de </w:t>
      </w:r>
      <w:r>
        <w:rPr>
          <w:rFonts w:cs="Segoe UI"/>
          <w:szCs w:val="22"/>
          <w:lang w:val="fr-FR"/>
        </w:rPr>
        <w:br/>
        <w:t xml:space="preserve">3,2 % (T2 : +5,1 %). La croissance organique des ventes en Amérique du Nord a atteint +9,2 % </w:t>
      </w:r>
      <w:r>
        <w:rPr>
          <w:rFonts w:cs="Segoe UI"/>
          <w:szCs w:val="22"/>
          <w:lang w:val="fr-FR"/>
        </w:rPr>
        <w:br/>
      </w:r>
      <w:r>
        <w:rPr>
          <w:rFonts w:cs="Segoe UI"/>
          <w:szCs w:val="22"/>
          <w:lang w:val="fr-FR"/>
        </w:rPr>
        <w:lastRenderedPageBreak/>
        <w:t xml:space="preserve">(T2 : +11,7 %). </w:t>
      </w:r>
      <w:r>
        <w:rPr>
          <w:rFonts w:cs="Segoe UI"/>
          <w:b/>
          <w:bCs/>
          <w:szCs w:val="22"/>
          <w:lang w:val="fr-FR"/>
        </w:rPr>
        <w:t>L’Amérique latine</w:t>
      </w:r>
      <w:r>
        <w:rPr>
          <w:rFonts w:cs="Segoe UI"/>
          <w:szCs w:val="22"/>
          <w:lang w:val="fr-FR"/>
        </w:rPr>
        <w:t xml:space="preserve"> a enregistré une croissance organique des ventes de +16,9 % (T2 : +18,5 %). Dans la région </w:t>
      </w:r>
      <w:r>
        <w:rPr>
          <w:rFonts w:cs="Segoe UI"/>
          <w:b/>
          <w:bCs/>
          <w:szCs w:val="22"/>
          <w:lang w:val="fr-FR"/>
        </w:rPr>
        <w:t>Asie-Pacifique</w:t>
      </w:r>
      <w:r>
        <w:rPr>
          <w:rFonts w:cs="Segoe UI"/>
          <w:szCs w:val="22"/>
          <w:lang w:val="fr-FR"/>
        </w:rPr>
        <w:t>, les ventes organiques ont augmenté de 6,1 % (T2 : +6,9 %).</w:t>
      </w:r>
    </w:p>
    <w:p w14:paraId="11632DD7" w14:textId="77777777" w:rsidR="00226640" w:rsidRPr="00207C1F" w:rsidRDefault="00226640" w:rsidP="00226640">
      <w:pPr>
        <w:rPr>
          <w:rFonts w:cs="Segoe UI"/>
          <w:szCs w:val="22"/>
          <w:lang w:val="fr-FR"/>
        </w:rPr>
      </w:pPr>
    </w:p>
    <w:p w14:paraId="24E23F90" w14:textId="53CA2ED6" w:rsidR="00226640" w:rsidRPr="00207C1F" w:rsidRDefault="00752D67" w:rsidP="00226640">
      <w:pPr>
        <w:rPr>
          <w:rFonts w:cs="Segoe UI"/>
          <w:bCs/>
          <w:szCs w:val="22"/>
          <w:lang w:val="fr-FR"/>
        </w:rPr>
      </w:pPr>
      <w:bookmarkStart w:id="2" w:name="_Hlk109402106"/>
      <w:r>
        <w:rPr>
          <w:lang w:val="fr-FR"/>
        </w:rPr>
        <w:t xml:space="preserve">Le </w:t>
      </w:r>
      <w:r>
        <w:rPr>
          <w:b/>
          <w:bCs/>
          <w:lang w:val="fr-FR"/>
        </w:rPr>
        <w:t>résultat d’exploitation ajusté (EBIT ajusté)</w:t>
      </w:r>
      <w:r>
        <w:rPr>
          <w:lang w:val="fr-FR"/>
        </w:rPr>
        <w:t xml:space="preserve"> a atteint 1 166 millions d’euros au premier semestre, contre 1 430 millions d’euros à la même période de l’exercice précédent. Cette baisse s’explique principalement par la hausse significative des prix des matériaux directs.</w:t>
      </w:r>
    </w:p>
    <w:bookmarkEnd w:id="2"/>
    <w:p w14:paraId="16AD4278" w14:textId="77777777" w:rsidR="00226640" w:rsidRPr="00207C1F" w:rsidRDefault="00226640" w:rsidP="00226640">
      <w:pPr>
        <w:rPr>
          <w:rFonts w:cs="Segoe UI"/>
          <w:bCs/>
          <w:szCs w:val="22"/>
          <w:lang w:val="fr-FR"/>
        </w:rPr>
      </w:pPr>
    </w:p>
    <w:p w14:paraId="5FADE19E" w14:textId="6E75E753" w:rsidR="00226640" w:rsidRPr="00207C1F" w:rsidRDefault="00752D67" w:rsidP="00226640">
      <w:pPr>
        <w:rPr>
          <w:rFonts w:cs="Segoe UI"/>
          <w:bCs/>
          <w:szCs w:val="22"/>
          <w:lang w:val="fr-FR"/>
        </w:rPr>
      </w:pPr>
      <w:r>
        <w:rPr>
          <w:rFonts w:cs="Segoe UI"/>
          <w:b/>
          <w:bCs/>
          <w:szCs w:val="22"/>
          <w:lang w:val="fr-FR"/>
        </w:rPr>
        <w:t>Le rendement ajusté sur les ventes (marge EBIT ajustée)</w:t>
      </w:r>
      <w:r>
        <w:rPr>
          <w:rFonts w:cs="Segoe UI"/>
          <w:szCs w:val="22"/>
          <w:lang w:val="fr-FR"/>
        </w:rPr>
        <w:t xml:space="preserve"> a diminué de 14,4 % à </w:t>
      </w:r>
      <w:r>
        <w:rPr>
          <w:rFonts w:cs="Segoe UI"/>
          <w:szCs w:val="22"/>
          <w:lang w:val="fr-FR"/>
        </w:rPr>
        <w:br/>
        <w:t>10,7 %, en raison des prix considérablement plus élevés des matériaux directs.</w:t>
      </w:r>
      <w:r w:rsidR="00C8296F">
        <w:rPr>
          <w:rFonts w:cs="Segoe UI"/>
          <w:b/>
          <w:bCs/>
          <w:szCs w:val="22"/>
          <w:lang w:val="fr-FR"/>
        </w:rPr>
        <w:t xml:space="preserve"> </w:t>
      </w:r>
      <w:r>
        <w:rPr>
          <w:rFonts w:cs="Segoe UI"/>
          <w:b/>
          <w:bCs/>
          <w:szCs w:val="22"/>
          <w:lang w:val="fr-FR"/>
        </w:rPr>
        <w:t>Le bénéfice ajusté par action préférentielle</w:t>
      </w:r>
      <w:r>
        <w:rPr>
          <w:rFonts w:cs="Segoe UI"/>
          <w:szCs w:val="22"/>
          <w:lang w:val="fr-FR"/>
        </w:rPr>
        <w:t xml:space="preserve"> s’élevait à 1,95 euro au premier semestre 2022. À taux de change constant, cela représente une baisse de -20,8 % par rapport à la même période de l’exercice précédent. Là encore, cette évolution était principalement due à l’augmentation significative des prix des matériaux directs.</w:t>
      </w:r>
    </w:p>
    <w:p w14:paraId="2CB55C37" w14:textId="77777777" w:rsidR="00226640" w:rsidRPr="00207C1F" w:rsidRDefault="00226640" w:rsidP="00226640">
      <w:pPr>
        <w:rPr>
          <w:rFonts w:cs="Segoe UI"/>
          <w:szCs w:val="22"/>
          <w:lang w:val="fr-FR"/>
        </w:rPr>
      </w:pPr>
    </w:p>
    <w:p w14:paraId="449F8073" w14:textId="2FDA9E23" w:rsidR="00226640" w:rsidRPr="00207C1F" w:rsidRDefault="0055121D" w:rsidP="00226640">
      <w:pPr>
        <w:rPr>
          <w:rFonts w:cs="Segoe UI"/>
          <w:szCs w:val="22"/>
          <w:lang w:val="fr-FR"/>
        </w:rPr>
      </w:pPr>
      <w:r>
        <w:rPr>
          <w:rFonts w:cs="Segoe UI"/>
          <w:b/>
          <w:bCs/>
          <w:szCs w:val="22"/>
          <w:lang w:val="fr-FR"/>
        </w:rPr>
        <w:t>Le fonds de roulement net</w:t>
      </w:r>
      <w:r>
        <w:rPr>
          <w:rFonts w:cs="Segoe UI"/>
          <w:szCs w:val="22"/>
          <w:lang w:val="fr-FR"/>
        </w:rPr>
        <w:t xml:space="preserve"> a augmenté de 1,6 point de pourcentage pour atteindre 5,2 % des ventes (même période de l’exercice précédent : 3,6 %), également à cause de l’impact de la forte hausse des prix des matières premières.</w:t>
      </w:r>
    </w:p>
    <w:p w14:paraId="360F86C8" w14:textId="77777777" w:rsidR="00226640" w:rsidRPr="00207C1F" w:rsidRDefault="00226640" w:rsidP="00226640">
      <w:pPr>
        <w:rPr>
          <w:rFonts w:cs="Segoe UI"/>
          <w:szCs w:val="22"/>
          <w:lang w:val="fr-FR"/>
        </w:rPr>
      </w:pPr>
    </w:p>
    <w:p w14:paraId="0CB279AE" w14:textId="7A6B7552" w:rsidR="00226640" w:rsidRPr="00207C1F" w:rsidRDefault="0055121D" w:rsidP="00E95AC2">
      <w:pPr>
        <w:autoSpaceDE w:val="0"/>
        <w:autoSpaceDN w:val="0"/>
        <w:adjustRightInd w:val="0"/>
        <w:rPr>
          <w:rFonts w:cs="Segoe UI"/>
          <w:szCs w:val="22"/>
          <w:lang w:val="fr-FR"/>
        </w:rPr>
      </w:pPr>
      <w:r>
        <w:rPr>
          <w:rFonts w:cs="Segoe UI"/>
          <w:szCs w:val="22"/>
          <w:lang w:val="fr-FR"/>
        </w:rPr>
        <w:t xml:space="preserve">Le </w:t>
      </w:r>
      <w:r>
        <w:rPr>
          <w:rFonts w:cs="Segoe UI"/>
          <w:b/>
          <w:bCs/>
          <w:szCs w:val="22"/>
          <w:lang w:val="fr-FR"/>
        </w:rPr>
        <w:t>flux de trésorerie disponible</w:t>
      </w:r>
      <w:r>
        <w:rPr>
          <w:rFonts w:cs="Segoe UI"/>
          <w:szCs w:val="22"/>
          <w:lang w:val="fr-FR"/>
        </w:rPr>
        <w:t xml:space="preserve"> de 46 millions d’euros a été inférieur à celui du premier semestre 2021 (471 millions d’euros), en raison d’une baisse du flux de trésorerie des activités opérationnelles due à un résultat opérationnel plus faible et à un fonds de roulement net plus élevé.</w:t>
      </w:r>
    </w:p>
    <w:p w14:paraId="35F2C594" w14:textId="77777777" w:rsidR="00226640" w:rsidRPr="00207C1F" w:rsidRDefault="00226640" w:rsidP="00226640">
      <w:pPr>
        <w:rPr>
          <w:rFonts w:cs="Segoe UI"/>
          <w:szCs w:val="22"/>
          <w:highlight w:val="yellow"/>
          <w:lang w:val="fr-FR"/>
        </w:rPr>
      </w:pPr>
    </w:p>
    <w:p w14:paraId="3D928F8A" w14:textId="3C38451A" w:rsidR="00226640" w:rsidRPr="00207C1F" w:rsidRDefault="0055121D" w:rsidP="00226640">
      <w:pPr>
        <w:rPr>
          <w:lang w:val="fr-FR"/>
        </w:rPr>
      </w:pPr>
      <w:r>
        <w:rPr>
          <w:lang w:val="fr-FR"/>
        </w:rPr>
        <w:t xml:space="preserve">Au 30 juin 2022, la </w:t>
      </w:r>
      <w:r>
        <w:rPr>
          <w:b/>
          <w:bCs/>
          <w:lang w:val="fr-FR"/>
        </w:rPr>
        <w:t>position financière nette</w:t>
      </w:r>
      <w:r>
        <w:rPr>
          <w:lang w:val="fr-FR"/>
        </w:rPr>
        <w:t xml:space="preserve"> s’est élevée à -1 441 millions d’euros (31 décembre 2021 : -292 millions d’euros). Cette évolution tient compte des dépenses d’environ 430 millions d’euros dans le cadre du </w:t>
      </w:r>
      <w:r w:rsidR="00BB20D4">
        <w:rPr>
          <w:lang w:val="fr-FR"/>
        </w:rPr>
        <w:t>plan</w:t>
      </w:r>
      <w:r>
        <w:rPr>
          <w:lang w:val="fr-FR"/>
        </w:rPr>
        <w:t xml:space="preserve"> de rachat d’actions lancé en février 2022, ainsi que des paiements de dividendes d’environ 800 millions d’euros effectués au deuxième trimestre.</w:t>
      </w:r>
    </w:p>
    <w:p w14:paraId="7B7F71A0" w14:textId="71D4B309" w:rsidR="00C44EFC" w:rsidRPr="00207C1F" w:rsidRDefault="00C44EFC" w:rsidP="00226640">
      <w:pPr>
        <w:spacing w:after="120"/>
        <w:rPr>
          <w:rFonts w:cs="Segoe UI"/>
          <w:b/>
          <w:bCs/>
          <w:szCs w:val="22"/>
          <w:lang w:val="fr-FR"/>
        </w:rPr>
      </w:pPr>
    </w:p>
    <w:p w14:paraId="01A0D2A0" w14:textId="77777777" w:rsidR="00207C1F" w:rsidRPr="005C3DB8" w:rsidRDefault="00207C1F" w:rsidP="00207C1F">
      <w:pPr>
        <w:spacing w:after="120"/>
        <w:rPr>
          <w:rFonts w:cs="Segoe UI"/>
          <w:b/>
          <w:bCs/>
          <w:szCs w:val="22"/>
          <w:lang w:val="fr-FR"/>
        </w:rPr>
      </w:pPr>
      <w:r>
        <w:rPr>
          <w:rFonts w:ascii="SegoeUI-Bold" w:hAnsi="SegoeUI-Bold" w:cs="SegoeUI-Bold"/>
          <w:b/>
          <w:bCs/>
          <w:szCs w:val="22"/>
          <w:lang w:val="fr-FR"/>
        </w:rPr>
        <w:t>Performance des activités au premier semestre 2022</w:t>
      </w:r>
    </w:p>
    <w:p w14:paraId="11BCFF52" w14:textId="55BFCA4A" w:rsidR="00207C1F" w:rsidRPr="005C3DB8" w:rsidRDefault="00207C1F" w:rsidP="00207C1F">
      <w:pPr>
        <w:rPr>
          <w:rFonts w:cs="Segoe UI"/>
          <w:szCs w:val="22"/>
          <w:lang w:val="fr-FR"/>
        </w:rPr>
      </w:pPr>
      <w:r>
        <w:rPr>
          <w:rFonts w:cs="Segoe UI"/>
          <w:szCs w:val="22"/>
          <w:lang w:val="fr-FR"/>
        </w:rPr>
        <w:t xml:space="preserve">Au cours du premier semestre 2022, les </w:t>
      </w:r>
      <w:r>
        <w:rPr>
          <w:rFonts w:cs="Segoe UI"/>
          <w:b/>
          <w:bCs/>
          <w:szCs w:val="22"/>
          <w:lang w:val="fr-FR"/>
        </w:rPr>
        <w:t>ventes</w:t>
      </w:r>
      <w:r>
        <w:rPr>
          <w:rFonts w:cs="Segoe UI"/>
          <w:szCs w:val="22"/>
          <w:lang w:val="fr-FR"/>
        </w:rPr>
        <w:t xml:space="preserve"> de l’activité </w:t>
      </w:r>
      <w:proofErr w:type="spellStart"/>
      <w:r>
        <w:rPr>
          <w:rFonts w:cs="Segoe UI"/>
          <w:b/>
          <w:bCs/>
          <w:szCs w:val="22"/>
          <w:lang w:val="fr-FR"/>
        </w:rPr>
        <w:t>Adhesive</w:t>
      </w:r>
      <w:proofErr w:type="spellEnd"/>
      <w:r>
        <w:rPr>
          <w:rFonts w:cs="Segoe UI"/>
          <w:b/>
          <w:bCs/>
          <w:szCs w:val="22"/>
          <w:lang w:val="fr-FR"/>
        </w:rPr>
        <w:t xml:space="preserve"> Technologies</w:t>
      </w:r>
      <w:r>
        <w:rPr>
          <w:rFonts w:cs="Segoe UI"/>
          <w:szCs w:val="22"/>
          <w:lang w:val="fr-FR"/>
        </w:rPr>
        <w:t xml:space="preserve"> ont augmenté de +15,0 % pour atteindre 5 467 millions d’euros (T2 : 2 836 millions d’euros, +18,5 %). Les </w:t>
      </w:r>
      <w:r>
        <w:rPr>
          <w:rFonts w:cs="Segoe UI"/>
          <w:b/>
          <w:bCs/>
          <w:szCs w:val="22"/>
          <w:lang w:val="fr-FR"/>
        </w:rPr>
        <w:t>ventes organiques</w:t>
      </w:r>
      <w:r>
        <w:rPr>
          <w:rFonts w:cs="Segoe UI"/>
          <w:szCs w:val="22"/>
          <w:lang w:val="fr-FR"/>
        </w:rPr>
        <w:t xml:space="preserve"> ont augmenté de +12,2 % (T2 : +13,7 %). Cette évolution a été impulsée par l’ensemble des activités et des régions. Le </w:t>
      </w:r>
      <w:r>
        <w:rPr>
          <w:rFonts w:cs="Segoe UI"/>
          <w:b/>
          <w:bCs/>
          <w:szCs w:val="22"/>
          <w:lang w:val="fr-FR"/>
        </w:rPr>
        <w:t>résultat d’exploitation ajusté</w:t>
      </w:r>
      <w:r>
        <w:rPr>
          <w:rFonts w:cs="Segoe UI"/>
          <w:szCs w:val="22"/>
          <w:lang w:val="fr-FR"/>
        </w:rPr>
        <w:t xml:space="preserve"> du premier semestre 2022 a atteint 743 millions d’euros, contre 820 millions d’euros pour la période précédente. Atteignant 13,6 %, le </w:t>
      </w:r>
      <w:r>
        <w:rPr>
          <w:rFonts w:cs="Segoe UI"/>
          <w:b/>
          <w:bCs/>
          <w:szCs w:val="22"/>
          <w:lang w:val="fr-FR"/>
        </w:rPr>
        <w:t>rendement ajusté sur les ventes</w:t>
      </w:r>
      <w:r>
        <w:rPr>
          <w:rFonts w:cs="Segoe UI"/>
          <w:szCs w:val="22"/>
          <w:lang w:val="fr-FR"/>
        </w:rPr>
        <w:t xml:space="preserve"> est inférieur de </w:t>
      </w:r>
      <w:r>
        <w:rPr>
          <w:rFonts w:cs="Segoe UI"/>
          <w:szCs w:val="22"/>
          <w:lang w:val="fr-FR"/>
        </w:rPr>
        <w:lastRenderedPageBreak/>
        <w:t>3,7 points de pourcentage à celui du premier semestre 2021 ; les chiffres des résultats ayant été affectés par la hausse significative des prix des matières premières.</w:t>
      </w:r>
    </w:p>
    <w:p w14:paraId="1A9BB34D" w14:textId="77777777" w:rsidR="00207C1F" w:rsidRPr="005C3DB8" w:rsidRDefault="00207C1F" w:rsidP="00207C1F">
      <w:pPr>
        <w:rPr>
          <w:rFonts w:cs="Segoe UI"/>
          <w:szCs w:val="22"/>
          <w:lang w:val="fr-FR"/>
        </w:rPr>
      </w:pPr>
      <w:bookmarkStart w:id="3" w:name="_Hlk78300139"/>
    </w:p>
    <w:p w14:paraId="623A4D07" w14:textId="23AAE3F0" w:rsidR="00207C1F" w:rsidRPr="005C3DB8" w:rsidRDefault="00207C1F" w:rsidP="00207C1F">
      <w:pPr>
        <w:rPr>
          <w:rFonts w:cs="Segoe UI"/>
          <w:szCs w:val="22"/>
          <w:lang w:val="fr-FR"/>
        </w:rPr>
      </w:pPr>
      <w:r>
        <w:rPr>
          <w:rFonts w:cs="Segoe UI"/>
          <w:szCs w:val="22"/>
          <w:lang w:val="fr-FR"/>
        </w:rPr>
        <w:t xml:space="preserve">Concernant l’activité </w:t>
      </w:r>
      <w:r>
        <w:rPr>
          <w:rFonts w:cs="Segoe UI"/>
          <w:b/>
          <w:bCs/>
          <w:szCs w:val="22"/>
          <w:lang w:val="fr-FR"/>
        </w:rPr>
        <w:t>Beauty Care</w:t>
      </w:r>
      <w:r>
        <w:rPr>
          <w:rFonts w:cs="Segoe UI"/>
          <w:szCs w:val="22"/>
          <w:lang w:val="fr-FR"/>
        </w:rPr>
        <w:t xml:space="preserve">, les </w:t>
      </w:r>
      <w:r>
        <w:rPr>
          <w:rFonts w:cs="Segoe UI"/>
          <w:b/>
          <w:bCs/>
          <w:szCs w:val="22"/>
          <w:lang w:val="fr-FR"/>
        </w:rPr>
        <w:t>ventes</w:t>
      </w:r>
      <w:r>
        <w:rPr>
          <w:rFonts w:cs="Segoe UI"/>
          <w:szCs w:val="22"/>
          <w:lang w:val="fr-FR"/>
        </w:rPr>
        <w:t xml:space="preserve"> </w:t>
      </w:r>
      <w:r w:rsidR="00C03BF2">
        <w:rPr>
          <w:rFonts w:cs="Segoe UI"/>
          <w:szCs w:val="22"/>
          <w:lang w:val="fr-FR"/>
        </w:rPr>
        <w:t xml:space="preserve">organiques </w:t>
      </w:r>
      <w:r>
        <w:rPr>
          <w:rFonts w:cs="Segoe UI"/>
          <w:szCs w:val="22"/>
          <w:lang w:val="fr-FR"/>
        </w:rPr>
        <w:t xml:space="preserve">ont augmenté de +0,4 % (T2 : +2,1 %) au cours du premier semestre de 2022. En termes nominaux, les ventes ont augmenté de +0,2 % et ont atteint 1 842 millions d’euros (T2 : 950 millions d’euros, +3,9 %). Cette croissance est principalement due à la bonne performance de l’activité à destination des professionnels de la coiffure, qui a pu s’appuyer sur sa bonne performance de l’année précédente. L’activité grand public, en revanche, a présenté des chiffres inférieurs au niveau de l’année précédente, principalement en raison de la mise en œuvre des mesures d’amélioration du portefeuille annoncées pour 2022. Le </w:t>
      </w:r>
      <w:r>
        <w:rPr>
          <w:rFonts w:cs="Segoe UI"/>
          <w:b/>
          <w:bCs/>
          <w:szCs w:val="22"/>
          <w:lang w:val="fr-FR"/>
        </w:rPr>
        <w:t>résultat d’exploitation ajusté</w:t>
      </w:r>
      <w:r>
        <w:rPr>
          <w:rFonts w:cs="Segoe UI"/>
          <w:szCs w:val="22"/>
          <w:lang w:val="fr-FR"/>
        </w:rPr>
        <w:t xml:space="preserve"> a atteint 169 millions d’euros au premier semestre 2022, contre 183 millions d’euros au premier semestre 2021. Le </w:t>
      </w:r>
      <w:r>
        <w:rPr>
          <w:rFonts w:cs="Segoe UI"/>
          <w:b/>
          <w:bCs/>
          <w:szCs w:val="22"/>
          <w:lang w:val="fr-FR"/>
        </w:rPr>
        <w:t>rendement ajusté sur les ventes</w:t>
      </w:r>
      <w:r>
        <w:rPr>
          <w:rFonts w:cs="Segoe UI"/>
          <w:szCs w:val="22"/>
          <w:lang w:val="fr-FR"/>
        </w:rPr>
        <w:t xml:space="preserve"> a été de 0,8 point de pourcentage inférieur au niveau de l’année précédente, pour atteindre 9,2 %, également affecté par la hausse des prix des matières premières.</w:t>
      </w:r>
    </w:p>
    <w:bookmarkEnd w:id="3"/>
    <w:p w14:paraId="71A9E2A3" w14:textId="77777777" w:rsidR="00207C1F" w:rsidRPr="005C3DB8" w:rsidRDefault="00207C1F" w:rsidP="00207C1F">
      <w:pPr>
        <w:rPr>
          <w:rFonts w:cs="Segoe UI"/>
          <w:szCs w:val="22"/>
          <w:lang w:val="fr-FR"/>
        </w:rPr>
      </w:pPr>
    </w:p>
    <w:p w14:paraId="1D688EB0" w14:textId="178E7C26" w:rsidR="00207C1F" w:rsidRPr="005C3DB8" w:rsidRDefault="00207C1F" w:rsidP="00316B32">
      <w:pPr>
        <w:rPr>
          <w:rFonts w:cs="Segoe UI"/>
          <w:szCs w:val="22"/>
          <w:lang w:val="fr-FR"/>
        </w:rPr>
      </w:pPr>
      <w:r>
        <w:rPr>
          <w:rFonts w:cs="Segoe UI"/>
          <w:szCs w:val="22"/>
          <w:lang w:val="fr-FR"/>
        </w:rPr>
        <w:t xml:space="preserve">L’activité </w:t>
      </w:r>
      <w:r>
        <w:rPr>
          <w:rFonts w:cs="Segoe UI"/>
          <w:b/>
          <w:bCs/>
          <w:szCs w:val="22"/>
          <w:lang w:val="fr-FR"/>
        </w:rPr>
        <w:t>Laundry &amp; Home Care</w:t>
      </w:r>
      <w:r>
        <w:rPr>
          <w:rFonts w:cs="Segoe UI"/>
          <w:szCs w:val="22"/>
          <w:lang w:val="fr-FR"/>
        </w:rPr>
        <w:t xml:space="preserve"> a affiché une augmentation considérable des </w:t>
      </w:r>
      <w:r>
        <w:rPr>
          <w:rFonts w:cs="Segoe UI"/>
          <w:b/>
          <w:bCs/>
          <w:szCs w:val="22"/>
          <w:lang w:val="fr-FR"/>
        </w:rPr>
        <w:t>ventes organiques</w:t>
      </w:r>
      <w:r>
        <w:rPr>
          <w:rFonts w:cs="Segoe UI"/>
          <w:szCs w:val="22"/>
          <w:lang w:val="fr-FR"/>
        </w:rPr>
        <w:t xml:space="preserve"> de l’ordre de +7,4 % au premier semestre de 2022 (T2 : +10,1 %). La croissance est notamment due à une augmentation à deux chiffres des ventes dans l’activité </w:t>
      </w:r>
      <w:r w:rsidR="002C0281">
        <w:rPr>
          <w:rFonts w:cs="Segoe UI"/>
          <w:szCs w:val="22"/>
          <w:lang w:val="fr-FR"/>
        </w:rPr>
        <w:t>des lessives</w:t>
      </w:r>
      <w:r>
        <w:rPr>
          <w:rFonts w:cs="Segoe UI"/>
          <w:szCs w:val="22"/>
          <w:lang w:val="fr-FR"/>
        </w:rPr>
        <w:t xml:space="preserve">. En termes nominaux, les ventes ont augmenté de +6,7 % pour atteindre 3 494 millions d’euros (T2 : 1 802 millions d’euros, +11,3 %). Le </w:t>
      </w:r>
      <w:r>
        <w:rPr>
          <w:rFonts w:cs="Segoe UI"/>
          <w:b/>
          <w:bCs/>
          <w:szCs w:val="22"/>
          <w:lang w:val="fr-FR"/>
        </w:rPr>
        <w:t>résultat d’exploitation ajusté</w:t>
      </w:r>
      <w:r>
        <w:rPr>
          <w:rFonts w:cs="Segoe UI"/>
          <w:szCs w:val="22"/>
          <w:lang w:val="fr-FR"/>
        </w:rPr>
        <w:t xml:space="preserve"> était de 313 millions d’euros, contre 490 millions d’euros pour la période précédente. Le </w:t>
      </w:r>
      <w:r>
        <w:rPr>
          <w:rFonts w:cs="Segoe UI"/>
          <w:b/>
          <w:bCs/>
          <w:szCs w:val="22"/>
          <w:lang w:val="fr-FR"/>
        </w:rPr>
        <w:t>rendement ajusté sur les ventes</w:t>
      </w:r>
      <w:r>
        <w:rPr>
          <w:rFonts w:cs="Segoe UI"/>
          <w:szCs w:val="22"/>
          <w:lang w:val="fr-FR"/>
        </w:rPr>
        <w:t xml:space="preserve"> était de 9,0 %, également en dessous du niveau du premier semestre 2021, notamment en raison de l’augmentation significative des prix des matières premières.</w:t>
      </w:r>
    </w:p>
    <w:p w14:paraId="4F36B8FF" w14:textId="77777777" w:rsidR="00207C1F" w:rsidRPr="005C3DB8" w:rsidRDefault="00207C1F" w:rsidP="00207C1F">
      <w:pPr>
        <w:spacing w:after="120"/>
        <w:rPr>
          <w:rFonts w:cs="Segoe UI"/>
          <w:b/>
          <w:bCs/>
          <w:szCs w:val="22"/>
          <w:lang w:val="fr-FR"/>
        </w:rPr>
      </w:pPr>
    </w:p>
    <w:p w14:paraId="0163FE49" w14:textId="62D32A6F" w:rsidR="00207C1F" w:rsidRPr="005C3DB8" w:rsidRDefault="00BB20D4" w:rsidP="00207C1F">
      <w:pPr>
        <w:spacing w:after="120"/>
        <w:rPr>
          <w:rFonts w:cs="Segoe UI"/>
          <w:b/>
          <w:bCs/>
          <w:szCs w:val="22"/>
          <w:lang w:val="fr-FR"/>
        </w:rPr>
      </w:pPr>
      <w:r>
        <w:rPr>
          <w:rFonts w:cs="Segoe UI"/>
          <w:b/>
          <w:bCs/>
          <w:szCs w:val="22"/>
          <w:lang w:val="fr-FR"/>
        </w:rPr>
        <w:t>Plan</w:t>
      </w:r>
      <w:r w:rsidR="00207C1F">
        <w:rPr>
          <w:rFonts w:cs="Segoe UI"/>
          <w:b/>
          <w:bCs/>
          <w:szCs w:val="22"/>
          <w:lang w:val="fr-FR"/>
        </w:rPr>
        <w:t xml:space="preserve"> de croissance ciblée</w:t>
      </w:r>
      <w:r w:rsidR="00207C1F">
        <w:rPr>
          <w:rFonts w:cs="Segoe UI"/>
          <w:szCs w:val="22"/>
          <w:lang w:val="fr-FR"/>
        </w:rPr>
        <w:t> </w:t>
      </w:r>
      <w:r w:rsidR="00207C1F">
        <w:rPr>
          <w:rFonts w:cs="Segoe UI"/>
          <w:b/>
          <w:bCs/>
          <w:szCs w:val="22"/>
          <w:lang w:val="fr-FR"/>
        </w:rPr>
        <w:t>: bonne progression</w:t>
      </w:r>
    </w:p>
    <w:p w14:paraId="741EDC5B" w14:textId="2D4651A8" w:rsidR="00207C1F" w:rsidRPr="005C3DB8" w:rsidRDefault="00207C1F" w:rsidP="00207C1F">
      <w:pPr>
        <w:autoSpaceDE w:val="0"/>
        <w:autoSpaceDN w:val="0"/>
        <w:adjustRightInd w:val="0"/>
        <w:rPr>
          <w:rFonts w:cs="Segoe UI"/>
          <w:szCs w:val="22"/>
          <w:lang w:val="fr-FR"/>
        </w:rPr>
      </w:pPr>
      <w:bookmarkStart w:id="4" w:name="_Hlk109204398"/>
      <w:r>
        <w:rPr>
          <w:rFonts w:cs="Segoe UI"/>
          <w:szCs w:val="22"/>
          <w:lang w:val="fr-FR"/>
        </w:rPr>
        <w:t xml:space="preserve">Henkel a mis en place un </w:t>
      </w:r>
      <w:r w:rsidR="00BB20D4">
        <w:rPr>
          <w:rFonts w:cs="Segoe UI"/>
          <w:szCs w:val="22"/>
          <w:lang w:val="fr-FR"/>
        </w:rPr>
        <w:t>plan</w:t>
      </w:r>
      <w:r>
        <w:rPr>
          <w:rFonts w:cs="Segoe UI"/>
          <w:szCs w:val="22"/>
          <w:lang w:val="fr-FR"/>
        </w:rPr>
        <w:t xml:space="preserve"> de croissance ciblée et a développé un cadre stratégique précis à cet effet. Les priorités clés du cadre stratégique sont un portefeuille performant, un avantage concurrentiel clair dans les domaines de l’innovation, du développement durable et de la digitalisation, ainsi que des modèles opérationnels prêts pour l’avenir - basés sur une culture d’entreprise forte. </w:t>
      </w:r>
    </w:p>
    <w:p w14:paraId="5EF884D8" w14:textId="77777777" w:rsidR="00207C1F" w:rsidRPr="005C3DB8" w:rsidRDefault="00207C1F" w:rsidP="00207C1F">
      <w:pPr>
        <w:autoSpaceDE w:val="0"/>
        <w:autoSpaceDN w:val="0"/>
        <w:adjustRightInd w:val="0"/>
        <w:rPr>
          <w:rFonts w:cs="Segoe UI"/>
          <w:szCs w:val="22"/>
          <w:lang w:val="fr-FR"/>
        </w:rPr>
      </w:pPr>
    </w:p>
    <w:p w14:paraId="7F0D4C86" w14:textId="1458615C" w:rsidR="00207C1F" w:rsidRPr="005C3DB8" w:rsidRDefault="00207C1F" w:rsidP="00207C1F">
      <w:pPr>
        <w:autoSpaceDE w:val="0"/>
        <w:autoSpaceDN w:val="0"/>
        <w:adjustRightInd w:val="0"/>
        <w:rPr>
          <w:rFonts w:cs="Segoe UI"/>
          <w:szCs w:val="22"/>
          <w:lang w:val="fr-FR"/>
        </w:rPr>
      </w:pPr>
      <w:r>
        <w:rPr>
          <w:rFonts w:cs="Segoe UI"/>
          <w:szCs w:val="22"/>
          <w:lang w:val="fr-FR"/>
        </w:rPr>
        <w:t xml:space="preserve">Au cours du premier semestre 2022, Henkel a continué de travailler à la mise en œuvre de son </w:t>
      </w:r>
      <w:r w:rsidR="00BB20D4">
        <w:rPr>
          <w:rFonts w:cs="Segoe UI"/>
          <w:szCs w:val="22"/>
          <w:lang w:val="fr-FR"/>
        </w:rPr>
        <w:t>plan</w:t>
      </w:r>
      <w:r>
        <w:rPr>
          <w:rFonts w:cs="Segoe UI"/>
          <w:szCs w:val="22"/>
          <w:lang w:val="fr-FR"/>
        </w:rPr>
        <w:t xml:space="preserve"> de croissance et a réalisé une bonne progression sur toutes les priorités stratégiques. En fusionnant les activités Laundry &amp; Home Care et Beauty Care </w:t>
      </w:r>
      <w:r w:rsidR="00C03BF2">
        <w:rPr>
          <w:rFonts w:cs="Segoe UI"/>
          <w:szCs w:val="22"/>
          <w:lang w:val="fr-FR"/>
        </w:rPr>
        <w:t>au sein de la</w:t>
      </w:r>
      <w:r>
        <w:rPr>
          <w:rFonts w:cs="Segoe UI"/>
          <w:szCs w:val="22"/>
          <w:lang w:val="fr-FR"/>
        </w:rPr>
        <w:t xml:space="preserve"> nouvelle </w:t>
      </w:r>
      <w:r w:rsidR="00C03BF2">
        <w:rPr>
          <w:rFonts w:cs="Segoe UI"/>
          <w:szCs w:val="22"/>
          <w:lang w:val="fr-FR"/>
        </w:rPr>
        <w:t>entité</w:t>
      </w:r>
      <w:r>
        <w:rPr>
          <w:rFonts w:cs="Segoe UI"/>
          <w:szCs w:val="22"/>
          <w:lang w:val="fr-FR"/>
        </w:rPr>
        <w:t xml:space="preserve"> </w:t>
      </w:r>
      <w:r>
        <w:rPr>
          <w:rFonts w:cs="Segoe UI"/>
          <w:b/>
          <w:bCs/>
          <w:szCs w:val="22"/>
          <w:lang w:val="fr-FR"/>
        </w:rPr>
        <w:t>Henkel Consumer Brands</w:t>
      </w:r>
      <w:r>
        <w:rPr>
          <w:rFonts w:cs="Segoe UI"/>
          <w:szCs w:val="22"/>
          <w:lang w:val="fr-FR"/>
        </w:rPr>
        <w:t xml:space="preserve">, Henkel fait passer son </w:t>
      </w:r>
      <w:r w:rsidR="00BB20D4">
        <w:rPr>
          <w:rFonts w:cs="Segoe UI"/>
          <w:szCs w:val="22"/>
          <w:lang w:val="fr-FR"/>
        </w:rPr>
        <w:t>plan</w:t>
      </w:r>
      <w:r>
        <w:rPr>
          <w:rFonts w:cs="Segoe UI"/>
          <w:szCs w:val="22"/>
          <w:lang w:val="fr-FR"/>
        </w:rPr>
        <w:t xml:space="preserve"> de croissance ciblée à la vitesse supérieure. La structure de la nouvelle </w:t>
      </w:r>
      <w:r w:rsidR="00C03BF2">
        <w:rPr>
          <w:rFonts w:cs="Segoe UI"/>
          <w:szCs w:val="22"/>
          <w:lang w:val="fr-FR"/>
        </w:rPr>
        <w:t>entité</w:t>
      </w:r>
      <w:r>
        <w:rPr>
          <w:rFonts w:cs="Segoe UI"/>
          <w:szCs w:val="22"/>
          <w:lang w:val="fr-FR"/>
        </w:rPr>
        <w:t xml:space="preserve"> comprend les deux catégories mondiales Laundry </w:t>
      </w:r>
      <w:r>
        <w:rPr>
          <w:rFonts w:cs="Segoe UI"/>
          <w:szCs w:val="22"/>
          <w:lang w:val="fr-FR"/>
        </w:rPr>
        <w:lastRenderedPageBreak/>
        <w:t xml:space="preserve">&amp; Home Care et </w:t>
      </w:r>
      <w:proofErr w:type="spellStart"/>
      <w:r>
        <w:rPr>
          <w:rFonts w:cs="Segoe UI"/>
          <w:szCs w:val="22"/>
          <w:lang w:val="fr-FR"/>
        </w:rPr>
        <w:t>Hair</w:t>
      </w:r>
      <w:proofErr w:type="spellEnd"/>
      <w:r>
        <w:rPr>
          <w:rFonts w:cs="Segoe UI"/>
          <w:szCs w:val="22"/>
          <w:lang w:val="fr-FR"/>
        </w:rPr>
        <w:t xml:space="preserve"> Care, soutenues par des fonctions centrales, et organisées en quatre régions. Les autres catégories seront administrées au niveau régional. Les quatre premiers niveaux de gestion sont d’ores-et-déjà définis. Sur le plus grand marché de Henkel, aux États-Unis, la nouvelle organisation devrait être effective dès le mois de septembre.</w:t>
      </w:r>
    </w:p>
    <w:bookmarkEnd w:id="4"/>
    <w:p w14:paraId="3C3DACC3" w14:textId="77777777" w:rsidR="00207C1F" w:rsidRPr="005C3DB8" w:rsidRDefault="00207C1F" w:rsidP="00207C1F">
      <w:pPr>
        <w:autoSpaceDE w:val="0"/>
        <w:autoSpaceDN w:val="0"/>
        <w:adjustRightInd w:val="0"/>
        <w:rPr>
          <w:rFonts w:cs="Segoe UI"/>
          <w:szCs w:val="22"/>
          <w:lang w:val="fr-FR"/>
        </w:rPr>
      </w:pPr>
    </w:p>
    <w:p w14:paraId="251986E3" w14:textId="2F9F4823" w:rsidR="00207C1F" w:rsidRPr="005C3DB8" w:rsidRDefault="00207C1F" w:rsidP="00207C1F">
      <w:pPr>
        <w:rPr>
          <w:rFonts w:cs="Segoe UI"/>
          <w:szCs w:val="22"/>
          <w:lang w:val="fr-FR"/>
        </w:rPr>
      </w:pPr>
      <w:r>
        <w:rPr>
          <w:rFonts w:cs="Segoe UI"/>
          <w:szCs w:val="22"/>
          <w:lang w:val="fr-FR"/>
        </w:rPr>
        <w:t xml:space="preserve">Dans le cadre de la fusion des deux activités grand public </w:t>
      </w:r>
      <w:r w:rsidR="00377F9E">
        <w:rPr>
          <w:rFonts w:cs="Segoe UI"/>
          <w:szCs w:val="22"/>
          <w:lang w:val="fr-FR"/>
        </w:rPr>
        <w:t xml:space="preserve">et </w:t>
      </w:r>
      <w:r w:rsidR="00C03BF2">
        <w:rPr>
          <w:rFonts w:cs="Segoe UI"/>
          <w:szCs w:val="22"/>
          <w:lang w:val="fr-FR"/>
        </w:rPr>
        <w:t>à des fins</w:t>
      </w:r>
      <w:r>
        <w:rPr>
          <w:rFonts w:cs="Segoe UI"/>
          <w:szCs w:val="22"/>
          <w:lang w:val="fr-FR"/>
        </w:rPr>
        <w:t xml:space="preserve"> d</w:t>
      </w:r>
      <w:r w:rsidR="00C03BF2">
        <w:rPr>
          <w:rFonts w:cs="Segoe UI"/>
          <w:szCs w:val="22"/>
          <w:lang w:val="fr-FR"/>
        </w:rPr>
        <w:t>e</w:t>
      </w:r>
      <w:r>
        <w:rPr>
          <w:rFonts w:cs="Segoe UI"/>
          <w:szCs w:val="22"/>
          <w:lang w:val="fr-FR"/>
        </w:rPr>
        <w:t xml:space="preserve"> </w:t>
      </w:r>
      <w:r>
        <w:rPr>
          <w:rFonts w:cs="Segoe UI"/>
          <w:b/>
          <w:bCs/>
          <w:szCs w:val="22"/>
          <w:lang w:val="fr-FR"/>
        </w:rPr>
        <w:t>gestion active du portefeuille</w:t>
      </w:r>
      <w:r>
        <w:rPr>
          <w:rFonts w:cs="Segoe UI"/>
          <w:szCs w:val="22"/>
          <w:lang w:val="fr-FR"/>
        </w:rPr>
        <w:t xml:space="preserve">, </w:t>
      </w:r>
      <w:r w:rsidR="00491A76">
        <w:rPr>
          <w:rFonts w:cs="Segoe UI"/>
          <w:szCs w:val="22"/>
          <w:lang w:val="fr-FR"/>
        </w:rPr>
        <w:t>d</w:t>
      </w:r>
      <w:r>
        <w:rPr>
          <w:rFonts w:cs="Segoe UI"/>
          <w:szCs w:val="22"/>
          <w:lang w:val="fr-FR"/>
        </w:rPr>
        <w:t xml:space="preserve">es activités et </w:t>
      </w:r>
      <w:r w:rsidR="00377F9E">
        <w:rPr>
          <w:rFonts w:cs="Segoe UI"/>
          <w:szCs w:val="22"/>
          <w:lang w:val="fr-FR"/>
        </w:rPr>
        <w:t>d</w:t>
      </w:r>
      <w:r>
        <w:rPr>
          <w:rFonts w:cs="Segoe UI"/>
          <w:szCs w:val="22"/>
          <w:lang w:val="fr-FR"/>
        </w:rPr>
        <w:t>es marques représentant un chiffre des ventes total allant jusqu’à 1 milliard d’euros sont en cours d’examen. Ce processus inclut le désinvestissement ou l’a</w:t>
      </w:r>
      <w:r w:rsidR="00491A76">
        <w:rPr>
          <w:rFonts w:cs="Segoe UI"/>
          <w:szCs w:val="22"/>
          <w:lang w:val="fr-FR"/>
        </w:rPr>
        <w:t>rrêt</w:t>
      </w:r>
      <w:r>
        <w:rPr>
          <w:rFonts w:cs="Segoe UI"/>
          <w:szCs w:val="22"/>
          <w:lang w:val="fr-FR"/>
        </w:rPr>
        <w:t xml:space="preserve"> d’activités qui ne répondent pas aux critères de Henkel en termes de croissance et de rentabilité. Au cours du premier semestre 2022, Henkel a déjà affiché une bonne progression en a</w:t>
      </w:r>
      <w:r w:rsidR="00491A76">
        <w:rPr>
          <w:rFonts w:cs="Segoe UI"/>
          <w:szCs w:val="22"/>
          <w:lang w:val="fr-FR"/>
        </w:rPr>
        <w:t>rrêtant</w:t>
      </w:r>
      <w:r>
        <w:rPr>
          <w:rFonts w:cs="Segoe UI"/>
          <w:szCs w:val="22"/>
          <w:lang w:val="fr-FR"/>
        </w:rPr>
        <w:t xml:space="preserve"> certaines activités non essentielles dans le secteur Beauty Care. Ces </w:t>
      </w:r>
      <w:r w:rsidR="00491A76">
        <w:rPr>
          <w:rFonts w:cs="Segoe UI"/>
          <w:szCs w:val="22"/>
          <w:lang w:val="fr-FR"/>
        </w:rPr>
        <w:t>opérations</w:t>
      </w:r>
      <w:r>
        <w:rPr>
          <w:rFonts w:cs="Segoe UI"/>
          <w:szCs w:val="22"/>
          <w:lang w:val="fr-FR"/>
        </w:rPr>
        <w:t xml:space="preserve"> font partie d</w:t>
      </w:r>
      <w:r w:rsidR="00491A76">
        <w:rPr>
          <w:rFonts w:cs="Segoe UI"/>
          <w:szCs w:val="22"/>
          <w:lang w:val="fr-FR"/>
        </w:rPr>
        <w:t>es mesures de gestion de</w:t>
      </w:r>
      <w:r>
        <w:rPr>
          <w:rFonts w:cs="Segoe UI"/>
          <w:szCs w:val="22"/>
          <w:lang w:val="fr-FR"/>
        </w:rPr>
        <w:t xml:space="preserve"> portefeuille applicables à l’activité Beauty Care, avec un volume de ventes d’environ 200 millions d’euros, qui devraient être effectives pour la fin de l’année.</w:t>
      </w:r>
    </w:p>
    <w:p w14:paraId="5F588855" w14:textId="77777777" w:rsidR="00207C1F" w:rsidRPr="005C3DB8" w:rsidRDefault="00207C1F" w:rsidP="00207C1F">
      <w:pPr>
        <w:rPr>
          <w:rFonts w:cs="Segoe UI"/>
          <w:szCs w:val="22"/>
          <w:lang w:val="fr-FR"/>
        </w:rPr>
      </w:pPr>
      <w:bookmarkStart w:id="5" w:name="_Hlk109204760"/>
    </w:p>
    <w:p w14:paraId="627304DC" w14:textId="48E22CA0" w:rsidR="00207C1F" w:rsidRPr="005C3DB8" w:rsidRDefault="00207C1F" w:rsidP="00207C1F">
      <w:pPr>
        <w:rPr>
          <w:rFonts w:cs="Segoe UI"/>
          <w:szCs w:val="22"/>
          <w:lang w:val="fr-FR"/>
        </w:rPr>
      </w:pPr>
      <w:r>
        <w:rPr>
          <w:rFonts w:cs="Segoe UI"/>
          <w:szCs w:val="22"/>
          <w:lang w:val="fr-FR"/>
        </w:rPr>
        <w:t xml:space="preserve">Henkel a également renforcé son portefeuille par des </w:t>
      </w:r>
      <w:r>
        <w:rPr>
          <w:rFonts w:cs="Segoe UI"/>
          <w:b/>
          <w:bCs/>
          <w:szCs w:val="22"/>
          <w:lang w:val="fr-FR"/>
        </w:rPr>
        <w:t>acquisitions</w:t>
      </w:r>
      <w:r>
        <w:rPr>
          <w:rFonts w:cs="Segoe UI"/>
          <w:szCs w:val="22"/>
          <w:lang w:val="fr-FR"/>
        </w:rPr>
        <w:t xml:space="preserve">. En juillet 2022, l’acquisition de l’activité </w:t>
      </w:r>
      <w:proofErr w:type="spellStart"/>
      <w:r>
        <w:rPr>
          <w:rFonts w:cs="Segoe UI"/>
          <w:szCs w:val="22"/>
          <w:lang w:val="fr-FR"/>
        </w:rPr>
        <w:t>Hair</w:t>
      </w:r>
      <w:proofErr w:type="spellEnd"/>
      <w:r>
        <w:rPr>
          <w:rFonts w:cs="Segoe UI"/>
          <w:szCs w:val="22"/>
          <w:lang w:val="fr-FR"/>
        </w:rPr>
        <w:t xml:space="preserve"> Professional de Shiseido dans la région Asie-Pacifique a été finalisée. Cette opération a fait de Henkel le numéro </w:t>
      </w:r>
      <w:r w:rsidR="00C03BF2">
        <w:rPr>
          <w:rFonts w:cs="Segoe UI"/>
          <w:szCs w:val="22"/>
          <w:lang w:val="fr-FR"/>
        </w:rPr>
        <w:t>deux</w:t>
      </w:r>
      <w:r>
        <w:rPr>
          <w:rFonts w:cs="Segoe UI"/>
          <w:szCs w:val="22"/>
          <w:lang w:val="fr-FR"/>
        </w:rPr>
        <w:t xml:space="preserve"> mondial dans le secteur </w:t>
      </w:r>
      <w:proofErr w:type="spellStart"/>
      <w:r>
        <w:rPr>
          <w:rFonts w:cs="Segoe UI"/>
          <w:szCs w:val="22"/>
          <w:lang w:val="fr-FR"/>
        </w:rPr>
        <w:t>Hair</w:t>
      </w:r>
      <w:proofErr w:type="spellEnd"/>
      <w:r>
        <w:rPr>
          <w:rFonts w:cs="Segoe UI"/>
          <w:szCs w:val="22"/>
          <w:lang w:val="fr-FR"/>
        </w:rPr>
        <w:t xml:space="preserve"> Professional. </w:t>
      </w:r>
    </w:p>
    <w:bookmarkEnd w:id="5"/>
    <w:p w14:paraId="718E5FE8" w14:textId="77777777" w:rsidR="00207C1F" w:rsidRPr="005C3DB8" w:rsidRDefault="00207C1F" w:rsidP="00207C1F">
      <w:pPr>
        <w:autoSpaceDE w:val="0"/>
        <w:autoSpaceDN w:val="0"/>
        <w:adjustRightInd w:val="0"/>
        <w:rPr>
          <w:rFonts w:cs="Segoe UI"/>
          <w:szCs w:val="22"/>
          <w:lang w:val="fr-FR"/>
        </w:rPr>
      </w:pPr>
    </w:p>
    <w:p w14:paraId="7E024E60" w14:textId="6A2DBA74" w:rsidR="00207C1F" w:rsidRPr="005C3DB8" w:rsidRDefault="00207C1F" w:rsidP="00207C1F">
      <w:pPr>
        <w:autoSpaceDE w:val="0"/>
        <w:autoSpaceDN w:val="0"/>
        <w:adjustRightInd w:val="0"/>
        <w:rPr>
          <w:rFonts w:cs="Segoe UI"/>
          <w:bCs/>
          <w:szCs w:val="22"/>
          <w:lang w:val="fr-FR"/>
        </w:rPr>
      </w:pPr>
      <w:r>
        <w:rPr>
          <w:rFonts w:cs="Segoe UI"/>
          <w:szCs w:val="22"/>
          <w:lang w:val="fr-FR"/>
        </w:rPr>
        <w:t xml:space="preserve">Pour se démarquer </w:t>
      </w:r>
      <w:r>
        <w:rPr>
          <w:rFonts w:cs="Segoe UI"/>
          <w:b/>
          <w:bCs/>
          <w:szCs w:val="22"/>
          <w:lang w:val="fr-FR"/>
        </w:rPr>
        <w:t>de la concurrence</w:t>
      </w:r>
      <w:r>
        <w:rPr>
          <w:rFonts w:cs="Segoe UI"/>
          <w:szCs w:val="22"/>
          <w:lang w:val="fr-FR"/>
        </w:rPr>
        <w:t xml:space="preserve">, Henkel s’est concentré sur l’accélération des </w:t>
      </w:r>
      <w:r>
        <w:rPr>
          <w:rFonts w:cs="Segoe UI"/>
          <w:b/>
          <w:bCs/>
          <w:szCs w:val="22"/>
          <w:lang w:val="fr-FR"/>
        </w:rPr>
        <w:t>innovations</w:t>
      </w:r>
      <w:r>
        <w:rPr>
          <w:rFonts w:cs="Segoe UI"/>
          <w:szCs w:val="22"/>
          <w:lang w:val="fr-FR"/>
        </w:rPr>
        <w:t xml:space="preserve">, sur le renforcement du </w:t>
      </w:r>
      <w:r>
        <w:rPr>
          <w:rFonts w:cs="Segoe UI"/>
          <w:b/>
          <w:bCs/>
          <w:szCs w:val="22"/>
          <w:lang w:val="fr-FR"/>
        </w:rPr>
        <w:t>développement durable</w:t>
      </w:r>
      <w:r>
        <w:rPr>
          <w:rFonts w:cs="Segoe UI"/>
          <w:szCs w:val="22"/>
          <w:lang w:val="fr-FR"/>
        </w:rPr>
        <w:t xml:space="preserve"> en tant que facteur de différenciation et sur l’augmentation de la création de valeur pour </w:t>
      </w:r>
      <w:r w:rsidR="00C778D9">
        <w:rPr>
          <w:rFonts w:cs="Segoe UI"/>
          <w:szCs w:val="22"/>
          <w:lang w:val="fr-FR"/>
        </w:rPr>
        <w:t>ses</w:t>
      </w:r>
      <w:r>
        <w:rPr>
          <w:rFonts w:cs="Segoe UI"/>
          <w:szCs w:val="22"/>
          <w:lang w:val="fr-FR"/>
        </w:rPr>
        <w:t xml:space="preserve"> client</w:t>
      </w:r>
      <w:r w:rsidR="00C778D9">
        <w:rPr>
          <w:rFonts w:cs="Segoe UI"/>
          <w:szCs w:val="22"/>
          <w:lang w:val="fr-FR"/>
        </w:rPr>
        <w:t>s</w:t>
      </w:r>
      <w:r>
        <w:rPr>
          <w:rFonts w:cs="Segoe UI"/>
          <w:szCs w:val="22"/>
          <w:lang w:val="fr-FR"/>
        </w:rPr>
        <w:t xml:space="preserve"> et </w:t>
      </w:r>
      <w:r w:rsidR="00C778D9">
        <w:rPr>
          <w:rFonts w:cs="Segoe UI"/>
          <w:szCs w:val="22"/>
          <w:lang w:val="fr-FR"/>
        </w:rPr>
        <w:t>s</w:t>
      </w:r>
      <w:r>
        <w:rPr>
          <w:rFonts w:cs="Segoe UI"/>
          <w:szCs w:val="22"/>
          <w:lang w:val="fr-FR"/>
        </w:rPr>
        <w:t xml:space="preserve">es consommateurs grâce </w:t>
      </w:r>
      <w:r w:rsidR="00C778D9">
        <w:rPr>
          <w:rFonts w:cs="Segoe UI"/>
          <w:szCs w:val="22"/>
          <w:lang w:val="fr-FR"/>
        </w:rPr>
        <w:t>au développement</w:t>
      </w:r>
      <w:r>
        <w:rPr>
          <w:rFonts w:cs="Segoe UI"/>
          <w:szCs w:val="22"/>
          <w:lang w:val="fr-FR"/>
        </w:rPr>
        <w:t xml:space="preserve"> de la </w:t>
      </w:r>
      <w:r>
        <w:rPr>
          <w:rFonts w:cs="Segoe UI"/>
          <w:b/>
          <w:bCs/>
          <w:szCs w:val="22"/>
          <w:lang w:val="fr-FR"/>
        </w:rPr>
        <w:t>digitalisation</w:t>
      </w:r>
      <w:r>
        <w:rPr>
          <w:rFonts w:cs="Segoe UI"/>
          <w:szCs w:val="22"/>
          <w:lang w:val="fr-FR"/>
        </w:rPr>
        <w:t>.</w:t>
      </w:r>
    </w:p>
    <w:p w14:paraId="3985A5E5" w14:textId="77777777" w:rsidR="00207C1F" w:rsidRPr="005C3DB8" w:rsidRDefault="00207C1F" w:rsidP="00207C1F">
      <w:pPr>
        <w:autoSpaceDE w:val="0"/>
        <w:autoSpaceDN w:val="0"/>
        <w:adjustRightInd w:val="0"/>
        <w:rPr>
          <w:rFonts w:cs="Segoe UI"/>
          <w:bCs/>
          <w:szCs w:val="22"/>
          <w:lang w:val="fr-FR"/>
        </w:rPr>
      </w:pPr>
    </w:p>
    <w:p w14:paraId="573A271E" w14:textId="54903C1F" w:rsidR="00207C1F" w:rsidRDefault="00207C1F" w:rsidP="00207C1F">
      <w:pPr>
        <w:autoSpaceDE w:val="0"/>
        <w:autoSpaceDN w:val="0"/>
        <w:adjustRightInd w:val="0"/>
        <w:rPr>
          <w:rFonts w:cs="Segoe UI"/>
          <w:szCs w:val="22"/>
          <w:lang w:val="fr-FR"/>
        </w:rPr>
      </w:pPr>
      <w:r>
        <w:rPr>
          <w:rFonts w:cs="Segoe UI"/>
          <w:szCs w:val="22"/>
          <w:lang w:val="fr-FR"/>
        </w:rPr>
        <w:t xml:space="preserve">L’un des </w:t>
      </w:r>
      <w:r w:rsidR="00A76294">
        <w:rPr>
          <w:rFonts w:cs="Segoe UI"/>
          <w:szCs w:val="22"/>
          <w:lang w:val="fr-FR"/>
        </w:rPr>
        <w:t>leviers principaux</w:t>
      </w:r>
      <w:r>
        <w:rPr>
          <w:rFonts w:cs="Segoe UI"/>
          <w:szCs w:val="22"/>
          <w:lang w:val="fr-FR"/>
        </w:rPr>
        <w:t xml:space="preserve"> de la stratégie de Henkel </w:t>
      </w:r>
      <w:r w:rsidR="00A76294">
        <w:rPr>
          <w:rFonts w:cs="Segoe UI"/>
          <w:szCs w:val="22"/>
          <w:lang w:val="fr-FR"/>
        </w:rPr>
        <w:t>est de</w:t>
      </w:r>
      <w:r>
        <w:rPr>
          <w:rFonts w:cs="Segoe UI"/>
          <w:szCs w:val="22"/>
          <w:lang w:val="fr-FR"/>
        </w:rPr>
        <w:t xml:space="preserve"> se démarquer sur le marché grâce à des </w:t>
      </w:r>
      <w:r>
        <w:rPr>
          <w:rFonts w:cs="Segoe UI"/>
          <w:b/>
          <w:bCs/>
          <w:szCs w:val="22"/>
          <w:lang w:val="fr-FR"/>
        </w:rPr>
        <w:t>innovations</w:t>
      </w:r>
      <w:r>
        <w:rPr>
          <w:rFonts w:cs="Segoe UI"/>
          <w:szCs w:val="22"/>
          <w:lang w:val="fr-FR"/>
        </w:rPr>
        <w:t xml:space="preserve"> réussies. Celles-ci ont soutenu la croissance </w:t>
      </w:r>
      <w:r w:rsidR="00A76294">
        <w:rPr>
          <w:rFonts w:cs="Segoe UI"/>
          <w:szCs w:val="22"/>
          <w:lang w:val="fr-FR"/>
        </w:rPr>
        <w:t xml:space="preserve">du groupe </w:t>
      </w:r>
      <w:r>
        <w:rPr>
          <w:rFonts w:cs="Segoe UI"/>
          <w:szCs w:val="22"/>
          <w:lang w:val="fr-FR"/>
        </w:rPr>
        <w:t xml:space="preserve">de manière significative au cours du premier semestre de l’année. </w:t>
      </w:r>
      <w:bookmarkStart w:id="6" w:name="_Hlk109382178"/>
      <w:r>
        <w:rPr>
          <w:rFonts w:cs="Segoe UI"/>
          <w:szCs w:val="22"/>
          <w:lang w:val="fr-FR"/>
        </w:rPr>
        <w:t xml:space="preserve">Dans l’activité </w:t>
      </w:r>
      <w:proofErr w:type="spellStart"/>
      <w:r>
        <w:rPr>
          <w:rFonts w:cs="Segoe UI"/>
          <w:szCs w:val="22"/>
          <w:lang w:val="fr-FR"/>
        </w:rPr>
        <w:t>Adhesive</w:t>
      </w:r>
      <w:proofErr w:type="spellEnd"/>
      <w:r>
        <w:rPr>
          <w:rFonts w:cs="Segoe UI"/>
          <w:szCs w:val="22"/>
          <w:lang w:val="fr-FR"/>
        </w:rPr>
        <w:t xml:space="preserve"> Technologies par exemple, Henkel a développé de nouveaux revêtements ignifuges pour les batteries des véhicules électriques. Non seulement ils augmentent considérablement la sécurité des passagers, mais ils permettent également aux clients de l’industrie automobile d</w:t>
      </w:r>
      <w:r w:rsidR="00491A76">
        <w:rPr>
          <w:rFonts w:cs="Segoe UI"/>
          <w:szCs w:val="22"/>
          <w:lang w:val="fr-FR"/>
        </w:rPr>
        <w:t>e réaliser</w:t>
      </w:r>
      <w:r>
        <w:rPr>
          <w:rFonts w:cs="Segoe UI"/>
          <w:szCs w:val="22"/>
          <w:lang w:val="fr-FR"/>
        </w:rPr>
        <w:t xml:space="preserve"> une production rentable. Dans l’activité Beauty Care, Henkel a relancé sa marque de soins capillaires </w:t>
      </w:r>
      <w:proofErr w:type="spellStart"/>
      <w:r>
        <w:rPr>
          <w:rFonts w:cs="Segoe UI"/>
          <w:szCs w:val="22"/>
          <w:lang w:val="fr-FR"/>
        </w:rPr>
        <w:t>Schauma</w:t>
      </w:r>
      <w:proofErr w:type="spellEnd"/>
      <w:r>
        <w:rPr>
          <w:rFonts w:cs="Segoe UI"/>
          <w:szCs w:val="22"/>
          <w:lang w:val="fr-FR"/>
        </w:rPr>
        <w:t xml:space="preserve"> avec un nouveau concept d’emballage durable utilisant 50 à 100 % de plastique recyclé. Dans l’activité Laundry &amp; Home Care, une croissance à deux chiffres et de nouveaux gains de parts de marché ont été réalisés grâce à la marque Persil (Le Chat en France), soutenus par l’expansion de la gamme de produits durables et prêts à la commercialisation en ligne.</w:t>
      </w:r>
    </w:p>
    <w:p w14:paraId="3AEFD8B2" w14:textId="11A4C725" w:rsidR="00207C1F" w:rsidRDefault="00207C1F" w:rsidP="00207C1F">
      <w:pPr>
        <w:autoSpaceDE w:val="0"/>
        <w:autoSpaceDN w:val="0"/>
        <w:adjustRightInd w:val="0"/>
        <w:rPr>
          <w:rFonts w:cs="Segoe UI"/>
          <w:szCs w:val="22"/>
          <w:lang w:val="fr-FR"/>
        </w:rPr>
      </w:pPr>
    </w:p>
    <w:p w14:paraId="11B88192" w14:textId="737DED26" w:rsidR="005552F0" w:rsidRPr="007F4042" w:rsidRDefault="005552F0" w:rsidP="005552F0">
      <w:pPr>
        <w:autoSpaceDE w:val="0"/>
        <w:autoSpaceDN w:val="0"/>
        <w:adjustRightInd w:val="0"/>
        <w:rPr>
          <w:rFonts w:cs="Segoe UI"/>
          <w:bCs/>
          <w:szCs w:val="22"/>
          <w:lang w:val="fr-FR"/>
        </w:rPr>
      </w:pPr>
      <w:r>
        <w:rPr>
          <w:rFonts w:cs="Segoe UI"/>
          <w:szCs w:val="22"/>
          <w:lang w:val="fr-FR"/>
        </w:rPr>
        <w:t>Le</w:t>
      </w:r>
      <w:r>
        <w:rPr>
          <w:rFonts w:cs="Segoe UI"/>
          <w:b/>
          <w:bCs/>
          <w:szCs w:val="22"/>
          <w:lang w:val="fr-FR"/>
        </w:rPr>
        <w:t xml:space="preserve"> développement durable </w:t>
      </w:r>
      <w:r>
        <w:rPr>
          <w:rFonts w:cs="Segoe UI"/>
          <w:szCs w:val="22"/>
          <w:lang w:val="fr-FR"/>
        </w:rPr>
        <w:t xml:space="preserve">est l’une des forces </w:t>
      </w:r>
      <w:r w:rsidR="00A76294">
        <w:rPr>
          <w:rFonts w:cs="Segoe UI"/>
          <w:szCs w:val="22"/>
          <w:lang w:val="fr-FR"/>
        </w:rPr>
        <w:t xml:space="preserve">historiques </w:t>
      </w:r>
      <w:r>
        <w:rPr>
          <w:rFonts w:cs="Segoe UI"/>
          <w:szCs w:val="22"/>
          <w:lang w:val="fr-FR"/>
        </w:rPr>
        <w:t>de Henkel</w:t>
      </w:r>
      <w:r w:rsidR="00A76294">
        <w:rPr>
          <w:rFonts w:cs="Segoe UI"/>
          <w:szCs w:val="22"/>
          <w:lang w:val="fr-FR"/>
        </w:rPr>
        <w:t xml:space="preserve">. </w:t>
      </w:r>
      <w:r>
        <w:rPr>
          <w:rFonts w:cs="Segoe UI"/>
          <w:szCs w:val="22"/>
          <w:lang w:val="fr-FR"/>
        </w:rPr>
        <w:t xml:space="preserve">Pour refléter l’importance croissante d’une gestion durable </w:t>
      </w:r>
      <w:r w:rsidR="002C0281">
        <w:rPr>
          <w:rFonts w:cs="Segoe UI"/>
          <w:szCs w:val="22"/>
          <w:lang w:val="fr-FR"/>
        </w:rPr>
        <w:t xml:space="preserve">des activités </w:t>
      </w:r>
      <w:r>
        <w:rPr>
          <w:rFonts w:cs="Segoe UI"/>
          <w:szCs w:val="22"/>
          <w:lang w:val="fr-FR"/>
        </w:rPr>
        <w:t xml:space="preserve">et les attentes grandissantes des </w:t>
      </w:r>
      <w:r>
        <w:rPr>
          <w:rFonts w:cs="Segoe UI"/>
          <w:szCs w:val="22"/>
          <w:lang w:val="fr-FR"/>
        </w:rPr>
        <w:lastRenderedPageBreak/>
        <w:t xml:space="preserve">clients et de la société, Henkel a amélioré sa stratégie de développement durable à long terme en instaurant le nouveau cadre </w:t>
      </w:r>
      <w:r w:rsidR="00BB1E19">
        <w:rPr>
          <w:rFonts w:cs="Segoe UI"/>
          <w:szCs w:val="22"/>
          <w:lang w:val="fr-FR"/>
        </w:rPr>
        <w:t xml:space="preserve">d’ambitions </w:t>
      </w:r>
      <w:r>
        <w:rPr>
          <w:rFonts w:cs="Segoe UI"/>
          <w:szCs w:val="22"/>
          <w:lang w:val="fr-FR"/>
        </w:rPr>
        <w:t>2030+. En plus des objectifs existants, de nouvelles ambitions à long terme ont ainsi été définies afin de poursuivre les progrès dans les trois dimensions suivantes : « </w:t>
      </w:r>
      <w:proofErr w:type="spellStart"/>
      <w:r>
        <w:rPr>
          <w:rFonts w:cs="Segoe UI"/>
          <w:szCs w:val="22"/>
          <w:lang w:val="fr-FR"/>
        </w:rPr>
        <w:t>Regenerative</w:t>
      </w:r>
      <w:proofErr w:type="spellEnd"/>
      <w:r>
        <w:rPr>
          <w:rFonts w:cs="Segoe UI"/>
          <w:szCs w:val="22"/>
          <w:lang w:val="fr-FR"/>
        </w:rPr>
        <w:t xml:space="preserve"> Planet », « </w:t>
      </w:r>
      <w:proofErr w:type="spellStart"/>
      <w:r>
        <w:rPr>
          <w:rFonts w:cs="Segoe UI"/>
          <w:szCs w:val="22"/>
          <w:lang w:val="fr-FR"/>
        </w:rPr>
        <w:t>Thriving</w:t>
      </w:r>
      <w:proofErr w:type="spellEnd"/>
      <w:r>
        <w:rPr>
          <w:rFonts w:cs="Segoe UI"/>
          <w:szCs w:val="22"/>
          <w:lang w:val="fr-FR"/>
        </w:rPr>
        <w:t xml:space="preserve"> </w:t>
      </w:r>
      <w:proofErr w:type="spellStart"/>
      <w:r>
        <w:rPr>
          <w:rFonts w:cs="Segoe UI"/>
          <w:szCs w:val="22"/>
          <w:lang w:val="fr-FR"/>
        </w:rPr>
        <w:t>Communities</w:t>
      </w:r>
      <w:proofErr w:type="spellEnd"/>
      <w:r>
        <w:rPr>
          <w:rFonts w:cs="Segoe UI"/>
          <w:szCs w:val="22"/>
          <w:lang w:val="fr-FR"/>
        </w:rPr>
        <w:t> » et « </w:t>
      </w:r>
      <w:proofErr w:type="spellStart"/>
      <w:r>
        <w:rPr>
          <w:rFonts w:cs="Segoe UI"/>
          <w:szCs w:val="22"/>
          <w:lang w:val="fr-FR"/>
        </w:rPr>
        <w:t>Trusted</w:t>
      </w:r>
      <w:proofErr w:type="spellEnd"/>
      <w:r>
        <w:rPr>
          <w:rFonts w:cs="Segoe UI"/>
          <w:szCs w:val="22"/>
          <w:lang w:val="fr-FR"/>
        </w:rPr>
        <w:t xml:space="preserve"> Partner ».</w:t>
      </w:r>
    </w:p>
    <w:p w14:paraId="6E4F69B8" w14:textId="77777777" w:rsidR="005552F0" w:rsidRPr="007F4042" w:rsidRDefault="005552F0" w:rsidP="005552F0">
      <w:pPr>
        <w:autoSpaceDE w:val="0"/>
        <w:autoSpaceDN w:val="0"/>
        <w:adjustRightInd w:val="0"/>
        <w:rPr>
          <w:rFonts w:cs="Segoe UI"/>
          <w:color w:val="000000"/>
          <w:shd w:val="clear" w:color="auto" w:fill="FFFFFF"/>
          <w:lang w:val="fr-FR"/>
        </w:rPr>
      </w:pPr>
    </w:p>
    <w:p w14:paraId="7797B412" w14:textId="3117FA8D" w:rsidR="005552F0" w:rsidRPr="007F4042" w:rsidRDefault="005552F0" w:rsidP="005552F0">
      <w:pPr>
        <w:autoSpaceDE w:val="0"/>
        <w:autoSpaceDN w:val="0"/>
        <w:adjustRightInd w:val="0"/>
        <w:rPr>
          <w:rFonts w:cs="Segoe UI"/>
          <w:bCs/>
          <w:szCs w:val="22"/>
          <w:lang w:val="fr-FR"/>
        </w:rPr>
      </w:pPr>
      <w:bookmarkStart w:id="7" w:name="_Hlk109206660"/>
      <w:r>
        <w:rPr>
          <w:rFonts w:cs="Segoe UI"/>
          <w:szCs w:val="22"/>
          <w:lang w:val="fr-FR"/>
        </w:rPr>
        <w:t>Henkel affiche de nouvelles avancées en matière de développement durable au premier semestre 2022</w:t>
      </w:r>
      <w:r w:rsidR="00377F9E">
        <w:rPr>
          <w:rFonts w:cs="Segoe UI"/>
          <w:szCs w:val="22"/>
          <w:lang w:val="fr-FR"/>
        </w:rPr>
        <w:t>. Afin d’atteindre</w:t>
      </w:r>
      <w:r w:rsidR="00491A76">
        <w:rPr>
          <w:rFonts w:cs="Segoe UI"/>
          <w:szCs w:val="22"/>
          <w:lang w:val="fr-FR"/>
        </w:rPr>
        <w:t xml:space="preserve"> son objectif d’avoir d’ici 2030 pour ses sites de production</w:t>
      </w:r>
      <w:r w:rsidR="00377F9E">
        <w:rPr>
          <w:rFonts w:cs="Segoe UI"/>
          <w:szCs w:val="22"/>
          <w:lang w:val="fr-FR"/>
        </w:rPr>
        <w:t xml:space="preserve">, </w:t>
      </w:r>
      <w:r w:rsidR="00491A76">
        <w:rPr>
          <w:rFonts w:cs="Segoe UI"/>
          <w:szCs w:val="22"/>
          <w:lang w:val="fr-FR"/>
        </w:rPr>
        <w:t>un bilan carbone ayant</w:t>
      </w:r>
      <w:r w:rsidR="00A76294">
        <w:rPr>
          <w:rFonts w:cs="Segoe UI"/>
          <w:szCs w:val="22"/>
          <w:lang w:val="fr-FR"/>
        </w:rPr>
        <w:t xml:space="preserve"> un impact positif</w:t>
      </w:r>
      <w:r>
        <w:rPr>
          <w:rFonts w:cs="Segoe UI"/>
          <w:szCs w:val="22"/>
          <w:lang w:val="fr-FR"/>
        </w:rPr>
        <w:t xml:space="preserve"> </w:t>
      </w:r>
      <w:r w:rsidR="00A76294">
        <w:rPr>
          <w:rFonts w:cs="Segoe UI"/>
          <w:szCs w:val="22"/>
          <w:lang w:val="fr-FR"/>
        </w:rPr>
        <w:t>sur</w:t>
      </w:r>
      <w:r>
        <w:rPr>
          <w:rFonts w:cs="Segoe UI"/>
          <w:szCs w:val="22"/>
          <w:lang w:val="fr-FR"/>
        </w:rPr>
        <w:t xml:space="preserve"> le climat</w:t>
      </w:r>
      <w:r w:rsidR="00491A76">
        <w:rPr>
          <w:rFonts w:cs="Segoe UI"/>
          <w:szCs w:val="22"/>
          <w:lang w:val="fr-FR"/>
        </w:rPr>
        <w:t xml:space="preserve">, </w:t>
      </w:r>
      <w:r>
        <w:rPr>
          <w:rFonts w:cs="Segoe UI"/>
          <w:szCs w:val="22"/>
          <w:lang w:val="fr-FR"/>
        </w:rPr>
        <w:t xml:space="preserve">Henkel a notamment converti trois sites supplémentaires en Europe à un fonctionnement avec une énergie 100 % neutre en CO2. Henkel continue également de s’appuyer systématiquement sur des matières premières renouvelables. Grâce à un partenariat avec BASF, environ 110 000 tonnes de matières </w:t>
      </w:r>
      <w:r w:rsidR="00491A76">
        <w:rPr>
          <w:rFonts w:cs="Segoe UI"/>
          <w:szCs w:val="22"/>
          <w:lang w:val="fr-FR"/>
        </w:rPr>
        <w:t xml:space="preserve">d’origine </w:t>
      </w:r>
      <w:r>
        <w:rPr>
          <w:rFonts w:cs="Segoe UI"/>
          <w:szCs w:val="22"/>
          <w:lang w:val="fr-FR"/>
        </w:rPr>
        <w:t>fossiles sont</w:t>
      </w:r>
      <w:r w:rsidR="00A76294">
        <w:rPr>
          <w:rFonts w:cs="Segoe UI"/>
          <w:szCs w:val="22"/>
          <w:lang w:val="fr-FR"/>
        </w:rPr>
        <w:t xml:space="preserve"> ainsi</w:t>
      </w:r>
      <w:r>
        <w:rPr>
          <w:rFonts w:cs="Segoe UI"/>
          <w:szCs w:val="22"/>
          <w:lang w:val="fr-FR"/>
        </w:rPr>
        <w:t xml:space="preserve"> remplacées par des sources renouvelables.</w:t>
      </w:r>
    </w:p>
    <w:p w14:paraId="11E41D0A" w14:textId="77777777" w:rsidR="005552F0" w:rsidRPr="007F4042" w:rsidRDefault="005552F0" w:rsidP="005552F0">
      <w:pPr>
        <w:autoSpaceDE w:val="0"/>
        <w:autoSpaceDN w:val="0"/>
        <w:adjustRightInd w:val="0"/>
        <w:rPr>
          <w:rFonts w:cs="Segoe UI"/>
          <w:bCs/>
          <w:szCs w:val="22"/>
          <w:lang w:val="fr-FR"/>
        </w:rPr>
      </w:pPr>
    </w:p>
    <w:bookmarkEnd w:id="7"/>
    <w:p w14:paraId="773ABDE7" w14:textId="23794625" w:rsidR="005552F0" w:rsidRPr="007F4042" w:rsidRDefault="005552F0" w:rsidP="005552F0">
      <w:pPr>
        <w:rPr>
          <w:rFonts w:cs="Segoe UI"/>
          <w:bCs/>
          <w:szCs w:val="22"/>
          <w:lang w:val="fr-FR"/>
        </w:rPr>
      </w:pPr>
      <w:r>
        <w:rPr>
          <w:rFonts w:cs="Segoe UI"/>
          <w:szCs w:val="22"/>
          <w:lang w:val="fr-FR"/>
        </w:rPr>
        <w:t xml:space="preserve">Outre l’innovation et le développement durable, Henkel a défini la </w:t>
      </w:r>
      <w:r>
        <w:rPr>
          <w:rFonts w:cs="Segoe UI"/>
          <w:b/>
          <w:bCs/>
          <w:szCs w:val="22"/>
          <w:lang w:val="fr-FR"/>
        </w:rPr>
        <w:t>transformation digitale</w:t>
      </w:r>
      <w:r>
        <w:rPr>
          <w:rFonts w:cs="Segoe UI"/>
          <w:szCs w:val="22"/>
          <w:lang w:val="fr-FR"/>
        </w:rPr>
        <w:t xml:space="preserve"> comme </w:t>
      </w:r>
      <w:r w:rsidR="00A76294">
        <w:rPr>
          <w:rFonts w:cs="Segoe UI"/>
          <w:szCs w:val="22"/>
          <w:lang w:val="fr-FR"/>
        </w:rPr>
        <w:t xml:space="preserve">un </w:t>
      </w:r>
      <w:r>
        <w:rPr>
          <w:rFonts w:cs="Segoe UI"/>
          <w:szCs w:val="22"/>
          <w:lang w:val="fr-FR"/>
        </w:rPr>
        <w:t xml:space="preserve">levier clé pour renforcer sa compétitivité. Au premier semestre, les ventes issues des canaux </w:t>
      </w:r>
      <w:r w:rsidR="00BB1E19">
        <w:rPr>
          <w:rFonts w:cs="Segoe UI"/>
          <w:szCs w:val="22"/>
          <w:lang w:val="fr-FR"/>
        </w:rPr>
        <w:t>digitaux</w:t>
      </w:r>
      <w:r>
        <w:rPr>
          <w:rFonts w:cs="Segoe UI"/>
          <w:szCs w:val="22"/>
          <w:lang w:val="fr-FR"/>
        </w:rPr>
        <w:t xml:space="preserve"> ont enregistré une progression à deux chiffres, leur part atteignant désormais plus de 20 %. Grâce à sa plateforme d’e-commerce, l’activité </w:t>
      </w:r>
      <w:proofErr w:type="spellStart"/>
      <w:r>
        <w:rPr>
          <w:rFonts w:cs="Segoe UI"/>
          <w:szCs w:val="22"/>
          <w:lang w:val="fr-FR"/>
        </w:rPr>
        <w:t>Adhesive</w:t>
      </w:r>
      <w:proofErr w:type="spellEnd"/>
      <w:r>
        <w:rPr>
          <w:rFonts w:cs="Segoe UI"/>
          <w:szCs w:val="22"/>
          <w:lang w:val="fr-FR"/>
        </w:rPr>
        <w:t xml:space="preserve"> Technologies affiche ainsi une croissance à deux chiffres au premier semestre 2022. Il en va de même pour la boutique en ligne de l’activité </w:t>
      </w:r>
      <w:proofErr w:type="spellStart"/>
      <w:r>
        <w:rPr>
          <w:rFonts w:cs="Segoe UI"/>
          <w:szCs w:val="22"/>
          <w:lang w:val="fr-FR"/>
        </w:rPr>
        <w:t>Hair</w:t>
      </w:r>
      <w:proofErr w:type="spellEnd"/>
      <w:r>
        <w:rPr>
          <w:rFonts w:cs="Segoe UI"/>
          <w:szCs w:val="22"/>
          <w:lang w:val="fr-FR"/>
        </w:rPr>
        <w:t xml:space="preserve"> Professional, grâce à une gamme élargie de marques et de produits. Henkel continue par ailleurs à développer son offre de produits prêts à la commercialisation en ligne dans le secteur Laundry &amp; Home Care. La nouvelle plateforme technique intégrée RAQN y a contribué.</w:t>
      </w:r>
    </w:p>
    <w:p w14:paraId="23944CBE" w14:textId="77777777" w:rsidR="005552F0" w:rsidRPr="007F4042" w:rsidRDefault="005552F0" w:rsidP="005552F0">
      <w:pPr>
        <w:rPr>
          <w:rFonts w:cs="Segoe UI"/>
          <w:szCs w:val="22"/>
          <w:lang w:val="fr-FR"/>
        </w:rPr>
      </w:pPr>
    </w:p>
    <w:p w14:paraId="0B50D863" w14:textId="471A34F3" w:rsidR="005552F0" w:rsidRPr="007F4042" w:rsidRDefault="005552F0" w:rsidP="005552F0">
      <w:pPr>
        <w:rPr>
          <w:rStyle w:val="AboutandContactHeadline"/>
          <w:rFonts w:asciiTheme="majorHAnsi" w:hAnsiTheme="majorHAnsi" w:cstheme="majorHAnsi"/>
          <w:b w:val="0"/>
          <w:sz w:val="22"/>
          <w:lang w:val="fr-FR"/>
        </w:rPr>
      </w:pPr>
      <w:bookmarkStart w:id="8" w:name="_Hlk109386180"/>
      <w:r>
        <w:rPr>
          <w:rStyle w:val="AboutandContactHeadline"/>
          <w:rFonts w:asciiTheme="majorHAnsi" w:hAnsiTheme="majorHAnsi" w:cstheme="majorHAnsi"/>
          <w:b w:val="0"/>
          <w:bCs w:val="0"/>
          <w:sz w:val="22"/>
          <w:lang w:val="fr-FR"/>
        </w:rPr>
        <w:t xml:space="preserve">Des </w:t>
      </w:r>
      <w:r>
        <w:rPr>
          <w:rStyle w:val="AboutandContactHeadline"/>
          <w:rFonts w:asciiTheme="majorHAnsi" w:hAnsiTheme="majorHAnsi" w:cstheme="majorHAnsi"/>
          <w:sz w:val="22"/>
          <w:lang w:val="fr-FR"/>
        </w:rPr>
        <w:t xml:space="preserve">modèles opérationnels </w:t>
      </w:r>
      <w:r>
        <w:rPr>
          <w:rStyle w:val="AboutandContactHeadline"/>
          <w:rFonts w:asciiTheme="majorHAnsi" w:hAnsiTheme="majorHAnsi" w:cstheme="majorHAnsi"/>
          <w:b w:val="0"/>
          <w:bCs w:val="0"/>
          <w:sz w:val="22"/>
          <w:lang w:val="fr-FR"/>
        </w:rPr>
        <w:t xml:space="preserve">rationalisés, rapides et </w:t>
      </w:r>
      <w:r>
        <w:rPr>
          <w:rStyle w:val="AboutandContactHeadline"/>
          <w:rFonts w:asciiTheme="majorHAnsi" w:hAnsiTheme="majorHAnsi" w:cstheme="majorHAnsi"/>
          <w:sz w:val="22"/>
          <w:lang w:val="fr-FR"/>
        </w:rPr>
        <w:t>tournés vers l’avenir</w:t>
      </w:r>
      <w:r>
        <w:rPr>
          <w:rStyle w:val="AboutandContactHeadline"/>
          <w:rFonts w:asciiTheme="majorHAnsi" w:hAnsiTheme="majorHAnsi" w:cstheme="majorHAnsi"/>
          <w:b w:val="0"/>
          <w:bCs w:val="0"/>
          <w:sz w:val="22"/>
          <w:lang w:val="fr-FR"/>
        </w:rPr>
        <w:t xml:space="preserve"> constituent des éléments importants du </w:t>
      </w:r>
      <w:r w:rsidR="00A76294">
        <w:rPr>
          <w:rStyle w:val="AboutandContactHeadline"/>
          <w:rFonts w:asciiTheme="majorHAnsi" w:hAnsiTheme="majorHAnsi" w:cstheme="majorHAnsi"/>
          <w:b w:val="0"/>
          <w:bCs w:val="0"/>
          <w:sz w:val="22"/>
          <w:lang w:val="fr-FR"/>
        </w:rPr>
        <w:t>plan</w:t>
      </w:r>
      <w:r>
        <w:rPr>
          <w:rStyle w:val="AboutandContactHeadline"/>
          <w:rFonts w:asciiTheme="majorHAnsi" w:hAnsiTheme="majorHAnsi" w:cstheme="majorHAnsi"/>
          <w:b w:val="0"/>
          <w:bCs w:val="0"/>
          <w:sz w:val="22"/>
          <w:lang w:val="fr-FR"/>
        </w:rPr>
        <w:t xml:space="preserve"> stratégique de Henkel. Henkel a encore franchi un cap dans les changements lancés en 2020 : l’entité numérique Henkel dx dispose désormais de structures très efficaces permettant de réaliser des investissements de plus grande envergure dans des projets informatiques à coûts stables. </w:t>
      </w:r>
    </w:p>
    <w:p w14:paraId="378A0CC1" w14:textId="77777777" w:rsidR="005552F0" w:rsidRPr="007F4042" w:rsidRDefault="005552F0" w:rsidP="005552F0">
      <w:pPr>
        <w:rPr>
          <w:rStyle w:val="AboutandContactHeadline"/>
          <w:rFonts w:asciiTheme="majorHAnsi" w:hAnsiTheme="majorHAnsi" w:cstheme="majorHAnsi"/>
          <w:b w:val="0"/>
          <w:sz w:val="22"/>
          <w:lang w:val="fr-FR"/>
        </w:rPr>
      </w:pPr>
    </w:p>
    <w:p w14:paraId="46182A32" w14:textId="7554B21F" w:rsidR="005552F0" w:rsidRPr="007F4042" w:rsidRDefault="005552F0" w:rsidP="005552F0">
      <w:pPr>
        <w:rPr>
          <w:rFonts w:cs="Segoe UI"/>
          <w:szCs w:val="22"/>
          <w:lang w:val="fr-FR"/>
        </w:rPr>
      </w:pPr>
      <w:bookmarkStart w:id="9" w:name="_Hlk109386825"/>
      <w:bookmarkEnd w:id="8"/>
      <w:r>
        <w:rPr>
          <w:rFonts w:cs="Segoe UI"/>
          <w:color w:val="000000"/>
          <w:shd w:val="clear" w:color="auto" w:fill="FFFFFF"/>
          <w:lang w:val="fr-FR"/>
        </w:rPr>
        <w:t xml:space="preserve">Autre volet clé du </w:t>
      </w:r>
      <w:r w:rsidR="00BB20D4">
        <w:rPr>
          <w:rFonts w:cs="Segoe UI"/>
          <w:color w:val="000000"/>
          <w:shd w:val="clear" w:color="auto" w:fill="FFFFFF"/>
          <w:lang w:val="fr-FR"/>
        </w:rPr>
        <w:t>plan</w:t>
      </w:r>
      <w:r>
        <w:rPr>
          <w:rFonts w:cs="Segoe UI"/>
          <w:color w:val="000000"/>
          <w:shd w:val="clear" w:color="auto" w:fill="FFFFFF"/>
          <w:lang w:val="fr-FR"/>
        </w:rPr>
        <w:t xml:space="preserve"> de croissance ciblée : poursuivre le développement de la culture d’entreprise de Henkel et accélérer la </w:t>
      </w:r>
      <w:r>
        <w:rPr>
          <w:rFonts w:cs="Segoe UI"/>
          <w:b/>
          <w:bCs/>
          <w:color w:val="000000"/>
          <w:shd w:val="clear" w:color="auto" w:fill="FFFFFF"/>
          <w:lang w:val="fr-FR"/>
        </w:rPr>
        <w:t>transformation culturelle</w:t>
      </w:r>
      <w:r>
        <w:rPr>
          <w:rFonts w:cs="Segoe UI"/>
          <w:color w:val="000000"/>
          <w:shd w:val="clear" w:color="auto" w:fill="FFFFFF"/>
          <w:lang w:val="fr-FR"/>
        </w:rPr>
        <w:t>. L’idée est d’encourager une culture de la coopération. Au cours du premier semestre, Henkel a continué à lancer une série de mesures visant à appuyer la réalisation de cet objectif et le développement</w:t>
      </w:r>
      <w:r w:rsidR="003D4409">
        <w:rPr>
          <w:rFonts w:cs="Segoe UI"/>
          <w:color w:val="000000"/>
          <w:shd w:val="clear" w:color="auto" w:fill="FFFFFF"/>
          <w:lang w:val="fr-FR"/>
        </w:rPr>
        <w:t xml:space="preserve"> de l’engagement</w:t>
      </w:r>
      <w:r>
        <w:rPr>
          <w:rFonts w:cs="Segoe UI"/>
          <w:color w:val="000000"/>
          <w:shd w:val="clear" w:color="auto" w:fill="FFFFFF"/>
          <w:lang w:val="fr-FR"/>
        </w:rPr>
        <w:t xml:space="preserve"> de s</w:t>
      </w:r>
      <w:r w:rsidR="00BB1E19">
        <w:rPr>
          <w:rFonts w:cs="Segoe UI"/>
          <w:color w:val="000000"/>
          <w:shd w:val="clear" w:color="auto" w:fill="FFFFFF"/>
          <w:lang w:val="fr-FR"/>
        </w:rPr>
        <w:t>es salariés.</w:t>
      </w:r>
    </w:p>
    <w:p w14:paraId="28179117" w14:textId="77777777" w:rsidR="005552F0" w:rsidRPr="007F4042" w:rsidRDefault="005552F0" w:rsidP="005552F0">
      <w:pPr>
        <w:rPr>
          <w:lang w:val="fr-FR"/>
        </w:rPr>
      </w:pPr>
    </w:p>
    <w:p w14:paraId="2B25D96D" w14:textId="7B6142BD" w:rsidR="005552F0" w:rsidRPr="007F4042" w:rsidRDefault="005552F0" w:rsidP="005552F0">
      <w:pPr>
        <w:rPr>
          <w:lang w:val="fr-FR"/>
        </w:rPr>
      </w:pPr>
      <w:r>
        <w:rPr>
          <w:lang w:val="fr-FR"/>
        </w:rPr>
        <w:t xml:space="preserve">Henkel a ainsi introduit un </w:t>
      </w:r>
      <w:r w:rsidR="00BB20D4">
        <w:rPr>
          <w:lang w:val="fr-FR"/>
        </w:rPr>
        <w:t>programme</w:t>
      </w:r>
      <w:r>
        <w:rPr>
          <w:lang w:val="fr-FR"/>
        </w:rPr>
        <w:t xml:space="preserve"> complet de gestion d</w:t>
      </w:r>
      <w:r w:rsidR="003D4409">
        <w:rPr>
          <w:lang w:val="fr-FR"/>
        </w:rPr>
        <w:t>u</w:t>
      </w:r>
      <w:r>
        <w:rPr>
          <w:lang w:val="fr-FR"/>
        </w:rPr>
        <w:t xml:space="preserve"> changement dans le cadre de la fusion des branches Laundry &amp; Home Care et Beauty Care. Ce </w:t>
      </w:r>
      <w:r w:rsidR="00BB20D4">
        <w:rPr>
          <w:lang w:val="fr-FR"/>
        </w:rPr>
        <w:t>programme</w:t>
      </w:r>
      <w:r>
        <w:rPr>
          <w:lang w:val="fr-FR"/>
        </w:rPr>
        <w:t xml:space="preserve"> est axé sur une </w:t>
      </w:r>
      <w:r>
        <w:rPr>
          <w:lang w:val="fr-FR"/>
        </w:rPr>
        <w:lastRenderedPageBreak/>
        <w:t xml:space="preserve">meilleure gestion des changements et la transformation des équipes. De plus, afin d’atteindre l’objectif de parité homme-femmes à tous les niveaux du management d’ici 2025, Henkel a pris d’autres mesures concrètes et lancé des initiatives telles que la semaine de la Diversité, de l’Équité et de l’Inclusion. Dans le cadre du concept global </w:t>
      </w:r>
      <w:r w:rsidR="003D4409">
        <w:rPr>
          <w:lang w:val="fr-FR"/>
        </w:rPr>
        <w:t>« </w:t>
      </w:r>
      <w:r>
        <w:rPr>
          <w:lang w:val="fr-FR"/>
        </w:rPr>
        <w:t>Smart Work</w:t>
      </w:r>
      <w:r w:rsidR="003D4409">
        <w:rPr>
          <w:lang w:val="fr-FR"/>
        </w:rPr>
        <w:t> »</w:t>
      </w:r>
      <w:r>
        <w:rPr>
          <w:lang w:val="fr-FR"/>
        </w:rPr>
        <w:t>, de nouvelles initiatives mettant l’accent sur la santé et le bien-être d</w:t>
      </w:r>
      <w:r w:rsidR="003D4409">
        <w:rPr>
          <w:lang w:val="fr-FR"/>
        </w:rPr>
        <w:t>es salariés</w:t>
      </w:r>
      <w:r>
        <w:rPr>
          <w:lang w:val="fr-FR"/>
        </w:rPr>
        <w:t xml:space="preserve"> ont vu le jour.</w:t>
      </w:r>
    </w:p>
    <w:bookmarkEnd w:id="9"/>
    <w:p w14:paraId="6612FBAB" w14:textId="77777777" w:rsidR="005552F0" w:rsidRPr="007F4042" w:rsidRDefault="005552F0" w:rsidP="005552F0">
      <w:pPr>
        <w:rPr>
          <w:rFonts w:cs="Segoe UI"/>
          <w:szCs w:val="22"/>
          <w:highlight w:val="yellow"/>
          <w:lang w:val="fr-FR"/>
        </w:rPr>
      </w:pPr>
    </w:p>
    <w:p w14:paraId="014DBD7F" w14:textId="5EEC0F11" w:rsidR="005552F0" w:rsidRPr="007F4042" w:rsidRDefault="005552F0" w:rsidP="005552F0">
      <w:pPr>
        <w:rPr>
          <w:rFonts w:cs="Segoe UI"/>
          <w:szCs w:val="22"/>
          <w:lang w:val="fr-FR"/>
        </w:rPr>
      </w:pPr>
      <w:bookmarkStart w:id="10" w:name="_Hlk109211145"/>
      <w:r>
        <w:rPr>
          <w:rFonts w:cs="Segoe UI"/>
          <w:szCs w:val="22"/>
          <w:lang w:val="fr-FR"/>
        </w:rPr>
        <w:t xml:space="preserve">« Malgré les effets de la pandémie de COVID-19 et de la guerre en Ukraine, nous avons considérablement augmenté nos ventes organiques et </w:t>
      </w:r>
      <w:r w:rsidR="00972EFA">
        <w:rPr>
          <w:rFonts w:cs="Segoe UI"/>
          <w:szCs w:val="22"/>
          <w:lang w:val="fr-FR"/>
        </w:rPr>
        <w:t xml:space="preserve">nominales </w:t>
      </w:r>
      <w:r>
        <w:rPr>
          <w:rFonts w:cs="Segoe UI"/>
          <w:szCs w:val="22"/>
          <w:lang w:val="fr-FR"/>
        </w:rPr>
        <w:t>au premier semestre. Conformément aux prévisions, nos résultats ont surtout été impactés par la flambée des coûts logistiques et des matières premières</w:t>
      </w:r>
      <w:r w:rsidR="00972EFA">
        <w:rPr>
          <w:rFonts w:cs="Segoe UI"/>
          <w:szCs w:val="22"/>
          <w:lang w:val="fr-FR"/>
        </w:rPr>
        <w:t xml:space="preserve">. Cela se reflète aussi dans les </w:t>
      </w:r>
      <w:r>
        <w:rPr>
          <w:rFonts w:cs="Segoe UI"/>
          <w:szCs w:val="22"/>
          <w:lang w:val="fr-FR"/>
        </w:rPr>
        <w:t xml:space="preserve">perspectives actualisées pour l’exercice 2022 », déclare Carsten </w:t>
      </w:r>
      <w:proofErr w:type="spellStart"/>
      <w:r>
        <w:rPr>
          <w:rFonts w:cs="Segoe UI"/>
          <w:szCs w:val="22"/>
          <w:lang w:val="fr-FR"/>
        </w:rPr>
        <w:t>Knobel</w:t>
      </w:r>
      <w:proofErr w:type="spellEnd"/>
      <w:r>
        <w:rPr>
          <w:rFonts w:cs="Segoe UI"/>
          <w:szCs w:val="22"/>
          <w:lang w:val="fr-FR"/>
        </w:rPr>
        <w:t>. « Nous sommes fiers des progrès accomplis</w:t>
      </w:r>
      <w:r w:rsidR="00972EFA">
        <w:rPr>
          <w:rFonts w:cs="Segoe UI"/>
          <w:szCs w:val="22"/>
          <w:lang w:val="fr-FR"/>
        </w:rPr>
        <w:t xml:space="preserve"> et nous allons continuer de mettre en œuvre notre stratégie de façon cohérente dans ce contexte international globalement difficile</w:t>
      </w:r>
      <w:r>
        <w:rPr>
          <w:rFonts w:cs="Segoe UI"/>
          <w:szCs w:val="22"/>
          <w:lang w:val="fr-FR"/>
        </w:rPr>
        <w:t>. »</w:t>
      </w:r>
    </w:p>
    <w:p w14:paraId="1E6B539B" w14:textId="77777777" w:rsidR="005552F0" w:rsidRPr="007F4042" w:rsidRDefault="005552F0" w:rsidP="005552F0">
      <w:pPr>
        <w:rPr>
          <w:rFonts w:cs="Segoe UI"/>
          <w:szCs w:val="22"/>
          <w:lang w:val="fr-FR"/>
        </w:rPr>
      </w:pPr>
    </w:p>
    <w:bookmarkEnd w:id="10"/>
    <w:p w14:paraId="7F12DD16" w14:textId="77777777" w:rsidR="005552F0" w:rsidRDefault="005552F0" w:rsidP="00207C1F">
      <w:pPr>
        <w:autoSpaceDE w:val="0"/>
        <w:autoSpaceDN w:val="0"/>
        <w:adjustRightInd w:val="0"/>
        <w:rPr>
          <w:rFonts w:cs="Segoe UI"/>
          <w:szCs w:val="22"/>
          <w:lang w:val="fr-FR"/>
        </w:rPr>
      </w:pPr>
    </w:p>
    <w:p w14:paraId="1669393C" w14:textId="5B33E532" w:rsidR="00316B32" w:rsidRPr="00316B32" w:rsidRDefault="00207C1F" w:rsidP="00207C1F">
      <w:pPr>
        <w:autoSpaceDE w:val="0"/>
        <w:autoSpaceDN w:val="0"/>
        <w:adjustRightInd w:val="0"/>
        <w:rPr>
          <w:rFonts w:cs="Segoe UI"/>
          <w:sz w:val="18"/>
          <w:szCs w:val="18"/>
          <w:lang w:val="fr-FR"/>
        </w:rPr>
      </w:pPr>
      <w:r w:rsidRPr="00316B32">
        <w:rPr>
          <w:rFonts w:cs="Segoe UI"/>
          <w:sz w:val="18"/>
          <w:szCs w:val="18"/>
          <w:lang w:val="fr-FR"/>
        </w:rPr>
        <w:t xml:space="preserve">*Après ajustement des dépenses et des produits exceptionnels, ainsi que des dépenses pour restructuration </w:t>
      </w:r>
    </w:p>
    <w:p w14:paraId="27381475" w14:textId="4BA1046A" w:rsidR="00207C1F" w:rsidRDefault="00207C1F" w:rsidP="00207C1F">
      <w:pPr>
        <w:autoSpaceDE w:val="0"/>
        <w:autoSpaceDN w:val="0"/>
        <w:adjustRightInd w:val="0"/>
        <w:rPr>
          <w:rFonts w:cs="Segoe UI"/>
          <w:bCs/>
          <w:szCs w:val="22"/>
          <w:lang w:val="fr-FR"/>
        </w:rPr>
      </w:pPr>
    </w:p>
    <w:p w14:paraId="4B52FDE0" w14:textId="60B39D2C" w:rsidR="00316B32" w:rsidRPr="00316B32" w:rsidRDefault="00A31B0D" w:rsidP="00316B32">
      <w:pPr>
        <w:rPr>
          <w:rFonts w:cs="Segoe UI"/>
          <w:lang w:val="fr-FR"/>
        </w:rPr>
      </w:pPr>
      <w:hyperlink r:id="rId12" w:history="1">
        <w:r w:rsidR="00316B32" w:rsidRPr="00316B32">
          <w:rPr>
            <w:rStyle w:val="Lienhypertexte"/>
            <w:rFonts w:cs="Segoe UI"/>
            <w:b/>
            <w:bCs/>
            <w:color w:val="auto"/>
            <w:sz w:val="22"/>
            <w:szCs w:val="22"/>
            <w:lang w:val="fr-FR"/>
          </w:rPr>
          <w:t>Ce communiqué est une traduction du communiqué</w:t>
        </w:r>
        <w:r w:rsidR="00316B32">
          <w:rPr>
            <w:rStyle w:val="Lienhypertexte"/>
            <w:rFonts w:cs="Segoe UI"/>
            <w:b/>
            <w:bCs/>
            <w:color w:val="auto"/>
            <w:sz w:val="22"/>
            <w:szCs w:val="22"/>
            <w:lang w:val="fr-FR"/>
          </w:rPr>
          <w:t xml:space="preserve"> </w:t>
        </w:r>
        <w:r w:rsidR="00316B32" w:rsidRPr="00316B32">
          <w:rPr>
            <w:rStyle w:val="Lienhypertexte"/>
            <w:rFonts w:cs="Segoe UI"/>
            <w:b/>
            <w:bCs/>
            <w:color w:val="auto"/>
            <w:sz w:val="22"/>
            <w:szCs w:val="22"/>
            <w:lang w:val="fr-FR"/>
          </w:rPr>
          <w:t>original en anglais.</w:t>
        </w:r>
      </w:hyperlink>
      <w:r w:rsidR="00316B32" w:rsidRPr="00316B32">
        <w:rPr>
          <w:rFonts w:cs="Segoe UI"/>
          <w:b/>
          <w:bCs/>
          <w:szCs w:val="22"/>
          <w:lang w:val="fr-FR"/>
        </w:rPr>
        <w:t xml:space="preserve"> </w:t>
      </w:r>
    </w:p>
    <w:p w14:paraId="49E260BA" w14:textId="77777777" w:rsidR="00316B32" w:rsidRPr="00316B32" w:rsidRDefault="00316B32" w:rsidP="00316B32">
      <w:pPr>
        <w:rPr>
          <w:rFonts w:cs="Segoe UI"/>
          <w:lang w:val="fr-FR"/>
        </w:rPr>
      </w:pPr>
    </w:p>
    <w:p w14:paraId="0CA59E0F" w14:textId="77777777" w:rsidR="00316B32" w:rsidRPr="00316B32" w:rsidRDefault="00316B32" w:rsidP="00316B32">
      <w:pPr>
        <w:rPr>
          <w:b/>
          <w:bCs/>
          <w:sz w:val="18"/>
          <w:lang w:val="fr-FR"/>
        </w:rPr>
      </w:pPr>
      <w:r w:rsidRPr="00316B32">
        <w:rPr>
          <w:b/>
          <w:bCs/>
          <w:sz w:val="18"/>
          <w:lang w:val="fr-FR"/>
        </w:rPr>
        <w:t>A propos de Henkel</w:t>
      </w:r>
    </w:p>
    <w:p w14:paraId="48AD5ACC" w14:textId="77777777" w:rsidR="00316B32" w:rsidRPr="00316B32" w:rsidRDefault="00316B32" w:rsidP="00316B32">
      <w:pPr>
        <w:rPr>
          <w:sz w:val="18"/>
          <w:lang w:val="fr-FR"/>
        </w:rPr>
      </w:pPr>
      <w:r w:rsidRPr="00316B32">
        <w:rPr>
          <w:sz w:val="18"/>
          <w:lang w:val="fr-FR"/>
        </w:rPr>
        <w:t xml:space="preserve">Henkel est présent dans le monde entier avec un portefeuille d’activités diversifié et bien équilibré. L’entreprise détient des positions mondiales fortes dans ses trois secteurs, auprès des industriels comme des consommateurs grâce à ses marques puissantes, ses innovations et ses technologies. Le secteur </w:t>
      </w:r>
      <w:proofErr w:type="spellStart"/>
      <w:r w:rsidRPr="00316B32">
        <w:rPr>
          <w:sz w:val="18"/>
          <w:lang w:val="fr-FR"/>
        </w:rPr>
        <w:t>Adhesive</w:t>
      </w:r>
      <w:proofErr w:type="spellEnd"/>
      <w:r w:rsidRPr="00316B32">
        <w:rPr>
          <w:sz w:val="18"/>
          <w:lang w:val="fr-FR"/>
        </w:rPr>
        <w:t xml:space="preserve"> Technologies est leader mondial des adhésifs – sur tous ses segments industriels dans le monde. Avec ses activités Laundry &amp; Home Care et Beauty Care, Henkel détient des positions de leader sur un grand nombre de marchés et de catégories dans le monde. Crée en 1876, Henkel s’appuie sur plus de 140 ans de réussite. En 2021, le Groupe a réalisé un chiffre d’affaires de plus de 20 milliards d’EUR et un bénéfice d’exploitation ajusté d’environ 2,7 milliards d’euros. Henkel emploie près de 52 000 personnes à travers le monde – une équipe passionnée, riche de sa grande diversité, unie par une culture forte, la volonté de créer ensemble de la valeur durable et des valeurs d’entreprise partagées. Reconnu comme un leader en matière de développement durable, Henkel détient des positions de premier plan dans différents classements et indices internationaux. Les actions préférentielles Henkel sont listées à l’indice boursier allemand DAX. Pour en savoir plus, rendez-vous sur </w:t>
      </w:r>
      <w:hyperlink r:id="rId13" w:history="1">
        <w:r w:rsidRPr="00316B32">
          <w:rPr>
            <w:color w:val="0000FF"/>
            <w:sz w:val="18"/>
            <w:u w:val="single"/>
            <w:lang w:val="fr-FR"/>
          </w:rPr>
          <w:t>www.henkel.fr</w:t>
        </w:r>
      </w:hyperlink>
    </w:p>
    <w:p w14:paraId="3D812A89" w14:textId="77777777" w:rsidR="00316B32" w:rsidRPr="00316B32" w:rsidRDefault="00316B32" w:rsidP="00316B32">
      <w:pPr>
        <w:rPr>
          <w:sz w:val="18"/>
          <w:lang w:val="fr-FR"/>
        </w:rPr>
      </w:pPr>
    </w:p>
    <w:p w14:paraId="1F49AF3A" w14:textId="77777777" w:rsidR="00316B32" w:rsidRPr="00316B32" w:rsidRDefault="00316B32" w:rsidP="00316B32">
      <w:pPr>
        <w:rPr>
          <w:b/>
          <w:bCs/>
          <w:sz w:val="18"/>
          <w:lang w:val="fr-FR"/>
        </w:rPr>
      </w:pPr>
      <w:r w:rsidRPr="00316B32">
        <w:rPr>
          <w:b/>
          <w:bCs/>
          <w:sz w:val="18"/>
          <w:lang w:val="fr-FR"/>
        </w:rPr>
        <w:t>Contacts presse</w:t>
      </w:r>
    </w:p>
    <w:p w14:paraId="68D3F54C" w14:textId="77777777" w:rsidR="00316B32" w:rsidRPr="00316B32" w:rsidRDefault="00316B32" w:rsidP="00316B32">
      <w:pPr>
        <w:rPr>
          <w:b/>
          <w:bCs/>
          <w:sz w:val="18"/>
          <w:lang w:val="fr-FR"/>
        </w:rPr>
      </w:pPr>
    </w:p>
    <w:p w14:paraId="225833C7" w14:textId="5D2CF93E" w:rsidR="00316B32" w:rsidRPr="00491A76" w:rsidRDefault="00316B32" w:rsidP="00316B32">
      <w:pPr>
        <w:rPr>
          <w:b/>
          <w:bCs/>
          <w:sz w:val="18"/>
          <w:lang w:val="fr-FR"/>
        </w:rPr>
      </w:pPr>
    </w:p>
    <w:p w14:paraId="2CC712B1" w14:textId="77777777" w:rsidR="00316B32" w:rsidRPr="00316B32" w:rsidRDefault="00316B32" w:rsidP="00316B32">
      <w:pPr>
        <w:tabs>
          <w:tab w:val="left" w:pos="5291"/>
        </w:tabs>
        <w:rPr>
          <w:b/>
          <w:sz w:val="18"/>
          <w:szCs w:val="18"/>
        </w:rPr>
      </w:pPr>
      <w:bookmarkStart w:id="11" w:name="_Hlk96504170"/>
      <w:r w:rsidRPr="00316B32">
        <w:rPr>
          <w:b/>
          <w:sz w:val="18"/>
          <w:szCs w:val="18"/>
        </w:rPr>
        <w:t xml:space="preserve">Henkel </w:t>
      </w:r>
      <w:r w:rsidRPr="00316B32">
        <w:rPr>
          <w:b/>
          <w:sz w:val="18"/>
          <w:szCs w:val="18"/>
        </w:rPr>
        <w:tab/>
      </w:r>
      <w:proofErr w:type="spellStart"/>
      <w:r w:rsidRPr="00316B32">
        <w:rPr>
          <w:b/>
          <w:sz w:val="18"/>
          <w:szCs w:val="18"/>
        </w:rPr>
        <w:t>Agence</w:t>
      </w:r>
      <w:proofErr w:type="spellEnd"/>
      <w:r w:rsidRPr="00316B32">
        <w:rPr>
          <w:b/>
          <w:sz w:val="18"/>
          <w:szCs w:val="18"/>
        </w:rPr>
        <w:t xml:space="preserve"> </w:t>
      </w:r>
      <w:proofErr w:type="spellStart"/>
      <w:r w:rsidRPr="00316B32">
        <w:rPr>
          <w:b/>
          <w:sz w:val="18"/>
          <w:szCs w:val="18"/>
        </w:rPr>
        <w:t>Burson</w:t>
      </w:r>
      <w:proofErr w:type="spellEnd"/>
      <w:r w:rsidRPr="00316B32">
        <w:rPr>
          <w:b/>
          <w:sz w:val="18"/>
          <w:szCs w:val="18"/>
        </w:rPr>
        <w:t xml:space="preserve"> Cohn &amp; Wolf</w:t>
      </w:r>
    </w:p>
    <w:p w14:paraId="6C24C905" w14:textId="77777777" w:rsidR="00316B32" w:rsidRPr="00491A76" w:rsidRDefault="00316B32" w:rsidP="00316B32">
      <w:pPr>
        <w:tabs>
          <w:tab w:val="left" w:pos="5290"/>
          <w:tab w:val="left" w:pos="6036"/>
        </w:tabs>
        <w:spacing w:before="23"/>
        <w:rPr>
          <w:sz w:val="18"/>
          <w:szCs w:val="18"/>
        </w:rPr>
      </w:pPr>
      <w:r w:rsidRPr="00491A76">
        <w:rPr>
          <w:sz w:val="18"/>
          <w:szCs w:val="18"/>
        </w:rPr>
        <w:t>Octavie Blandin                                                                                  Paolo Ghilardi</w:t>
      </w:r>
    </w:p>
    <w:p w14:paraId="5A40B1E9" w14:textId="77777777" w:rsidR="00316B32" w:rsidRPr="00316B32" w:rsidRDefault="00316B32" w:rsidP="00316B32">
      <w:pPr>
        <w:tabs>
          <w:tab w:val="left" w:pos="5290"/>
          <w:tab w:val="left" w:pos="6036"/>
        </w:tabs>
        <w:spacing w:before="23"/>
        <w:rPr>
          <w:color w:val="0000FF"/>
          <w:sz w:val="18"/>
          <w:szCs w:val="18"/>
          <w:lang w:val="fr-FR"/>
        </w:rPr>
      </w:pPr>
      <w:r w:rsidRPr="00316B32">
        <w:rPr>
          <w:sz w:val="18"/>
          <w:szCs w:val="18"/>
          <w:lang w:val="fr-FR"/>
        </w:rPr>
        <w:t xml:space="preserve">Tél : 01 46 84 92 45                                                                            Tél : 01 56 03 1302 </w:t>
      </w:r>
    </w:p>
    <w:p w14:paraId="7EF62376" w14:textId="77777777" w:rsidR="00316B32" w:rsidRPr="00316B32" w:rsidRDefault="00316B32" w:rsidP="00316B32">
      <w:pPr>
        <w:tabs>
          <w:tab w:val="left" w:pos="1500"/>
          <w:tab w:val="left" w:pos="5291"/>
          <w:tab w:val="left" w:pos="6036"/>
        </w:tabs>
        <w:spacing w:before="25"/>
        <w:rPr>
          <w:color w:val="000000" w:themeColor="text1"/>
          <w:sz w:val="18"/>
          <w:szCs w:val="18"/>
          <w:lang w:val="fr-FR"/>
        </w:rPr>
      </w:pPr>
      <w:r w:rsidRPr="00316B32">
        <w:rPr>
          <w:color w:val="000000" w:themeColor="text1"/>
          <w:sz w:val="18"/>
          <w:szCs w:val="18"/>
          <w:u w:val="single"/>
          <w:lang w:val="fr-FR"/>
        </w:rPr>
        <w:t>octavie.blandin@henkel.com</w:t>
      </w:r>
      <w:r w:rsidRPr="00316B32">
        <w:rPr>
          <w:color w:val="000000" w:themeColor="text1"/>
          <w:sz w:val="18"/>
          <w:szCs w:val="18"/>
          <w:lang w:val="fr-FR"/>
        </w:rPr>
        <w:tab/>
      </w:r>
      <w:hyperlink r:id="rId14" w:history="1">
        <w:r w:rsidRPr="00316B32">
          <w:rPr>
            <w:color w:val="000000" w:themeColor="text1"/>
            <w:sz w:val="18"/>
            <w:szCs w:val="18"/>
            <w:u w:val="single"/>
            <w:lang w:val="fr-FR"/>
          </w:rPr>
          <w:t>paolo.ghilardi@bcw-global.com</w:t>
        </w:r>
      </w:hyperlink>
    </w:p>
    <w:bookmarkEnd w:id="6"/>
    <w:bookmarkEnd w:id="11"/>
    <w:p w14:paraId="6CFB9D6F" w14:textId="77777777" w:rsidR="00207C1F" w:rsidRPr="005C3DB8" w:rsidRDefault="00207C1F" w:rsidP="00207C1F">
      <w:pPr>
        <w:autoSpaceDE w:val="0"/>
        <w:autoSpaceDN w:val="0"/>
        <w:adjustRightInd w:val="0"/>
        <w:rPr>
          <w:rFonts w:cs="Segoe UI"/>
          <w:b/>
          <w:szCs w:val="22"/>
          <w:lang w:val="fr-FR"/>
        </w:rPr>
      </w:pPr>
    </w:p>
    <w:p w14:paraId="07E54550" w14:textId="77777777" w:rsidR="00207C1F" w:rsidRPr="00207C1F" w:rsidRDefault="00207C1F" w:rsidP="00226640">
      <w:pPr>
        <w:spacing w:after="120"/>
        <w:rPr>
          <w:rFonts w:cs="Segoe UI"/>
          <w:b/>
          <w:bCs/>
          <w:szCs w:val="22"/>
          <w:lang w:val="fr-FR"/>
        </w:rPr>
      </w:pPr>
    </w:p>
    <w:sectPr w:rsidR="00207C1F" w:rsidRPr="00207C1F"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CCB5" w14:textId="77777777" w:rsidR="00A31B0D" w:rsidRDefault="00A31B0D">
      <w:r>
        <w:separator/>
      </w:r>
    </w:p>
  </w:endnote>
  <w:endnote w:type="continuationSeparator" w:id="0">
    <w:p w14:paraId="2BDB58EE" w14:textId="77777777" w:rsidR="00A31B0D" w:rsidRDefault="00A3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Bold">
    <w:altName w:val="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1D59E892" w:rsidR="00CF6F33" w:rsidRPr="00112A28" w:rsidRDefault="00112A28" w:rsidP="00112A28">
    <w:pPr>
      <w:pStyle w:val="Pieddepage"/>
      <w:tabs>
        <w:tab w:val="clear" w:pos="7083"/>
        <w:tab w:val="clear" w:pos="8640"/>
        <w:tab w:val="right" w:pos="9071"/>
      </w:tabs>
      <w:jc w:val="both"/>
    </w:pPr>
    <w:r>
      <w:rPr>
        <w:bCs w:val="0"/>
        <w:lang w:val="fr-FR"/>
      </w:rPr>
      <w:t>Henkel AG &amp; Co. KGaA</w:t>
    </w:r>
    <w:r>
      <w:rPr>
        <w:bCs w:val="0"/>
        <w:lang w:val="fr-FR"/>
      </w:rPr>
      <w:tab/>
      <w:t xml:space="preserve">Page </w:t>
    </w:r>
    <w:r>
      <w:rPr>
        <w:bCs w:val="0"/>
        <w:lang w:val="fr-FR"/>
      </w:rPr>
      <w:fldChar w:fldCharType="begin"/>
    </w:r>
    <w:r>
      <w:rPr>
        <w:bCs w:val="0"/>
        <w:lang w:val="fr-FR"/>
      </w:rPr>
      <w:instrText xml:space="preserve"> PAGE  \* Arabic  \* MERGEFORMAT </w:instrText>
    </w:r>
    <w:r>
      <w:rPr>
        <w:bCs w:val="0"/>
        <w:lang w:val="fr-FR"/>
      </w:rPr>
      <w:fldChar w:fldCharType="separate"/>
    </w:r>
    <w:r>
      <w:rPr>
        <w:bCs w:val="0"/>
        <w:lang w:val="fr-FR"/>
      </w:rPr>
      <w:t>4</w:t>
    </w:r>
    <w:r>
      <w:rPr>
        <w:bCs w:val="0"/>
        <w:lang w:val="fr-FR"/>
      </w:rPr>
      <w:fldChar w:fldCharType="end"/>
    </w:r>
    <w:r>
      <w:rPr>
        <w:bCs w:val="0"/>
        <w:lang w:val="fr-FR"/>
      </w:rPr>
      <w:t>/</w:t>
    </w:r>
    <w:r>
      <w:rPr>
        <w:bCs w:val="0"/>
        <w:lang w:val="fr-FR"/>
      </w:rPr>
      <w:fldChar w:fldCharType="begin"/>
    </w:r>
    <w:r>
      <w:rPr>
        <w:bCs w:val="0"/>
        <w:lang w:val="fr-FR"/>
      </w:rPr>
      <w:instrText xml:space="preserve"> NUMPAGES  \* Arabic  \* MERGEFORMAT </w:instrText>
    </w:r>
    <w:r>
      <w:rPr>
        <w:bCs w:val="0"/>
        <w:lang w:val="fr-FR"/>
      </w:rPr>
      <w:fldChar w:fldCharType="separate"/>
    </w:r>
    <w:r>
      <w:rPr>
        <w:bCs w:val="0"/>
        <w:lang w:val="fr-FR"/>
      </w:rPr>
      <w:t>4</w:t>
    </w:r>
    <w:r>
      <w:rPr>
        <w:bCs w:val="0"/>
        <w:lang w:val="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CC5F713" w:rsidR="00CF6F33" w:rsidRPr="00992A11" w:rsidRDefault="001C61B7" w:rsidP="00992A11">
    <w:pPr>
      <w:pStyle w:val="Pieddepage"/>
    </w:pPr>
    <w:r w:rsidRPr="00386828">
      <w:drawing>
        <wp:anchor distT="0" distB="0" distL="0" distR="0" simplePos="0" relativeHeight="251660800" behindDoc="1" locked="0" layoutInCell="1" allowOverlap="1" wp14:anchorId="51A4900F" wp14:editId="17B279DA">
          <wp:simplePos x="0" y="0"/>
          <wp:positionH relativeFrom="page">
            <wp:posOffset>999502</wp:posOffset>
          </wp:positionH>
          <wp:positionV relativeFrom="page">
            <wp:posOffset>9552521</wp:posOffset>
          </wp:positionV>
          <wp:extent cx="5552441" cy="29515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552441" cy="295159"/>
                  </a:xfrm>
                  <a:prstGeom prst="rect">
                    <a:avLst/>
                  </a:prstGeom>
                </pic:spPr>
              </pic:pic>
            </a:graphicData>
          </a:graphic>
        </wp:anchor>
      </w:drawing>
    </w:r>
    <w:r w:rsidR="0059722C">
      <w:rPr>
        <w:bCs w:val="0"/>
        <w:lang w:val="fr-FR"/>
      </w:rPr>
      <w:t xml:space="preserve">Page </w:t>
    </w:r>
    <w:r w:rsidR="0059722C">
      <w:rPr>
        <w:bCs w:val="0"/>
        <w:lang w:val="fr-FR"/>
      </w:rPr>
      <w:fldChar w:fldCharType="begin"/>
    </w:r>
    <w:r w:rsidR="0059722C">
      <w:rPr>
        <w:bCs w:val="0"/>
        <w:lang w:val="fr-FR"/>
      </w:rPr>
      <w:instrText xml:space="preserve"> PAGE  \* Arabic  \* MERGEFORMAT </w:instrText>
    </w:r>
    <w:r w:rsidR="0059722C">
      <w:rPr>
        <w:bCs w:val="0"/>
        <w:lang w:val="fr-FR"/>
      </w:rPr>
      <w:fldChar w:fldCharType="separate"/>
    </w:r>
    <w:r w:rsidR="0059722C">
      <w:rPr>
        <w:bCs w:val="0"/>
        <w:lang w:val="fr-FR"/>
      </w:rPr>
      <w:t>1</w:t>
    </w:r>
    <w:r w:rsidR="0059722C">
      <w:rPr>
        <w:bCs w:val="0"/>
        <w:lang w:val="fr-FR"/>
      </w:rPr>
      <w:fldChar w:fldCharType="end"/>
    </w:r>
    <w:r w:rsidR="0059722C">
      <w:rPr>
        <w:bCs w:val="0"/>
        <w:lang w:val="fr-FR"/>
      </w:rPr>
      <w:t>/</w:t>
    </w:r>
    <w:r w:rsidR="0059722C">
      <w:rPr>
        <w:bCs w:val="0"/>
        <w:lang w:val="fr-FR"/>
      </w:rPr>
      <w:fldChar w:fldCharType="begin"/>
    </w:r>
    <w:r w:rsidR="0059722C">
      <w:rPr>
        <w:bCs w:val="0"/>
        <w:lang w:val="fr-FR"/>
      </w:rPr>
      <w:instrText xml:space="preserve"> NUMPAGES  \* Arabic  \* MERGEFORMAT </w:instrText>
    </w:r>
    <w:r w:rsidR="0059722C">
      <w:rPr>
        <w:bCs w:val="0"/>
        <w:lang w:val="fr-FR"/>
      </w:rPr>
      <w:fldChar w:fldCharType="separate"/>
    </w:r>
    <w:r w:rsidR="0059722C">
      <w:rPr>
        <w:bCs w:val="0"/>
        <w:lang w:val="fr-FR"/>
      </w:rPr>
      <w:t>4</w:t>
    </w:r>
    <w:r w:rsidR="0059722C">
      <w:rPr>
        <w:bCs w:val="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166C3" w14:textId="77777777" w:rsidR="00A31B0D" w:rsidRDefault="00A31B0D">
      <w:r>
        <w:separator/>
      </w:r>
    </w:p>
  </w:footnote>
  <w:footnote w:type="continuationSeparator" w:id="0">
    <w:p w14:paraId="2E688F6B" w14:textId="77777777" w:rsidR="00A31B0D" w:rsidRDefault="00A31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En-tte"/>
    </w:pPr>
    <w:r>
      <w:rPr>
        <w:b w:val="0"/>
        <w:bCs w:val="0"/>
        <w:noProof/>
        <w:lang w:val="fr-FR"/>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b w:val="0"/>
        <w:bCs w:val="0"/>
        <w:noProof/>
        <w:lang w:val="fr-FR"/>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39A96B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Pr>
        <w:noProof/>
        <w:lang w:val="fr-FR"/>
      </w:rPr>
      <w:t>Communiqué</w:t>
    </w:r>
    <w:r>
      <w:rPr>
        <w:lang w:val="fr-FR"/>
      </w:rPr>
      <w:t xml:space="preserve">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9027497">
    <w:abstractNumId w:val="2"/>
  </w:num>
  <w:num w:numId="2" w16cid:durableId="97262366">
    <w:abstractNumId w:val="1"/>
  </w:num>
  <w:num w:numId="3" w16cid:durableId="1623724962">
    <w:abstractNumId w:val="9"/>
  </w:num>
  <w:num w:numId="4" w16cid:durableId="1076973991">
    <w:abstractNumId w:val="6"/>
  </w:num>
  <w:num w:numId="5" w16cid:durableId="1892230722">
    <w:abstractNumId w:val="4"/>
  </w:num>
  <w:num w:numId="6" w16cid:durableId="1380520034">
    <w:abstractNumId w:val="7"/>
  </w:num>
  <w:num w:numId="7" w16cid:durableId="101072352">
    <w:abstractNumId w:val="5"/>
  </w:num>
  <w:num w:numId="8" w16cid:durableId="769813023">
    <w:abstractNumId w:val="0"/>
  </w:num>
  <w:num w:numId="9" w16cid:durableId="1867868985">
    <w:abstractNumId w:val="8"/>
  </w:num>
  <w:num w:numId="10" w16cid:durableId="537545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6346"/>
    <w:rsid w:val="00006663"/>
    <w:rsid w:val="000069EB"/>
    <w:rsid w:val="00006A45"/>
    <w:rsid w:val="00007718"/>
    <w:rsid w:val="00007ACA"/>
    <w:rsid w:val="0001002C"/>
    <w:rsid w:val="000109CE"/>
    <w:rsid w:val="00011965"/>
    <w:rsid w:val="0001450F"/>
    <w:rsid w:val="00016137"/>
    <w:rsid w:val="00021C67"/>
    <w:rsid w:val="00023871"/>
    <w:rsid w:val="00023ED9"/>
    <w:rsid w:val="000301F0"/>
    <w:rsid w:val="00030557"/>
    <w:rsid w:val="00030701"/>
    <w:rsid w:val="00030F51"/>
    <w:rsid w:val="00032298"/>
    <w:rsid w:val="000343EB"/>
    <w:rsid w:val="00035A84"/>
    <w:rsid w:val="00040218"/>
    <w:rsid w:val="000402B6"/>
    <w:rsid w:val="00040CC9"/>
    <w:rsid w:val="00042329"/>
    <w:rsid w:val="000425ED"/>
    <w:rsid w:val="00044E68"/>
    <w:rsid w:val="000510FC"/>
    <w:rsid w:val="00051E86"/>
    <w:rsid w:val="00053A77"/>
    <w:rsid w:val="00054AFE"/>
    <w:rsid w:val="000575F9"/>
    <w:rsid w:val="000618FC"/>
    <w:rsid w:val="0006396D"/>
    <w:rsid w:val="00064CCE"/>
    <w:rsid w:val="000665F3"/>
    <w:rsid w:val="00067071"/>
    <w:rsid w:val="00067F67"/>
    <w:rsid w:val="00070757"/>
    <w:rsid w:val="00070B4E"/>
    <w:rsid w:val="00074C4A"/>
    <w:rsid w:val="000751A7"/>
    <w:rsid w:val="00077AF9"/>
    <w:rsid w:val="00080D10"/>
    <w:rsid w:val="00081241"/>
    <w:rsid w:val="000813FB"/>
    <w:rsid w:val="00081EF8"/>
    <w:rsid w:val="0008357F"/>
    <w:rsid w:val="0008406B"/>
    <w:rsid w:val="00085ABA"/>
    <w:rsid w:val="000925EE"/>
    <w:rsid w:val="00096AD4"/>
    <w:rsid w:val="000A23CD"/>
    <w:rsid w:val="000A3FAD"/>
    <w:rsid w:val="000B005C"/>
    <w:rsid w:val="000B2E86"/>
    <w:rsid w:val="000B55CE"/>
    <w:rsid w:val="000B5657"/>
    <w:rsid w:val="000B5D2F"/>
    <w:rsid w:val="000B6244"/>
    <w:rsid w:val="000B695A"/>
    <w:rsid w:val="000B72A8"/>
    <w:rsid w:val="000C210A"/>
    <w:rsid w:val="000C27E5"/>
    <w:rsid w:val="000C56DD"/>
    <w:rsid w:val="000D10D2"/>
    <w:rsid w:val="000D1672"/>
    <w:rsid w:val="000D178A"/>
    <w:rsid w:val="000D6C67"/>
    <w:rsid w:val="000E0FB6"/>
    <w:rsid w:val="000E1B84"/>
    <w:rsid w:val="000E2F62"/>
    <w:rsid w:val="000E38ED"/>
    <w:rsid w:val="000E4668"/>
    <w:rsid w:val="000E7F24"/>
    <w:rsid w:val="000F03BE"/>
    <w:rsid w:val="000F1757"/>
    <w:rsid w:val="000F225B"/>
    <w:rsid w:val="000F48E9"/>
    <w:rsid w:val="000F70AD"/>
    <w:rsid w:val="000F7933"/>
    <w:rsid w:val="000F7FAF"/>
    <w:rsid w:val="0010226B"/>
    <w:rsid w:val="001027F2"/>
    <w:rsid w:val="0010465B"/>
    <w:rsid w:val="00105975"/>
    <w:rsid w:val="00105C2E"/>
    <w:rsid w:val="00107F44"/>
    <w:rsid w:val="0011116D"/>
    <w:rsid w:val="00111C0C"/>
    <w:rsid w:val="00111F4D"/>
    <w:rsid w:val="00112A28"/>
    <w:rsid w:val="00115230"/>
    <w:rsid w:val="00115B5F"/>
    <w:rsid w:val="001162B4"/>
    <w:rsid w:val="001210D4"/>
    <w:rsid w:val="00122CBC"/>
    <w:rsid w:val="00124EA9"/>
    <w:rsid w:val="00126C65"/>
    <w:rsid w:val="00126D4A"/>
    <w:rsid w:val="00127F6F"/>
    <w:rsid w:val="001318EB"/>
    <w:rsid w:val="0013225D"/>
    <w:rsid w:val="00132A8B"/>
    <w:rsid w:val="00132DA9"/>
    <w:rsid w:val="0013305B"/>
    <w:rsid w:val="0013318B"/>
    <w:rsid w:val="00133B99"/>
    <w:rsid w:val="0013569C"/>
    <w:rsid w:val="001443BD"/>
    <w:rsid w:val="0014449A"/>
    <w:rsid w:val="00144A87"/>
    <w:rsid w:val="00146193"/>
    <w:rsid w:val="00146222"/>
    <w:rsid w:val="00147431"/>
    <w:rsid w:val="0015206B"/>
    <w:rsid w:val="001577E9"/>
    <w:rsid w:val="0016138C"/>
    <w:rsid w:val="00161FC1"/>
    <w:rsid w:val="00162D60"/>
    <w:rsid w:val="001640D5"/>
    <w:rsid w:val="001659FB"/>
    <w:rsid w:val="001660C5"/>
    <w:rsid w:val="00172C99"/>
    <w:rsid w:val="001731CE"/>
    <w:rsid w:val="00175C72"/>
    <w:rsid w:val="00180281"/>
    <w:rsid w:val="00181B06"/>
    <w:rsid w:val="0018501C"/>
    <w:rsid w:val="00185167"/>
    <w:rsid w:val="00186228"/>
    <w:rsid w:val="00190A13"/>
    <w:rsid w:val="0019635E"/>
    <w:rsid w:val="00196956"/>
    <w:rsid w:val="00197E9B"/>
    <w:rsid w:val="001A3D77"/>
    <w:rsid w:val="001A62F7"/>
    <w:rsid w:val="001A7D44"/>
    <w:rsid w:val="001B1523"/>
    <w:rsid w:val="001B5B6F"/>
    <w:rsid w:val="001B771D"/>
    <w:rsid w:val="001B7C20"/>
    <w:rsid w:val="001C0B32"/>
    <w:rsid w:val="001C158C"/>
    <w:rsid w:val="001C2D66"/>
    <w:rsid w:val="001C36F7"/>
    <w:rsid w:val="001C4BE1"/>
    <w:rsid w:val="001C61B7"/>
    <w:rsid w:val="001D7ADF"/>
    <w:rsid w:val="001E0F71"/>
    <w:rsid w:val="001E1CF5"/>
    <w:rsid w:val="001E2B9B"/>
    <w:rsid w:val="001E3D73"/>
    <w:rsid w:val="001E4CCB"/>
    <w:rsid w:val="001E683F"/>
    <w:rsid w:val="001E699D"/>
    <w:rsid w:val="001E6D05"/>
    <w:rsid w:val="001E73E8"/>
    <w:rsid w:val="001E7C28"/>
    <w:rsid w:val="001F1BDF"/>
    <w:rsid w:val="001F2CD0"/>
    <w:rsid w:val="001F35F8"/>
    <w:rsid w:val="001F52E0"/>
    <w:rsid w:val="001F590C"/>
    <w:rsid w:val="001F7110"/>
    <w:rsid w:val="001F7E96"/>
    <w:rsid w:val="002002AB"/>
    <w:rsid w:val="002005F5"/>
    <w:rsid w:val="00202284"/>
    <w:rsid w:val="00203E12"/>
    <w:rsid w:val="0020528D"/>
    <w:rsid w:val="0020543B"/>
    <w:rsid w:val="00205A66"/>
    <w:rsid w:val="002063CF"/>
    <w:rsid w:val="00206613"/>
    <w:rsid w:val="00207C1F"/>
    <w:rsid w:val="0021158F"/>
    <w:rsid w:val="00212488"/>
    <w:rsid w:val="002129A6"/>
    <w:rsid w:val="00220628"/>
    <w:rsid w:val="002226D0"/>
    <w:rsid w:val="00222DDC"/>
    <w:rsid w:val="0022308F"/>
    <w:rsid w:val="002260C7"/>
    <w:rsid w:val="00226640"/>
    <w:rsid w:val="002304D2"/>
    <w:rsid w:val="00233D04"/>
    <w:rsid w:val="00234ABD"/>
    <w:rsid w:val="00236491"/>
    <w:rsid w:val="00236C3B"/>
    <w:rsid w:val="00236E2A"/>
    <w:rsid w:val="00237F62"/>
    <w:rsid w:val="002423C5"/>
    <w:rsid w:val="00243CEA"/>
    <w:rsid w:val="002455A1"/>
    <w:rsid w:val="0024586A"/>
    <w:rsid w:val="00245D18"/>
    <w:rsid w:val="002502E1"/>
    <w:rsid w:val="00251624"/>
    <w:rsid w:val="002518A2"/>
    <w:rsid w:val="002528B3"/>
    <w:rsid w:val="00256174"/>
    <w:rsid w:val="00256F0C"/>
    <w:rsid w:val="00262A91"/>
    <w:rsid w:val="00262C05"/>
    <w:rsid w:val="002634FC"/>
    <w:rsid w:val="00264A77"/>
    <w:rsid w:val="00267470"/>
    <w:rsid w:val="00270551"/>
    <w:rsid w:val="002715AF"/>
    <w:rsid w:val="00274D13"/>
    <w:rsid w:val="00276B8D"/>
    <w:rsid w:val="002803C4"/>
    <w:rsid w:val="00281D14"/>
    <w:rsid w:val="00282C13"/>
    <w:rsid w:val="002833C0"/>
    <w:rsid w:val="002833D8"/>
    <w:rsid w:val="00285FD5"/>
    <w:rsid w:val="00286134"/>
    <w:rsid w:val="00286BF6"/>
    <w:rsid w:val="00295D74"/>
    <w:rsid w:val="002A0DF7"/>
    <w:rsid w:val="002A2975"/>
    <w:rsid w:val="002A460D"/>
    <w:rsid w:val="002A544D"/>
    <w:rsid w:val="002A5EE9"/>
    <w:rsid w:val="002A60E0"/>
    <w:rsid w:val="002A7FC7"/>
    <w:rsid w:val="002B04F8"/>
    <w:rsid w:val="002B359D"/>
    <w:rsid w:val="002B3CE3"/>
    <w:rsid w:val="002B4111"/>
    <w:rsid w:val="002B538B"/>
    <w:rsid w:val="002B687A"/>
    <w:rsid w:val="002C0281"/>
    <w:rsid w:val="002C1344"/>
    <w:rsid w:val="002C252E"/>
    <w:rsid w:val="002C459B"/>
    <w:rsid w:val="002C4D39"/>
    <w:rsid w:val="002C4E37"/>
    <w:rsid w:val="002C54F5"/>
    <w:rsid w:val="002C57DB"/>
    <w:rsid w:val="002C6773"/>
    <w:rsid w:val="002D269A"/>
    <w:rsid w:val="002D292F"/>
    <w:rsid w:val="002D2A3D"/>
    <w:rsid w:val="002D43BB"/>
    <w:rsid w:val="002D54A9"/>
    <w:rsid w:val="002D5D1D"/>
    <w:rsid w:val="002D6EFD"/>
    <w:rsid w:val="002D74CF"/>
    <w:rsid w:val="002E0B17"/>
    <w:rsid w:val="002E26B4"/>
    <w:rsid w:val="002E41D4"/>
    <w:rsid w:val="002E4FFB"/>
    <w:rsid w:val="002E788F"/>
    <w:rsid w:val="002E7DED"/>
    <w:rsid w:val="002F1024"/>
    <w:rsid w:val="002F7E11"/>
    <w:rsid w:val="00302CF9"/>
    <w:rsid w:val="00304087"/>
    <w:rsid w:val="003057B1"/>
    <w:rsid w:val="003062AD"/>
    <w:rsid w:val="00310ACD"/>
    <w:rsid w:val="00312834"/>
    <w:rsid w:val="0031379F"/>
    <w:rsid w:val="0031621E"/>
    <w:rsid w:val="0031661F"/>
    <w:rsid w:val="00316A16"/>
    <w:rsid w:val="00316B32"/>
    <w:rsid w:val="00320A26"/>
    <w:rsid w:val="00321174"/>
    <w:rsid w:val="00321344"/>
    <w:rsid w:val="0032152B"/>
    <w:rsid w:val="00325064"/>
    <w:rsid w:val="00325EC9"/>
    <w:rsid w:val="0033451C"/>
    <w:rsid w:val="00334CB3"/>
    <w:rsid w:val="00336854"/>
    <w:rsid w:val="0033750F"/>
    <w:rsid w:val="0033769B"/>
    <w:rsid w:val="0034015C"/>
    <w:rsid w:val="003425B2"/>
    <w:rsid w:val="003442F4"/>
    <w:rsid w:val="00345C66"/>
    <w:rsid w:val="0034797F"/>
    <w:rsid w:val="003509CB"/>
    <w:rsid w:val="00350CB4"/>
    <w:rsid w:val="00351DF1"/>
    <w:rsid w:val="00353705"/>
    <w:rsid w:val="003562E8"/>
    <w:rsid w:val="00360922"/>
    <w:rsid w:val="00362057"/>
    <w:rsid w:val="0036268A"/>
    <w:rsid w:val="00362F56"/>
    <w:rsid w:val="0036357D"/>
    <w:rsid w:val="003649BC"/>
    <w:rsid w:val="00364F7E"/>
    <w:rsid w:val="00365E44"/>
    <w:rsid w:val="003662B1"/>
    <w:rsid w:val="003669AC"/>
    <w:rsid w:val="00367AA1"/>
    <w:rsid w:val="00370A5B"/>
    <w:rsid w:val="00370CF7"/>
    <w:rsid w:val="00372E36"/>
    <w:rsid w:val="00375F7D"/>
    <w:rsid w:val="00376EE9"/>
    <w:rsid w:val="00376FFC"/>
    <w:rsid w:val="00377CBB"/>
    <w:rsid w:val="00377F9E"/>
    <w:rsid w:val="003811A5"/>
    <w:rsid w:val="00381BDA"/>
    <w:rsid w:val="00382112"/>
    <w:rsid w:val="00384F62"/>
    <w:rsid w:val="00385355"/>
    <w:rsid w:val="00385438"/>
    <w:rsid w:val="003858E5"/>
    <w:rsid w:val="003877B6"/>
    <w:rsid w:val="0039036A"/>
    <w:rsid w:val="00391539"/>
    <w:rsid w:val="00391A5F"/>
    <w:rsid w:val="00393887"/>
    <w:rsid w:val="00394C6B"/>
    <w:rsid w:val="003957E0"/>
    <w:rsid w:val="00397EE6"/>
    <w:rsid w:val="003A066C"/>
    <w:rsid w:val="003A3FD5"/>
    <w:rsid w:val="003A4E2E"/>
    <w:rsid w:val="003A4E62"/>
    <w:rsid w:val="003A5A6A"/>
    <w:rsid w:val="003B1069"/>
    <w:rsid w:val="003B38CC"/>
    <w:rsid w:val="003B390A"/>
    <w:rsid w:val="003B4E3A"/>
    <w:rsid w:val="003B5E62"/>
    <w:rsid w:val="003C0D76"/>
    <w:rsid w:val="003C15DE"/>
    <w:rsid w:val="003C2889"/>
    <w:rsid w:val="003C342D"/>
    <w:rsid w:val="003C4EB2"/>
    <w:rsid w:val="003C52EC"/>
    <w:rsid w:val="003D3968"/>
    <w:rsid w:val="003D42AF"/>
    <w:rsid w:val="003D4409"/>
    <w:rsid w:val="003D48E4"/>
    <w:rsid w:val="003D4A14"/>
    <w:rsid w:val="003E031D"/>
    <w:rsid w:val="003F1AF3"/>
    <w:rsid w:val="003F2688"/>
    <w:rsid w:val="003F4D8D"/>
    <w:rsid w:val="003F4EE7"/>
    <w:rsid w:val="003F7A8E"/>
    <w:rsid w:val="00401508"/>
    <w:rsid w:val="00401688"/>
    <w:rsid w:val="0040386D"/>
    <w:rsid w:val="00412237"/>
    <w:rsid w:val="004125D4"/>
    <w:rsid w:val="004137C0"/>
    <w:rsid w:val="004138F3"/>
    <w:rsid w:val="004174D6"/>
    <w:rsid w:val="00420F61"/>
    <w:rsid w:val="00421F20"/>
    <w:rsid w:val="004220F5"/>
    <w:rsid w:val="00424090"/>
    <w:rsid w:val="00425755"/>
    <w:rsid w:val="004313E7"/>
    <w:rsid w:val="004339B2"/>
    <w:rsid w:val="00434DCD"/>
    <w:rsid w:val="00435150"/>
    <w:rsid w:val="004375F6"/>
    <w:rsid w:val="00441A3A"/>
    <w:rsid w:val="004423B1"/>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67047"/>
    <w:rsid w:val="00470E3B"/>
    <w:rsid w:val="00472FEC"/>
    <w:rsid w:val="00477F71"/>
    <w:rsid w:val="00483F75"/>
    <w:rsid w:val="004858E1"/>
    <w:rsid w:val="004864A1"/>
    <w:rsid w:val="00490A03"/>
    <w:rsid w:val="00491A76"/>
    <w:rsid w:val="0049220C"/>
    <w:rsid w:val="00492B0A"/>
    <w:rsid w:val="00493327"/>
    <w:rsid w:val="0049382E"/>
    <w:rsid w:val="004947F2"/>
    <w:rsid w:val="00494DBE"/>
    <w:rsid w:val="0049579A"/>
    <w:rsid w:val="00495CE6"/>
    <w:rsid w:val="004968C3"/>
    <w:rsid w:val="004A144D"/>
    <w:rsid w:val="004A1D27"/>
    <w:rsid w:val="004A323C"/>
    <w:rsid w:val="004B0801"/>
    <w:rsid w:val="004B1117"/>
    <w:rsid w:val="004B1A6B"/>
    <w:rsid w:val="004B54E8"/>
    <w:rsid w:val="004B7CCC"/>
    <w:rsid w:val="004C0138"/>
    <w:rsid w:val="004C034F"/>
    <w:rsid w:val="004C12E8"/>
    <w:rsid w:val="004C1578"/>
    <w:rsid w:val="004C1871"/>
    <w:rsid w:val="004C18DD"/>
    <w:rsid w:val="004C2B18"/>
    <w:rsid w:val="004C3049"/>
    <w:rsid w:val="004C33BA"/>
    <w:rsid w:val="004C4FEB"/>
    <w:rsid w:val="004C5AF1"/>
    <w:rsid w:val="004C6B79"/>
    <w:rsid w:val="004C7345"/>
    <w:rsid w:val="004C76C0"/>
    <w:rsid w:val="004D059B"/>
    <w:rsid w:val="004D0E64"/>
    <w:rsid w:val="004D48A8"/>
    <w:rsid w:val="004D4CB6"/>
    <w:rsid w:val="004D4DCB"/>
    <w:rsid w:val="004D5A57"/>
    <w:rsid w:val="004E0907"/>
    <w:rsid w:val="004E2650"/>
    <w:rsid w:val="004E3341"/>
    <w:rsid w:val="004E768A"/>
    <w:rsid w:val="004E77CD"/>
    <w:rsid w:val="004F10C1"/>
    <w:rsid w:val="004F25C7"/>
    <w:rsid w:val="004F2CFC"/>
    <w:rsid w:val="004F5AD9"/>
    <w:rsid w:val="00501D3D"/>
    <w:rsid w:val="00501F2F"/>
    <w:rsid w:val="00502E62"/>
    <w:rsid w:val="00503762"/>
    <w:rsid w:val="0050484D"/>
    <w:rsid w:val="00505B81"/>
    <w:rsid w:val="00506B8A"/>
    <w:rsid w:val="00511B95"/>
    <w:rsid w:val="0051248E"/>
    <w:rsid w:val="00515102"/>
    <w:rsid w:val="0052021B"/>
    <w:rsid w:val="0052212B"/>
    <w:rsid w:val="005230C7"/>
    <w:rsid w:val="005266EA"/>
    <w:rsid w:val="0053184C"/>
    <w:rsid w:val="00534344"/>
    <w:rsid w:val="00534ADD"/>
    <w:rsid w:val="00534B46"/>
    <w:rsid w:val="00540358"/>
    <w:rsid w:val="00540D47"/>
    <w:rsid w:val="00542578"/>
    <w:rsid w:val="005428D7"/>
    <w:rsid w:val="00542D43"/>
    <w:rsid w:val="005463C3"/>
    <w:rsid w:val="005507DE"/>
    <w:rsid w:val="00550864"/>
    <w:rsid w:val="0055121D"/>
    <w:rsid w:val="00551D6C"/>
    <w:rsid w:val="005535DF"/>
    <w:rsid w:val="005552F0"/>
    <w:rsid w:val="0055571E"/>
    <w:rsid w:val="00556F67"/>
    <w:rsid w:val="005617FD"/>
    <w:rsid w:val="005652E8"/>
    <w:rsid w:val="0056749A"/>
    <w:rsid w:val="00570CF0"/>
    <w:rsid w:val="00575196"/>
    <w:rsid w:val="005761BA"/>
    <w:rsid w:val="0057667C"/>
    <w:rsid w:val="00576BDA"/>
    <w:rsid w:val="0058042D"/>
    <w:rsid w:val="005826DA"/>
    <w:rsid w:val="005833F0"/>
    <w:rsid w:val="00583B3C"/>
    <w:rsid w:val="00586280"/>
    <w:rsid w:val="00586609"/>
    <w:rsid w:val="005869CE"/>
    <w:rsid w:val="00586CAF"/>
    <w:rsid w:val="005873E9"/>
    <w:rsid w:val="00591180"/>
    <w:rsid w:val="00591B6F"/>
    <w:rsid w:val="0059722C"/>
    <w:rsid w:val="00597D07"/>
    <w:rsid w:val="005A1018"/>
    <w:rsid w:val="005A16E6"/>
    <w:rsid w:val="005A2CCC"/>
    <w:rsid w:val="005A30D7"/>
    <w:rsid w:val="005A3846"/>
    <w:rsid w:val="005A4685"/>
    <w:rsid w:val="005A63CE"/>
    <w:rsid w:val="005A7E97"/>
    <w:rsid w:val="005B2CD2"/>
    <w:rsid w:val="005B3CEC"/>
    <w:rsid w:val="005B5778"/>
    <w:rsid w:val="005B6A58"/>
    <w:rsid w:val="005C12EA"/>
    <w:rsid w:val="005C4A5B"/>
    <w:rsid w:val="005C57F0"/>
    <w:rsid w:val="005C58DB"/>
    <w:rsid w:val="005C7112"/>
    <w:rsid w:val="005D0561"/>
    <w:rsid w:val="005D0AD9"/>
    <w:rsid w:val="005D1A67"/>
    <w:rsid w:val="005D22F6"/>
    <w:rsid w:val="005D5FA0"/>
    <w:rsid w:val="005D68AA"/>
    <w:rsid w:val="005E0C30"/>
    <w:rsid w:val="005E0D58"/>
    <w:rsid w:val="005E134A"/>
    <w:rsid w:val="005E3EAB"/>
    <w:rsid w:val="005E3FBB"/>
    <w:rsid w:val="005E69D9"/>
    <w:rsid w:val="005F27F4"/>
    <w:rsid w:val="005F3239"/>
    <w:rsid w:val="005F6567"/>
    <w:rsid w:val="005F7A49"/>
    <w:rsid w:val="005F7A8A"/>
    <w:rsid w:val="00600A5E"/>
    <w:rsid w:val="00600ACF"/>
    <w:rsid w:val="00601ED3"/>
    <w:rsid w:val="006034EA"/>
    <w:rsid w:val="00604D69"/>
    <w:rsid w:val="00605F3A"/>
    <w:rsid w:val="00607094"/>
    <w:rsid w:val="00607256"/>
    <w:rsid w:val="0060790C"/>
    <w:rsid w:val="006144B1"/>
    <w:rsid w:val="006177FF"/>
    <w:rsid w:val="00624E82"/>
    <w:rsid w:val="006260F9"/>
    <w:rsid w:val="006265FD"/>
    <w:rsid w:val="00631F44"/>
    <w:rsid w:val="006335F1"/>
    <w:rsid w:val="006345B6"/>
    <w:rsid w:val="00635616"/>
    <w:rsid w:val="00635712"/>
    <w:rsid w:val="006368FF"/>
    <w:rsid w:val="00637394"/>
    <w:rsid w:val="0064107F"/>
    <w:rsid w:val="00643D8A"/>
    <w:rsid w:val="00645A5C"/>
    <w:rsid w:val="00646C33"/>
    <w:rsid w:val="00651FEA"/>
    <w:rsid w:val="00652229"/>
    <w:rsid w:val="00652793"/>
    <w:rsid w:val="00656513"/>
    <w:rsid w:val="006614FF"/>
    <w:rsid w:val="0066187E"/>
    <w:rsid w:val="006626CA"/>
    <w:rsid w:val="00663487"/>
    <w:rsid w:val="006655D3"/>
    <w:rsid w:val="00671877"/>
    <w:rsid w:val="00672382"/>
    <w:rsid w:val="00676CCD"/>
    <w:rsid w:val="00677016"/>
    <w:rsid w:val="00681257"/>
    <w:rsid w:val="00681524"/>
    <w:rsid w:val="00682643"/>
    <w:rsid w:val="00682EB9"/>
    <w:rsid w:val="0068441A"/>
    <w:rsid w:val="00690102"/>
    <w:rsid w:val="00690A61"/>
    <w:rsid w:val="00690B19"/>
    <w:rsid w:val="00693400"/>
    <w:rsid w:val="006A0A3C"/>
    <w:rsid w:val="006A17C9"/>
    <w:rsid w:val="006A59E9"/>
    <w:rsid w:val="006A79F0"/>
    <w:rsid w:val="006B0142"/>
    <w:rsid w:val="006B14D8"/>
    <w:rsid w:val="006B1987"/>
    <w:rsid w:val="006B3442"/>
    <w:rsid w:val="006B3A37"/>
    <w:rsid w:val="006B47EE"/>
    <w:rsid w:val="006B499F"/>
    <w:rsid w:val="006B5105"/>
    <w:rsid w:val="006B5E98"/>
    <w:rsid w:val="006C33BE"/>
    <w:rsid w:val="006C5B53"/>
    <w:rsid w:val="006C7E78"/>
    <w:rsid w:val="006D098F"/>
    <w:rsid w:val="006D20E3"/>
    <w:rsid w:val="006D3FF3"/>
    <w:rsid w:val="006D4996"/>
    <w:rsid w:val="006D535B"/>
    <w:rsid w:val="006D54AB"/>
    <w:rsid w:val="006D583A"/>
    <w:rsid w:val="006D5FC6"/>
    <w:rsid w:val="006E1FA9"/>
    <w:rsid w:val="006E3006"/>
    <w:rsid w:val="006E5032"/>
    <w:rsid w:val="006E5721"/>
    <w:rsid w:val="006E5BDA"/>
    <w:rsid w:val="006F056C"/>
    <w:rsid w:val="006F0FC7"/>
    <w:rsid w:val="006F39A9"/>
    <w:rsid w:val="006F4119"/>
    <w:rsid w:val="006F5B98"/>
    <w:rsid w:val="006F643F"/>
    <w:rsid w:val="006F670F"/>
    <w:rsid w:val="006F77F3"/>
    <w:rsid w:val="007010EE"/>
    <w:rsid w:val="00701DCE"/>
    <w:rsid w:val="00702921"/>
    <w:rsid w:val="00703272"/>
    <w:rsid w:val="0070733C"/>
    <w:rsid w:val="00710C5D"/>
    <w:rsid w:val="0071348C"/>
    <w:rsid w:val="00717220"/>
    <w:rsid w:val="00717273"/>
    <w:rsid w:val="00720FD4"/>
    <w:rsid w:val="007228B5"/>
    <w:rsid w:val="00724AF2"/>
    <w:rsid w:val="0073096C"/>
    <w:rsid w:val="0073100D"/>
    <w:rsid w:val="00731115"/>
    <w:rsid w:val="00732827"/>
    <w:rsid w:val="00733429"/>
    <w:rsid w:val="00733A46"/>
    <w:rsid w:val="00735E2D"/>
    <w:rsid w:val="00740F46"/>
    <w:rsid w:val="007419C8"/>
    <w:rsid w:val="00742398"/>
    <w:rsid w:val="007432A9"/>
    <w:rsid w:val="0074371C"/>
    <w:rsid w:val="00745104"/>
    <w:rsid w:val="007507B5"/>
    <w:rsid w:val="0075091D"/>
    <w:rsid w:val="007524A0"/>
    <w:rsid w:val="00752D67"/>
    <w:rsid w:val="00753A24"/>
    <w:rsid w:val="0075430D"/>
    <w:rsid w:val="007560B0"/>
    <w:rsid w:val="00767F2F"/>
    <w:rsid w:val="007709ED"/>
    <w:rsid w:val="00772188"/>
    <w:rsid w:val="0077222A"/>
    <w:rsid w:val="00774C85"/>
    <w:rsid w:val="00775FBF"/>
    <w:rsid w:val="007813D0"/>
    <w:rsid w:val="007828DE"/>
    <w:rsid w:val="007845AC"/>
    <w:rsid w:val="00784F3F"/>
    <w:rsid w:val="00785248"/>
    <w:rsid w:val="00785993"/>
    <w:rsid w:val="007859F2"/>
    <w:rsid w:val="00785E5A"/>
    <w:rsid w:val="007866E2"/>
    <w:rsid w:val="00786BA3"/>
    <w:rsid w:val="00791B1A"/>
    <w:rsid w:val="0079202F"/>
    <w:rsid w:val="007927E2"/>
    <w:rsid w:val="007934C3"/>
    <w:rsid w:val="00793A4C"/>
    <w:rsid w:val="00794903"/>
    <w:rsid w:val="00795AF2"/>
    <w:rsid w:val="00795E4F"/>
    <w:rsid w:val="007A09FC"/>
    <w:rsid w:val="007A22C8"/>
    <w:rsid w:val="007A2AAD"/>
    <w:rsid w:val="007A4021"/>
    <w:rsid w:val="007A4432"/>
    <w:rsid w:val="007A68B3"/>
    <w:rsid w:val="007A784E"/>
    <w:rsid w:val="007A7855"/>
    <w:rsid w:val="007A7E31"/>
    <w:rsid w:val="007B0B16"/>
    <w:rsid w:val="007B246A"/>
    <w:rsid w:val="007B2DAD"/>
    <w:rsid w:val="007B3805"/>
    <w:rsid w:val="007B4939"/>
    <w:rsid w:val="007B499C"/>
    <w:rsid w:val="007B4D4B"/>
    <w:rsid w:val="007B58C6"/>
    <w:rsid w:val="007C0646"/>
    <w:rsid w:val="007C1E9D"/>
    <w:rsid w:val="007C37C5"/>
    <w:rsid w:val="007C3AE3"/>
    <w:rsid w:val="007C3CC1"/>
    <w:rsid w:val="007D0000"/>
    <w:rsid w:val="007D2A02"/>
    <w:rsid w:val="007D62A4"/>
    <w:rsid w:val="007E1736"/>
    <w:rsid w:val="007E2079"/>
    <w:rsid w:val="007E2887"/>
    <w:rsid w:val="007E6EA1"/>
    <w:rsid w:val="007E7E69"/>
    <w:rsid w:val="007E7F63"/>
    <w:rsid w:val="007F023C"/>
    <w:rsid w:val="007F0F63"/>
    <w:rsid w:val="007F2261"/>
    <w:rsid w:val="007F2B1E"/>
    <w:rsid w:val="007F4590"/>
    <w:rsid w:val="007F62B4"/>
    <w:rsid w:val="007F71B3"/>
    <w:rsid w:val="007F7DF9"/>
    <w:rsid w:val="00801517"/>
    <w:rsid w:val="00810E17"/>
    <w:rsid w:val="00813492"/>
    <w:rsid w:val="0081698D"/>
    <w:rsid w:val="00817895"/>
    <w:rsid w:val="00817AE8"/>
    <w:rsid w:val="00817DE8"/>
    <w:rsid w:val="008229F5"/>
    <w:rsid w:val="0082699A"/>
    <w:rsid w:val="00827F2A"/>
    <w:rsid w:val="00832633"/>
    <w:rsid w:val="00833CEB"/>
    <w:rsid w:val="0083710E"/>
    <w:rsid w:val="008372D2"/>
    <w:rsid w:val="008377BC"/>
    <w:rsid w:val="0084201F"/>
    <w:rsid w:val="00844C17"/>
    <w:rsid w:val="00846017"/>
    <w:rsid w:val="00847726"/>
    <w:rsid w:val="00851593"/>
    <w:rsid w:val="00851CB1"/>
    <w:rsid w:val="00851EA1"/>
    <w:rsid w:val="00852511"/>
    <w:rsid w:val="00852F56"/>
    <w:rsid w:val="0085429D"/>
    <w:rsid w:val="00855CA4"/>
    <w:rsid w:val="0085729F"/>
    <w:rsid w:val="00857408"/>
    <w:rsid w:val="008578A9"/>
    <w:rsid w:val="0086072A"/>
    <w:rsid w:val="0086088F"/>
    <w:rsid w:val="008614F1"/>
    <w:rsid w:val="00861DEE"/>
    <w:rsid w:val="008625C6"/>
    <w:rsid w:val="008639B3"/>
    <w:rsid w:val="00863C1A"/>
    <w:rsid w:val="0086470F"/>
    <w:rsid w:val="00864D86"/>
    <w:rsid w:val="00865882"/>
    <w:rsid w:val="00866CDD"/>
    <w:rsid w:val="008712FE"/>
    <w:rsid w:val="0087142D"/>
    <w:rsid w:val="00872928"/>
    <w:rsid w:val="00873416"/>
    <w:rsid w:val="00873956"/>
    <w:rsid w:val="00877800"/>
    <w:rsid w:val="00880E72"/>
    <w:rsid w:val="008825EE"/>
    <w:rsid w:val="008827AC"/>
    <w:rsid w:val="00883B3B"/>
    <w:rsid w:val="00883CC0"/>
    <w:rsid w:val="008842CA"/>
    <w:rsid w:val="0088596E"/>
    <w:rsid w:val="00886C54"/>
    <w:rsid w:val="008870ED"/>
    <w:rsid w:val="008877FC"/>
    <w:rsid w:val="0089796A"/>
    <w:rsid w:val="008A2375"/>
    <w:rsid w:val="008A54B6"/>
    <w:rsid w:val="008B119F"/>
    <w:rsid w:val="008B251E"/>
    <w:rsid w:val="008B73F3"/>
    <w:rsid w:val="008C02E6"/>
    <w:rsid w:val="008C5181"/>
    <w:rsid w:val="008C6041"/>
    <w:rsid w:val="008C74E3"/>
    <w:rsid w:val="008D6264"/>
    <w:rsid w:val="008D693B"/>
    <w:rsid w:val="008D76C5"/>
    <w:rsid w:val="008E0A04"/>
    <w:rsid w:val="008E0AFA"/>
    <w:rsid w:val="008E5D13"/>
    <w:rsid w:val="008E709A"/>
    <w:rsid w:val="008E75D3"/>
    <w:rsid w:val="008E7BE6"/>
    <w:rsid w:val="008F02E9"/>
    <w:rsid w:val="008F0CE4"/>
    <w:rsid w:val="008F125E"/>
    <w:rsid w:val="008F1C0E"/>
    <w:rsid w:val="008F2B54"/>
    <w:rsid w:val="008F4C1E"/>
    <w:rsid w:val="008F4D2F"/>
    <w:rsid w:val="008F510A"/>
    <w:rsid w:val="008F66C9"/>
    <w:rsid w:val="00900235"/>
    <w:rsid w:val="00900440"/>
    <w:rsid w:val="00906292"/>
    <w:rsid w:val="00906C23"/>
    <w:rsid w:val="009110EF"/>
    <w:rsid w:val="009111C4"/>
    <w:rsid w:val="00914B5B"/>
    <w:rsid w:val="00917162"/>
    <w:rsid w:val="009172B9"/>
    <w:rsid w:val="009178AA"/>
    <w:rsid w:val="009242C4"/>
    <w:rsid w:val="009251CC"/>
    <w:rsid w:val="00925E5C"/>
    <w:rsid w:val="0092714E"/>
    <w:rsid w:val="009324F0"/>
    <w:rsid w:val="0094024E"/>
    <w:rsid w:val="00942002"/>
    <w:rsid w:val="00942359"/>
    <w:rsid w:val="00943626"/>
    <w:rsid w:val="00944A6B"/>
    <w:rsid w:val="00945C90"/>
    <w:rsid w:val="00947885"/>
    <w:rsid w:val="00947BC2"/>
    <w:rsid w:val="009504AB"/>
    <w:rsid w:val="0095097D"/>
    <w:rsid w:val="00951212"/>
    <w:rsid w:val="00952168"/>
    <w:rsid w:val="009527FE"/>
    <w:rsid w:val="009529B2"/>
    <w:rsid w:val="009535A6"/>
    <w:rsid w:val="00960539"/>
    <w:rsid w:val="00962BA6"/>
    <w:rsid w:val="00971FD4"/>
    <w:rsid w:val="00972EFA"/>
    <w:rsid w:val="009739A0"/>
    <w:rsid w:val="00974150"/>
    <w:rsid w:val="00974EE4"/>
    <w:rsid w:val="00974F84"/>
    <w:rsid w:val="00976216"/>
    <w:rsid w:val="009767C7"/>
    <w:rsid w:val="00976B7D"/>
    <w:rsid w:val="0098579A"/>
    <w:rsid w:val="00990CCD"/>
    <w:rsid w:val="00991475"/>
    <w:rsid w:val="009918DD"/>
    <w:rsid w:val="0099195A"/>
    <w:rsid w:val="00992A11"/>
    <w:rsid w:val="00994681"/>
    <w:rsid w:val="0099486A"/>
    <w:rsid w:val="0099549D"/>
    <w:rsid w:val="0099600B"/>
    <w:rsid w:val="00996AD2"/>
    <w:rsid w:val="009A032B"/>
    <w:rsid w:val="009A0E26"/>
    <w:rsid w:val="009A16EC"/>
    <w:rsid w:val="009A22C2"/>
    <w:rsid w:val="009B0819"/>
    <w:rsid w:val="009B29B7"/>
    <w:rsid w:val="009B3199"/>
    <w:rsid w:val="009B3B37"/>
    <w:rsid w:val="009B59D6"/>
    <w:rsid w:val="009B7D1F"/>
    <w:rsid w:val="009C032B"/>
    <w:rsid w:val="009C088E"/>
    <w:rsid w:val="009C1E32"/>
    <w:rsid w:val="009C4D35"/>
    <w:rsid w:val="009D1522"/>
    <w:rsid w:val="009D7252"/>
    <w:rsid w:val="009E5EB4"/>
    <w:rsid w:val="009E7A25"/>
    <w:rsid w:val="009F01FB"/>
    <w:rsid w:val="009F21A7"/>
    <w:rsid w:val="009F563C"/>
    <w:rsid w:val="009F610E"/>
    <w:rsid w:val="009F6400"/>
    <w:rsid w:val="00A00F7E"/>
    <w:rsid w:val="00A01F37"/>
    <w:rsid w:val="00A044D6"/>
    <w:rsid w:val="00A04ADB"/>
    <w:rsid w:val="00A04F89"/>
    <w:rsid w:val="00A05D26"/>
    <w:rsid w:val="00A05F11"/>
    <w:rsid w:val="00A11B1B"/>
    <w:rsid w:val="00A11E0F"/>
    <w:rsid w:val="00A141E9"/>
    <w:rsid w:val="00A15D78"/>
    <w:rsid w:val="00A16FC1"/>
    <w:rsid w:val="00A216E5"/>
    <w:rsid w:val="00A2273B"/>
    <w:rsid w:val="00A22886"/>
    <w:rsid w:val="00A26744"/>
    <w:rsid w:val="00A26CB6"/>
    <w:rsid w:val="00A306C3"/>
    <w:rsid w:val="00A31B0D"/>
    <w:rsid w:val="00A32F82"/>
    <w:rsid w:val="00A32F8B"/>
    <w:rsid w:val="00A3756F"/>
    <w:rsid w:val="00A37906"/>
    <w:rsid w:val="00A41A4C"/>
    <w:rsid w:val="00A42D6F"/>
    <w:rsid w:val="00A4474B"/>
    <w:rsid w:val="00A45A62"/>
    <w:rsid w:val="00A464DA"/>
    <w:rsid w:val="00A4674C"/>
    <w:rsid w:val="00A5268A"/>
    <w:rsid w:val="00A54AC5"/>
    <w:rsid w:val="00A55DC3"/>
    <w:rsid w:val="00A56D41"/>
    <w:rsid w:val="00A56DEC"/>
    <w:rsid w:val="00A60529"/>
    <w:rsid w:val="00A61353"/>
    <w:rsid w:val="00A61481"/>
    <w:rsid w:val="00A629D6"/>
    <w:rsid w:val="00A637C9"/>
    <w:rsid w:val="00A66DB1"/>
    <w:rsid w:val="00A67A92"/>
    <w:rsid w:val="00A70DC6"/>
    <w:rsid w:val="00A71A39"/>
    <w:rsid w:val="00A76294"/>
    <w:rsid w:val="00A770B5"/>
    <w:rsid w:val="00A834FD"/>
    <w:rsid w:val="00A842D5"/>
    <w:rsid w:val="00A86644"/>
    <w:rsid w:val="00A87870"/>
    <w:rsid w:val="00A91A70"/>
    <w:rsid w:val="00A9290C"/>
    <w:rsid w:val="00A944BB"/>
    <w:rsid w:val="00A957F6"/>
    <w:rsid w:val="00A97316"/>
    <w:rsid w:val="00AA0D54"/>
    <w:rsid w:val="00AA1B85"/>
    <w:rsid w:val="00AA1E3B"/>
    <w:rsid w:val="00AA3290"/>
    <w:rsid w:val="00AB1CB6"/>
    <w:rsid w:val="00AB1D9A"/>
    <w:rsid w:val="00AB2B21"/>
    <w:rsid w:val="00AB333F"/>
    <w:rsid w:val="00AB47EC"/>
    <w:rsid w:val="00AC234B"/>
    <w:rsid w:val="00AC3540"/>
    <w:rsid w:val="00AC50FB"/>
    <w:rsid w:val="00AC546B"/>
    <w:rsid w:val="00AC63A8"/>
    <w:rsid w:val="00AD0109"/>
    <w:rsid w:val="00AD0A56"/>
    <w:rsid w:val="00AD0C22"/>
    <w:rsid w:val="00AD442C"/>
    <w:rsid w:val="00AD44FE"/>
    <w:rsid w:val="00AD5A37"/>
    <w:rsid w:val="00AD6AA1"/>
    <w:rsid w:val="00AE05A4"/>
    <w:rsid w:val="00AE25FC"/>
    <w:rsid w:val="00AE400C"/>
    <w:rsid w:val="00AE49F1"/>
    <w:rsid w:val="00AE4A1C"/>
    <w:rsid w:val="00AE4B7A"/>
    <w:rsid w:val="00AE5532"/>
    <w:rsid w:val="00AE6879"/>
    <w:rsid w:val="00AE756A"/>
    <w:rsid w:val="00AF5B77"/>
    <w:rsid w:val="00B02550"/>
    <w:rsid w:val="00B02C7B"/>
    <w:rsid w:val="00B05CCA"/>
    <w:rsid w:val="00B06D92"/>
    <w:rsid w:val="00B07125"/>
    <w:rsid w:val="00B1132A"/>
    <w:rsid w:val="00B12B54"/>
    <w:rsid w:val="00B14271"/>
    <w:rsid w:val="00B16270"/>
    <w:rsid w:val="00B1753B"/>
    <w:rsid w:val="00B216CE"/>
    <w:rsid w:val="00B23C16"/>
    <w:rsid w:val="00B23C52"/>
    <w:rsid w:val="00B2438D"/>
    <w:rsid w:val="00B259E1"/>
    <w:rsid w:val="00B2685D"/>
    <w:rsid w:val="00B30351"/>
    <w:rsid w:val="00B33C2A"/>
    <w:rsid w:val="00B35967"/>
    <w:rsid w:val="00B422EC"/>
    <w:rsid w:val="00B44875"/>
    <w:rsid w:val="00B460B5"/>
    <w:rsid w:val="00B47F0A"/>
    <w:rsid w:val="00B50B6B"/>
    <w:rsid w:val="00B517CD"/>
    <w:rsid w:val="00B54885"/>
    <w:rsid w:val="00B550DE"/>
    <w:rsid w:val="00B5628D"/>
    <w:rsid w:val="00B634AB"/>
    <w:rsid w:val="00B63624"/>
    <w:rsid w:val="00B675CD"/>
    <w:rsid w:val="00B714EF"/>
    <w:rsid w:val="00B715CF"/>
    <w:rsid w:val="00B726D4"/>
    <w:rsid w:val="00B73A1C"/>
    <w:rsid w:val="00B748CA"/>
    <w:rsid w:val="00B75032"/>
    <w:rsid w:val="00B80896"/>
    <w:rsid w:val="00B8214F"/>
    <w:rsid w:val="00B82B43"/>
    <w:rsid w:val="00B82B48"/>
    <w:rsid w:val="00B84AE3"/>
    <w:rsid w:val="00B85133"/>
    <w:rsid w:val="00B86178"/>
    <w:rsid w:val="00B86A4F"/>
    <w:rsid w:val="00B921F8"/>
    <w:rsid w:val="00B924E4"/>
    <w:rsid w:val="00B93035"/>
    <w:rsid w:val="00B953F9"/>
    <w:rsid w:val="00B958E8"/>
    <w:rsid w:val="00B97CBC"/>
    <w:rsid w:val="00B97E4A"/>
    <w:rsid w:val="00BA09B2"/>
    <w:rsid w:val="00BA0F35"/>
    <w:rsid w:val="00BA1EEC"/>
    <w:rsid w:val="00BA465D"/>
    <w:rsid w:val="00BA5B46"/>
    <w:rsid w:val="00BB0327"/>
    <w:rsid w:val="00BB1E19"/>
    <w:rsid w:val="00BB20D4"/>
    <w:rsid w:val="00BB2D73"/>
    <w:rsid w:val="00BB45BA"/>
    <w:rsid w:val="00BB4A3A"/>
    <w:rsid w:val="00BB5D0B"/>
    <w:rsid w:val="00BB63A8"/>
    <w:rsid w:val="00BC0995"/>
    <w:rsid w:val="00BC179A"/>
    <w:rsid w:val="00BC61BB"/>
    <w:rsid w:val="00BC6DE2"/>
    <w:rsid w:val="00BC6E62"/>
    <w:rsid w:val="00BD0A65"/>
    <w:rsid w:val="00BD3A53"/>
    <w:rsid w:val="00BD656A"/>
    <w:rsid w:val="00BD707B"/>
    <w:rsid w:val="00BD71F4"/>
    <w:rsid w:val="00BE00D8"/>
    <w:rsid w:val="00BE0A46"/>
    <w:rsid w:val="00BE2D0A"/>
    <w:rsid w:val="00BE47D4"/>
    <w:rsid w:val="00BE48D3"/>
    <w:rsid w:val="00BE4BF9"/>
    <w:rsid w:val="00BE793A"/>
    <w:rsid w:val="00BE7A0B"/>
    <w:rsid w:val="00BE7A4D"/>
    <w:rsid w:val="00BF0564"/>
    <w:rsid w:val="00BF2B82"/>
    <w:rsid w:val="00BF432A"/>
    <w:rsid w:val="00BF6E82"/>
    <w:rsid w:val="00BF6F12"/>
    <w:rsid w:val="00C03BF2"/>
    <w:rsid w:val="00C060C7"/>
    <w:rsid w:val="00C06E23"/>
    <w:rsid w:val="00C10EA4"/>
    <w:rsid w:val="00C132DD"/>
    <w:rsid w:val="00C169EE"/>
    <w:rsid w:val="00C16F8F"/>
    <w:rsid w:val="00C17762"/>
    <w:rsid w:val="00C1787E"/>
    <w:rsid w:val="00C2036B"/>
    <w:rsid w:val="00C21897"/>
    <w:rsid w:val="00C223C7"/>
    <w:rsid w:val="00C24C17"/>
    <w:rsid w:val="00C31148"/>
    <w:rsid w:val="00C34829"/>
    <w:rsid w:val="00C3628C"/>
    <w:rsid w:val="00C3758F"/>
    <w:rsid w:val="00C40B88"/>
    <w:rsid w:val="00C43087"/>
    <w:rsid w:val="00C433B8"/>
    <w:rsid w:val="00C44489"/>
    <w:rsid w:val="00C44EFC"/>
    <w:rsid w:val="00C44FC2"/>
    <w:rsid w:val="00C47D87"/>
    <w:rsid w:val="00C5376E"/>
    <w:rsid w:val="00C5425F"/>
    <w:rsid w:val="00C55AEE"/>
    <w:rsid w:val="00C5701B"/>
    <w:rsid w:val="00C64D40"/>
    <w:rsid w:val="00C65D49"/>
    <w:rsid w:val="00C66218"/>
    <w:rsid w:val="00C6721A"/>
    <w:rsid w:val="00C677C9"/>
    <w:rsid w:val="00C70DBC"/>
    <w:rsid w:val="00C70E96"/>
    <w:rsid w:val="00C73719"/>
    <w:rsid w:val="00C76A8E"/>
    <w:rsid w:val="00C778D9"/>
    <w:rsid w:val="00C808A6"/>
    <w:rsid w:val="00C814E9"/>
    <w:rsid w:val="00C81F23"/>
    <w:rsid w:val="00C8296F"/>
    <w:rsid w:val="00C855DB"/>
    <w:rsid w:val="00C855F3"/>
    <w:rsid w:val="00C85AEA"/>
    <w:rsid w:val="00C86270"/>
    <w:rsid w:val="00C8725F"/>
    <w:rsid w:val="00C905CB"/>
    <w:rsid w:val="00C96A6A"/>
    <w:rsid w:val="00C97091"/>
    <w:rsid w:val="00C97260"/>
    <w:rsid w:val="00CA015E"/>
    <w:rsid w:val="00CA2001"/>
    <w:rsid w:val="00CA3B72"/>
    <w:rsid w:val="00CB2211"/>
    <w:rsid w:val="00CB3782"/>
    <w:rsid w:val="00CB5B6C"/>
    <w:rsid w:val="00CB5C5D"/>
    <w:rsid w:val="00CC052E"/>
    <w:rsid w:val="00CC1B25"/>
    <w:rsid w:val="00CC3B07"/>
    <w:rsid w:val="00CC7E82"/>
    <w:rsid w:val="00CD16BE"/>
    <w:rsid w:val="00CD2268"/>
    <w:rsid w:val="00CD4616"/>
    <w:rsid w:val="00CD56AF"/>
    <w:rsid w:val="00CE2A8C"/>
    <w:rsid w:val="00CE33D5"/>
    <w:rsid w:val="00CE4712"/>
    <w:rsid w:val="00CE7F84"/>
    <w:rsid w:val="00CF44F7"/>
    <w:rsid w:val="00CF5316"/>
    <w:rsid w:val="00CF531A"/>
    <w:rsid w:val="00CF5D37"/>
    <w:rsid w:val="00CF6F33"/>
    <w:rsid w:val="00D00A97"/>
    <w:rsid w:val="00D012A9"/>
    <w:rsid w:val="00D02248"/>
    <w:rsid w:val="00D04429"/>
    <w:rsid w:val="00D04E37"/>
    <w:rsid w:val="00D0568F"/>
    <w:rsid w:val="00D063B8"/>
    <w:rsid w:val="00D06825"/>
    <w:rsid w:val="00D0723C"/>
    <w:rsid w:val="00D07467"/>
    <w:rsid w:val="00D07A0C"/>
    <w:rsid w:val="00D107B3"/>
    <w:rsid w:val="00D11AF4"/>
    <w:rsid w:val="00D12024"/>
    <w:rsid w:val="00D152CF"/>
    <w:rsid w:val="00D16B2B"/>
    <w:rsid w:val="00D17E3B"/>
    <w:rsid w:val="00D208A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5790"/>
    <w:rsid w:val="00D37DD9"/>
    <w:rsid w:val="00D41BFE"/>
    <w:rsid w:val="00D42585"/>
    <w:rsid w:val="00D4700E"/>
    <w:rsid w:val="00D50EEC"/>
    <w:rsid w:val="00D51350"/>
    <w:rsid w:val="00D519AF"/>
    <w:rsid w:val="00D532A9"/>
    <w:rsid w:val="00D5437A"/>
    <w:rsid w:val="00D5611E"/>
    <w:rsid w:val="00D56358"/>
    <w:rsid w:val="00D5653B"/>
    <w:rsid w:val="00D5726D"/>
    <w:rsid w:val="00D57B8C"/>
    <w:rsid w:val="00D61D6E"/>
    <w:rsid w:val="00D62EF1"/>
    <w:rsid w:val="00D6309D"/>
    <w:rsid w:val="00D63915"/>
    <w:rsid w:val="00D64145"/>
    <w:rsid w:val="00D644C2"/>
    <w:rsid w:val="00D644CA"/>
    <w:rsid w:val="00D64EA0"/>
    <w:rsid w:val="00D66FC2"/>
    <w:rsid w:val="00D7044E"/>
    <w:rsid w:val="00D72DD3"/>
    <w:rsid w:val="00D72E1E"/>
    <w:rsid w:val="00D738B2"/>
    <w:rsid w:val="00D76C7E"/>
    <w:rsid w:val="00D76E73"/>
    <w:rsid w:val="00D771DE"/>
    <w:rsid w:val="00D7776D"/>
    <w:rsid w:val="00D834F1"/>
    <w:rsid w:val="00D835F6"/>
    <w:rsid w:val="00D83609"/>
    <w:rsid w:val="00D9088C"/>
    <w:rsid w:val="00D92179"/>
    <w:rsid w:val="00D922C6"/>
    <w:rsid w:val="00D9293F"/>
    <w:rsid w:val="00D92DE7"/>
    <w:rsid w:val="00D93598"/>
    <w:rsid w:val="00D93FDD"/>
    <w:rsid w:val="00D94168"/>
    <w:rsid w:val="00DA1E18"/>
    <w:rsid w:val="00DA2009"/>
    <w:rsid w:val="00DA4D27"/>
    <w:rsid w:val="00DA7769"/>
    <w:rsid w:val="00DB05B1"/>
    <w:rsid w:val="00DB2823"/>
    <w:rsid w:val="00DB2D74"/>
    <w:rsid w:val="00DB3786"/>
    <w:rsid w:val="00DB59E8"/>
    <w:rsid w:val="00DB5A79"/>
    <w:rsid w:val="00DC2465"/>
    <w:rsid w:val="00DC6195"/>
    <w:rsid w:val="00DC7D48"/>
    <w:rsid w:val="00DD0C3F"/>
    <w:rsid w:val="00DD145A"/>
    <w:rsid w:val="00DD1A30"/>
    <w:rsid w:val="00DD3080"/>
    <w:rsid w:val="00DD512E"/>
    <w:rsid w:val="00DD5EC8"/>
    <w:rsid w:val="00DE1177"/>
    <w:rsid w:val="00DE2052"/>
    <w:rsid w:val="00DE2CEA"/>
    <w:rsid w:val="00DE5075"/>
    <w:rsid w:val="00DE55CF"/>
    <w:rsid w:val="00DE6154"/>
    <w:rsid w:val="00DE6A3C"/>
    <w:rsid w:val="00DE6D2A"/>
    <w:rsid w:val="00DE74F4"/>
    <w:rsid w:val="00DE7F97"/>
    <w:rsid w:val="00DF1010"/>
    <w:rsid w:val="00DF5AEA"/>
    <w:rsid w:val="00DF63F6"/>
    <w:rsid w:val="00DF7BD0"/>
    <w:rsid w:val="00E006F4"/>
    <w:rsid w:val="00E00AEF"/>
    <w:rsid w:val="00E0219D"/>
    <w:rsid w:val="00E033FC"/>
    <w:rsid w:val="00E0374B"/>
    <w:rsid w:val="00E07AB9"/>
    <w:rsid w:val="00E10B28"/>
    <w:rsid w:val="00E117FD"/>
    <w:rsid w:val="00E13747"/>
    <w:rsid w:val="00E14758"/>
    <w:rsid w:val="00E172C7"/>
    <w:rsid w:val="00E21088"/>
    <w:rsid w:val="00E22A7F"/>
    <w:rsid w:val="00E23E29"/>
    <w:rsid w:val="00E24632"/>
    <w:rsid w:val="00E259A7"/>
    <w:rsid w:val="00E25AEA"/>
    <w:rsid w:val="00E25F09"/>
    <w:rsid w:val="00E306A1"/>
    <w:rsid w:val="00E30D26"/>
    <w:rsid w:val="00E30DEF"/>
    <w:rsid w:val="00E30ED2"/>
    <w:rsid w:val="00E31276"/>
    <w:rsid w:val="00E32102"/>
    <w:rsid w:val="00E34666"/>
    <w:rsid w:val="00E35A62"/>
    <w:rsid w:val="00E36A66"/>
    <w:rsid w:val="00E37F70"/>
    <w:rsid w:val="00E41377"/>
    <w:rsid w:val="00E41985"/>
    <w:rsid w:val="00E446C1"/>
    <w:rsid w:val="00E45F68"/>
    <w:rsid w:val="00E46BCD"/>
    <w:rsid w:val="00E4740A"/>
    <w:rsid w:val="00E47FE7"/>
    <w:rsid w:val="00E545D7"/>
    <w:rsid w:val="00E547FE"/>
    <w:rsid w:val="00E5669C"/>
    <w:rsid w:val="00E57DDC"/>
    <w:rsid w:val="00E60ECA"/>
    <w:rsid w:val="00E613AB"/>
    <w:rsid w:val="00E621EA"/>
    <w:rsid w:val="00E6312A"/>
    <w:rsid w:val="00E63F65"/>
    <w:rsid w:val="00E64B6E"/>
    <w:rsid w:val="00E663B6"/>
    <w:rsid w:val="00E6780D"/>
    <w:rsid w:val="00E71439"/>
    <w:rsid w:val="00E71CB0"/>
    <w:rsid w:val="00E73848"/>
    <w:rsid w:val="00E758B9"/>
    <w:rsid w:val="00E82191"/>
    <w:rsid w:val="00E84236"/>
    <w:rsid w:val="00E85569"/>
    <w:rsid w:val="00E856AF"/>
    <w:rsid w:val="00E86B83"/>
    <w:rsid w:val="00E86C57"/>
    <w:rsid w:val="00E87C64"/>
    <w:rsid w:val="00E93A01"/>
    <w:rsid w:val="00E93FF8"/>
    <w:rsid w:val="00E94EB6"/>
    <w:rsid w:val="00E95AC2"/>
    <w:rsid w:val="00E95CA8"/>
    <w:rsid w:val="00E96643"/>
    <w:rsid w:val="00E96EAF"/>
    <w:rsid w:val="00EA0DBD"/>
    <w:rsid w:val="00EA1752"/>
    <w:rsid w:val="00EA539B"/>
    <w:rsid w:val="00EA5A89"/>
    <w:rsid w:val="00EA5BDB"/>
    <w:rsid w:val="00EA60E6"/>
    <w:rsid w:val="00EA63FA"/>
    <w:rsid w:val="00EB051C"/>
    <w:rsid w:val="00EB1DE2"/>
    <w:rsid w:val="00EB20AB"/>
    <w:rsid w:val="00EB46D9"/>
    <w:rsid w:val="00EC0E64"/>
    <w:rsid w:val="00EC142D"/>
    <w:rsid w:val="00EC1E16"/>
    <w:rsid w:val="00EC2DD1"/>
    <w:rsid w:val="00EC52DA"/>
    <w:rsid w:val="00EC7BA8"/>
    <w:rsid w:val="00ED0024"/>
    <w:rsid w:val="00ED0EA0"/>
    <w:rsid w:val="00ED0F85"/>
    <w:rsid w:val="00ED2B5C"/>
    <w:rsid w:val="00ED3269"/>
    <w:rsid w:val="00ED3A18"/>
    <w:rsid w:val="00ED7A08"/>
    <w:rsid w:val="00EE1A8C"/>
    <w:rsid w:val="00EE3034"/>
    <w:rsid w:val="00EE416B"/>
    <w:rsid w:val="00EE4643"/>
    <w:rsid w:val="00EE529F"/>
    <w:rsid w:val="00EE7F1A"/>
    <w:rsid w:val="00EF1330"/>
    <w:rsid w:val="00EF15FF"/>
    <w:rsid w:val="00EF55E6"/>
    <w:rsid w:val="00EF5707"/>
    <w:rsid w:val="00EF6F3B"/>
    <w:rsid w:val="00EF70EC"/>
    <w:rsid w:val="00EF7111"/>
    <w:rsid w:val="00EF7D1A"/>
    <w:rsid w:val="00EF7D5B"/>
    <w:rsid w:val="00F02759"/>
    <w:rsid w:val="00F0448F"/>
    <w:rsid w:val="00F0716C"/>
    <w:rsid w:val="00F07DD9"/>
    <w:rsid w:val="00F100E4"/>
    <w:rsid w:val="00F105AE"/>
    <w:rsid w:val="00F108A8"/>
    <w:rsid w:val="00F13F58"/>
    <w:rsid w:val="00F16135"/>
    <w:rsid w:val="00F1776A"/>
    <w:rsid w:val="00F270E9"/>
    <w:rsid w:val="00F27440"/>
    <w:rsid w:val="00F275C0"/>
    <w:rsid w:val="00F30319"/>
    <w:rsid w:val="00F30570"/>
    <w:rsid w:val="00F317B5"/>
    <w:rsid w:val="00F32094"/>
    <w:rsid w:val="00F33B8F"/>
    <w:rsid w:val="00F346B6"/>
    <w:rsid w:val="00F36145"/>
    <w:rsid w:val="00F37BDD"/>
    <w:rsid w:val="00F41503"/>
    <w:rsid w:val="00F44D82"/>
    <w:rsid w:val="00F46207"/>
    <w:rsid w:val="00F466C8"/>
    <w:rsid w:val="00F469A9"/>
    <w:rsid w:val="00F46B50"/>
    <w:rsid w:val="00F47C20"/>
    <w:rsid w:val="00F5043C"/>
    <w:rsid w:val="00F50B46"/>
    <w:rsid w:val="00F50D1F"/>
    <w:rsid w:val="00F51545"/>
    <w:rsid w:val="00F55325"/>
    <w:rsid w:val="00F56043"/>
    <w:rsid w:val="00F56BD8"/>
    <w:rsid w:val="00F5789A"/>
    <w:rsid w:val="00F6171A"/>
    <w:rsid w:val="00F635FC"/>
    <w:rsid w:val="00F63D03"/>
    <w:rsid w:val="00F65E2F"/>
    <w:rsid w:val="00F67DF1"/>
    <w:rsid w:val="00F7054E"/>
    <w:rsid w:val="00F75193"/>
    <w:rsid w:val="00F8309B"/>
    <w:rsid w:val="00F833C9"/>
    <w:rsid w:val="00F84965"/>
    <w:rsid w:val="00F86752"/>
    <w:rsid w:val="00F87932"/>
    <w:rsid w:val="00F90064"/>
    <w:rsid w:val="00F93C47"/>
    <w:rsid w:val="00F94217"/>
    <w:rsid w:val="00F952BA"/>
    <w:rsid w:val="00F9586C"/>
    <w:rsid w:val="00F96AFD"/>
    <w:rsid w:val="00FA07F4"/>
    <w:rsid w:val="00FA0F6E"/>
    <w:rsid w:val="00FA1398"/>
    <w:rsid w:val="00FA2E19"/>
    <w:rsid w:val="00FA42CC"/>
    <w:rsid w:val="00FA6665"/>
    <w:rsid w:val="00FA697F"/>
    <w:rsid w:val="00FA734E"/>
    <w:rsid w:val="00FB3846"/>
    <w:rsid w:val="00FB429D"/>
    <w:rsid w:val="00FB5521"/>
    <w:rsid w:val="00FB610D"/>
    <w:rsid w:val="00FC4477"/>
    <w:rsid w:val="00FC46FB"/>
    <w:rsid w:val="00FC4F25"/>
    <w:rsid w:val="00FC5921"/>
    <w:rsid w:val="00FC7B66"/>
    <w:rsid w:val="00FD106C"/>
    <w:rsid w:val="00FD2628"/>
    <w:rsid w:val="00FD2BD3"/>
    <w:rsid w:val="00FD3DEF"/>
    <w:rsid w:val="00FD4CCA"/>
    <w:rsid w:val="00FE234B"/>
    <w:rsid w:val="00FE2772"/>
    <w:rsid w:val="00FE2A9E"/>
    <w:rsid w:val="00FE34B3"/>
    <w:rsid w:val="00FE3DAA"/>
    <w:rsid w:val="00FE46B7"/>
    <w:rsid w:val="00FF0420"/>
    <w:rsid w:val="00FF14D1"/>
    <w:rsid w:val="00FF286E"/>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de-DE"/>
    </w:rPr>
  </w:style>
  <w:style w:type="character" w:styleId="Lienhypertext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336854"/>
    <w:pPr>
      <w:spacing w:line="240" w:lineRule="auto"/>
    </w:pPr>
    <w:rPr>
      <w:sz w:val="18"/>
      <w:szCs w:val="18"/>
    </w:rPr>
  </w:style>
  <w:style w:type="character" w:customStyle="1" w:styleId="TextedebullesCar">
    <w:name w:val="Texte de bulles Car"/>
    <w:link w:val="Textedebulles"/>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depageCar">
    <w:name w:val="Pied de page Car"/>
    <w:link w:val="Pieddepage"/>
    <w:uiPriority w:val="99"/>
    <w:rsid w:val="00992A11"/>
    <w:rPr>
      <w:rFonts w:ascii="Segoe UI" w:hAnsi="Segoe UI"/>
      <w:bCs/>
      <w:noProof/>
      <w:sz w:val="12"/>
      <w:szCs w:val="24"/>
      <w:lang w:val="de-DE"/>
    </w:rPr>
  </w:style>
  <w:style w:type="character" w:styleId="Mentionnonrsolue">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336854"/>
    <w:rPr>
      <w:rFonts w:ascii="Segoe UI" w:hAnsi="Segoe UI"/>
      <w:sz w:val="18"/>
    </w:rPr>
  </w:style>
  <w:style w:type="character" w:customStyle="1" w:styleId="AboutandContactHeadline">
    <w:name w:val="About and Contact Headline"/>
    <w:basedOn w:val="Policepardfaut"/>
    <w:rsid w:val="00336854"/>
    <w:rPr>
      <w:rFonts w:ascii="Segoe UI" w:hAnsi="Segoe UI"/>
      <w:b/>
      <w:bCs/>
      <w:sz w:val="18"/>
    </w:rPr>
  </w:style>
  <w:style w:type="paragraph" w:styleId="Paragraphedeliste">
    <w:name w:val="List Paragraph"/>
    <w:basedOn w:val="Normal"/>
    <w:uiPriority w:val="34"/>
    <w:qFormat/>
    <w:rsid w:val="00635616"/>
    <w:pPr>
      <w:ind w:left="720"/>
      <w:contextualSpacing/>
    </w:pPr>
  </w:style>
  <w:style w:type="character" w:styleId="Marquedecommentaire">
    <w:name w:val="annotation reference"/>
    <w:rsid w:val="00846017"/>
    <w:rPr>
      <w:sz w:val="16"/>
      <w:szCs w:val="16"/>
    </w:rPr>
  </w:style>
  <w:style w:type="paragraph" w:styleId="Commentaire">
    <w:name w:val="annotation text"/>
    <w:basedOn w:val="Normal"/>
    <w:link w:val="CommentaireCar"/>
    <w:rsid w:val="00846017"/>
    <w:pPr>
      <w:spacing w:line="260" w:lineRule="atLeast"/>
      <w:jc w:val="left"/>
    </w:pPr>
    <w:rPr>
      <w:rFonts w:ascii="Arial" w:hAnsi="Arial"/>
      <w:sz w:val="20"/>
      <w:szCs w:val="20"/>
      <w:lang w:val="de-DE"/>
    </w:rPr>
  </w:style>
  <w:style w:type="character" w:customStyle="1" w:styleId="CommentaireCar">
    <w:name w:val="Commentaire Car"/>
    <w:basedOn w:val="Policepardfaut"/>
    <w:link w:val="Commentaire"/>
    <w:rsid w:val="00846017"/>
    <w:rPr>
      <w:rFonts w:ascii="Arial" w:hAnsi="Arial"/>
      <w:sz w:val="20"/>
      <w:szCs w:val="20"/>
      <w:lang w:val="de-DE"/>
    </w:rPr>
  </w:style>
  <w:style w:type="paragraph" w:styleId="Objetducommentaire">
    <w:name w:val="annotation subject"/>
    <w:basedOn w:val="Commentaire"/>
    <w:next w:val="Commentaire"/>
    <w:link w:val="ObjetducommentaireCar"/>
    <w:rsid w:val="0020528D"/>
    <w:pPr>
      <w:spacing w:line="240" w:lineRule="auto"/>
      <w:jc w:val="both"/>
    </w:pPr>
    <w:rPr>
      <w:rFonts w:ascii="Segoe UI" w:hAnsi="Segoe UI"/>
      <w:b/>
      <w:bCs/>
      <w:lang w:val="en-US"/>
    </w:rPr>
  </w:style>
  <w:style w:type="character" w:customStyle="1" w:styleId="ObjetducommentaireCar">
    <w:name w:val="Objet du commentaire Car"/>
    <w:basedOn w:val="CommentaireCar"/>
    <w:link w:val="Objetducommentaire"/>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lev">
    <w:name w:val="Strong"/>
    <w:basedOn w:val="Policepardfaut"/>
    <w:uiPriority w:val="22"/>
    <w:qFormat/>
    <w:rsid w:val="007C3CC1"/>
    <w:rPr>
      <w:b/>
      <w:bCs/>
    </w:rPr>
  </w:style>
  <w:style w:type="paragraph" w:styleId="R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Appelnotedebasdep">
    <w:name w:val="footnote reference"/>
    <w:basedOn w:val="Policepardfaut"/>
    <w:uiPriority w:val="99"/>
    <w:unhideWhenUsed/>
    <w:rsid w:val="00534ADD"/>
    <w:rPr>
      <w:vertAlign w:val="superscript"/>
    </w:rPr>
  </w:style>
  <w:style w:type="paragraph" w:customStyle="1" w:styleId="He01Flietext">
    <w:name w:val="_He_01_Fließtext"/>
    <w:qFormat/>
    <w:rsid w:val="003509CB"/>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f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com/press-and-media/press-releases-and-kits/2022-08-15-henkel-significantly-increases-sales-drives-strategic-agenda-and-raises-sales-guidance-for-2022-1733224"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olo.ghilardi@bcw-globa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9" ma:contentTypeDescription="Create a new document." ma:contentTypeScope="" ma:versionID="825475ee42d6d3916f0f035df9a60211">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2fdeaaf15d4786a8267b6cc6b9b50c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customXml/itemProps2.xml><?xml version="1.0" encoding="utf-8"?>
<ds:datastoreItem xmlns:ds="http://schemas.openxmlformats.org/officeDocument/2006/customXml" ds:itemID="{6F594B15-7BA3-4474-A064-FC0575B73695}">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67E8EB1A-819D-464A-85A2-FD9A56005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3228</Words>
  <Characters>17757</Characters>
  <Application>Microsoft Office Word</Application>
  <DocSecurity>0</DocSecurity>
  <Lines>147</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20944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4</cp:revision>
  <cp:lastPrinted>2022-08-02T08:46:00Z</cp:lastPrinted>
  <dcterms:created xsi:type="dcterms:W3CDTF">2022-08-15T16:29:00Z</dcterms:created>
  <dcterms:modified xsi:type="dcterms:W3CDTF">2022-08-15T16:32:00Z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