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E40B" w14:textId="77777777" w:rsidR="00F94D11" w:rsidRDefault="00F94D11" w:rsidP="002755EE">
      <w:pPr>
        <w:spacing w:before="120"/>
        <w:jc w:val="right"/>
        <w:rPr>
          <w:rFonts w:ascii="Segoe UI" w:hAnsi="Segoe UI" w:cs="Segoe UI"/>
          <w:bCs/>
          <w:i/>
          <w:iCs/>
          <w:sz w:val="24"/>
          <w:lang w:val="en-US"/>
        </w:rPr>
      </w:pPr>
    </w:p>
    <w:p w14:paraId="5BB99D4F" w14:textId="3C5301E8" w:rsidR="00B422EC" w:rsidRPr="00816B99" w:rsidRDefault="004D4CB6" w:rsidP="002755EE">
      <w:pPr>
        <w:spacing w:before="120"/>
        <w:jc w:val="right"/>
        <w:rPr>
          <w:rFonts w:ascii="Segoe UI" w:hAnsi="Segoe UI" w:cs="Segoe UI"/>
          <w:sz w:val="22"/>
          <w:szCs w:val="22"/>
          <w:lang w:val="hu"/>
        </w:rPr>
      </w:pPr>
      <w:r w:rsidRPr="008764DA">
        <w:rPr>
          <w:rFonts w:ascii="Segoe UI" w:hAnsi="Segoe UI" w:cs="Segoe UI"/>
          <w:bCs/>
          <w:i/>
          <w:iCs/>
          <w:sz w:val="24"/>
          <w:lang w:val="en-US"/>
        </w:rPr>
        <w:t xml:space="preserve"> 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>202</w:t>
      </w:r>
      <w:r w:rsidR="008764DA" w:rsidRPr="00816B99">
        <w:rPr>
          <w:rFonts w:ascii="Segoe UI" w:hAnsi="Segoe UI" w:cs="Segoe UI"/>
          <w:sz w:val="22"/>
          <w:szCs w:val="22"/>
          <w:lang w:val="hu"/>
        </w:rPr>
        <w:t>2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 xml:space="preserve">. </w:t>
      </w:r>
      <w:r w:rsidR="008764DA" w:rsidRPr="00816B99">
        <w:rPr>
          <w:rFonts w:ascii="Segoe UI" w:hAnsi="Segoe UI" w:cs="Segoe UI"/>
          <w:sz w:val="22"/>
          <w:szCs w:val="22"/>
          <w:lang w:val="hu"/>
        </w:rPr>
        <w:t>augusztus</w:t>
      </w:r>
      <w:r w:rsidR="00DD58F6" w:rsidRPr="00816B99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CA0C63">
        <w:rPr>
          <w:rFonts w:ascii="Segoe UI" w:hAnsi="Segoe UI" w:cs="Segoe UI"/>
          <w:sz w:val="22"/>
          <w:szCs w:val="22"/>
          <w:lang w:val="hu"/>
        </w:rPr>
        <w:t>15</w:t>
      </w:r>
      <w:r w:rsidR="00D82149">
        <w:rPr>
          <w:rFonts w:ascii="Segoe UI" w:hAnsi="Segoe UI" w:cs="Segoe UI"/>
          <w:sz w:val="22"/>
          <w:szCs w:val="22"/>
          <w:lang w:val="hu"/>
        </w:rPr>
        <w:t>.</w:t>
      </w:r>
      <w:r w:rsidR="00DA3949" w:rsidRPr="00816B99">
        <w:rPr>
          <w:rFonts w:ascii="Segoe UI" w:hAnsi="Segoe UI" w:cs="Segoe UI"/>
          <w:sz w:val="22"/>
          <w:szCs w:val="22"/>
          <w:lang w:val="hu"/>
        </w:rPr>
        <w:t xml:space="preserve"> </w:t>
      </w:r>
    </w:p>
    <w:p w14:paraId="7AD4D436" w14:textId="77777777" w:rsidR="005E69D9" w:rsidRPr="008764DA" w:rsidRDefault="005E69D9" w:rsidP="00931E86">
      <w:pPr>
        <w:pStyle w:val="Standard12pt"/>
        <w:jc w:val="both"/>
        <w:rPr>
          <w:rFonts w:ascii="Segoe UI" w:hAnsi="Segoe UI" w:cs="Segoe UI"/>
          <w:lang w:val="en-US"/>
        </w:rPr>
      </w:pPr>
    </w:p>
    <w:p w14:paraId="79F8EF8D" w14:textId="77777777" w:rsidR="00CA0C63" w:rsidRPr="00CA0C63" w:rsidRDefault="00CA0C63" w:rsidP="00CA0C63">
      <w:pPr>
        <w:pStyle w:val="Topline"/>
        <w:spacing w:after="360"/>
        <w:rPr>
          <w:rFonts w:cs="Calibri Light"/>
          <w:lang w:val="hu-HU"/>
        </w:rPr>
      </w:pPr>
      <w:r>
        <w:rPr>
          <w:rFonts w:cs="Calibri Light"/>
          <w:lang w:val="hu"/>
        </w:rPr>
        <w:t>Beszámoló a</w:t>
      </w:r>
      <w:r w:rsidRPr="006C59B6">
        <w:rPr>
          <w:rFonts w:cs="Calibri Light"/>
          <w:lang w:val="hu"/>
        </w:rPr>
        <w:t xml:space="preserve"> </w:t>
      </w:r>
      <w:r>
        <w:rPr>
          <w:rFonts w:cs="Calibri Light"/>
          <w:lang w:val="hu"/>
        </w:rPr>
        <w:t>Henkel féléves teljesítményéről</w:t>
      </w:r>
    </w:p>
    <w:p w14:paraId="5E0AFB2B" w14:textId="6198DCA6" w:rsidR="00CA0C63" w:rsidRPr="00F94D11" w:rsidRDefault="00CA0C63" w:rsidP="00CA0C63">
      <w:pPr>
        <w:rPr>
          <w:rStyle w:val="Headline"/>
          <w:rFonts w:ascii="Segoe UI" w:hAnsi="Segoe UI" w:cs="Segoe UI"/>
          <w:lang w:val="hu-HU"/>
        </w:rPr>
      </w:pPr>
      <w:r w:rsidRPr="00F94D11">
        <w:rPr>
          <w:rStyle w:val="Headline"/>
          <w:rFonts w:ascii="Segoe UI" w:hAnsi="Segoe UI" w:cs="Segoe UI"/>
          <w:lang w:val="hu"/>
        </w:rPr>
        <w:t>A Henkel jelentősen növelte árbevételét, folytatja stratégiai cselekvési terv</w:t>
      </w:r>
      <w:r w:rsidR="00E502B1">
        <w:rPr>
          <w:rStyle w:val="Headline"/>
          <w:rFonts w:ascii="Segoe UI" w:hAnsi="Segoe UI" w:cs="Segoe UI"/>
          <w:lang w:val="hu"/>
        </w:rPr>
        <w:t>é</w:t>
      </w:r>
      <w:r w:rsidRPr="00F94D11">
        <w:rPr>
          <w:rStyle w:val="Headline"/>
          <w:rFonts w:ascii="Segoe UI" w:hAnsi="Segoe UI" w:cs="Segoe UI"/>
          <w:lang w:val="hu"/>
        </w:rPr>
        <w:t xml:space="preserve">t, és megerősíti a 2022-re vonatkozó árbevétel </w:t>
      </w:r>
      <w:r w:rsidR="00D60AC5">
        <w:rPr>
          <w:rStyle w:val="Headline"/>
          <w:rFonts w:ascii="Segoe UI" w:hAnsi="Segoe UI" w:cs="Segoe UI"/>
          <w:lang w:val="hu"/>
        </w:rPr>
        <w:t>előrejelzéseit</w:t>
      </w:r>
    </w:p>
    <w:p w14:paraId="66527FB4" w14:textId="77777777" w:rsidR="00CA0C63" w:rsidRPr="00CA0C63" w:rsidRDefault="00CA0C63" w:rsidP="00CA0C63">
      <w:pPr>
        <w:rPr>
          <w:lang w:val="hu-HU"/>
        </w:rPr>
      </w:pPr>
    </w:p>
    <w:p w14:paraId="05FA097D" w14:textId="69671750" w:rsidR="00CA0C63" w:rsidRPr="00CA0C63" w:rsidRDefault="00CA0C63" w:rsidP="00CA0C63">
      <w:pPr>
        <w:pStyle w:val="Listaszerbekezds"/>
        <w:numPr>
          <w:ilvl w:val="0"/>
          <w:numId w:val="14"/>
        </w:numPr>
        <w:spacing w:after="80"/>
        <w:ind w:left="357" w:right="-108" w:hanging="357"/>
        <w:contextualSpacing w:val="0"/>
        <w:rPr>
          <w:rFonts w:cs="Calibri Light"/>
          <w:b/>
          <w:szCs w:val="22"/>
          <w:lang w:val="hu-HU"/>
        </w:rPr>
      </w:pPr>
      <w:bookmarkStart w:id="0" w:name="_Hlk43712519"/>
      <w:r w:rsidRPr="006C59B6">
        <w:rPr>
          <w:rFonts w:cs="Calibri Light"/>
          <w:b/>
          <w:bCs/>
          <w:szCs w:val="22"/>
          <w:lang w:val="hu"/>
        </w:rPr>
        <w:t>A csoport árbevétele 2022 első felében szervesen +8,9 százalékkal, mintegy 10,9 milliárd euróra nőtt (nominálisan +9,9 százalékkal), az összes üzletág és régió</w:t>
      </w:r>
      <w:r w:rsidR="00E44F7C">
        <w:rPr>
          <w:rFonts w:cs="Calibri Light"/>
          <w:b/>
          <w:bCs/>
          <w:szCs w:val="22"/>
          <w:lang w:val="hu"/>
        </w:rPr>
        <w:t xml:space="preserve"> </w:t>
      </w:r>
      <w:r w:rsidR="00E502B1">
        <w:rPr>
          <w:rFonts w:cs="Calibri Light"/>
          <w:b/>
          <w:bCs/>
          <w:szCs w:val="22"/>
          <w:lang w:val="hu"/>
        </w:rPr>
        <w:t>hozzájárulásával</w:t>
      </w:r>
    </w:p>
    <w:p w14:paraId="644AC5DE" w14:textId="253E08C2" w:rsidR="00CA0C63" w:rsidRPr="00CA0C63" w:rsidRDefault="00CA0C63" w:rsidP="00CA0C63">
      <w:pPr>
        <w:pStyle w:val="Listaszerbekezds"/>
        <w:numPr>
          <w:ilvl w:val="0"/>
          <w:numId w:val="14"/>
        </w:numPr>
        <w:spacing w:after="80"/>
        <w:ind w:right="-108"/>
        <w:contextualSpacing w:val="0"/>
        <w:rPr>
          <w:rFonts w:cs="Calibri Light"/>
          <w:b/>
          <w:szCs w:val="22"/>
          <w:lang w:val="hu-HU"/>
        </w:rPr>
      </w:pPr>
      <w:r w:rsidRPr="006C59B6">
        <w:rPr>
          <w:rFonts w:cs="Calibri Light"/>
          <w:b/>
          <w:bCs/>
          <w:szCs w:val="22"/>
          <w:lang w:val="hu"/>
        </w:rPr>
        <w:t>A</w:t>
      </w:r>
      <w:r w:rsidR="004F6791">
        <w:rPr>
          <w:rFonts w:cs="Calibri Light"/>
          <w:b/>
          <w:bCs/>
          <w:szCs w:val="22"/>
          <w:lang w:val="hu"/>
        </w:rPr>
        <w:t>hogy az várható volt, a drasztikusan megnövekedett anyag- és logisztikai árak negatív hatással vannak ez eredményre</w:t>
      </w:r>
      <w:r w:rsidRPr="006C59B6">
        <w:rPr>
          <w:rFonts w:cs="Calibri Light"/>
          <w:b/>
          <w:bCs/>
          <w:szCs w:val="22"/>
          <w:lang w:val="hu"/>
        </w:rPr>
        <w:t>:</w:t>
      </w:r>
    </w:p>
    <w:p w14:paraId="2395BE1A" w14:textId="77777777" w:rsidR="00CA0C63" w:rsidRPr="00CA0C63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  <w:lang w:val="hu-HU"/>
        </w:rPr>
      </w:pPr>
      <w:r w:rsidRPr="006C59B6">
        <w:rPr>
          <w:rFonts w:cs="Calibri Light"/>
          <w:b/>
          <w:bCs/>
          <w:szCs w:val="22"/>
          <w:lang w:val="hu"/>
        </w:rPr>
        <w:t>A</w:t>
      </w:r>
      <w:r>
        <w:rPr>
          <w:rFonts w:cs="Calibri Light"/>
          <w:b/>
          <w:bCs/>
          <w:szCs w:val="22"/>
          <w:lang w:val="hu"/>
        </w:rPr>
        <w:t xml:space="preserve">z üzemi </w:t>
      </w:r>
      <w:r w:rsidRPr="006C59B6">
        <w:rPr>
          <w:rFonts w:cs="Calibri Light"/>
          <w:b/>
          <w:bCs/>
          <w:szCs w:val="22"/>
          <w:lang w:val="hu"/>
        </w:rPr>
        <w:t>eredmény (EBIT)* eléri az 1166 millió eurót (-18,5%)</w:t>
      </w:r>
    </w:p>
    <w:p w14:paraId="42AAA6DD" w14:textId="338DB916" w:rsidR="00CA0C63" w:rsidRPr="006C59B6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</w:rPr>
      </w:pPr>
      <w:r w:rsidRPr="006C59B6">
        <w:rPr>
          <w:rFonts w:cs="Calibri Light"/>
          <w:b/>
          <w:bCs/>
          <w:szCs w:val="22"/>
          <w:lang w:val="hu"/>
        </w:rPr>
        <w:t xml:space="preserve">EBIT </w:t>
      </w:r>
      <w:proofErr w:type="spellStart"/>
      <w:r>
        <w:rPr>
          <w:rFonts w:cs="Calibri Light"/>
          <w:b/>
          <w:bCs/>
          <w:szCs w:val="22"/>
          <w:lang w:val="hu"/>
        </w:rPr>
        <w:t>marzs</w:t>
      </w:r>
      <w:proofErr w:type="spellEnd"/>
      <w:r w:rsidRPr="006C59B6">
        <w:rPr>
          <w:rFonts w:cs="Calibri Light"/>
          <w:b/>
          <w:bCs/>
          <w:szCs w:val="22"/>
          <w:lang w:val="hu"/>
        </w:rPr>
        <w:t>* 10,7% (-370 bázispont)</w:t>
      </w:r>
    </w:p>
    <w:p w14:paraId="27D047B3" w14:textId="1F62FC8E" w:rsidR="00CA0C63" w:rsidRPr="006C59B6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</w:rPr>
      </w:pPr>
      <w:r>
        <w:rPr>
          <w:b/>
          <w:bCs/>
          <w:szCs w:val="22"/>
          <w:lang w:val="hu"/>
        </w:rPr>
        <w:t>E</w:t>
      </w:r>
      <w:r w:rsidRPr="0051348C">
        <w:rPr>
          <w:b/>
          <w:bCs/>
          <w:szCs w:val="22"/>
          <w:lang w:val="hu"/>
        </w:rPr>
        <w:t>lsőbbségi részvények korrigált hozama</w:t>
      </w:r>
      <w:r w:rsidRPr="006C59B6">
        <w:rPr>
          <w:rFonts w:cs="Calibri Light"/>
          <w:b/>
          <w:bCs/>
          <w:szCs w:val="22"/>
          <w:lang w:val="hu"/>
        </w:rPr>
        <w:t xml:space="preserve"> (EPS)* 1,95 euró, </w:t>
      </w:r>
      <w:r w:rsidR="00F94D11" w:rsidRPr="006C59B6">
        <w:rPr>
          <w:rFonts w:cs="Calibri Light"/>
          <w:b/>
          <w:bCs/>
          <w:szCs w:val="22"/>
          <w:lang w:val="hu"/>
        </w:rPr>
        <w:t>-</w:t>
      </w:r>
      <w:r w:rsidR="00397069" w:rsidRPr="006C59B6">
        <w:rPr>
          <w:rFonts w:cs="Calibri Light"/>
          <w:b/>
          <w:bCs/>
          <w:szCs w:val="22"/>
          <w:lang w:val="hu"/>
        </w:rPr>
        <w:t>20,8%</w:t>
      </w:r>
      <w:r w:rsidR="00397069">
        <w:rPr>
          <w:rFonts w:cs="Calibri Light"/>
          <w:b/>
          <w:bCs/>
          <w:szCs w:val="22"/>
          <w:lang w:val="hu"/>
        </w:rPr>
        <w:t xml:space="preserve"> </w:t>
      </w:r>
      <w:r w:rsidR="00397069" w:rsidRPr="006C59B6">
        <w:rPr>
          <w:rFonts w:cs="Calibri Light"/>
          <w:b/>
          <w:bCs/>
          <w:szCs w:val="22"/>
          <w:lang w:val="hu"/>
        </w:rPr>
        <w:t xml:space="preserve">változatlan árfolyamon </w:t>
      </w:r>
    </w:p>
    <w:p w14:paraId="7C5B6894" w14:textId="77777777" w:rsidR="00CA0C63" w:rsidRPr="006C59B6" w:rsidRDefault="00CA0C63" w:rsidP="00CA0C63">
      <w:pPr>
        <w:pStyle w:val="Listaszerbekezds"/>
        <w:numPr>
          <w:ilvl w:val="0"/>
          <w:numId w:val="14"/>
        </w:numPr>
        <w:spacing w:after="80"/>
        <w:ind w:left="357" w:right="-108" w:hanging="357"/>
        <w:contextualSpacing w:val="0"/>
        <w:rPr>
          <w:rFonts w:cs="Calibri Light"/>
          <w:b/>
          <w:szCs w:val="22"/>
        </w:rPr>
      </w:pPr>
      <w:r w:rsidRPr="006C59B6">
        <w:rPr>
          <w:rFonts w:cs="Calibri Light"/>
          <w:b/>
          <w:bCs/>
          <w:szCs w:val="22"/>
          <w:lang w:val="hu"/>
        </w:rPr>
        <w:t xml:space="preserve">Jól halad a céltudatos növekedési cselekvési terv megvalósítása és a fogyasztói üzletágak egyesítése a Henkel Consumer </w:t>
      </w:r>
      <w:proofErr w:type="spellStart"/>
      <w:r w:rsidRPr="006C59B6">
        <w:rPr>
          <w:rFonts w:cs="Calibri Light"/>
          <w:b/>
          <w:bCs/>
          <w:szCs w:val="22"/>
          <w:lang w:val="hu"/>
        </w:rPr>
        <w:t>Brands</w:t>
      </w:r>
      <w:proofErr w:type="spellEnd"/>
      <w:r w:rsidRPr="006C59B6">
        <w:rPr>
          <w:rFonts w:cs="Calibri Light"/>
          <w:b/>
          <w:bCs/>
          <w:szCs w:val="22"/>
          <w:lang w:val="hu"/>
        </w:rPr>
        <w:t xml:space="preserve"> égisze alatt</w:t>
      </w:r>
    </w:p>
    <w:p w14:paraId="59C7EBB4" w14:textId="48FCB84C" w:rsidR="00CA0C63" w:rsidRPr="006C59B6" w:rsidRDefault="00397069" w:rsidP="00CA0C63">
      <w:pPr>
        <w:pStyle w:val="Listaszerbekezds"/>
        <w:numPr>
          <w:ilvl w:val="0"/>
          <w:numId w:val="14"/>
        </w:numPr>
        <w:spacing w:after="80"/>
        <w:ind w:left="357" w:right="-108" w:hanging="357"/>
        <w:contextualSpacing w:val="0"/>
        <w:rPr>
          <w:rFonts w:cs="Calibri Light"/>
          <w:b/>
          <w:szCs w:val="22"/>
        </w:rPr>
      </w:pPr>
      <w:r>
        <w:rPr>
          <w:rFonts w:cs="Calibri Light"/>
          <w:b/>
          <w:bCs/>
          <w:szCs w:val="22"/>
          <w:lang w:val="hu"/>
        </w:rPr>
        <w:t xml:space="preserve">Frissítve a </w:t>
      </w:r>
      <w:r w:rsidR="00CA0C63" w:rsidRPr="006C59B6">
        <w:rPr>
          <w:rFonts w:cs="Calibri Light"/>
          <w:b/>
          <w:bCs/>
          <w:szCs w:val="22"/>
          <w:lang w:val="hu"/>
        </w:rPr>
        <w:t>2022-es pénzügyi évre vonatkozó kilátások:</w:t>
      </w:r>
    </w:p>
    <w:p w14:paraId="65AA2EA2" w14:textId="44526D7C" w:rsidR="00CA0C63" w:rsidRPr="006C59B6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</w:rPr>
      </w:pPr>
      <w:r w:rsidRPr="006C59B6">
        <w:rPr>
          <w:rFonts w:cs="Calibri Light"/>
          <w:b/>
          <w:bCs/>
          <w:szCs w:val="22"/>
          <w:lang w:val="hu"/>
        </w:rPr>
        <w:t>Szerves árbevétel növekedés: +4,5</w:t>
      </w:r>
      <w:r w:rsidR="00397069">
        <w:rPr>
          <w:rFonts w:cs="Calibri Light"/>
          <w:b/>
          <w:bCs/>
          <w:szCs w:val="22"/>
          <w:lang w:val="hu"/>
        </w:rPr>
        <w:t xml:space="preserve"> és </w:t>
      </w:r>
      <w:r w:rsidRPr="006C59B6">
        <w:rPr>
          <w:rFonts w:cs="Calibri Light"/>
          <w:b/>
          <w:bCs/>
          <w:szCs w:val="22"/>
          <w:lang w:val="hu"/>
        </w:rPr>
        <w:t>+6,5 százalék</w:t>
      </w:r>
      <w:r w:rsidR="00397069">
        <w:rPr>
          <w:rFonts w:cs="Calibri Light"/>
          <w:b/>
          <w:bCs/>
          <w:szCs w:val="22"/>
          <w:lang w:val="hu"/>
        </w:rPr>
        <w:t>ra nőtt</w:t>
      </w:r>
    </w:p>
    <w:p w14:paraId="4CCBD950" w14:textId="77777777" w:rsidR="00CA0C63" w:rsidRPr="006C59B6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</w:rPr>
      </w:pPr>
      <w:r w:rsidRPr="006C59B6">
        <w:rPr>
          <w:rFonts w:cs="Calibri Light"/>
          <w:b/>
          <w:bCs/>
          <w:szCs w:val="22"/>
          <w:lang w:val="hu"/>
        </w:rPr>
        <w:t xml:space="preserve">EBIT </w:t>
      </w:r>
      <w:proofErr w:type="spellStart"/>
      <w:r>
        <w:rPr>
          <w:rFonts w:cs="Calibri Light"/>
          <w:b/>
          <w:bCs/>
          <w:szCs w:val="22"/>
          <w:lang w:val="hu"/>
        </w:rPr>
        <w:t>marzs</w:t>
      </w:r>
      <w:proofErr w:type="spellEnd"/>
      <w:r w:rsidRPr="006C59B6">
        <w:rPr>
          <w:rFonts w:cs="Calibri Light"/>
          <w:b/>
          <w:bCs/>
          <w:szCs w:val="22"/>
          <w:lang w:val="hu"/>
        </w:rPr>
        <w:t>*: változatlan, 9,0-11,0 százalék</w:t>
      </w:r>
    </w:p>
    <w:p w14:paraId="435CB172" w14:textId="77777777" w:rsidR="00CA0C63" w:rsidRPr="006C59B6" w:rsidRDefault="00CA0C63" w:rsidP="00CA0C63">
      <w:pPr>
        <w:pStyle w:val="Listaszerbekezds"/>
        <w:numPr>
          <w:ilvl w:val="1"/>
          <w:numId w:val="14"/>
        </w:numPr>
        <w:spacing w:after="80" w:line="266" w:lineRule="auto"/>
        <w:ind w:left="709" w:right="-108" w:hanging="283"/>
        <w:contextualSpacing w:val="0"/>
        <w:rPr>
          <w:rFonts w:cs="Calibri Light"/>
          <w:b/>
          <w:szCs w:val="22"/>
        </w:rPr>
      </w:pPr>
      <w:r>
        <w:rPr>
          <w:b/>
          <w:bCs/>
          <w:szCs w:val="22"/>
          <w:lang w:val="hu"/>
        </w:rPr>
        <w:t>E</w:t>
      </w:r>
      <w:r w:rsidRPr="0051348C">
        <w:rPr>
          <w:b/>
          <w:bCs/>
          <w:szCs w:val="22"/>
          <w:lang w:val="hu"/>
        </w:rPr>
        <w:t>lsőbbségi részvények korrigált hozama</w:t>
      </w:r>
      <w:r w:rsidRPr="006C59B6">
        <w:rPr>
          <w:rFonts w:cs="Calibri Light"/>
          <w:b/>
          <w:bCs/>
          <w:szCs w:val="22"/>
          <w:lang w:val="hu"/>
        </w:rPr>
        <w:t xml:space="preserve"> (EPS)* változatlan árfolyamon: változatlan, -35 és -15 százalék közötti csökkenés</w:t>
      </w:r>
    </w:p>
    <w:p w14:paraId="56104505" w14:textId="1E787EF3" w:rsidR="00CA0C63" w:rsidRPr="00CA0C63" w:rsidRDefault="00CA0C63" w:rsidP="00CA0C63">
      <w:pPr>
        <w:rPr>
          <w:rFonts w:cs="Segoe UI"/>
          <w:b/>
          <w:bCs/>
          <w:szCs w:val="22"/>
          <w:lang w:val="en-US"/>
        </w:rPr>
      </w:pPr>
    </w:p>
    <w:p w14:paraId="39AAFA04" w14:textId="5F373808" w:rsidR="00F94D11" w:rsidRDefault="00F94D11" w:rsidP="00CA0C63">
      <w:pPr>
        <w:rPr>
          <w:rFonts w:cs="Segoe UI"/>
          <w:b/>
          <w:bCs/>
          <w:szCs w:val="22"/>
          <w:lang w:val="hu"/>
        </w:rPr>
      </w:pPr>
    </w:p>
    <w:p w14:paraId="4934AC27" w14:textId="57E2CFE5" w:rsidR="00CA0C63" w:rsidRPr="006B01C5" w:rsidRDefault="00D60AC5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>
        <w:rPr>
          <w:noProof/>
          <w:lang w:val="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EFB76" wp14:editId="6AAD3AAC">
                <wp:simplePos x="0" y="0"/>
                <wp:positionH relativeFrom="margin">
                  <wp:align>left</wp:align>
                </wp:positionH>
                <wp:positionV relativeFrom="paragraph">
                  <wp:posOffset>1277205</wp:posOffset>
                </wp:positionV>
                <wp:extent cx="5375275" cy="294005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17FD0" w14:textId="77777777" w:rsidR="00CA0C63" w:rsidRPr="006260F9" w:rsidRDefault="00CA0C63" w:rsidP="00CA0C63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"/>
                              </w:rPr>
                              <w:t xml:space="preserve">* </w:t>
                            </w:r>
                            <w:r>
                              <w:rPr>
                                <w:rFonts w:ascii="SegoeUI" w:hAnsi="SegoeUI"/>
                                <w:sz w:val="16"/>
                                <w:szCs w:val="16"/>
                                <w:lang w:val="hu"/>
                              </w:rPr>
                              <w:t>Az egyszeri költségekkel és bevétellel, valamint a szerkezetátalakítási költségekkel kiigazítva.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FB76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0;margin-top:100.55pt;width:423.25pt;height:2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" stroked="f">
                <v:textbox>
                  <w:txbxContent>
                    <w:p w14:paraId="13D17FD0" w14:textId="77777777" w:rsidR="00CA0C63" w:rsidRPr="006260F9" w:rsidRDefault="00CA0C63" w:rsidP="00CA0C63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hu"/>
                        </w:rPr>
                        <w:t xml:space="preserve">* </w:t>
                      </w:r>
                      <w:r>
                        <w:rPr>
                          <w:rFonts w:ascii="SegoeUI" w:hAnsi="SegoeUI"/>
                          <w:sz w:val="16"/>
                          <w:szCs w:val="16"/>
                          <w:lang w:val="hu"/>
                        </w:rPr>
                        <w:t>Az egyszeri költségekkel és bevétellel, valamint a szerkezetátalakítási költségekkel kiigazítva.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C63" w:rsidRPr="006B01C5">
        <w:rPr>
          <w:rFonts w:ascii="Segoe UI" w:hAnsi="Segoe UI" w:cs="Segoe UI"/>
          <w:b/>
          <w:bCs/>
          <w:sz w:val="22"/>
          <w:szCs w:val="22"/>
          <w:lang w:val="hu"/>
        </w:rPr>
        <w:t>2022 első felében a Henkel mintegy 10,9 milliárd euróra növelte a csoport árbevételét.</w:t>
      </w:r>
      <w:bookmarkStart w:id="1" w:name="_Hlk109033326"/>
      <w:bookmarkEnd w:id="0"/>
      <w:bookmarkEnd w:id="1"/>
      <w:r w:rsidR="00CA0C63"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Ez jelentős, +8,9 százalékos szerves árbevétel-növekedésnek felel meg. Ehhez a pozitív fejleményhez minden üzletág és régió hozzájárult. A várakozásoknak megfelelően az első </w:t>
      </w:r>
      <w:r w:rsidR="00CA0C63" w:rsidRPr="006B01C5">
        <w:rPr>
          <w:rFonts w:ascii="Segoe UI" w:hAnsi="Segoe UI" w:cs="Segoe UI"/>
          <w:b/>
          <w:bCs/>
          <w:sz w:val="22"/>
          <w:szCs w:val="22"/>
          <w:lang w:val="hu"/>
        </w:rPr>
        <w:lastRenderedPageBreak/>
        <w:t>félév eredményét az anyag- és logisztikai árak drasztikus emelkedése befolyásolta. A jelentős áremelkedések, a szigorú költséggazdálkodás és a további hatékonyságjavítás ellenére ezeket a hatásokat nem sikerült maradéktalanul ellensúlyozni.</w:t>
      </w:r>
    </w:p>
    <w:p w14:paraId="04BD3E1F" w14:textId="5995A931" w:rsidR="00CA0C63" w:rsidRPr="00F94D11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Cs w:val="22"/>
          <w:lang w:val="hu"/>
        </w:rPr>
      </w:pPr>
    </w:p>
    <w:p w14:paraId="6B04D897" w14:textId="41B86A8D" w:rsidR="00CA0C63" w:rsidRPr="006B01C5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„</w:t>
      </w:r>
      <w:r w:rsidR="00397069">
        <w:rPr>
          <w:rFonts w:ascii="Segoe UI" w:hAnsi="Segoe UI" w:cs="Segoe UI"/>
          <w:b/>
          <w:bCs/>
          <w:sz w:val="22"/>
          <w:szCs w:val="22"/>
          <w:lang w:val="hu"/>
        </w:rPr>
        <w:t xml:space="preserve">A rendkívül nehéz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környezetben az első hat hónap árbevétel teljesítménye meghaladta a teljes évre vonatkozó korábbi várakozásokat, miközben az eredmény</w:t>
      </w:r>
      <w:r w:rsidR="00D60AC5">
        <w:rPr>
          <w:rFonts w:ascii="Segoe UI" w:hAnsi="Segoe UI" w:cs="Segoe UI"/>
          <w:b/>
          <w:bCs/>
          <w:sz w:val="22"/>
          <w:szCs w:val="22"/>
          <w:lang w:val="hu"/>
        </w:rPr>
        <w:t>adatok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a Csoport 2022-es pénzügyi évre vonatkozó </w:t>
      </w:r>
      <w:r w:rsidR="00D60AC5">
        <w:rPr>
          <w:rFonts w:ascii="Segoe UI" w:hAnsi="Segoe UI" w:cs="Segoe UI"/>
          <w:b/>
          <w:bCs/>
          <w:sz w:val="22"/>
          <w:szCs w:val="22"/>
          <w:lang w:val="hu"/>
        </w:rPr>
        <w:t xml:space="preserve">előrejelzésével összhangban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alakult</w:t>
      </w:r>
      <w:r w:rsidR="00D60AC5">
        <w:rPr>
          <w:rFonts w:ascii="Segoe UI" w:hAnsi="Segoe UI" w:cs="Segoe UI"/>
          <w:b/>
          <w:bCs/>
          <w:sz w:val="22"/>
          <w:szCs w:val="22"/>
          <w:lang w:val="hu"/>
        </w:rPr>
        <w:t>ak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. </w:t>
      </w:r>
      <w:r w:rsidR="00D60AC5">
        <w:rPr>
          <w:rFonts w:ascii="Segoe UI" w:hAnsi="Segoe UI" w:cs="Segoe UI"/>
          <w:b/>
          <w:bCs/>
          <w:sz w:val="22"/>
          <w:szCs w:val="22"/>
          <w:lang w:val="hu"/>
        </w:rPr>
        <w:t xml:space="preserve">Az eddigi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fejlemények</w:t>
      </w:r>
      <w:r w:rsidR="00D60AC5">
        <w:rPr>
          <w:rFonts w:ascii="Segoe UI" w:hAnsi="Segoe UI" w:cs="Segoe UI"/>
          <w:b/>
          <w:bCs/>
          <w:sz w:val="22"/>
          <w:szCs w:val="22"/>
          <w:lang w:val="hu"/>
        </w:rPr>
        <w:t xml:space="preserve">et tekintve </w:t>
      </w:r>
      <w:r w:rsidR="00BF53B6"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a Csoport szerves árbevétel-növekedésére vonatkozó </w:t>
      </w:r>
      <w:r w:rsidR="00BF53B6">
        <w:rPr>
          <w:rFonts w:ascii="Segoe UI" w:hAnsi="Segoe UI" w:cs="Segoe UI"/>
          <w:b/>
          <w:bCs/>
          <w:sz w:val="22"/>
          <w:szCs w:val="22"/>
          <w:lang w:val="hu"/>
        </w:rPr>
        <w:t>é</w:t>
      </w:r>
      <w:r w:rsidR="00BF53B6" w:rsidRPr="006B01C5">
        <w:rPr>
          <w:rFonts w:ascii="Segoe UI" w:hAnsi="Segoe UI" w:cs="Segoe UI"/>
          <w:b/>
          <w:bCs/>
          <w:sz w:val="22"/>
          <w:szCs w:val="22"/>
          <w:lang w:val="hu"/>
        </w:rPr>
        <w:t>v</w:t>
      </w:r>
      <w:r w:rsidR="00BF53B6">
        <w:rPr>
          <w:rFonts w:ascii="Segoe UI" w:hAnsi="Segoe UI" w:cs="Segoe UI"/>
          <w:b/>
          <w:bCs/>
          <w:sz w:val="22"/>
          <w:szCs w:val="22"/>
          <w:lang w:val="hu"/>
        </w:rPr>
        <w:t>es</w:t>
      </w:r>
      <w:r w:rsidR="00BF53B6"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="00BF53B6">
        <w:rPr>
          <w:rFonts w:ascii="Segoe UI" w:hAnsi="Segoe UI" w:cs="Segoe UI"/>
          <w:b/>
          <w:bCs/>
          <w:sz w:val="22"/>
          <w:szCs w:val="22"/>
          <w:lang w:val="hu"/>
        </w:rPr>
        <w:t>előrejelzésünket megemeltük, és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megerősítettük az EBIT </w:t>
      </w:r>
      <w:proofErr w:type="spellStart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marzsra</w:t>
      </w:r>
      <w:proofErr w:type="spellEnd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és az elsőbbségi részvények korrigált hozamára vonatkozó </w:t>
      </w:r>
      <w:r w:rsidR="004F6791">
        <w:rPr>
          <w:rFonts w:ascii="Segoe UI" w:hAnsi="Segoe UI" w:cs="Segoe UI"/>
          <w:b/>
          <w:bCs/>
          <w:sz w:val="22"/>
          <w:szCs w:val="22"/>
          <w:lang w:val="hu"/>
        </w:rPr>
        <w:t>prognózisunkat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” – mondta Carsten </w:t>
      </w:r>
      <w:proofErr w:type="spellStart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Knobel</w:t>
      </w:r>
      <w:proofErr w:type="spellEnd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, a Henkel igazgatóságának elnöke.</w:t>
      </w:r>
    </w:p>
    <w:p w14:paraId="33F614F0" w14:textId="77777777" w:rsidR="00CA0C63" w:rsidRPr="00F94D11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Cs w:val="22"/>
          <w:lang w:val="hu"/>
        </w:rPr>
      </w:pPr>
    </w:p>
    <w:p w14:paraId="028E0D3D" w14:textId="09E2C597" w:rsidR="00CA0C63" w:rsidRPr="006B01C5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„Következetesen </w:t>
      </w:r>
      <w:r w:rsidR="004F6791">
        <w:rPr>
          <w:rFonts w:ascii="Segoe UI" w:hAnsi="Segoe UI" w:cs="Segoe UI"/>
          <w:b/>
          <w:bCs/>
          <w:sz w:val="22"/>
          <w:szCs w:val="22"/>
          <w:lang w:val="hu"/>
        </w:rPr>
        <w:t>követjük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="004F6791">
        <w:rPr>
          <w:rFonts w:ascii="Segoe UI" w:hAnsi="Segoe UI" w:cs="Segoe UI"/>
          <w:b/>
          <w:bCs/>
          <w:sz w:val="22"/>
          <w:szCs w:val="22"/>
          <w:lang w:val="hu"/>
        </w:rPr>
        <w:t xml:space="preserve">a </w:t>
      </w:r>
      <w:r w:rsidR="004F6791" w:rsidRPr="006B01C5">
        <w:rPr>
          <w:rFonts w:ascii="Segoe UI" w:hAnsi="Segoe UI" w:cs="Segoe UI"/>
          <w:b/>
          <w:bCs/>
          <w:sz w:val="22"/>
          <w:szCs w:val="22"/>
          <w:lang w:val="hu"/>
        </w:rPr>
        <w:t>céltudatos növekedés</w:t>
      </w:r>
      <w:r w:rsidR="00BE3909">
        <w:rPr>
          <w:rFonts w:ascii="Segoe UI" w:hAnsi="Segoe UI" w:cs="Segoe UI"/>
          <w:b/>
          <w:bCs/>
          <w:sz w:val="22"/>
          <w:szCs w:val="22"/>
          <w:lang w:val="hu"/>
        </w:rPr>
        <w:t>re irányuló</w:t>
      </w:r>
      <w:r w:rsidR="004F6791"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stratégiánkat, és 2022 első felében j</w:t>
      </w:r>
      <w:r w:rsidR="00BE3909">
        <w:rPr>
          <w:rFonts w:ascii="Segoe UI" w:hAnsi="Segoe UI" w:cs="Segoe UI"/>
          <w:b/>
          <w:bCs/>
          <w:sz w:val="22"/>
          <w:szCs w:val="22"/>
          <w:lang w:val="hu"/>
        </w:rPr>
        <w:t xml:space="preserve">elentős előrelépést tettünk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megvalósítás</w:t>
      </w:r>
      <w:r w:rsidR="00BE3909">
        <w:rPr>
          <w:rFonts w:ascii="Segoe UI" w:hAnsi="Segoe UI" w:cs="Segoe UI"/>
          <w:b/>
          <w:bCs/>
          <w:sz w:val="22"/>
          <w:szCs w:val="22"/>
          <w:lang w:val="hu"/>
        </w:rPr>
        <w:t>á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ban – mindenekelőtt munkatársaink világszerte </w:t>
      </w:r>
      <w:r w:rsidR="00BE3909">
        <w:rPr>
          <w:rFonts w:ascii="Segoe UI" w:hAnsi="Segoe UI" w:cs="Segoe UI"/>
          <w:b/>
          <w:bCs/>
          <w:sz w:val="22"/>
          <w:szCs w:val="22"/>
          <w:lang w:val="hu"/>
        </w:rPr>
        <w:t xml:space="preserve">nagy 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elkötelezettségének köszönhetően. </w:t>
      </w:r>
      <w:r w:rsidR="00BE3909" w:rsidRPr="00BE3909">
        <w:rPr>
          <w:rFonts w:ascii="Segoe UI" w:hAnsi="Segoe UI" w:cs="Segoe UI"/>
          <w:b/>
          <w:bCs/>
          <w:sz w:val="22"/>
          <w:szCs w:val="22"/>
          <w:lang w:val="hu"/>
        </w:rPr>
        <w:t>Adhesive Technologies üzletágunkkal globális vezető szerepet töltünk be, és innovatív megoldásokat kínálunk, amelyek egyértelműen a jövőbeli trendekre, például a mobilitásra, a kapcsolódásra és a fenntarthatóságra összpontosítanak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. A Laundry &amp; Home Care és a Beauty Care fogyasztói üzletágak összevonásával egy többkategóriás platformot hozunk létre, mintegy 10 milliárd eurós árbevétellel. Jó úton haladunk, és arra törekszünk, hogy jövőbeli Consumer </w:t>
      </w:r>
      <w:proofErr w:type="spellStart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Brands</w:t>
      </w:r>
      <w:proofErr w:type="spellEnd"/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 xml:space="preserve"> üzletágunkat legkésőbb 2023 elejére </w:t>
      </w:r>
      <w:r w:rsidR="008B056A">
        <w:rPr>
          <w:rFonts w:ascii="Segoe UI" w:hAnsi="Segoe UI" w:cs="Segoe UI"/>
          <w:b/>
          <w:bCs/>
          <w:sz w:val="22"/>
          <w:szCs w:val="22"/>
          <w:lang w:val="hu"/>
        </w:rPr>
        <w:t>létrehozzuk</w:t>
      </w:r>
      <w:r w:rsidRPr="006B01C5">
        <w:rPr>
          <w:rFonts w:ascii="Segoe UI" w:hAnsi="Segoe UI" w:cs="Segoe UI"/>
          <w:b/>
          <w:bCs/>
          <w:sz w:val="22"/>
          <w:szCs w:val="22"/>
          <w:lang w:val="hu"/>
        </w:rPr>
        <w:t>. Az egyesített üzletág szélesebb alapot kínál majd portfóliónk következetesebb optimalizálásához, és magasabb növekedést valamint árrést eredményez az üzletág számára.”</w:t>
      </w:r>
    </w:p>
    <w:p w14:paraId="1E9E8CAB" w14:textId="77777777" w:rsidR="00CA0C63" w:rsidRPr="00F94D11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Cs w:val="22"/>
          <w:lang w:val="hu"/>
        </w:rPr>
      </w:pPr>
    </w:p>
    <w:p w14:paraId="438735BE" w14:textId="14A356F2" w:rsidR="00CA0C63" w:rsidRPr="008B056A" w:rsidRDefault="008B056A" w:rsidP="008B056A">
      <w:pPr>
        <w:spacing w:after="120" w:line="276" w:lineRule="auto"/>
        <w:ind w:right="-108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>
        <w:rPr>
          <w:rFonts w:ascii="Segoe UI" w:hAnsi="Segoe UI" w:cs="Segoe UI"/>
          <w:b/>
          <w:bCs/>
          <w:sz w:val="22"/>
          <w:szCs w:val="22"/>
          <w:lang w:val="hu"/>
        </w:rPr>
        <w:t xml:space="preserve">Frissített kilátások a </w:t>
      </w:r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2022-es pénzügyi évre </w:t>
      </w:r>
    </w:p>
    <w:p w14:paraId="35259EA7" w14:textId="536310C7" w:rsidR="00CA0C63" w:rsidRPr="008B056A" w:rsidRDefault="008B056A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>
        <w:rPr>
          <w:rFonts w:ascii="Segoe UI" w:hAnsi="Segoe UI" w:cs="Segoe UI"/>
          <w:b/>
          <w:bCs/>
          <w:sz w:val="22"/>
          <w:szCs w:val="22"/>
          <w:lang w:val="hu"/>
        </w:rPr>
        <w:t>Csoportszinten a</w:t>
      </w:r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Henkel most +4,5 és +6,5 százalék közötti szerves árbevétel-növekedést vár a 2022-es pénzügyi évben (korábban: +3,5 és +5,5 százalék között). Az Adhesive Technologies üzletágnál továbbra is +8,0 és +10,0 százalék közötti szerves árbevétel-növekedés várható. A Beauty Care területén a Henkel most -3,0 és -1,0 százalék közötti szerves árbevétel-</w:t>
      </w:r>
      <w:r>
        <w:rPr>
          <w:rFonts w:ascii="Segoe UI" w:hAnsi="Segoe UI" w:cs="Segoe UI"/>
          <w:b/>
          <w:bCs/>
          <w:sz w:val="22"/>
          <w:szCs w:val="22"/>
          <w:lang w:val="hu"/>
        </w:rPr>
        <w:t>teljesítményt feltételez</w:t>
      </w:r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(korábban -5,0 és -3,0 százalék között). A Laundry &amp; Home Care üzletágnál a Henkel most +4,0 és +6,0 százalék közötti szerves árbevétel-növekedés</w:t>
      </w:r>
      <w:r w:rsidR="00B6344F">
        <w:rPr>
          <w:rFonts w:ascii="Segoe UI" w:hAnsi="Segoe UI" w:cs="Segoe UI"/>
          <w:b/>
          <w:bCs/>
          <w:sz w:val="22"/>
          <w:szCs w:val="22"/>
          <w:lang w:val="hu"/>
        </w:rPr>
        <w:t>sel számol</w:t>
      </w:r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(korábban: +2,0 és +4,0 százalék között). A korrigált EBIT </w:t>
      </w:r>
      <w:proofErr w:type="spellStart"/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>marzs</w:t>
      </w:r>
      <w:proofErr w:type="spellEnd"/>
      <w:r w:rsidR="00CA0C63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csoportszinten várhatóan változatlan marad, 9,0 és 11,0 százalék között. Az elsőbbségi részvények korrigált hozama (EPS) változatlan árfolyamon számított alakulása tekintetében a Henkel továbbra is -35 és -15 százalék közötti csökkenést vár.</w:t>
      </w:r>
    </w:p>
    <w:p w14:paraId="7F444455" w14:textId="77777777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</w:p>
    <w:p w14:paraId="0AFD9BC9" w14:textId="77777777" w:rsidR="009C4B26" w:rsidRDefault="009C4B26" w:rsidP="00B6344F">
      <w:pPr>
        <w:spacing w:after="120" w:line="276" w:lineRule="auto"/>
        <w:ind w:right="-108"/>
        <w:jc w:val="both"/>
        <w:rPr>
          <w:rFonts w:ascii="Segoe UI" w:hAnsi="Segoe UI" w:cs="Segoe UI"/>
          <w:b/>
          <w:bCs/>
          <w:sz w:val="24"/>
          <w:lang w:val="hu"/>
        </w:rPr>
      </w:pPr>
    </w:p>
    <w:p w14:paraId="57EBE559" w14:textId="77777777" w:rsidR="009C4B26" w:rsidRDefault="009C4B26" w:rsidP="00B6344F">
      <w:pPr>
        <w:spacing w:after="120" w:line="276" w:lineRule="auto"/>
        <w:ind w:right="-108"/>
        <w:jc w:val="both"/>
        <w:rPr>
          <w:rFonts w:ascii="Segoe UI" w:hAnsi="Segoe UI" w:cs="Segoe UI"/>
          <w:b/>
          <w:bCs/>
          <w:sz w:val="24"/>
          <w:lang w:val="hu"/>
        </w:rPr>
      </w:pPr>
    </w:p>
    <w:p w14:paraId="78FE5EA5" w14:textId="3E4E2B9C" w:rsidR="00CA0C63" w:rsidRPr="00556A0B" w:rsidRDefault="00CA0C63" w:rsidP="00B6344F">
      <w:pPr>
        <w:spacing w:after="120" w:line="276" w:lineRule="auto"/>
        <w:ind w:right="-108"/>
        <w:jc w:val="both"/>
        <w:rPr>
          <w:rFonts w:ascii="Segoe UI" w:hAnsi="Segoe UI" w:cs="Segoe UI"/>
          <w:b/>
          <w:bCs/>
          <w:sz w:val="24"/>
          <w:lang w:val="hu"/>
        </w:rPr>
      </w:pPr>
      <w:r w:rsidRPr="00556A0B">
        <w:rPr>
          <w:rFonts w:ascii="Segoe UI" w:hAnsi="Segoe UI" w:cs="Segoe UI"/>
          <w:b/>
          <w:bCs/>
          <w:sz w:val="24"/>
          <w:lang w:val="hu"/>
        </w:rPr>
        <w:lastRenderedPageBreak/>
        <w:t>Az oroszországi és fehéroroszországi tevékenységekből történő kilépés folyamatban van</w:t>
      </w:r>
    </w:p>
    <w:p w14:paraId="5181E430" w14:textId="7A574A39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2022 áprilisában a Henkel úgy döntött, hogy kilép oroszországi és fehéroroszországi üzleti tevékenységeiből. A Henkel </w:t>
      </w:r>
      <w:r w:rsidR="009C4B26">
        <w:rPr>
          <w:rFonts w:ascii="Segoe UI" w:hAnsi="Segoe UI" w:cs="Segoe UI"/>
          <w:b/>
          <w:bCs/>
          <w:sz w:val="22"/>
          <w:szCs w:val="22"/>
          <w:lang w:val="hu"/>
        </w:rPr>
        <w:t xml:space="preserve">minden lehetőséget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alaposan </w:t>
      </w:r>
      <w:r w:rsidR="009C4B26">
        <w:rPr>
          <w:rFonts w:ascii="Segoe UI" w:hAnsi="Segoe UI" w:cs="Segoe UI"/>
          <w:b/>
          <w:bCs/>
          <w:sz w:val="22"/>
          <w:szCs w:val="22"/>
          <w:lang w:val="hu"/>
        </w:rPr>
        <w:t>felülvizsgál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, és </w:t>
      </w:r>
      <w:r w:rsidR="009C4B26">
        <w:rPr>
          <w:rFonts w:ascii="Segoe UI" w:hAnsi="Segoe UI" w:cs="Segoe UI"/>
          <w:b/>
          <w:bCs/>
          <w:sz w:val="22"/>
          <w:szCs w:val="22"/>
          <w:lang w:val="hu"/>
        </w:rPr>
        <w:t xml:space="preserve">az </w:t>
      </w:r>
      <w:r w:rsidR="009C4B26" w:rsidRPr="008B056A">
        <w:rPr>
          <w:rFonts w:ascii="Segoe UI" w:hAnsi="Segoe UI" w:cs="Segoe UI"/>
          <w:b/>
          <w:bCs/>
          <w:sz w:val="22"/>
          <w:szCs w:val="22"/>
          <w:lang w:val="hu"/>
        </w:rPr>
        <w:t>év végéig kívánja befejezni</w:t>
      </w:r>
      <w:r w:rsidR="009C4B26"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>a folyamatot.</w:t>
      </w:r>
    </w:p>
    <w:p w14:paraId="7F1BF633" w14:textId="77777777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</w:p>
    <w:p w14:paraId="6EC110E3" w14:textId="798EF30C" w:rsidR="00CA0C63" w:rsidRPr="00556A0B" w:rsidRDefault="00CA0C63" w:rsidP="00556A0B">
      <w:pPr>
        <w:spacing w:after="120" w:line="276" w:lineRule="auto"/>
        <w:jc w:val="both"/>
        <w:rPr>
          <w:rFonts w:ascii="Segoe UI" w:hAnsi="Segoe UI" w:cs="Segoe UI"/>
          <w:b/>
          <w:bCs/>
          <w:sz w:val="24"/>
          <w:lang w:val="hu"/>
        </w:rPr>
      </w:pPr>
      <w:r w:rsidRPr="00556A0B">
        <w:rPr>
          <w:rFonts w:ascii="Segoe UI" w:hAnsi="Segoe UI" w:cs="Segoe UI"/>
          <w:b/>
          <w:bCs/>
          <w:sz w:val="24"/>
          <w:lang w:val="hu"/>
        </w:rPr>
        <w:t>Csoport-szintű árbevétel és eredmény 2022 első felében</w:t>
      </w:r>
    </w:p>
    <w:p w14:paraId="7FB1D929" w14:textId="065ED537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8B056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Csoport 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10 913 millió eurós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árbevétele 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2022 első felében +9,9 százalékkal haladta meg az előző évi szintet (2. negyedév: 5642 millió euró, +13,8 százalék). A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>szerves árbevétel,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amely nem tartalmazza az árfolyamhatások és az akvizíciók/eladások hatását, jelentős, +8,9 százalékos növekedést mutatott (2. negyedév: +10,9 százalék). Az akvizíciók és értékesítések -1,4 százalékos negatív hatással voltak az árbevételre (2. negyedév: -1,8 százalék). </w:t>
      </w:r>
      <w:r w:rsidR="00556A0B">
        <w:rPr>
          <w:rFonts w:ascii="Segoe UI" w:hAnsi="Segoe UI" w:cs="Segoe UI"/>
          <w:sz w:val="22"/>
          <w:szCs w:val="22"/>
          <w:lang w:val="hu"/>
        </w:rPr>
        <w:t xml:space="preserve">2022 </w:t>
      </w:r>
      <w:r w:rsidRPr="008B056A">
        <w:rPr>
          <w:rFonts w:ascii="Segoe UI" w:hAnsi="Segoe UI" w:cs="Segoe UI"/>
          <w:sz w:val="22"/>
          <w:szCs w:val="22"/>
          <w:lang w:val="hu"/>
        </w:rPr>
        <w:t>második negyedév eleje óta ez magában foglalja az oroszországi és fehéroroszországi tevékenységekből történő kilépés hatásait is. Az árfolyamhatások +2,4 százalékkal növelték az árbevételt (2. negyedév: +4,7 százalék). Ezek magukban foglalják az IAS 29-et (Pénzügyi Jelentéstétel a hiperinflációs gazdaságokban), a Törökország számára a beszámolási időszak kezdete óta előírt alkalmazásából eredő hatásokat is.</w:t>
      </w:r>
    </w:p>
    <w:p w14:paraId="64E4EE1B" w14:textId="77777777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3D8F7785" w14:textId="50863021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8B056A">
        <w:rPr>
          <w:rFonts w:ascii="Segoe UI" w:hAnsi="Segoe UI" w:cs="Segoe UI"/>
          <w:sz w:val="22"/>
          <w:szCs w:val="22"/>
          <w:lang w:val="hu"/>
        </w:rPr>
        <w:t xml:space="preserve">Az első félévi árbevétel-növekedést elsősorban az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>Adhesive Technologies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üzletág generálta, amely kétszámjegyű, +12,2 százalékos szerves növekedést ért el. Itt minden üzleti terület árbevétel-növekedést ért el. A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>Beauty Care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üzletág +0,4 százalékos szerves árbevétel-növekedést ért el az első félévben. A </w:t>
      </w:r>
      <w:r w:rsidR="000D768A">
        <w:rPr>
          <w:rFonts w:ascii="Segoe UI" w:hAnsi="Segoe UI" w:cs="Segoe UI"/>
          <w:sz w:val="22"/>
          <w:szCs w:val="22"/>
          <w:lang w:val="hu"/>
        </w:rPr>
        <w:t>fodrász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üzletág kétszámjegyű szerves árbevétel-növekedést rögzített. Ezzel szemben a fogyasztói üzletág az előző évi szint alatt maradt, elsősorban a portfóliójavításra bejelentett intézkedések </w:t>
      </w:r>
      <w:r w:rsidR="000D768A">
        <w:rPr>
          <w:rFonts w:ascii="Segoe UI" w:hAnsi="Segoe UI" w:cs="Segoe UI"/>
          <w:sz w:val="22"/>
          <w:szCs w:val="22"/>
          <w:lang w:val="hu"/>
        </w:rPr>
        <w:t>miatt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. A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Laundry &amp; Home Care </w:t>
      </w:r>
      <w:r w:rsidRPr="008B056A">
        <w:rPr>
          <w:rFonts w:ascii="Segoe UI" w:hAnsi="Segoe UI" w:cs="Segoe UI"/>
          <w:sz w:val="22"/>
          <w:szCs w:val="22"/>
          <w:lang w:val="hu"/>
        </w:rPr>
        <w:t>üzletág jelentős, +7,4 százalékos szerves árbevétel-növekedésről számolt be, elsősorban a Laundry üzleti terület kétszámjegyű növekedésének köszönhetően. A Home Care üzleti terület pozitív szerves árbevétel-növekedést ért el az év első felében.</w:t>
      </w:r>
    </w:p>
    <w:p w14:paraId="43E910DE" w14:textId="77777777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5F38EF89" w14:textId="666876FE" w:rsidR="00CA0C63" w:rsidRPr="008B056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8B056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feltörekvő piacokon </w:t>
      </w:r>
      <w:r w:rsidRPr="008B056A">
        <w:rPr>
          <w:rFonts w:ascii="Segoe UI" w:hAnsi="Segoe UI" w:cs="Segoe UI"/>
          <w:sz w:val="22"/>
          <w:szCs w:val="22"/>
          <w:lang w:val="hu"/>
        </w:rPr>
        <w:t>a szerves árbevétel-növekedés kétszámjegyű, +12,9 százalékos növekedést mutatott (2. negyedév: +14,6 százalék). Az</w:t>
      </w:r>
      <w:r w:rsidRPr="008B056A">
        <w:rPr>
          <w:rFonts w:ascii="Segoe UI" w:hAnsi="Segoe UI" w:cs="Segoe UI"/>
          <w:b/>
          <w:bCs/>
          <w:sz w:val="22"/>
          <w:szCs w:val="22"/>
          <w:lang w:val="hu"/>
        </w:rPr>
        <w:t xml:space="preserve"> érett piacokon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végzett üzleti tevékenység nagyon jó, +5,5 százalékos szerves </w:t>
      </w:r>
      <w:r w:rsidR="000D768A">
        <w:rPr>
          <w:rFonts w:ascii="Segoe UI" w:hAnsi="Segoe UI" w:cs="Segoe UI"/>
          <w:sz w:val="22"/>
          <w:szCs w:val="22"/>
          <w:lang w:val="hu"/>
        </w:rPr>
        <w:t>értékesítési fejlődést mutatott</w:t>
      </w:r>
      <w:r w:rsidRPr="008B056A">
        <w:rPr>
          <w:rFonts w:ascii="Segoe UI" w:hAnsi="Segoe UI" w:cs="Segoe UI"/>
          <w:sz w:val="22"/>
          <w:szCs w:val="22"/>
          <w:lang w:val="hu"/>
        </w:rPr>
        <w:t xml:space="preserve"> (2. negyedév: +7,8 százalék).</w:t>
      </w:r>
    </w:p>
    <w:p w14:paraId="264A4146" w14:textId="77777777" w:rsidR="00CA0C63" w:rsidRPr="00F94D11" w:rsidRDefault="00CA0C63" w:rsidP="00F94D11">
      <w:pPr>
        <w:spacing w:line="276" w:lineRule="auto"/>
        <w:jc w:val="both"/>
        <w:rPr>
          <w:rFonts w:ascii="Segoe UI" w:hAnsi="Segoe UI" w:cs="Segoe UI"/>
          <w:szCs w:val="22"/>
          <w:lang w:val="hu"/>
        </w:rPr>
      </w:pPr>
    </w:p>
    <w:p w14:paraId="09B6E07E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 xml:space="preserve">Az első félévi árbevétel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Nyugat-Európában 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+2,2 százalékos szerves növekedést mutatott (2. negyedév: +4,8 százalék).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Kelet-Európában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a szerves árbevétel +23,2 százalékos növekedést ért el (2. negyedév: +26,3 százalék).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Afrikában/Közel-Keleten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a szerves árbevétel +3,2 százalékkal nőtt (2. negyedév: +5,1 százalék). A szerves árbevétel-növekedés </w:t>
      </w:r>
      <w:r w:rsidRPr="00F213B9">
        <w:rPr>
          <w:rFonts w:ascii="Segoe UI" w:hAnsi="Segoe UI" w:cs="Segoe UI"/>
          <w:b/>
          <w:bCs/>
          <w:sz w:val="22"/>
          <w:szCs w:val="22"/>
          <w:lang w:val="hu"/>
        </w:rPr>
        <w:t>Észak-Amerikában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+9,2 százalék volt (2. negyedév: +11,7 százalék).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Latin-Amerika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+16,9 százalékos szerves árbevétel-</w:t>
      </w:r>
      <w:r w:rsidRPr="000D768A">
        <w:rPr>
          <w:rFonts w:ascii="Segoe UI" w:hAnsi="Segoe UI" w:cs="Segoe UI"/>
          <w:sz w:val="22"/>
          <w:szCs w:val="22"/>
          <w:lang w:val="hu"/>
        </w:rPr>
        <w:lastRenderedPageBreak/>
        <w:t xml:space="preserve">növekedést könyvelt el (második negyedév: +18,5 százalék). Az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ázsiai-csendes-óceáni térségben </w:t>
      </w:r>
      <w:r w:rsidRPr="000D768A">
        <w:rPr>
          <w:rFonts w:ascii="Segoe UI" w:hAnsi="Segoe UI" w:cs="Segoe UI"/>
          <w:sz w:val="22"/>
          <w:szCs w:val="22"/>
          <w:lang w:val="hu"/>
        </w:rPr>
        <w:t>a szerves árbevétel +6,1 százalékkal nőtt (2. negyedév: +6,9%).</w:t>
      </w:r>
    </w:p>
    <w:p w14:paraId="47CEEEE1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68AF14EA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bookmarkStart w:id="2" w:name="_Hlk109402106"/>
      <w:r w:rsidRPr="000D768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korrigált üzemi eredmény (korrigált EBIT) </w:t>
      </w:r>
      <w:r w:rsidRPr="000D768A">
        <w:rPr>
          <w:rFonts w:ascii="Segoe UI" w:hAnsi="Segoe UI" w:cs="Segoe UI"/>
          <w:sz w:val="22"/>
          <w:szCs w:val="22"/>
          <w:lang w:val="hu"/>
        </w:rPr>
        <w:t>1166 millió euró volt az első félévben, szemben az előző évi 1430 millió euróval. A visszaesést elsősorban a lényegesen magasabb közvetlen anyagköltségek okozták.</w:t>
      </w:r>
    </w:p>
    <w:bookmarkEnd w:id="2"/>
    <w:p w14:paraId="1FC2336B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</w:p>
    <w:p w14:paraId="783B649D" w14:textId="45E4BA3F" w:rsidR="00CA0C63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korrigált árbevétel-arányos megtérülés (korrigált EBIT </w:t>
      </w:r>
      <w:proofErr w:type="spellStart"/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marzs</w:t>
      </w:r>
      <w:proofErr w:type="spellEnd"/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)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14,4 százalékpontról 10,7 százalékra csökkent, a lényegesen magasabb közvetlen anyagköltségek miatt.</w:t>
      </w:r>
    </w:p>
    <w:p w14:paraId="72C9CD70" w14:textId="77777777" w:rsidR="0010442A" w:rsidRPr="000D768A" w:rsidRDefault="0010442A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198FC596" w14:textId="07D8230B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Az elsőbbségi részvények korrigált hozama </w:t>
      </w:r>
      <w:r w:rsidRPr="000D768A">
        <w:rPr>
          <w:rFonts w:ascii="Segoe UI" w:hAnsi="Segoe UI" w:cs="Segoe UI"/>
          <w:sz w:val="22"/>
          <w:szCs w:val="22"/>
          <w:lang w:val="hu"/>
        </w:rPr>
        <w:t>1,95 euró volt 2022 első felében</w:t>
      </w:r>
      <w:r w:rsidR="00D50F45">
        <w:rPr>
          <w:rFonts w:ascii="Segoe UI" w:hAnsi="Segoe UI" w:cs="Segoe UI"/>
          <w:sz w:val="22"/>
          <w:szCs w:val="22"/>
          <w:lang w:val="hu"/>
        </w:rPr>
        <w:t>.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Ez változatlan árfolyamon -20,8 százalékos csökkenést jelent az előző év azonos időszakához képest. Ezt elsősorban a közvetlen anyagköltségek jelentős drágulása generálta.</w:t>
      </w:r>
    </w:p>
    <w:p w14:paraId="3B9BCA5C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62AEEE1B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>nettó forgótőke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1,6 százalékponttal az árbevétel 5,2 százalékára nőtt (előző év azonos időszaka: 3,6 százalék), amelyet szintén befolyásolt a nyersanyagárak meredek emelkedése.</w:t>
      </w:r>
    </w:p>
    <w:p w14:paraId="6BF174F9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29215544" w14:textId="77777777" w:rsidR="00CA0C63" w:rsidRPr="000D768A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 xml:space="preserve">A 46 millió eurós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szabad cash flow </w:t>
      </w:r>
      <w:r w:rsidRPr="000D768A">
        <w:rPr>
          <w:rFonts w:ascii="Segoe UI" w:hAnsi="Segoe UI" w:cs="Segoe UI"/>
          <w:sz w:val="22"/>
          <w:szCs w:val="22"/>
          <w:lang w:val="hu"/>
        </w:rPr>
        <w:t>alacsonyabb volt, mint 2021 első félévében (471 millió euró), az alacsonyabb működési eredmény és a magasabb nettó forgótőke következtében alacsonyabb, működési tevékenységből származó cash flow miatt.</w:t>
      </w:r>
    </w:p>
    <w:p w14:paraId="7ED0DF40" w14:textId="77777777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  <w:lang w:val="hu"/>
        </w:rPr>
      </w:pPr>
    </w:p>
    <w:p w14:paraId="0D6E9E42" w14:textId="77777777" w:rsid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0D768A">
        <w:rPr>
          <w:rFonts w:ascii="Segoe UI" w:hAnsi="Segoe UI" w:cs="Segoe UI"/>
          <w:b/>
          <w:bCs/>
          <w:sz w:val="22"/>
          <w:szCs w:val="22"/>
          <w:lang w:val="hu"/>
        </w:rPr>
        <w:t xml:space="preserve">nettó pénzügyi </w:t>
      </w:r>
      <w:r w:rsidR="00D50F45">
        <w:rPr>
          <w:rFonts w:ascii="Segoe UI" w:hAnsi="Segoe UI" w:cs="Segoe UI"/>
          <w:b/>
          <w:bCs/>
          <w:sz w:val="22"/>
          <w:szCs w:val="22"/>
          <w:lang w:val="hu"/>
        </w:rPr>
        <w:t>helyzet</w:t>
      </w:r>
      <w:r w:rsidRPr="000D768A">
        <w:rPr>
          <w:rFonts w:ascii="Segoe UI" w:hAnsi="Segoe UI" w:cs="Segoe UI"/>
          <w:sz w:val="22"/>
          <w:szCs w:val="22"/>
          <w:lang w:val="hu"/>
        </w:rPr>
        <w:t xml:space="preserve"> 2022. június 30-án -1441 millió eurót tett ki (2021. december 31.:</w:t>
      </w:r>
    </w:p>
    <w:p w14:paraId="2E119A61" w14:textId="67B9F5F5" w:rsidR="00CA0C63" w:rsidRPr="000D768A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0D768A">
        <w:rPr>
          <w:rFonts w:ascii="Segoe UI" w:hAnsi="Segoe UI" w:cs="Segoe UI"/>
          <w:sz w:val="22"/>
          <w:szCs w:val="22"/>
          <w:lang w:val="hu"/>
        </w:rPr>
        <w:t>-292 millió euró). Ez magában foglalja a 2022 februárjában elindított részvény-visszavásárlási program mintegy 430 millió eurós kiadásait, valamint a második negyedévben mintegy 800 millió eurós osztalékfizetést is.</w:t>
      </w:r>
    </w:p>
    <w:p w14:paraId="745C4617" w14:textId="77777777" w:rsidR="00CA0C63" w:rsidRPr="00F94D11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Cs w:val="22"/>
          <w:lang w:val="hu"/>
        </w:rPr>
      </w:pPr>
    </w:p>
    <w:p w14:paraId="12F9CBCE" w14:textId="77777777" w:rsidR="00CA0C63" w:rsidRPr="00D50F45" w:rsidRDefault="00CA0C63" w:rsidP="00D50F45">
      <w:pPr>
        <w:spacing w:after="120" w:line="276" w:lineRule="auto"/>
        <w:jc w:val="both"/>
        <w:rPr>
          <w:rFonts w:ascii="Segoe UI" w:hAnsi="Segoe UI" w:cs="Segoe UI"/>
          <w:b/>
          <w:bCs/>
          <w:sz w:val="24"/>
          <w:lang w:val="hu"/>
        </w:rPr>
      </w:pPr>
      <w:r w:rsidRPr="00D50F45">
        <w:rPr>
          <w:rFonts w:ascii="Segoe UI" w:hAnsi="Segoe UI" w:cs="Segoe UI"/>
          <w:b/>
          <w:bCs/>
          <w:sz w:val="24"/>
          <w:lang w:val="hu"/>
        </w:rPr>
        <w:t>Az üzletágok teljesítménye 2022 első felében</w:t>
      </w:r>
    </w:p>
    <w:p w14:paraId="140C6399" w14:textId="0A4F7CC8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2022 első felében az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Adhesive Technologies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üzletág árbevétele nominálisan +15,0 százalékkal 5467 millió euróra nőtt (2. negyedév: 2836 millió euró, +18,5 százalék).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szerves árbevétel </w:t>
      </w:r>
      <w:r w:rsidRPr="00D50F45">
        <w:rPr>
          <w:rFonts w:ascii="Segoe UI" w:hAnsi="Segoe UI" w:cs="Segoe UI"/>
          <w:sz w:val="22"/>
          <w:szCs w:val="22"/>
          <w:lang w:val="hu"/>
        </w:rPr>
        <w:t>+12,2 százalékkal nőtt (2. negyedév: +13,7 százalék). Ehhez minden üzlet</w:t>
      </w:r>
      <w:r w:rsidR="00D50F45">
        <w:rPr>
          <w:rFonts w:ascii="Segoe UI" w:hAnsi="Segoe UI" w:cs="Segoe UI"/>
          <w:sz w:val="22"/>
          <w:szCs w:val="22"/>
          <w:lang w:val="hu"/>
        </w:rPr>
        <w:t>i terület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és régió hozzájárult.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korrigált üzemi eredmény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2022 első felében elérte a 743 millió eurót, szemben az előző évi azonos időszak 820 millió eurójával. A 13,6 százalékos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korrigált árbevétel-arányos megtérülés </w:t>
      </w:r>
      <w:r w:rsidRPr="00D50F45">
        <w:rPr>
          <w:rFonts w:ascii="Segoe UI" w:hAnsi="Segoe UI" w:cs="Segoe UI"/>
          <w:sz w:val="22"/>
          <w:szCs w:val="22"/>
          <w:lang w:val="hu"/>
        </w:rPr>
        <w:t>3,7 százalékponttal maradt el 2021 első félévétől, a nyereség adatokat pedig a közvetlen anyagköltségek jelentős drágulása befolyásolta.</w:t>
      </w:r>
    </w:p>
    <w:p w14:paraId="3A559C2E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bookmarkStart w:id="3" w:name="_Hlk78300139"/>
    </w:p>
    <w:p w14:paraId="01556203" w14:textId="563E2DB9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Beauty Care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üzletágban 2022 első félévében az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árbevétel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szerves </w:t>
      </w:r>
      <w:r w:rsidRPr="00D50F45">
        <w:rPr>
          <w:rFonts w:ascii="Segoe UI" w:hAnsi="Segoe UI" w:cs="Segoe UI"/>
          <w:sz w:val="22"/>
          <w:szCs w:val="22"/>
          <w:lang w:val="hu"/>
        </w:rPr>
        <w:t>növekedése +0</w:t>
      </w:r>
      <w:r w:rsidR="000030E3">
        <w:rPr>
          <w:rFonts w:ascii="Segoe UI" w:hAnsi="Segoe UI" w:cs="Segoe UI"/>
          <w:sz w:val="22"/>
          <w:szCs w:val="22"/>
          <w:lang w:val="hu"/>
        </w:rPr>
        <w:t>,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4 százalék volt (2. negyedév: +2,1%). Nominálisan az árbevétel +0,2 százalékkal nőtt, és elérte az 1842 millió eurót (2. negyedév: 950 millió euró, +3,9 százalék). Ezt a növekedést elsősorban a </w:t>
      </w:r>
      <w:r w:rsidR="000030E3">
        <w:rPr>
          <w:rFonts w:ascii="Segoe UI" w:hAnsi="Segoe UI" w:cs="Segoe UI"/>
          <w:sz w:val="22"/>
          <w:szCs w:val="22"/>
          <w:lang w:val="hu"/>
        </w:rPr>
        <w:t xml:space="preserve">fodrász üzleti terület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erős teljesítménye generálta, amely képes volt építeni az előző évi kiemelkedő </w:t>
      </w:r>
      <w:r w:rsidRPr="00D50F45">
        <w:rPr>
          <w:rFonts w:ascii="Segoe UI" w:hAnsi="Segoe UI" w:cs="Segoe UI"/>
          <w:sz w:val="22"/>
          <w:szCs w:val="22"/>
          <w:lang w:val="hu"/>
        </w:rPr>
        <w:lastRenderedPageBreak/>
        <w:t>teljesítményére. A fogyasztói üzlet</w:t>
      </w:r>
      <w:r w:rsidR="000030E3">
        <w:rPr>
          <w:rFonts w:ascii="Segoe UI" w:hAnsi="Segoe UI" w:cs="Segoe UI"/>
          <w:sz w:val="22"/>
          <w:szCs w:val="22"/>
          <w:lang w:val="hu"/>
        </w:rPr>
        <w:t xml:space="preserve">i terület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viszont elmaradt az előző évi szinttől, elsősorban a 2022-re meghirdetett portfóliójavító intézkedések végrehajtása miatt. A </w:t>
      </w:r>
      <w:r w:rsidR="000030E3">
        <w:rPr>
          <w:rFonts w:ascii="Segoe UI" w:hAnsi="Segoe UI" w:cs="Segoe UI"/>
          <w:b/>
          <w:bCs/>
          <w:sz w:val="22"/>
          <w:szCs w:val="22"/>
          <w:lang w:val="hu"/>
        </w:rPr>
        <w:t>korrigált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 működési eredmény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2022 első felében elérte a 169 millió eurót, 2021 első félévi 183 millió euróhoz képest. A </w:t>
      </w:r>
      <w:r w:rsidR="000030E3">
        <w:rPr>
          <w:rFonts w:ascii="Segoe UI" w:hAnsi="Segoe UI" w:cs="Segoe UI"/>
          <w:b/>
          <w:bCs/>
          <w:sz w:val="22"/>
          <w:szCs w:val="22"/>
          <w:lang w:val="hu"/>
        </w:rPr>
        <w:t>korrigált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 árbevétel-arányos megtérülés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0,8 százalékponttal elmaradt az előző évi szinttől (9,2 százalék), amit a magasabb közvetlen anyagköltségek is befolyásoltak.</w:t>
      </w:r>
    </w:p>
    <w:bookmarkEnd w:id="3"/>
    <w:p w14:paraId="439DC3A3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1667270D" w14:textId="7E97B7D9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Laundry &amp; Home Care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üzletág jelentős, +7,4 százalékos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szerves árbevétel</w:t>
      </w:r>
      <w:r w:rsidRPr="00D50F45">
        <w:rPr>
          <w:rFonts w:ascii="Segoe UI" w:hAnsi="Segoe UI" w:cs="Segoe UI"/>
          <w:sz w:val="22"/>
          <w:szCs w:val="22"/>
          <w:lang w:val="hu"/>
        </w:rPr>
        <w:t>-növekedést ért el 2022 első felében (2. negyedév: +10,1 százalék). A növekedést elsősorban a Laundry üzlet</w:t>
      </w:r>
      <w:r w:rsidR="005C0F81">
        <w:rPr>
          <w:rFonts w:ascii="Segoe UI" w:hAnsi="Segoe UI" w:cs="Segoe UI"/>
          <w:sz w:val="22"/>
          <w:szCs w:val="22"/>
          <w:lang w:val="hu"/>
        </w:rPr>
        <w:t>i terület á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rbevételének kétszámjegyű növekedése generálta. Nominálisan az árbevétel +6,7 százalékkal 3494 millió euróra nőtt (2. negyedév: 1802 millió euró, +11,3 százalék).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korrigált üzemi eredmény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elérte a 313 millió eurót, szemben az előző évi azonos időszak 490 millió eurójával.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korrigált árbevétel-arányos megtérülés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9,0 százalék volt, ami szintén elmaradt 2021 első félévétől, különösen a közvetlen anyagköltségek jelentős drágulása miatt.</w:t>
      </w:r>
    </w:p>
    <w:p w14:paraId="0E51CCB5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"/>
        </w:rPr>
      </w:pPr>
    </w:p>
    <w:p w14:paraId="7326EAF5" w14:textId="77777777" w:rsidR="00CA0C63" w:rsidRPr="005C0F81" w:rsidRDefault="00CA0C63" w:rsidP="005C0F81">
      <w:pPr>
        <w:spacing w:after="120" w:line="276" w:lineRule="auto"/>
        <w:jc w:val="both"/>
        <w:rPr>
          <w:rFonts w:ascii="Segoe UI" w:hAnsi="Segoe UI" w:cs="Segoe UI"/>
          <w:b/>
          <w:bCs/>
          <w:sz w:val="24"/>
          <w:lang w:val="hu"/>
        </w:rPr>
      </w:pPr>
      <w:r w:rsidRPr="005C0F81">
        <w:rPr>
          <w:rFonts w:ascii="Segoe UI" w:hAnsi="Segoe UI" w:cs="Segoe UI"/>
          <w:b/>
          <w:bCs/>
          <w:sz w:val="24"/>
          <w:lang w:val="hu"/>
        </w:rPr>
        <w:t>A célirányos növekedés cselekvési terv jól halad</w:t>
      </w:r>
    </w:p>
    <w:p w14:paraId="3710A37A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bookmarkStart w:id="4" w:name="_Hlk109204398"/>
      <w:r w:rsidRPr="00D50F45">
        <w:rPr>
          <w:rFonts w:ascii="Segoe UI" w:hAnsi="Segoe UI" w:cs="Segoe UI"/>
          <w:sz w:val="22"/>
          <w:szCs w:val="22"/>
          <w:lang w:val="hu"/>
        </w:rPr>
        <w:t xml:space="preserve">A Henkel a céltudatos növekedést követi, és ehhez világos stratégiai keretet dolgozott ki. A stratégiai keret kulcsfontosságú elemei a sikeres portfólió, az innováció, a fenntarthatóság és a digitalizáció terén megnyilvánuló egyértelmű versenyelőny, valamint a jövőképes működési modellek – az erős vállalati kultúrán alapulva. </w:t>
      </w:r>
    </w:p>
    <w:p w14:paraId="145C5D82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367C0411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2022 első felében a Henkel továbbra is következetesen dolgozott növekedési cselekvési terve megvalósításán, és minden pillérben jó előrehaladást ért el. A Laundry &amp; Home Care és a Beauty Care üzletágak új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Henkel Consumer </w:t>
      </w:r>
      <w:proofErr w:type="spellStart"/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Brands</w:t>
      </w:r>
      <w:proofErr w:type="spellEnd"/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üzletágban történő egyesítésével a Henkel céltudatos növekedési cselekvési tervét a következő szintre emeli. Az új üzletág struktúrája a központi funkciók által támogatott két globális Laundry &amp; Home Care és 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Hair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Care kategóriából, valamint négy régióból áll. A további kategóriák kezelése regionális ellenőrzés alatt történik. Az első négy irányítási szint mostanra meghatározásra került. A Henkel legnagyobb egységes piacán, az USA-ban az új szervezet várhatóan már szeptembertől teljes mértékben kiépül.</w:t>
      </w:r>
    </w:p>
    <w:bookmarkEnd w:id="4"/>
    <w:p w14:paraId="4EB4D0B9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09B82D2A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 két fogyasztói üzletág összeolvadásával összefüggésben és egy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aktív portfóliókezelés </w:t>
      </w:r>
      <w:r w:rsidRPr="00D50F45">
        <w:rPr>
          <w:rFonts w:ascii="Segoe UI" w:hAnsi="Segoe UI" w:cs="Segoe UI"/>
          <w:sz w:val="22"/>
          <w:szCs w:val="22"/>
          <w:lang w:val="hu"/>
        </w:rPr>
        <w:t>részeként jelenleg az 1 milliárd eurós összárbevételt elérő üzleti területek és márkák felülvizsgálata folyik. Ez magában foglalja a Henkel növekedési és jövedelmezőségi kritériumainak nem megfelelő üzleti területek leválasztását vagy megszüntetését. 2022 első felében a Henkel már jelentős előrehaladást ért el azáltal, hogy kilépett néhány nem alaptevékenységgel foglalkozó tevékenységből a Beauty Care területén. Ezek a Beauty Care mintegy 200 millió eurós értékesítési volumenű portfólióintézkedései részét képezik, amelyeket az év végéig kívánnak végrehajtani.</w:t>
      </w:r>
    </w:p>
    <w:p w14:paraId="79A96392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bookmarkStart w:id="5" w:name="_Hlk109204760"/>
    </w:p>
    <w:p w14:paraId="725DC488" w14:textId="525991DE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en-US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lastRenderedPageBreak/>
        <w:t xml:space="preserve">A Henkel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akvizíciókkal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is tovább erősítette portfólióját. 2022 júliusában lezárult a 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Shiseido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9378DE">
        <w:rPr>
          <w:rFonts w:ascii="Segoe UI" w:hAnsi="Segoe UI" w:cs="Segoe UI"/>
          <w:sz w:val="22"/>
          <w:szCs w:val="22"/>
          <w:lang w:val="hu"/>
        </w:rPr>
        <w:t>fodrász üzletágának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felvásárlása az ázsiai-csendes-óceáni régióban. Ezzel a Henkel a </w:t>
      </w:r>
      <w:r w:rsidR="009378DE">
        <w:rPr>
          <w:rFonts w:ascii="Segoe UI" w:hAnsi="Segoe UI" w:cs="Segoe UI"/>
          <w:sz w:val="22"/>
          <w:szCs w:val="22"/>
          <w:lang w:val="hu"/>
        </w:rPr>
        <w:t>Fodrász (</w:t>
      </w:r>
      <w:proofErr w:type="spellStart"/>
      <w:r w:rsidR="009378DE">
        <w:rPr>
          <w:rFonts w:ascii="Segoe UI" w:hAnsi="Segoe UI" w:cs="Segoe UI"/>
          <w:sz w:val="22"/>
          <w:szCs w:val="22"/>
          <w:lang w:val="hu"/>
        </w:rPr>
        <w:t>Hair</w:t>
      </w:r>
      <w:proofErr w:type="spellEnd"/>
      <w:r w:rsidR="009378DE">
        <w:rPr>
          <w:rFonts w:ascii="Segoe UI" w:hAnsi="Segoe UI" w:cs="Segoe UI"/>
          <w:sz w:val="22"/>
          <w:szCs w:val="22"/>
          <w:lang w:val="hu"/>
        </w:rPr>
        <w:t xml:space="preserve"> </w:t>
      </w:r>
      <w:r w:rsidRPr="00D50F45">
        <w:rPr>
          <w:rFonts w:ascii="Segoe UI" w:hAnsi="Segoe UI" w:cs="Segoe UI"/>
          <w:sz w:val="22"/>
          <w:szCs w:val="22"/>
          <w:lang w:val="hu"/>
        </w:rPr>
        <w:t>Professional</w:t>
      </w:r>
      <w:r w:rsidR="009378DE">
        <w:rPr>
          <w:rFonts w:ascii="Segoe UI" w:hAnsi="Segoe UI" w:cs="Segoe UI"/>
          <w:sz w:val="22"/>
          <w:szCs w:val="22"/>
          <w:lang w:val="hu"/>
        </w:rPr>
        <w:t>)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üzletágban a világ 2. vállalata lett. </w:t>
      </w:r>
    </w:p>
    <w:bookmarkEnd w:id="5"/>
    <w:p w14:paraId="12499636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2C145263" w14:textId="3CD7ACB4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en-US"/>
        </w:rPr>
      </w:pP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Versen</w:t>
      </w:r>
      <w:r w:rsidR="009378DE">
        <w:rPr>
          <w:rFonts w:ascii="Segoe UI" w:hAnsi="Segoe UI" w:cs="Segoe UI"/>
          <w:b/>
          <w:bCs/>
          <w:sz w:val="22"/>
          <w:szCs w:val="22"/>
          <w:lang w:val="hu"/>
        </w:rPr>
        <w:t>y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előnyének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megerősítése érdekében a Henkel az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innovációk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további felgyorsítására,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fenntarthatóság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mint megkülönböztető tényező fokozására, valamint az ügyfelek és fogyasztók számára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digitalizáció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révén történő értékteremtésre összpontosított.</w:t>
      </w:r>
    </w:p>
    <w:p w14:paraId="22A95F5B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en-US"/>
        </w:rPr>
      </w:pPr>
    </w:p>
    <w:p w14:paraId="56BBF329" w14:textId="704C72E3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 Henkel stratégiájának kulcsfontosságú pillére a sikeres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 xml:space="preserve">innovációk </w:t>
      </w:r>
      <w:r w:rsidRPr="00D50F45">
        <w:rPr>
          <w:rFonts w:ascii="Segoe UI" w:hAnsi="Segoe UI" w:cs="Segoe UI"/>
          <w:sz w:val="22"/>
          <w:szCs w:val="22"/>
          <w:lang w:val="hu"/>
        </w:rPr>
        <w:t>révén elért piaci megkülönböztethetőség. Ezek jelentősen támogatták a növekedést az év első felében. Az Adhesive Technologies területén például a Henkel új tűzvédelmi bevonatokat fejlesztett ki elektromos járművek akkumulátoraihoz.</w:t>
      </w:r>
      <w:bookmarkStart w:id="6" w:name="_Hlk109382178"/>
      <w:r w:rsidR="00B100DF">
        <w:rPr>
          <w:rFonts w:ascii="Segoe UI" w:hAnsi="Segoe UI" w:cs="Segoe UI"/>
          <w:sz w:val="22"/>
          <w:szCs w:val="22"/>
          <w:lang w:val="hu"/>
        </w:rPr>
        <w:t xml:space="preserve"> Ezek n</w:t>
      </w:r>
      <w:r w:rsidRPr="00D50F45">
        <w:rPr>
          <w:rFonts w:ascii="Segoe UI" w:hAnsi="Segoe UI" w:cs="Segoe UI"/>
          <w:sz w:val="22"/>
          <w:szCs w:val="22"/>
          <w:lang w:val="hu"/>
        </w:rPr>
        <w:t>emcsak jelentősen növeli</w:t>
      </w:r>
      <w:r w:rsidR="00B100DF">
        <w:rPr>
          <w:rFonts w:ascii="Segoe UI" w:hAnsi="Segoe UI" w:cs="Segoe UI"/>
          <w:sz w:val="22"/>
          <w:szCs w:val="22"/>
          <w:lang w:val="hu"/>
        </w:rPr>
        <w:t>k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az utasok biztonságát, hanem </w:t>
      </w:r>
      <w:r w:rsidR="00B100DF" w:rsidRPr="00D50F45">
        <w:rPr>
          <w:rFonts w:ascii="Segoe UI" w:hAnsi="Segoe UI" w:cs="Segoe UI"/>
          <w:sz w:val="22"/>
          <w:szCs w:val="22"/>
          <w:lang w:val="hu"/>
        </w:rPr>
        <w:t xml:space="preserve">költséghatékony termelést </w:t>
      </w:r>
      <w:r w:rsidR="00B100DF">
        <w:rPr>
          <w:rFonts w:ascii="Segoe UI" w:hAnsi="Segoe UI" w:cs="Segoe UI"/>
          <w:sz w:val="22"/>
          <w:szCs w:val="22"/>
          <w:lang w:val="hu"/>
        </w:rPr>
        <w:t xml:space="preserve">is </w:t>
      </w:r>
      <w:r w:rsidRPr="00D50F45">
        <w:rPr>
          <w:rFonts w:ascii="Segoe UI" w:hAnsi="Segoe UI" w:cs="Segoe UI"/>
          <w:sz w:val="22"/>
          <w:szCs w:val="22"/>
          <w:lang w:val="hu"/>
        </w:rPr>
        <w:t>lehetővé tesz</w:t>
      </w:r>
      <w:r w:rsidR="00B100DF">
        <w:rPr>
          <w:rFonts w:ascii="Segoe UI" w:hAnsi="Segoe UI" w:cs="Segoe UI"/>
          <w:sz w:val="22"/>
          <w:szCs w:val="22"/>
          <w:lang w:val="hu"/>
        </w:rPr>
        <w:t>nek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az autóipari ügyfelek számára. A Beauty Care területén a Henkel újraindította 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Schauma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hajápoló márkáját egy újratervezett fenntartható csomagolási koncepcióval, amely 50-100 százalékban újrahasznosított műanyagot tartalmaz. A Laundry &amp; Home Care üzletágban kétszámjegyű növekedést és további piaci részesedésnövekedést értek el a 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Persil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segítségével, amit a fenntartható és e-kereskedelemre alkalmas termékpaletta bővítése támogat.</w:t>
      </w:r>
    </w:p>
    <w:bookmarkEnd w:id="6"/>
    <w:p w14:paraId="036C4237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/>
          <w:sz w:val="22"/>
          <w:szCs w:val="22"/>
          <w:lang w:val="hu"/>
        </w:rPr>
      </w:pPr>
    </w:p>
    <w:p w14:paraId="6B34F50B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fenntarthatóság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hosszú ideje a Henkel egyik legnagyobb erőssége. A fenntartható gazdálkodás növekvő fontosságát, valamint az ügyfelek és a társadalom növekvő elvárásait tükrözve a Henkel megerősítette hosszú távú fenntarthatósági stratégiáját az új „2030+ Fenntarthatósági Célkitűzés Keretrendszerrel”, amelyet ez év elején vezettek be. A meglévő célokon túlmenően új, hosszú távú célokat tűztek ki a további előrehaladás érdekében három dimenzióban: „Regeneratív bolygó”, „Virágzó közösségek” és „Megbízható partner”.</w:t>
      </w:r>
    </w:p>
    <w:p w14:paraId="69A9A89F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</w:pPr>
    </w:p>
    <w:p w14:paraId="2CB6BEE5" w14:textId="616D7CFC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bookmarkStart w:id="7" w:name="_Hlk109206660"/>
      <w:r w:rsidRPr="00D50F45">
        <w:rPr>
          <w:rFonts w:ascii="Segoe UI" w:hAnsi="Segoe UI" w:cs="Segoe UI"/>
          <w:sz w:val="22"/>
          <w:szCs w:val="22"/>
          <w:lang w:val="hu"/>
        </w:rPr>
        <w:t xml:space="preserve">A Henkel 2022 első felében további előrelépést tett a fenntarthatóság terén. </w:t>
      </w:r>
      <w:r w:rsidR="001A15F6">
        <w:rPr>
          <w:rFonts w:ascii="Segoe UI" w:hAnsi="Segoe UI" w:cs="Segoe UI"/>
          <w:sz w:val="22"/>
          <w:szCs w:val="22"/>
          <w:lang w:val="hu"/>
        </w:rPr>
        <w:t xml:space="preserve">A Henkel </w:t>
      </w:r>
      <w:proofErr w:type="spellStart"/>
      <w:r w:rsidR="001A15F6">
        <w:rPr>
          <w:rFonts w:ascii="Segoe UI" w:hAnsi="Segoe UI" w:cs="Segoe UI"/>
          <w:sz w:val="22"/>
          <w:szCs w:val="22"/>
          <w:lang w:val="hu"/>
        </w:rPr>
        <w:t>páldául</w:t>
      </w:r>
      <w:proofErr w:type="spellEnd"/>
      <w:r w:rsidR="001A15F6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1A15F6" w:rsidRPr="00D50F45">
        <w:rPr>
          <w:rFonts w:ascii="Segoe UI" w:hAnsi="Segoe UI" w:cs="Segoe UI"/>
          <w:sz w:val="22"/>
          <w:szCs w:val="22"/>
          <w:lang w:val="hu"/>
        </w:rPr>
        <w:t>három további gyárat alakított át Európában, hogy 100 százalékban CO2-semleges energiával működjenek</w:t>
      </w:r>
      <w:r w:rsidR="001A15F6">
        <w:rPr>
          <w:rFonts w:ascii="Segoe UI" w:hAnsi="Segoe UI" w:cs="Segoe UI"/>
          <w:sz w:val="22"/>
          <w:szCs w:val="22"/>
          <w:lang w:val="hu"/>
        </w:rPr>
        <w:t>, így jó úton halad azon cél felé, hogy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2030-ra </w:t>
      </w:r>
      <w:r w:rsidR="00BE16AA">
        <w:rPr>
          <w:rFonts w:ascii="Segoe UI" w:hAnsi="Segoe UI" w:cs="Segoe UI"/>
          <w:sz w:val="22"/>
          <w:szCs w:val="22"/>
          <w:lang w:val="hu"/>
        </w:rPr>
        <w:t>e</w:t>
      </w:r>
      <w:r w:rsidR="001A15F6">
        <w:rPr>
          <w:rFonts w:ascii="Segoe UI" w:hAnsi="Segoe UI" w:cs="Segoe UI"/>
          <w:sz w:val="22"/>
          <w:szCs w:val="22"/>
          <w:lang w:val="hu"/>
        </w:rPr>
        <w:t xml:space="preserve">lérje a </w:t>
      </w:r>
      <w:r w:rsidRPr="00D50F45">
        <w:rPr>
          <w:rFonts w:ascii="Segoe UI" w:hAnsi="Segoe UI" w:cs="Segoe UI"/>
          <w:sz w:val="22"/>
          <w:szCs w:val="22"/>
          <w:lang w:val="hu"/>
        </w:rPr>
        <w:t>klíma-pozitív CO2-egyensúly</w:t>
      </w:r>
      <w:r w:rsidR="001A15F6">
        <w:rPr>
          <w:rFonts w:ascii="Segoe UI" w:hAnsi="Segoe UI" w:cs="Segoe UI"/>
          <w:sz w:val="22"/>
          <w:szCs w:val="22"/>
          <w:lang w:val="hu"/>
        </w:rPr>
        <w:t>t a gyártóhelyeken</w:t>
      </w:r>
      <w:r w:rsidR="00BE16AA">
        <w:rPr>
          <w:rFonts w:ascii="Segoe UI" w:hAnsi="Segoe UI" w:cs="Segoe UI"/>
          <w:sz w:val="22"/>
          <w:szCs w:val="22"/>
          <w:lang w:val="hu"/>
        </w:rPr>
        <w:t>.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Emellett a Henkel továbbra is folyamatosan a megújuló nyersanyagokra </w:t>
      </w:r>
      <w:r w:rsidR="00BE16AA">
        <w:rPr>
          <w:rFonts w:ascii="Segoe UI" w:hAnsi="Segoe UI" w:cs="Segoe UI"/>
          <w:sz w:val="22"/>
          <w:szCs w:val="22"/>
          <w:lang w:val="hu"/>
        </w:rPr>
        <w:t>összpontosít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. A BASF-fel kötött partnerség révén </w:t>
      </w:r>
      <w:r w:rsidR="00BE16AA">
        <w:rPr>
          <w:rFonts w:ascii="Segoe UI" w:hAnsi="Segoe UI" w:cs="Segoe UI"/>
          <w:sz w:val="22"/>
          <w:szCs w:val="22"/>
          <w:lang w:val="hu"/>
        </w:rPr>
        <w:t xml:space="preserve">évente </w:t>
      </w:r>
      <w:r w:rsidRPr="00D50F45">
        <w:rPr>
          <w:rFonts w:ascii="Segoe UI" w:hAnsi="Segoe UI" w:cs="Segoe UI"/>
          <w:sz w:val="22"/>
          <w:szCs w:val="22"/>
          <w:lang w:val="hu"/>
        </w:rPr>
        <w:t>körülbelül 110 000 tonna fosszilis alapú anyagot helyettesítenek megújuló szénforrásokkal.</w:t>
      </w:r>
    </w:p>
    <w:p w14:paraId="79C61694" w14:textId="77777777" w:rsidR="00CA0C63" w:rsidRPr="00D50F45" w:rsidRDefault="00CA0C63" w:rsidP="00F94D1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</w:p>
    <w:bookmarkEnd w:id="7"/>
    <w:p w14:paraId="3F5D1F3B" w14:textId="7AECAF94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Az innováció és a fenntarthatóság mellett a Henkel a </w:t>
      </w:r>
      <w:r w:rsidRPr="00D50F45">
        <w:rPr>
          <w:rFonts w:ascii="Segoe UI" w:hAnsi="Segoe UI" w:cs="Segoe UI"/>
          <w:b/>
          <w:bCs/>
          <w:sz w:val="22"/>
          <w:szCs w:val="22"/>
          <w:lang w:val="hu"/>
        </w:rPr>
        <w:t>digitalizációt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kulcsfontosságú </w:t>
      </w:r>
      <w:r w:rsidR="00BE16AA">
        <w:rPr>
          <w:rFonts w:ascii="Segoe UI" w:hAnsi="Segoe UI" w:cs="Segoe UI"/>
          <w:sz w:val="22"/>
          <w:szCs w:val="22"/>
          <w:lang w:val="hu"/>
        </w:rPr>
        <w:t>sikertényezőként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határozta meg versenyképességének megerősítésében. Az első félévben a digitális csatornákon generált árbevétel részaránya kétszámjegyű növekedést mutatott, több mint 20 százalékot elérve. Az Adhesive Technologies üzletág</w:t>
      </w:r>
      <w:r w:rsidR="00BE16AA">
        <w:rPr>
          <w:rFonts w:ascii="Segoe UI" w:hAnsi="Segoe UI" w:cs="Segoe UI"/>
          <w:sz w:val="22"/>
          <w:szCs w:val="22"/>
          <w:lang w:val="hu"/>
        </w:rPr>
        <w:t xml:space="preserve"> saját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e-kereskedelmi platformja kétszámjegyű növekedést ért el 2022 első felében. A </w:t>
      </w:r>
      <w:r w:rsidR="00BE16AA">
        <w:rPr>
          <w:rFonts w:ascii="Segoe UI" w:hAnsi="Segoe UI" w:cs="Segoe UI"/>
          <w:sz w:val="22"/>
          <w:szCs w:val="22"/>
          <w:lang w:val="hu"/>
        </w:rPr>
        <w:t>fodrász (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Hair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Professional</w:t>
      </w:r>
      <w:r w:rsidR="00BE16AA">
        <w:rPr>
          <w:rFonts w:ascii="Segoe UI" w:hAnsi="Segoe UI" w:cs="Segoe UI"/>
          <w:sz w:val="22"/>
          <w:szCs w:val="22"/>
          <w:lang w:val="hu"/>
        </w:rPr>
        <w:t>)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üzletágban az </w:t>
      </w:r>
      <w:proofErr w:type="spellStart"/>
      <w:r w:rsidRPr="00D50F45">
        <w:rPr>
          <w:rFonts w:ascii="Segoe UI" w:hAnsi="Segoe UI" w:cs="Segoe UI"/>
          <w:sz w:val="22"/>
          <w:szCs w:val="22"/>
          <w:lang w:val="hu"/>
        </w:rPr>
        <w:t>eShop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 xml:space="preserve"> szintén kétszámjegyű növekedést </w:t>
      </w:r>
      <w:r w:rsidR="00BE16AA">
        <w:rPr>
          <w:rFonts w:ascii="Segoe UI" w:hAnsi="Segoe UI" w:cs="Segoe UI"/>
          <w:sz w:val="22"/>
          <w:szCs w:val="22"/>
          <w:lang w:val="hu"/>
        </w:rPr>
        <w:t xml:space="preserve">könyvelhetett el a </w:t>
      </w:r>
      <w:r w:rsidRPr="00D50F45">
        <w:rPr>
          <w:rFonts w:ascii="Segoe UI" w:hAnsi="Segoe UI" w:cs="Segoe UI"/>
          <w:sz w:val="22"/>
          <w:szCs w:val="22"/>
          <w:lang w:val="hu"/>
        </w:rPr>
        <w:t>kibőv</w:t>
      </w:r>
      <w:r w:rsidR="00BE16AA">
        <w:rPr>
          <w:rFonts w:ascii="Segoe UI" w:hAnsi="Segoe UI" w:cs="Segoe UI"/>
          <w:sz w:val="22"/>
          <w:szCs w:val="22"/>
          <w:lang w:val="hu"/>
        </w:rPr>
        <w:t xml:space="preserve">ül </w:t>
      </w:r>
      <w:r w:rsidRPr="00D50F45">
        <w:rPr>
          <w:rFonts w:ascii="Segoe UI" w:hAnsi="Segoe UI" w:cs="Segoe UI"/>
          <w:sz w:val="22"/>
          <w:szCs w:val="22"/>
          <w:lang w:val="hu"/>
        </w:rPr>
        <w:t>márk</w:t>
      </w:r>
      <w:r w:rsidR="00BE16AA">
        <w:rPr>
          <w:rFonts w:ascii="Segoe UI" w:hAnsi="Segoe UI" w:cs="Segoe UI"/>
          <w:sz w:val="22"/>
          <w:szCs w:val="22"/>
          <w:lang w:val="hu"/>
        </w:rPr>
        <w:t>a-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és termék</w:t>
      </w:r>
      <w:r w:rsidR="00BE16AA">
        <w:rPr>
          <w:rFonts w:ascii="Segoe UI" w:hAnsi="Segoe UI" w:cs="Segoe UI"/>
          <w:sz w:val="22"/>
          <w:szCs w:val="22"/>
          <w:lang w:val="hu"/>
        </w:rPr>
        <w:t>palettával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. </w:t>
      </w:r>
      <w:r w:rsidRPr="00D50F45">
        <w:rPr>
          <w:rFonts w:ascii="Segoe UI" w:hAnsi="Segoe UI" w:cs="Segoe UI"/>
          <w:sz w:val="22"/>
          <w:szCs w:val="22"/>
          <w:lang w:val="hu"/>
        </w:rPr>
        <w:lastRenderedPageBreak/>
        <w:t>Emellett a Henkel tovább bővíti az e-kereskedelemre alkalmas kínálatát a Laundry &amp; Home Care terén. Ehhez hozzájárult az új integrált RAQN technikai platform.</w:t>
      </w:r>
    </w:p>
    <w:p w14:paraId="7283F0D3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ABAB90D" w14:textId="7C6054F4" w:rsidR="00CA0C63" w:rsidRPr="00D50F45" w:rsidRDefault="00CA0C63" w:rsidP="00F94D11">
      <w:pPr>
        <w:spacing w:line="276" w:lineRule="auto"/>
        <w:jc w:val="both"/>
        <w:rPr>
          <w:rStyle w:val="AboutandContactHeadline"/>
          <w:rFonts w:cs="Segoe UI"/>
          <w:b w:val="0"/>
          <w:sz w:val="22"/>
          <w:szCs w:val="22"/>
          <w:lang w:val="hu"/>
        </w:rPr>
      </w:pPr>
      <w:bookmarkStart w:id="8" w:name="_Hlk109386180"/>
      <w:r w:rsidRPr="00D50F45">
        <w:rPr>
          <w:rStyle w:val="AboutandContactHeadline"/>
          <w:rFonts w:cs="Segoe UI"/>
          <w:b w:val="0"/>
          <w:bCs w:val="0"/>
          <w:sz w:val="22"/>
          <w:szCs w:val="22"/>
          <w:lang w:val="hu"/>
        </w:rPr>
        <w:t xml:space="preserve">A karcsú, gyors és </w:t>
      </w:r>
      <w:r w:rsidRPr="00D50F45">
        <w:rPr>
          <w:rStyle w:val="AboutandContactHeadline"/>
          <w:rFonts w:cs="Segoe UI"/>
          <w:sz w:val="22"/>
          <w:szCs w:val="22"/>
          <w:lang w:val="hu"/>
        </w:rPr>
        <w:t>jövőre felkészített működési modellek</w:t>
      </w:r>
      <w:r w:rsidRPr="00D50F45">
        <w:rPr>
          <w:rStyle w:val="AboutandContactHeadline"/>
          <w:rFonts w:cs="Segoe UI"/>
          <w:b w:val="0"/>
          <w:bCs w:val="0"/>
          <w:sz w:val="22"/>
          <w:szCs w:val="22"/>
          <w:lang w:val="hu"/>
        </w:rPr>
        <w:t xml:space="preserve"> fontos elemei a Henkel stratégiai keretrendszerének. A Henkel tovább bővítette a 2020-ban elindított változtatásokat: a Henkel dx digitális </w:t>
      </w:r>
      <w:r w:rsidR="00966C94">
        <w:rPr>
          <w:rStyle w:val="AboutandContactHeadline"/>
          <w:rFonts w:cs="Segoe UI"/>
          <w:b w:val="0"/>
          <w:bCs w:val="0"/>
          <w:sz w:val="22"/>
          <w:szCs w:val="22"/>
          <w:lang w:val="hu"/>
        </w:rPr>
        <w:t>egység</w:t>
      </w:r>
      <w:r w:rsidRPr="00D50F45">
        <w:rPr>
          <w:rStyle w:val="AboutandContactHeadline"/>
          <w:rFonts w:cs="Segoe UI"/>
          <w:b w:val="0"/>
          <w:bCs w:val="0"/>
          <w:sz w:val="22"/>
          <w:szCs w:val="22"/>
          <w:lang w:val="hu"/>
        </w:rPr>
        <w:t xml:space="preserve"> rendkívül hatékony struktúrákkal rendelkezik, amelyek lehetővé teszik a magasabb informatikai projektberuházásokat stabil költségek mellett. </w:t>
      </w:r>
    </w:p>
    <w:p w14:paraId="7859FEDC" w14:textId="77777777" w:rsidR="00CA0C63" w:rsidRPr="00D50F45" w:rsidRDefault="00CA0C63" w:rsidP="00F94D11">
      <w:pPr>
        <w:spacing w:line="276" w:lineRule="auto"/>
        <w:jc w:val="both"/>
        <w:rPr>
          <w:rStyle w:val="AboutandContactHeadline"/>
          <w:rFonts w:cs="Segoe UI"/>
          <w:b w:val="0"/>
          <w:sz w:val="22"/>
          <w:szCs w:val="22"/>
          <w:lang w:val="hu"/>
        </w:rPr>
      </w:pPr>
    </w:p>
    <w:p w14:paraId="2F9347A4" w14:textId="30CFCDC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bookmarkStart w:id="9" w:name="_Hlk109386825"/>
      <w:bookmarkEnd w:id="8"/>
      <w:r w:rsidRPr="00D50F45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A célirányos növekedési cselekvési terv másik kulcseleme a Henkel vállalati kultúrájának továbbfejlesztése és a </w:t>
      </w:r>
      <w:r w:rsidRPr="00D50F4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  <w:lang w:val="hu"/>
        </w:rPr>
        <w:t xml:space="preserve">kulturális átalakulás </w:t>
      </w:r>
      <w:r w:rsidRPr="00D50F45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 xml:space="preserve">felgyorsítása. A társaság célja az együttműködésen alapuló kultúra </w:t>
      </w:r>
      <w:r w:rsidR="00966C94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előmozdítása</w:t>
      </w:r>
      <w:r w:rsidRPr="00D50F45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hu"/>
        </w:rPr>
        <w:t>. Az év első felében a Henkel folytatta egy sor intézkedés elindítását e cél elérése és alkalmazottai további felhatalmazása érdekében.</w:t>
      </w:r>
    </w:p>
    <w:p w14:paraId="40303306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14223BDB" w14:textId="791A84FD" w:rsidR="00CA0C63" w:rsidRPr="00D50F45" w:rsidRDefault="00412AD4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>
        <w:rPr>
          <w:rFonts w:ascii="Segoe UI" w:hAnsi="Segoe UI" w:cs="Segoe UI"/>
          <w:sz w:val="22"/>
          <w:szCs w:val="22"/>
          <w:lang w:val="hu"/>
        </w:rPr>
        <w:t>A</w:t>
      </w:r>
      <w:r w:rsidR="00CA0C63" w:rsidRPr="00D50F45">
        <w:rPr>
          <w:rFonts w:ascii="Segoe UI" w:hAnsi="Segoe UI" w:cs="Segoe UI"/>
          <w:sz w:val="22"/>
          <w:szCs w:val="22"/>
          <w:lang w:val="hu"/>
        </w:rPr>
        <w:t xml:space="preserve"> Henkel átfogó változásmenedzsment programot indított a Laundry &amp; Home Care és a Beauty Care üzletágak összevonása kapcsán. A program a változtatással kapcsolatos továbbképzésre és a csapatátalakításra összpontosít. Ezen túlmenően, hogy 2025-re elérje a nemek közötti egyenlőség célját az összes vezetési szinten, a Henkel további konkrét lépéseket tett, és olyan kezdeményezéseket indított el, mint a Sokszínűség, Méltányosság és Befogadás Hete. Az átfogó </w:t>
      </w:r>
      <w:proofErr w:type="spellStart"/>
      <w:r w:rsidR="00CA0C63" w:rsidRPr="00D50F45">
        <w:rPr>
          <w:rFonts w:ascii="Segoe UI" w:hAnsi="Segoe UI" w:cs="Segoe UI"/>
          <w:sz w:val="22"/>
          <w:szCs w:val="22"/>
          <w:lang w:val="hu"/>
        </w:rPr>
        <w:t>Smart</w:t>
      </w:r>
      <w:proofErr w:type="spellEnd"/>
      <w:r w:rsidR="00CA0C63" w:rsidRPr="00D50F45">
        <w:rPr>
          <w:rFonts w:ascii="Segoe UI" w:hAnsi="Segoe UI" w:cs="Segoe UI"/>
          <w:sz w:val="22"/>
          <w:szCs w:val="22"/>
          <w:lang w:val="hu"/>
        </w:rPr>
        <w:t xml:space="preserve"> </w:t>
      </w:r>
      <w:proofErr w:type="spellStart"/>
      <w:r w:rsidR="00CA0C63" w:rsidRPr="00D50F45">
        <w:rPr>
          <w:rFonts w:ascii="Segoe UI" w:hAnsi="Segoe UI" w:cs="Segoe UI"/>
          <w:sz w:val="22"/>
          <w:szCs w:val="22"/>
          <w:lang w:val="hu"/>
        </w:rPr>
        <w:t>Work</w:t>
      </w:r>
      <w:proofErr w:type="spellEnd"/>
      <w:r w:rsidR="00CA0C63" w:rsidRPr="00D50F45">
        <w:rPr>
          <w:rFonts w:ascii="Segoe UI" w:hAnsi="Segoe UI" w:cs="Segoe UI"/>
          <w:sz w:val="22"/>
          <w:szCs w:val="22"/>
          <w:lang w:val="hu"/>
        </w:rPr>
        <w:t xml:space="preserve"> koncepció részeként új kezdeményezéseket vezettek be, amelyek a munkavállalók mentális egészségére és jólétére helyezik a hangsúlyt.</w:t>
      </w:r>
    </w:p>
    <w:bookmarkEnd w:id="9"/>
    <w:p w14:paraId="005F0FC3" w14:textId="77777777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  <w:lang w:val="hu"/>
        </w:rPr>
      </w:pPr>
    </w:p>
    <w:p w14:paraId="59EC5F17" w14:textId="370DACD1" w:rsidR="00CA0C63" w:rsidRPr="00D50F45" w:rsidRDefault="00CA0C63" w:rsidP="00F94D11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50F45">
        <w:rPr>
          <w:rFonts w:ascii="Segoe UI" w:hAnsi="Segoe UI" w:cs="Segoe UI"/>
          <w:sz w:val="22"/>
          <w:szCs w:val="22"/>
          <w:lang w:val="hu"/>
        </w:rPr>
        <w:t xml:space="preserve">„Bár szembesültünk a COVID-járvány és az ukrajnai háború hatásaival, az év első felében jelentősen növeltük szerves </w:t>
      </w:r>
      <w:r w:rsidR="00066E28" w:rsidRPr="00D50F45">
        <w:rPr>
          <w:rFonts w:ascii="Segoe UI" w:hAnsi="Segoe UI" w:cs="Segoe UI"/>
          <w:sz w:val="22"/>
          <w:szCs w:val="22"/>
          <w:lang w:val="hu"/>
        </w:rPr>
        <w:t>árbevételünke</w:t>
      </w:r>
      <w:r w:rsidR="00066E28">
        <w:rPr>
          <w:rFonts w:ascii="Segoe UI" w:hAnsi="Segoe UI" w:cs="Segoe UI"/>
          <w:sz w:val="22"/>
          <w:szCs w:val="22"/>
          <w:lang w:val="hu"/>
        </w:rPr>
        <w:t>t, és az év első felében beszámoltunk róla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. Eredményeinket a várakozásoknak megfelelően </w:t>
      </w:r>
      <w:r w:rsidR="00066E28">
        <w:rPr>
          <w:rFonts w:ascii="Segoe UI" w:hAnsi="Segoe UI" w:cs="Segoe UI"/>
          <w:sz w:val="22"/>
          <w:szCs w:val="22"/>
          <w:lang w:val="hu"/>
        </w:rPr>
        <w:t>elsősorban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a nyersanyag- és logisztikai költségek drasztikus növekedése befolyásolta. Ez tükröződik a 2022-es pénzügyi évre vonatkozó frissített </w:t>
      </w:r>
      <w:r w:rsidR="00412AD4">
        <w:rPr>
          <w:rFonts w:ascii="Segoe UI" w:hAnsi="Segoe UI" w:cs="Segoe UI"/>
          <w:sz w:val="22"/>
          <w:szCs w:val="22"/>
          <w:lang w:val="hu"/>
        </w:rPr>
        <w:t>előrejelzésünkben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 is</w:t>
      </w:r>
      <w:r w:rsidR="00066E28">
        <w:rPr>
          <w:rFonts w:ascii="Segoe UI" w:hAnsi="Segoe UI" w:cs="Segoe UI"/>
          <w:sz w:val="22"/>
          <w:szCs w:val="22"/>
          <w:lang w:val="hu"/>
        </w:rPr>
        <w:t xml:space="preserve">. </w:t>
      </w:r>
      <w:r w:rsidRPr="00D50F45">
        <w:rPr>
          <w:rFonts w:ascii="Segoe UI" w:hAnsi="Segoe UI" w:cs="Segoe UI"/>
          <w:sz w:val="22"/>
          <w:szCs w:val="22"/>
          <w:lang w:val="hu"/>
        </w:rPr>
        <w:t xml:space="preserve">Büszkék vagyunk arra a kiemelkedő </w:t>
      </w:r>
      <w:proofErr w:type="spellStart"/>
      <w:r w:rsidR="00412AD4">
        <w:rPr>
          <w:rFonts w:ascii="Segoe UI" w:hAnsi="Segoe UI" w:cs="Segoe UI"/>
          <w:sz w:val="22"/>
          <w:szCs w:val="22"/>
          <w:lang w:val="hu"/>
        </w:rPr>
        <w:t>előrelépésre</w:t>
      </w:r>
      <w:proofErr w:type="spellEnd"/>
      <w:r w:rsidRPr="00D50F45">
        <w:rPr>
          <w:rFonts w:ascii="Segoe UI" w:hAnsi="Segoe UI" w:cs="Segoe UI"/>
          <w:sz w:val="22"/>
          <w:szCs w:val="22"/>
          <w:lang w:val="hu"/>
        </w:rPr>
        <w:t>, amelyet a céltudatos növekedést célzó stratégiai programunk megvalósítása terén értünk el, és továbbra is következetesen folytatjuk stratégiánkat</w:t>
      </w:r>
      <w:r w:rsidR="00066E28">
        <w:rPr>
          <w:rFonts w:ascii="Segoe UI" w:hAnsi="Segoe UI" w:cs="Segoe UI"/>
          <w:sz w:val="22"/>
          <w:szCs w:val="22"/>
          <w:lang w:val="hu"/>
        </w:rPr>
        <w:t xml:space="preserve"> még </w:t>
      </w:r>
      <w:r w:rsidRPr="00D50F45">
        <w:rPr>
          <w:rFonts w:ascii="Segoe UI" w:hAnsi="Segoe UI" w:cs="Segoe UI"/>
          <w:sz w:val="22"/>
          <w:szCs w:val="22"/>
          <w:lang w:val="hu"/>
        </w:rPr>
        <w:t>ebben az</w:t>
      </w:r>
      <w:r w:rsidR="00066E28">
        <w:rPr>
          <w:rFonts w:ascii="Segoe UI" w:hAnsi="Segoe UI" w:cs="Segoe UI"/>
          <w:sz w:val="22"/>
          <w:szCs w:val="22"/>
          <w:lang w:val="hu"/>
        </w:rPr>
        <w:t xml:space="preserve"> igen nehéz </w:t>
      </w:r>
      <w:r w:rsidRPr="00D50F45">
        <w:rPr>
          <w:rFonts w:ascii="Segoe UI" w:hAnsi="Segoe UI" w:cs="Segoe UI"/>
          <w:sz w:val="22"/>
          <w:szCs w:val="22"/>
          <w:lang w:val="hu"/>
        </w:rPr>
        <w:t>kihívásokkal teli környezetben</w:t>
      </w:r>
      <w:r w:rsidR="00066E28">
        <w:rPr>
          <w:rFonts w:ascii="Segoe UI" w:hAnsi="Segoe UI" w:cs="Segoe UI"/>
          <w:sz w:val="22"/>
          <w:szCs w:val="22"/>
          <w:lang w:val="hu"/>
        </w:rPr>
        <w:t xml:space="preserve"> is</w:t>
      </w:r>
      <w:r w:rsidRPr="00D50F45">
        <w:rPr>
          <w:rFonts w:ascii="Segoe UI" w:hAnsi="Segoe UI" w:cs="Segoe UI"/>
          <w:sz w:val="22"/>
          <w:szCs w:val="22"/>
          <w:lang w:val="hu"/>
        </w:rPr>
        <w:t>.”</w:t>
      </w:r>
      <w:r w:rsidR="00066E28" w:rsidRPr="00066E28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066E28" w:rsidRPr="00D50F45">
        <w:rPr>
          <w:rFonts w:ascii="Segoe UI" w:hAnsi="Segoe UI" w:cs="Segoe UI"/>
          <w:sz w:val="22"/>
          <w:szCs w:val="22"/>
          <w:lang w:val="hu"/>
        </w:rPr>
        <w:t xml:space="preserve">– mondta Carsten </w:t>
      </w:r>
      <w:proofErr w:type="spellStart"/>
      <w:r w:rsidR="00066E28" w:rsidRPr="00D50F45">
        <w:rPr>
          <w:rFonts w:ascii="Segoe UI" w:hAnsi="Segoe UI" w:cs="Segoe UI"/>
          <w:sz w:val="22"/>
          <w:szCs w:val="22"/>
          <w:lang w:val="hu"/>
        </w:rPr>
        <w:t>Knobel</w:t>
      </w:r>
      <w:proofErr w:type="spellEnd"/>
      <w:r w:rsidR="00066E28" w:rsidRPr="00D50F45">
        <w:rPr>
          <w:rFonts w:ascii="Segoe UI" w:hAnsi="Segoe UI" w:cs="Segoe UI"/>
          <w:sz w:val="22"/>
          <w:szCs w:val="22"/>
          <w:lang w:val="hu"/>
        </w:rPr>
        <w:t>.</w:t>
      </w:r>
    </w:p>
    <w:p w14:paraId="5C08D87C" w14:textId="77777777" w:rsidR="00CA0C63" w:rsidRPr="00D50F45" w:rsidRDefault="00CA0C63" w:rsidP="00CA0C63">
      <w:pPr>
        <w:rPr>
          <w:rFonts w:cs="Segoe UI"/>
          <w:sz w:val="22"/>
          <w:szCs w:val="22"/>
          <w:lang w:val="hu"/>
        </w:rPr>
      </w:pPr>
    </w:p>
    <w:p w14:paraId="25DD2B26" w14:textId="30CD06E7" w:rsidR="00F02C49" w:rsidRPr="00CA0C63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48EAB4D" w14:textId="77777777" w:rsidR="00F02C49" w:rsidRPr="00A35C64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5715EE4" w14:textId="77777777" w:rsidR="00A14480" w:rsidRPr="00F1005F" w:rsidRDefault="00A14480" w:rsidP="00A14480">
      <w:pPr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F1005F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1215BF1" w14:textId="16A91A98" w:rsidR="002D7782" w:rsidRPr="00F1005F" w:rsidRDefault="00A14480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F1005F">
        <w:rPr>
          <w:rFonts w:ascii="Segoe UI" w:hAnsi="Segoe UI" w:cs="Segoe UI"/>
          <w:sz w:val="18"/>
          <w:szCs w:val="18"/>
          <w:lang w:val="hu-HU"/>
        </w:rPr>
        <w:t>A Henkel kiegyensúlyozott és változatos portfólióval rendelkezik világszerte. Erős márkáival, innovációival és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technológiáival a vállalat és három üzletága vezető piaci pozíciót foglal el mind az ipari, mind a fogyasztási cikkek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terén. A Henkel Adhesive Technologies az egyik legjelentősebb globális szereplő a ragasztópiacon. A vállalat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számos piacon és kategóriában vezető szerepet tölt be Laundry &amp; Home Care és Beauty Care üzletágaival is. Az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1876-ban alapított Henkel több mint 140 év sikert tudhat maga mögött. A 2021-es pénzügyi évben a vállalat több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mint 20 milliárd euró árbevételt és mintegy 2,7 milliárd euró korrigált üzemi eredményt ért el. A Henkel több, mint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52.000 munkatársa világszerte egy sokszínű csapatot alkot, akiket az erős vállalati kultúra, a közös célok és értékek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kötnek össze. A Henkel vezető szerepét a fenntarthatóság terén számos nemzetközi index és rangsor igazolja. A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 xml:space="preserve">vállalat </w:t>
      </w:r>
      <w:r w:rsidRPr="00F1005F">
        <w:rPr>
          <w:rFonts w:ascii="Segoe UI" w:hAnsi="Segoe UI" w:cs="Segoe UI"/>
          <w:sz w:val="18"/>
          <w:szCs w:val="18"/>
          <w:lang w:val="hu-HU"/>
        </w:rPr>
        <w:lastRenderedPageBreak/>
        <w:t xml:space="preserve">elsőbbségi részvényeit a német DAX tőzsdeindexben jegyzik. További információt a </w:t>
      </w:r>
      <w:hyperlink r:id="rId8" w:history="1">
        <w:r w:rsidR="00F57D07" w:rsidRPr="00F1005F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weboldalon talál.</w:t>
      </w:r>
    </w:p>
    <w:p w14:paraId="706DF59C" w14:textId="687A11C0" w:rsidR="00F57D07" w:rsidRDefault="00F57D0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7ABB63BA" w14:textId="77777777" w:rsidR="00B50B99" w:rsidRPr="00B50B99" w:rsidRDefault="00B50B99" w:rsidP="00B50B99">
      <w:pPr>
        <w:spacing w:after="160" w:line="240" w:lineRule="auto"/>
        <w:rPr>
          <w:rFonts w:ascii="Segoe UI" w:hAnsi="Segoe UI"/>
          <w:sz w:val="16"/>
          <w:szCs w:val="16"/>
          <w:lang w:val="en-US"/>
        </w:rPr>
      </w:pPr>
      <w:r w:rsidRPr="00B50B99">
        <w:rPr>
          <w:rFonts w:ascii="Segoe UI" w:hAnsi="Segoe UI"/>
          <w:sz w:val="16"/>
          <w:szCs w:val="16"/>
          <w:lang w:val="en-US"/>
        </w:rPr>
        <w:t xml:space="preserve">Ez a tájékoztatás a jövőre vonatkozó állításokat tartalmaz, amelyek a Henkel AG &amp; Co. </w:t>
      </w:r>
      <w:proofErr w:type="spellStart"/>
      <w:r w:rsidRPr="00B50B99">
        <w:rPr>
          <w:rFonts w:ascii="Segoe UI" w:hAnsi="Segoe UI"/>
          <w:sz w:val="16"/>
          <w:szCs w:val="16"/>
          <w:lang w:val="en-US"/>
        </w:rPr>
        <w:t>KGaA</w:t>
      </w:r>
      <w:proofErr w:type="spellEnd"/>
      <w:r w:rsidRPr="00B50B99">
        <w:rPr>
          <w:rFonts w:ascii="Segoe UI" w:hAnsi="Segoe UI"/>
          <w:sz w:val="16"/>
          <w:szCs w:val="16"/>
          <w:lang w:val="en-US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B50B99">
        <w:rPr>
          <w:rFonts w:ascii="Segoe UI" w:hAnsi="Segoe UI"/>
          <w:sz w:val="16"/>
          <w:szCs w:val="16"/>
          <w:lang w:val="en-US"/>
        </w:rPr>
        <w:t>KGaA</w:t>
      </w:r>
      <w:proofErr w:type="spellEnd"/>
      <w:r w:rsidRPr="00B50B99">
        <w:rPr>
          <w:rFonts w:ascii="Segoe UI" w:hAnsi="Segoe UI"/>
          <w:sz w:val="16"/>
          <w:szCs w:val="16"/>
          <w:lang w:val="en-US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1D7A6E7D" w14:textId="77777777" w:rsidR="00B50B99" w:rsidRPr="004320C5" w:rsidRDefault="00B50B99" w:rsidP="00B50B99">
      <w:pPr>
        <w:spacing w:after="160" w:line="240" w:lineRule="auto"/>
        <w:rPr>
          <w:rFonts w:ascii="Segoe UI" w:hAnsi="Segoe UI"/>
          <w:sz w:val="16"/>
          <w:szCs w:val="16"/>
          <w:lang w:val="hu-HU"/>
        </w:rPr>
      </w:pPr>
      <w:r w:rsidRPr="00B50B99">
        <w:rPr>
          <w:rFonts w:ascii="Segoe UI" w:hAnsi="Segoe UI"/>
          <w:sz w:val="16"/>
          <w:szCs w:val="16"/>
          <w:lang w:val="hu-HU"/>
        </w:rPr>
        <w:t>Ez a dokumentum</w:t>
      </w:r>
      <w:r w:rsidRPr="00B50B99">
        <w:rPr>
          <w:rFonts w:ascii="Segoe UI" w:hAnsi="Segoe UI"/>
          <w:sz w:val="16"/>
          <w:szCs w:val="16"/>
          <w:lang w:val="en-US"/>
        </w:rPr>
        <w:t xml:space="preserve">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bemutatják. Más, hasonlóan megnevezett alternatív </w:t>
      </w:r>
      <w:r w:rsidRPr="004320C5">
        <w:rPr>
          <w:rFonts w:ascii="Segoe UI" w:hAnsi="Segoe UI"/>
          <w:sz w:val="16"/>
          <w:szCs w:val="16"/>
          <w:lang w:val="hu-HU"/>
        </w:rPr>
        <w:t>teljesítménymutatókat jelentő vagy leíró vállalatok eltérő módon számíthatják ki őket.</w:t>
      </w:r>
    </w:p>
    <w:p w14:paraId="3B7D930B" w14:textId="77777777" w:rsidR="00B50B99" w:rsidRPr="004320C5" w:rsidRDefault="00B50B99" w:rsidP="00B50B99">
      <w:pPr>
        <w:spacing w:after="160" w:line="240" w:lineRule="auto"/>
        <w:rPr>
          <w:rFonts w:ascii="Segoe UI" w:hAnsi="Segoe UI"/>
          <w:sz w:val="16"/>
          <w:szCs w:val="16"/>
          <w:lang w:val="hu-HU"/>
        </w:rPr>
      </w:pPr>
      <w:r w:rsidRPr="004320C5">
        <w:rPr>
          <w:rFonts w:ascii="Segoe UI" w:hAnsi="Segoe UI"/>
          <w:sz w:val="16"/>
          <w:szCs w:val="16"/>
          <w:lang w:val="hu-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5B7EE8A2" w14:textId="77777777" w:rsidR="00B50B99" w:rsidRPr="008729D8" w:rsidRDefault="00B50B99" w:rsidP="00B50B99">
      <w:pPr>
        <w:spacing w:line="240" w:lineRule="auto"/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</w:p>
    <w:p w14:paraId="4AB704F0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>Contact</w:t>
      </w:r>
    </w:p>
    <w:p w14:paraId="6A4535D0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en-US"/>
        </w:rPr>
      </w:pPr>
    </w:p>
    <w:p w14:paraId="7C2E6977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>Investors &amp; Analysts</w:t>
      </w:r>
      <w:r w:rsidRPr="00B50B99">
        <w:rPr>
          <w:rStyle w:val="AboutandContactBody"/>
          <w:rFonts w:cs="Segoe UI"/>
          <w:szCs w:val="18"/>
          <w:lang w:val="en-US"/>
        </w:rPr>
        <w:tab/>
      </w:r>
      <w:r w:rsidRPr="00B50B99">
        <w:rPr>
          <w:rStyle w:val="AboutandContactBody"/>
          <w:rFonts w:cs="Segoe UI"/>
          <w:b/>
          <w:szCs w:val="18"/>
          <w:lang w:val="en-US"/>
        </w:rPr>
        <w:t>Press &amp; Media</w:t>
      </w:r>
    </w:p>
    <w:p w14:paraId="1B90F291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2B673BA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>Jennifer Ott</w:t>
      </w:r>
      <w:r w:rsidRPr="00B50B99">
        <w:rPr>
          <w:rStyle w:val="AboutandContactBody"/>
          <w:rFonts w:cs="Segoe UI"/>
          <w:b/>
          <w:szCs w:val="18"/>
          <w:lang w:val="en-US"/>
        </w:rPr>
        <w:tab/>
      </w:r>
      <w:r w:rsidRPr="00B50B99">
        <w:rPr>
          <w:rStyle w:val="AboutandContactBody"/>
          <w:rFonts w:cs="Segoe UI"/>
          <w:szCs w:val="18"/>
          <w:lang w:val="en-US"/>
        </w:rPr>
        <w:tab/>
      </w:r>
      <w:r w:rsidRPr="00B50B99">
        <w:rPr>
          <w:rStyle w:val="AboutandContactBody"/>
          <w:rFonts w:cs="Segoe UI"/>
          <w:b/>
          <w:szCs w:val="18"/>
          <w:lang w:val="en-US"/>
        </w:rPr>
        <w:t xml:space="preserve">Lars </w:t>
      </w:r>
      <w:proofErr w:type="spellStart"/>
      <w:r w:rsidRPr="00B50B99">
        <w:rPr>
          <w:rStyle w:val="AboutandContactBody"/>
          <w:rFonts w:cs="Segoe UI"/>
          <w:b/>
          <w:szCs w:val="18"/>
          <w:lang w:val="en-US"/>
        </w:rPr>
        <w:t>Witteck</w:t>
      </w:r>
      <w:proofErr w:type="spellEnd"/>
    </w:p>
    <w:p w14:paraId="4C82723F" w14:textId="3197BCC3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B50B99">
        <w:rPr>
          <w:rStyle w:val="AboutandContactBody"/>
          <w:rFonts w:cs="Segoe UI"/>
          <w:szCs w:val="18"/>
          <w:lang w:val="en-US"/>
        </w:rPr>
        <w:t>:</w:t>
      </w:r>
      <w:r w:rsidRPr="00B50B99">
        <w:rPr>
          <w:rStyle w:val="AboutandContactBody"/>
          <w:rFonts w:cs="Segoe UI"/>
          <w:szCs w:val="18"/>
          <w:lang w:val="en-US"/>
        </w:rPr>
        <w:tab/>
        <w:t>+49 211 797 - 2756</w:t>
      </w:r>
      <w:r w:rsidRPr="00B50B99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B50B99">
        <w:rPr>
          <w:rStyle w:val="AboutandContactBody"/>
          <w:rFonts w:cs="Segoe UI"/>
          <w:szCs w:val="18"/>
          <w:lang w:val="en-US"/>
        </w:rPr>
        <w:t>:</w:t>
      </w:r>
      <w:r w:rsidRPr="00B50B99">
        <w:rPr>
          <w:rStyle w:val="AboutandContactBody"/>
          <w:rFonts w:cs="Segoe UI"/>
          <w:szCs w:val="18"/>
          <w:lang w:val="en-US"/>
        </w:rPr>
        <w:tab/>
        <w:t>+49 211 797 - 2606</w:t>
      </w:r>
    </w:p>
    <w:p w14:paraId="4365C642" w14:textId="77777777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szCs w:val="18"/>
          <w:lang w:val="en-US"/>
        </w:rPr>
        <w:t xml:space="preserve">Email: </w:t>
      </w:r>
      <w:r w:rsidRPr="00B50B99">
        <w:rPr>
          <w:rStyle w:val="AboutandContactBody"/>
          <w:rFonts w:cs="Segoe UI"/>
          <w:szCs w:val="18"/>
          <w:lang w:val="en-US"/>
        </w:rPr>
        <w:tab/>
      </w:r>
      <w:hyperlink r:id="rId9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jennifer.ott@henkel.com</w:t>
        </w:r>
      </w:hyperlink>
      <w:r w:rsidRPr="00B50B99">
        <w:rPr>
          <w:rStyle w:val="AboutandContactBody"/>
          <w:rFonts w:cs="Segoe UI"/>
          <w:szCs w:val="18"/>
          <w:lang w:val="en-US"/>
        </w:rPr>
        <w:tab/>
        <w:t>Email:</w:t>
      </w:r>
      <w:r w:rsidRPr="00B50B99">
        <w:rPr>
          <w:rStyle w:val="AboutandContactBody"/>
          <w:rFonts w:cs="Segoe UI"/>
          <w:szCs w:val="18"/>
          <w:lang w:val="en-US"/>
        </w:rPr>
        <w:tab/>
      </w:r>
      <w:hyperlink r:id="rId10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lars.witteck@henkel.com</w:t>
        </w:r>
      </w:hyperlink>
    </w:p>
    <w:p w14:paraId="3273B6FB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1C3F8F55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>Dr. Dennis Starke</w:t>
      </w:r>
      <w:r w:rsidRPr="00B50B99">
        <w:rPr>
          <w:rStyle w:val="AboutandContactBody"/>
          <w:rFonts w:cs="Segoe UI"/>
          <w:b/>
          <w:szCs w:val="18"/>
          <w:lang w:val="en-US"/>
        </w:rPr>
        <w:tab/>
        <w:t xml:space="preserve">Wulf </w:t>
      </w:r>
      <w:proofErr w:type="spellStart"/>
      <w:r w:rsidRPr="00B50B99">
        <w:rPr>
          <w:rStyle w:val="AboutandContactBody"/>
          <w:rFonts w:cs="Segoe UI"/>
          <w:b/>
          <w:szCs w:val="18"/>
          <w:lang w:val="en-US"/>
        </w:rPr>
        <w:t>Klüppelholz</w:t>
      </w:r>
      <w:proofErr w:type="spellEnd"/>
    </w:p>
    <w:p w14:paraId="4D6A62AE" w14:textId="7B52C6F8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B50B99">
        <w:rPr>
          <w:rStyle w:val="AboutandContactBody"/>
          <w:rFonts w:cs="Segoe UI"/>
          <w:szCs w:val="18"/>
          <w:lang w:val="en-US"/>
        </w:rPr>
        <w:t>:</w:t>
      </w:r>
      <w:r w:rsidRPr="00B50B99">
        <w:rPr>
          <w:rStyle w:val="AboutandContactBody"/>
          <w:rFonts w:cs="Segoe UI"/>
          <w:szCs w:val="18"/>
          <w:lang w:val="en-US"/>
        </w:rPr>
        <w:tab/>
        <w:t>+49 211 797 - 5601</w:t>
      </w:r>
      <w:r w:rsidRPr="00B50B99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B50B99">
        <w:rPr>
          <w:rStyle w:val="AboutandContactBody"/>
          <w:rFonts w:cs="Segoe UI"/>
          <w:szCs w:val="18"/>
          <w:lang w:val="en-US"/>
        </w:rPr>
        <w:t>:</w:t>
      </w:r>
      <w:r w:rsidRPr="00B50B99">
        <w:rPr>
          <w:rStyle w:val="AboutandContactBody"/>
          <w:rFonts w:cs="Segoe UI"/>
          <w:szCs w:val="18"/>
          <w:lang w:val="en-US"/>
        </w:rPr>
        <w:tab/>
        <w:t>+49 211 797 - 1875</w:t>
      </w:r>
    </w:p>
    <w:p w14:paraId="05588CE6" w14:textId="77777777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szCs w:val="18"/>
          <w:lang w:val="en-US"/>
        </w:rPr>
        <w:t xml:space="preserve">Email: </w:t>
      </w:r>
      <w:r w:rsidRPr="00B50B99">
        <w:rPr>
          <w:rStyle w:val="AboutandContactBody"/>
          <w:rFonts w:cs="Segoe UI"/>
          <w:szCs w:val="18"/>
          <w:lang w:val="en-US"/>
        </w:rPr>
        <w:tab/>
      </w:r>
      <w:hyperlink r:id="rId11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dennis.starke@henkel.com</w:t>
        </w:r>
      </w:hyperlink>
      <w:r w:rsidRPr="00B50B99">
        <w:rPr>
          <w:rStyle w:val="AboutandContactBody"/>
          <w:rFonts w:cs="Segoe UI"/>
          <w:szCs w:val="18"/>
          <w:lang w:val="en-US"/>
        </w:rPr>
        <w:tab/>
        <w:t>Email:</w:t>
      </w:r>
      <w:r w:rsidRPr="00B50B99">
        <w:rPr>
          <w:rStyle w:val="AboutandContactBody"/>
          <w:rFonts w:cs="Segoe UI"/>
          <w:szCs w:val="18"/>
          <w:lang w:val="en-US"/>
        </w:rPr>
        <w:tab/>
      </w:r>
      <w:hyperlink r:id="rId12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wulf.klueppelholz@henkel.com</w:t>
        </w:r>
      </w:hyperlink>
    </w:p>
    <w:p w14:paraId="3122054F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0132728F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b/>
          <w:szCs w:val="18"/>
          <w:lang w:val="en-US"/>
        </w:rPr>
        <w:tab/>
      </w:r>
      <w:r w:rsidRPr="00B50B99">
        <w:rPr>
          <w:rStyle w:val="AboutandContactBody"/>
          <w:rFonts w:cs="Segoe UI"/>
          <w:b/>
          <w:szCs w:val="18"/>
          <w:lang w:val="en-US"/>
        </w:rPr>
        <w:tab/>
        <w:t>Hanna Philipps</w:t>
      </w:r>
    </w:p>
    <w:p w14:paraId="076176AC" w14:textId="46B1BF14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szCs w:val="18"/>
          <w:lang w:val="en-US"/>
        </w:rPr>
        <w:tab/>
      </w:r>
      <w:r w:rsidRPr="00B50B99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B50B99">
        <w:rPr>
          <w:rStyle w:val="AboutandContactBody"/>
          <w:rFonts w:cs="Segoe UI"/>
          <w:szCs w:val="18"/>
          <w:lang w:val="en-US"/>
        </w:rPr>
        <w:t>:</w:t>
      </w:r>
      <w:r w:rsidRPr="00B50B99">
        <w:rPr>
          <w:rStyle w:val="AboutandContactBody"/>
          <w:rFonts w:cs="Segoe UI"/>
          <w:szCs w:val="18"/>
          <w:lang w:val="en-US"/>
        </w:rPr>
        <w:tab/>
        <w:t>+49 211 797 - 3626</w:t>
      </w:r>
    </w:p>
    <w:p w14:paraId="41126A18" w14:textId="77777777" w:rsidR="00B50B99" w:rsidRPr="00B50B99" w:rsidRDefault="00B50B99" w:rsidP="00B50B99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B50B99">
        <w:rPr>
          <w:rStyle w:val="AboutandContactBody"/>
          <w:rFonts w:cs="Segoe UI"/>
          <w:szCs w:val="18"/>
          <w:lang w:val="en-US"/>
        </w:rPr>
        <w:tab/>
      </w:r>
      <w:r w:rsidRPr="00B50B99">
        <w:rPr>
          <w:rStyle w:val="Hiperhivatkozs"/>
          <w:rFonts w:ascii="Segoe UI" w:hAnsi="Segoe UI" w:cs="Segoe UI"/>
          <w:sz w:val="18"/>
          <w:szCs w:val="18"/>
          <w:u w:val="none"/>
          <w:lang w:val="en-US"/>
        </w:rPr>
        <w:tab/>
      </w:r>
      <w:r w:rsidRPr="00B50B99">
        <w:rPr>
          <w:rStyle w:val="AboutandContactBody"/>
          <w:rFonts w:cs="Segoe UI"/>
          <w:szCs w:val="18"/>
          <w:lang w:val="en-US"/>
        </w:rPr>
        <w:t>Email:</w:t>
      </w:r>
      <w:r w:rsidRPr="00B50B99">
        <w:rPr>
          <w:rStyle w:val="AboutandContactBody"/>
          <w:rFonts w:cs="Segoe UI"/>
          <w:szCs w:val="18"/>
          <w:lang w:val="en-US"/>
        </w:rPr>
        <w:tab/>
      </w:r>
      <w:hyperlink r:id="rId13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hanna.philipps@henkel.com</w:t>
        </w:r>
      </w:hyperlink>
    </w:p>
    <w:p w14:paraId="7A7CF63E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6FF90AD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Fonts w:ascii="Segoe UI" w:hAnsi="Segoe UI" w:cs="Segoe UI"/>
          <w:sz w:val="18"/>
          <w:szCs w:val="18"/>
          <w:lang w:val="en-US"/>
        </w:rPr>
      </w:pPr>
      <w:hyperlink r:id="rId14" w:history="1">
        <w:r w:rsidRPr="00B50B99">
          <w:rPr>
            <w:rStyle w:val="Hiperhivatkozs"/>
            <w:rFonts w:ascii="Segoe UI" w:hAnsi="Segoe UI" w:cs="Segoe UI"/>
            <w:sz w:val="18"/>
            <w:szCs w:val="18"/>
            <w:lang w:val="en-US"/>
          </w:rPr>
          <w:t>www.henkel.com/press</w:t>
        </w:r>
      </w:hyperlink>
    </w:p>
    <w:p w14:paraId="355E02E8" w14:textId="77777777" w:rsidR="00B50B99" w:rsidRPr="00B50B99" w:rsidRDefault="00B50B99" w:rsidP="00B50B99">
      <w:pPr>
        <w:tabs>
          <w:tab w:val="left" w:pos="1080"/>
          <w:tab w:val="left" w:pos="4500"/>
        </w:tabs>
        <w:spacing w:line="264" w:lineRule="auto"/>
        <w:rPr>
          <w:rStyle w:val="Hiperhivatkozs"/>
          <w:rFonts w:ascii="Segoe UI" w:hAnsi="Segoe UI" w:cs="Segoe UI"/>
          <w:sz w:val="18"/>
          <w:szCs w:val="18"/>
        </w:rPr>
      </w:pPr>
      <w:hyperlink r:id="rId15" w:history="1">
        <w:r w:rsidRPr="00B50B99">
          <w:rPr>
            <w:rStyle w:val="Hiperhivatkozs"/>
            <w:rFonts w:ascii="Segoe UI" w:hAnsi="Segoe UI" w:cs="Segoe UI"/>
            <w:sz w:val="18"/>
            <w:szCs w:val="18"/>
          </w:rPr>
          <w:t>www.henkel.com/</w:t>
        </w:r>
      </w:hyperlink>
      <w:r w:rsidRPr="00B50B99">
        <w:rPr>
          <w:rStyle w:val="Hiperhivatkozs"/>
          <w:rFonts w:ascii="Segoe UI" w:hAnsi="Segoe UI" w:cs="Segoe UI"/>
          <w:sz w:val="18"/>
          <w:szCs w:val="18"/>
        </w:rPr>
        <w:t>ir</w:t>
      </w:r>
    </w:p>
    <w:p w14:paraId="4ADB4055" w14:textId="77777777" w:rsidR="00F1005F" w:rsidRPr="00D82149" w:rsidRDefault="00F1005F" w:rsidP="00792BF7">
      <w:pPr>
        <w:rPr>
          <w:rStyle w:val="AboutandContactBody"/>
          <w:b/>
          <w:bCs/>
          <w:lang w:val="hu-HU"/>
        </w:rPr>
      </w:pPr>
    </w:p>
    <w:p w14:paraId="240343AE" w14:textId="77777777" w:rsidR="00F1005F" w:rsidRPr="00D82149" w:rsidRDefault="00F1005F" w:rsidP="00792BF7">
      <w:pPr>
        <w:rPr>
          <w:rStyle w:val="AboutandContactBody"/>
          <w:b/>
          <w:bCs/>
          <w:lang w:val="hu-HU"/>
        </w:rPr>
      </w:pPr>
    </w:p>
    <w:p w14:paraId="2E07DD4D" w14:textId="326D2DCB" w:rsidR="00792BF7" w:rsidRDefault="00792BF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5333B43B" w14:textId="77777777" w:rsidR="00F57D07" w:rsidRPr="00CA0C63" w:rsidRDefault="00F57D07" w:rsidP="00F57D07">
      <w:pPr>
        <w:jc w:val="both"/>
        <w:rPr>
          <w:rStyle w:val="AboutandContactBody"/>
          <w:b/>
          <w:bCs/>
          <w:lang w:val="hu-HU"/>
        </w:rPr>
      </w:pPr>
      <w:r w:rsidRPr="00CA0C63">
        <w:rPr>
          <w:rStyle w:val="AboutandContactBody"/>
          <w:b/>
          <w:bCs/>
          <w:lang w:val="hu-HU"/>
        </w:rPr>
        <w:t>Henkel Magyarország Kft.</w:t>
      </w:r>
    </w:p>
    <w:p w14:paraId="019616ED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Vállalati kommunikáció</w:t>
      </w:r>
    </w:p>
    <w:p w14:paraId="75FA2D41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Dispiter Dorottya</w:t>
      </w:r>
    </w:p>
    <w:p w14:paraId="19A7086F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Telefon: 1 372 5555</w:t>
      </w:r>
      <w:r w:rsidRPr="00F1005F">
        <w:rPr>
          <w:rFonts w:ascii="Segoe UI" w:hAnsi="Segoe UI" w:cs="Segoe UI"/>
          <w:szCs w:val="22"/>
          <w:lang w:val="hu-HU"/>
        </w:rPr>
        <w:tab/>
      </w:r>
    </w:p>
    <w:p w14:paraId="37FB460B" w14:textId="159081EC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 xml:space="preserve">E-mail: </w:t>
      </w:r>
      <w:hyperlink r:id="rId16" w:history="1">
        <w:r w:rsidRPr="00F1005F">
          <w:rPr>
            <w:rStyle w:val="Hiperhivatkozs"/>
            <w:rFonts w:ascii="Segoe UI" w:hAnsi="Segoe UI" w:cs="Segoe UI"/>
            <w:szCs w:val="22"/>
            <w:lang w:val="hu-HU"/>
          </w:rPr>
          <w:t>vallalati.kommunikacio@henkel.com</w:t>
        </w:r>
      </w:hyperlink>
      <w:r w:rsidRPr="00F1005F">
        <w:rPr>
          <w:rFonts w:ascii="Segoe UI" w:hAnsi="Segoe UI" w:cs="Segoe UI"/>
          <w:szCs w:val="22"/>
          <w:lang w:val="hu-HU"/>
        </w:rPr>
        <w:t xml:space="preserve"> </w:t>
      </w:r>
    </w:p>
    <w:p w14:paraId="196C07B3" w14:textId="3DBAE4EB" w:rsidR="00F57D07" w:rsidRPr="00F57D07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www.henkel.hu</w:t>
      </w:r>
    </w:p>
    <w:p w14:paraId="64542C6E" w14:textId="77777777" w:rsidR="002D7782" w:rsidRPr="008764DA" w:rsidRDefault="002D7782" w:rsidP="00931E86">
      <w:pPr>
        <w:pStyle w:val="PRHeadline"/>
        <w:jc w:val="both"/>
        <w:rPr>
          <w:rFonts w:ascii="Segoe UI" w:hAnsi="Segoe UI" w:cs="Segoe UI"/>
          <w:sz w:val="24"/>
          <w:lang w:val="hu-HU"/>
        </w:rPr>
      </w:pPr>
    </w:p>
    <w:sectPr w:rsidR="002D7782" w:rsidRPr="008764DA" w:rsidSect="0078213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1321" w14:textId="77777777" w:rsidR="00572D1A" w:rsidRDefault="00572D1A">
      <w:r>
        <w:separator/>
      </w:r>
    </w:p>
  </w:endnote>
  <w:endnote w:type="continuationSeparator" w:id="0">
    <w:p w14:paraId="6EDE20D2" w14:textId="77777777" w:rsidR="00572D1A" w:rsidRDefault="005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0F8D4651" w:rsidR="00CF6F33" w:rsidRPr="00B50B99" w:rsidRDefault="00B50B99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sz w:val="12"/>
        <w:szCs w:val="12"/>
      </w:rPr>
    </w:pPr>
    <w:r w:rsidRPr="00B50B99">
      <w:rPr>
        <w:rFonts w:ascii="Segoe UI" w:hAnsi="Segoe UI" w:cs="Segoe UI"/>
        <w:b w:val="0"/>
        <w:bCs/>
        <w:color w:val="auto"/>
        <w:sz w:val="12"/>
        <w:szCs w:val="12"/>
      </w:rPr>
      <w:t>Henkel AG &amp; Co. KGaA</w:t>
    </w:r>
    <w:r w:rsidRPr="00B50B99">
      <w:rPr>
        <w:rFonts w:ascii="Segoe UI" w:hAnsi="Segoe UI" w:cs="Segoe UI"/>
        <w:b w:val="0"/>
        <w:bCs/>
        <w:color w:val="auto"/>
        <w:sz w:val="12"/>
        <w:szCs w:val="12"/>
      </w:rPr>
      <w:t xml:space="preserve"> / </w:t>
    </w:r>
    <w:r w:rsidR="0036554D" w:rsidRPr="00B50B99">
      <w:rPr>
        <w:rFonts w:ascii="Segoe UI" w:hAnsi="Segoe UI" w:cs="Segoe UI"/>
        <w:b w:val="0"/>
        <w:bCs/>
        <w:color w:val="auto"/>
        <w:sz w:val="12"/>
        <w:szCs w:val="12"/>
      </w:rPr>
      <w:t xml:space="preserve">Henkel </w:t>
    </w:r>
    <w:proofErr w:type="spellStart"/>
    <w:r w:rsidR="0036554D" w:rsidRPr="00B50B99">
      <w:rPr>
        <w:rFonts w:ascii="Segoe UI" w:hAnsi="Segoe UI" w:cs="Segoe UI"/>
        <w:b w:val="0"/>
        <w:bCs/>
        <w:color w:val="auto"/>
        <w:sz w:val="12"/>
        <w:szCs w:val="12"/>
      </w:rPr>
      <w:t>Magyarország</w:t>
    </w:r>
    <w:proofErr w:type="spellEnd"/>
    <w:r w:rsidR="0036554D" w:rsidRPr="00B50B99">
      <w:rPr>
        <w:rFonts w:ascii="Segoe UI" w:hAnsi="Segoe UI" w:cs="Segoe UI"/>
        <w:b w:val="0"/>
        <w:bCs/>
        <w:color w:val="auto"/>
        <w:sz w:val="12"/>
        <w:szCs w:val="12"/>
      </w:rPr>
      <w:t xml:space="preserve"> Kft. </w:t>
    </w:r>
    <w:proofErr w:type="spellStart"/>
    <w:r w:rsidR="0036554D" w:rsidRPr="00B50B99">
      <w:rPr>
        <w:rFonts w:ascii="Segoe UI" w:hAnsi="Segoe UI" w:cs="Segoe UI"/>
        <w:b w:val="0"/>
        <w:bCs/>
        <w:color w:val="auto"/>
        <w:sz w:val="12"/>
        <w:szCs w:val="12"/>
        <w:lang w:val="en-US"/>
      </w:rPr>
      <w:t>Vállalati</w:t>
    </w:r>
    <w:proofErr w:type="spellEnd"/>
    <w:r w:rsidR="0036554D" w:rsidRPr="00B50B99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 kommunikáció</w:t>
    </w:r>
    <w:r w:rsidR="00CF6F33" w:rsidRPr="00B80304">
      <w:rPr>
        <w:color w:val="auto"/>
      </w:rPr>
      <w:tab/>
    </w:r>
    <w:proofErr w:type="spellStart"/>
    <w:r w:rsidR="00B80304" w:rsidRPr="00B50B99">
      <w:rPr>
        <w:rFonts w:ascii="Segoe UI" w:hAnsi="Segoe UI" w:cs="Segoe UI"/>
        <w:b w:val="0"/>
        <w:color w:val="auto"/>
        <w:sz w:val="12"/>
        <w:szCs w:val="12"/>
      </w:rPr>
      <w:t>Oldal</w:t>
    </w:r>
    <w:proofErr w:type="spellEnd"/>
    <w:r w:rsidR="00CF6F33" w:rsidRPr="00B50B99">
      <w:rPr>
        <w:rFonts w:ascii="Segoe UI" w:hAnsi="Segoe UI" w:cs="Segoe UI"/>
        <w:b w:val="0"/>
        <w:color w:val="auto"/>
        <w:sz w:val="12"/>
        <w:szCs w:val="12"/>
      </w:rPr>
      <w:t xml:space="preserve"> 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begin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</w:instrText>
    </w:r>
    <w:r w:rsidR="00262C05" w:rsidRPr="00B50B99">
      <w:rPr>
        <w:rFonts w:ascii="Segoe UI" w:hAnsi="Segoe UI" w:cs="Segoe UI"/>
        <w:b w:val="0"/>
        <w:color w:val="auto"/>
        <w:sz w:val="12"/>
        <w:szCs w:val="12"/>
      </w:rPr>
      <w:instrText>PAGE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 \* Arabic  \* MERGEFORMAT 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separate"/>
    </w:r>
    <w:r w:rsidR="00BA51DB" w:rsidRPr="00B50B99">
      <w:rPr>
        <w:rFonts w:ascii="Segoe UI" w:hAnsi="Segoe UI" w:cs="Segoe UI"/>
        <w:b w:val="0"/>
        <w:noProof/>
        <w:color w:val="auto"/>
        <w:sz w:val="12"/>
        <w:szCs w:val="12"/>
      </w:rPr>
      <w:t>3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end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t>/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begin"/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</w:instrText>
    </w:r>
    <w:r w:rsidR="00262C05" w:rsidRPr="00B50B99">
      <w:rPr>
        <w:rFonts w:ascii="Segoe UI" w:hAnsi="Segoe UI" w:cs="Segoe UI"/>
        <w:b w:val="0"/>
        <w:color w:val="auto"/>
        <w:sz w:val="12"/>
        <w:szCs w:val="12"/>
      </w:rPr>
      <w:instrText>NUMPAGES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instrText xml:space="preserve">  \* Arabic  \* MERGEFORMAT </w:instrTex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separate"/>
    </w:r>
    <w:r w:rsidR="00BA51DB" w:rsidRPr="00B50B99">
      <w:rPr>
        <w:rFonts w:ascii="Segoe UI" w:hAnsi="Segoe UI" w:cs="Segoe UI"/>
        <w:b w:val="0"/>
        <w:noProof/>
        <w:color w:val="auto"/>
        <w:sz w:val="12"/>
        <w:szCs w:val="12"/>
      </w:rPr>
      <w:t>3</w:t>
    </w:r>
    <w:r w:rsidR="00CF6F33" w:rsidRPr="00B50B99">
      <w:rPr>
        <w:rFonts w:ascii="Segoe UI" w:hAnsi="Segoe UI" w:cs="Segoe UI"/>
        <w:b w:val="0"/>
        <w:color w:val="auto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9C2E" w14:textId="77777777" w:rsidR="00572D1A" w:rsidRDefault="00572D1A">
      <w:r>
        <w:separator/>
      </w:r>
    </w:p>
  </w:footnote>
  <w:footnote w:type="continuationSeparator" w:id="0">
    <w:p w14:paraId="7195AD10" w14:textId="77777777" w:rsidR="00572D1A" w:rsidRDefault="0057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209EE"/>
    <w:multiLevelType w:val="multilevel"/>
    <w:tmpl w:val="4C6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FC6"/>
    <w:multiLevelType w:val="multilevel"/>
    <w:tmpl w:val="C1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7808">
    <w:abstractNumId w:val="2"/>
  </w:num>
  <w:num w:numId="2" w16cid:durableId="853693591">
    <w:abstractNumId w:val="0"/>
  </w:num>
  <w:num w:numId="3" w16cid:durableId="1653440027">
    <w:abstractNumId w:val="10"/>
  </w:num>
  <w:num w:numId="4" w16cid:durableId="665280759">
    <w:abstractNumId w:val="6"/>
  </w:num>
  <w:num w:numId="5" w16cid:durableId="1917352658">
    <w:abstractNumId w:val="4"/>
  </w:num>
  <w:num w:numId="6" w16cid:durableId="1576041351">
    <w:abstractNumId w:val="8"/>
  </w:num>
  <w:num w:numId="7" w16cid:durableId="1962564386">
    <w:abstractNumId w:val="3"/>
  </w:num>
  <w:num w:numId="8" w16cid:durableId="796142034">
    <w:abstractNumId w:val="3"/>
  </w:num>
  <w:num w:numId="9" w16cid:durableId="1608848259">
    <w:abstractNumId w:val="1"/>
  </w:num>
  <w:num w:numId="10" w16cid:durableId="1667438333">
    <w:abstractNumId w:val="12"/>
  </w:num>
  <w:num w:numId="11" w16cid:durableId="65156755">
    <w:abstractNumId w:val="7"/>
  </w:num>
  <w:num w:numId="12" w16cid:durableId="802776348">
    <w:abstractNumId w:val="11"/>
  </w:num>
  <w:num w:numId="13" w16cid:durableId="1948461023">
    <w:abstractNumId w:val="9"/>
  </w:num>
  <w:num w:numId="14" w16cid:durableId="1584141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2FB8"/>
    <w:rsid w:val="000030E3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66E28"/>
    <w:rsid w:val="000732FB"/>
    <w:rsid w:val="00077DAF"/>
    <w:rsid w:val="00080A02"/>
    <w:rsid w:val="00080D10"/>
    <w:rsid w:val="00081911"/>
    <w:rsid w:val="00081BA0"/>
    <w:rsid w:val="0008241F"/>
    <w:rsid w:val="00082427"/>
    <w:rsid w:val="000A7050"/>
    <w:rsid w:val="000C56DD"/>
    <w:rsid w:val="000D1672"/>
    <w:rsid w:val="000D768A"/>
    <w:rsid w:val="000E3034"/>
    <w:rsid w:val="000E6536"/>
    <w:rsid w:val="000E7F24"/>
    <w:rsid w:val="000F03BE"/>
    <w:rsid w:val="000F07E6"/>
    <w:rsid w:val="000F225B"/>
    <w:rsid w:val="000F2875"/>
    <w:rsid w:val="000F7FAF"/>
    <w:rsid w:val="0010442A"/>
    <w:rsid w:val="00111CAF"/>
    <w:rsid w:val="00111F4D"/>
    <w:rsid w:val="00115230"/>
    <w:rsid w:val="001162B4"/>
    <w:rsid w:val="00121703"/>
    <w:rsid w:val="00122CBC"/>
    <w:rsid w:val="00126D4A"/>
    <w:rsid w:val="00132DA9"/>
    <w:rsid w:val="0013305B"/>
    <w:rsid w:val="00133B99"/>
    <w:rsid w:val="00135DDA"/>
    <w:rsid w:val="00137498"/>
    <w:rsid w:val="00137C16"/>
    <w:rsid w:val="00141D9E"/>
    <w:rsid w:val="001443BD"/>
    <w:rsid w:val="00146346"/>
    <w:rsid w:val="00151B0C"/>
    <w:rsid w:val="00151ED7"/>
    <w:rsid w:val="00167584"/>
    <w:rsid w:val="001A15F6"/>
    <w:rsid w:val="001A5DFF"/>
    <w:rsid w:val="001B0474"/>
    <w:rsid w:val="001C0B32"/>
    <w:rsid w:val="001C4BE1"/>
    <w:rsid w:val="001C726F"/>
    <w:rsid w:val="001D398E"/>
    <w:rsid w:val="001D735B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755EE"/>
    <w:rsid w:val="00281723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5FED"/>
    <w:rsid w:val="002E7DED"/>
    <w:rsid w:val="002F019F"/>
    <w:rsid w:val="002F7E11"/>
    <w:rsid w:val="00304087"/>
    <w:rsid w:val="00306C09"/>
    <w:rsid w:val="00310ACD"/>
    <w:rsid w:val="00310C86"/>
    <w:rsid w:val="0031292D"/>
    <w:rsid w:val="0031379F"/>
    <w:rsid w:val="00316C44"/>
    <w:rsid w:val="00320A26"/>
    <w:rsid w:val="00321344"/>
    <w:rsid w:val="00326717"/>
    <w:rsid w:val="0034015C"/>
    <w:rsid w:val="00340508"/>
    <w:rsid w:val="00341FA4"/>
    <w:rsid w:val="003432DB"/>
    <w:rsid w:val="00350094"/>
    <w:rsid w:val="0035106D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97069"/>
    <w:rsid w:val="003B1069"/>
    <w:rsid w:val="003B390A"/>
    <w:rsid w:val="003C15DE"/>
    <w:rsid w:val="003C38EC"/>
    <w:rsid w:val="003C4EB2"/>
    <w:rsid w:val="003C6A25"/>
    <w:rsid w:val="003D6AB2"/>
    <w:rsid w:val="003E4234"/>
    <w:rsid w:val="003E7B9F"/>
    <w:rsid w:val="003F1AF3"/>
    <w:rsid w:val="003F4D8D"/>
    <w:rsid w:val="0040489E"/>
    <w:rsid w:val="00406921"/>
    <w:rsid w:val="0040727E"/>
    <w:rsid w:val="00412AD4"/>
    <w:rsid w:val="004132FF"/>
    <w:rsid w:val="00417A82"/>
    <w:rsid w:val="004313E7"/>
    <w:rsid w:val="004320C5"/>
    <w:rsid w:val="00446E11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E6476"/>
    <w:rsid w:val="004F10C1"/>
    <w:rsid w:val="004F6791"/>
    <w:rsid w:val="00501953"/>
    <w:rsid w:val="00502E62"/>
    <w:rsid w:val="00507ADA"/>
    <w:rsid w:val="0051106A"/>
    <w:rsid w:val="00514B6F"/>
    <w:rsid w:val="005150EB"/>
    <w:rsid w:val="0052212B"/>
    <w:rsid w:val="00534B46"/>
    <w:rsid w:val="00540358"/>
    <w:rsid w:val="005446C0"/>
    <w:rsid w:val="00547E79"/>
    <w:rsid w:val="00553455"/>
    <w:rsid w:val="00555A2F"/>
    <w:rsid w:val="00556A0B"/>
    <w:rsid w:val="00556F67"/>
    <w:rsid w:val="00572D1A"/>
    <w:rsid w:val="005751AA"/>
    <w:rsid w:val="005765B2"/>
    <w:rsid w:val="00585CDE"/>
    <w:rsid w:val="00586CAF"/>
    <w:rsid w:val="00591180"/>
    <w:rsid w:val="00597D07"/>
    <w:rsid w:val="005A642A"/>
    <w:rsid w:val="005C0F81"/>
    <w:rsid w:val="005C2F36"/>
    <w:rsid w:val="005C7112"/>
    <w:rsid w:val="005D0561"/>
    <w:rsid w:val="005D0AD9"/>
    <w:rsid w:val="005D1CBE"/>
    <w:rsid w:val="005D22F6"/>
    <w:rsid w:val="005E0C30"/>
    <w:rsid w:val="005E69D9"/>
    <w:rsid w:val="005E720F"/>
    <w:rsid w:val="005F04AA"/>
    <w:rsid w:val="005F25AF"/>
    <w:rsid w:val="005F27F4"/>
    <w:rsid w:val="005F3239"/>
    <w:rsid w:val="005F58CE"/>
    <w:rsid w:val="00601EC6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658DA"/>
    <w:rsid w:val="00670A2E"/>
    <w:rsid w:val="00672382"/>
    <w:rsid w:val="006828D9"/>
    <w:rsid w:val="006861DB"/>
    <w:rsid w:val="00690B19"/>
    <w:rsid w:val="006A3639"/>
    <w:rsid w:val="006A4D1B"/>
    <w:rsid w:val="006B01C5"/>
    <w:rsid w:val="006B499F"/>
    <w:rsid w:val="006C52CD"/>
    <w:rsid w:val="006D343E"/>
    <w:rsid w:val="006D4996"/>
    <w:rsid w:val="006D54AB"/>
    <w:rsid w:val="006E1903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0023"/>
    <w:rsid w:val="00742398"/>
    <w:rsid w:val="007507B5"/>
    <w:rsid w:val="00753A24"/>
    <w:rsid w:val="0075424B"/>
    <w:rsid w:val="00755A1B"/>
    <w:rsid w:val="00772188"/>
    <w:rsid w:val="00774B6F"/>
    <w:rsid w:val="00780C94"/>
    <w:rsid w:val="00781D40"/>
    <w:rsid w:val="00782139"/>
    <w:rsid w:val="00786BA3"/>
    <w:rsid w:val="00792BF7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0E85"/>
    <w:rsid w:val="008010A9"/>
    <w:rsid w:val="00801517"/>
    <w:rsid w:val="008167D3"/>
    <w:rsid w:val="00816B99"/>
    <w:rsid w:val="00817DE8"/>
    <w:rsid w:val="008229F5"/>
    <w:rsid w:val="00833090"/>
    <w:rsid w:val="00833CEB"/>
    <w:rsid w:val="008372D2"/>
    <w:rsid w:val="00840B0B"/>
    <w:rsid w:val="008430B6"/>
    <w:rsid w:val="00844C17"/>
    <w:rsid w:val="00847726"/>
    <w:rsid w:val="00852511"/>
    <w:rsid w:val="008608A2"/>
    <w:rsid w:val="008612AD"/>
    <w:rsid w:val="008614F1"/>
    <w:rsid w:val="008639B3"/>
    <w:rsid w:val="00863C1A"/>
    <w:rsid w:val="0087142D"/>
    <w:rsid w:val="00873956"/>
    <w:rsid w:val="00874104"/>
    <w:rsid w:val="008764DA"/>
    <w:rsid w:val="008825EE"/>
    <w:rsid w:val="00884E24"/>
    <w:rsid w:val="0088596E"/>
    <w:rsid w:val="00886A45"/>
    <w:rsid w:val="008959BE"/>
    <w:rsid w:val="008A2375"/>
    <w:rsid w:val="008B056A"/>
    <w:rsid w:val="008B15C8"/>
    <w:rsid w:val="008B20C7"/>
    <w:rsid w:val="008B6262"/>
    <w:rsid w:val="008C445C"/>
    <w:rsid w:val="008C5796"/>
    <w:rsid w:val="008D294B"/>
    <w:rsid w:val="008D76C5"/>
    <w:rsid w:val="008E0AFA"/>
    <w:rsid w:val="008E1CA3"/>
    <w:rsid w:val="008E75D3"/>
    <w:rsid w:val="008F125E"/>
    <w:rsid w:val="008F4D2F"/>
    <w:rsid w:val="009026EC"/>
    <w:rsid w:val="009042F7"/>
    <w:rsid w:val="00911B05"/>
    <w:rsid w:val="00917162"/>
    <w:rsid w:val="00921492"/>
    <w:rsid w:val="0092465B"/>
    <w:rsid w:val="009251CC"/>
    <w:rsid w:val="0092714E"/>
    <w:rsid w:val="009318D6"/>
    <w:rsid w:val="00931E86"/>
    <w:rsid w:val="00933950"/>
    <w:rsid w:val="009378DE"/>
    <w:rsid w:val="00942002"/>
    <w:rsid w:val="00947885"/>
    <w:rsid w:val="00950C9C"/>
    <w:rsid w:val="00952168"/>
    <w:rsid w:val="009527FE"/>
    <w:rsid w:val="0096255F"/>
    <w:rsid w:val="00966C94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B26"/>
    <w:rsid w:val="009C4D35"/>
    <w:rsid w:val="009E0864"/>
    <w:rsid w:val="009E211D"/>
    <w:rsid w:val="009E5EB4"/>
    <w:rsid w:val="009E79C6"/>
    <w:rsid w:val="009F2064"/>
    <w:rsid w:val="009F6026"/>
    <w:rsid w:val="00A044D6"/>
    <w:rsid w:val="00A04ADB"/>
    <w:rsid w:val="00A11E0F"/>
    <w:rsid w:val="00A14480"/>
    <w:rsid w:val="00A17EB3"/>
    <w:rsid w:val="00A22382"/>
    <w:rsid w:val="00A244C2"/>
    <w:rsid w:val="00A26522"/>
    <w:rsid w:val="00A26CB6"/>
    <w:rsid w:val="00A305DE"/>
    <w:rsid w:val="00A309CD"/>
    <w:rsid w:val="00A32F82"/>
    <w:rsid w:val="00A32F8B"/>
    <w:rsid w:val="00A35C64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D5381"/>
    <w:rsid w:val="00AE49F1"/>
    <w:rsid w:val="00AE4BAD"/>
    <w:rsid w:val="00AE76BB"/>
    <w:rsid w:val="00B04496"/>
    <w:rsid w:val="00B05CCA"/>
    <w:rsid w:val="00B100DF"/>
    <w:rsid w:val="00B14271"/>
    <w:rsid w:val="00B2685D"/>
    <w:rsid w:val="00B30351"/>
    <w:rsid w:val="00B33C2A"/>
    <w:rsid w:val="00B3411D"/>
    <w:rsid w:val="00B422EC"/>
    <w:rsid w:val="00B50B99"/>
    <w:rsid w:val="00B60007"/>
    <w:rsid w:val="00B6344F"/>
    <w:rsid w:val="00B80304"/>
    <w:rsid w:val="00B86A4F"/>
    <w:rsid w:val="00B958E8"/>
    <w:rsid w:val="00BA09B2"/>
    <w:rsid w:val="00BA23F6"/>
    <w:rsid w:val="00BA51DB"/>
    <w:rsid w:val="00BC0995"/>
    <w:rsid w:val="00BE16AA"/>
    <w:rsid w:val="00BE2F3F"/>
    <w:rsid w:val="00BE3909"/>
    <w:rsid w:val="00BE427F"/>
    <w:rsid w:val="00BE793A"/>
    <w:rsid w:val="00BF432A"/>
    <w:rsid w:val="00BF53B6"/>
    <w:rsid w:val="00BF6E82"/>
    <w:rsid w:val="00C0159B"/>
    <w:rsid w:val="00C04A99"/>
    <w:rsid w:val="00C22C05"/>
    <w:rsid w:val="00C24C17"/>
    <w:rsid w:val="00C24C2F"/>
    <w:rsid w:val="00C40B88"/>
    <w:rsid w:val="00C47D87"/>
    <w:rsid w:val="00C5376E"/>
    <w:rsid w:val="00C5645A"/>
    <w:rsid w:val="00C60BCE"/>
    <w:rsid w:val="00C76F73"/>
    <w:rsid w:val="00C83A21"/>
    <w:rsid w:val="00C84EC6"/>
    <w:rsid w:val="00C93B61"/>
    <w:rsid w:val="00C97091"/>
    <w:rsid w:val="00CA0C63"/>
    <w:rsid w:val="00CA2001"/>
    <w:rsid w:val="00CB13F9"/>
    <w:rsid w:val="00CB5B6C"/>
    <w:rsid w:val="00CB77EF"/>
    <w:rsid w:val="00CC1AFE"/>
    <w:rsid w:val="00CC7B25"/>
    <w:rsid w:val="00CD4616"/>
    <w:rsid w:val="00CD6FA4"/>
    <w:rsid w:val="00CE0B56"/>
    <w:rsid w:val="00CE272F"/>
    <w:rsid w:val="00CE33D5"/>
    <w:rsid w:val="00CF23F0"/>
    <w:rsid w:val="00CF5D37"/>
    <w:rsid w:val="00CF6F33"/>
    <w:rsid w:val="00D02248"/>
    <w:rsid w:val="00D0341A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0F45"/>
    <w:rsid w:val="00D55442"/>
    <w:rsid w:val="00D60AC5"/>
    <w:rsid w:val="00D62EF1"/>
    <w:rsid w:val="00D6309D"/>
    <w:rsid w:val="00D644CA"/>
    <w:rsid w:val="00D66FC2"/>
    <w:rsid w:val="00D76C7E"/>
    <w:rsid w:val="00D82149"/>
    <w:rsid w:val="00D9293F"/>
    <w:rsid w:val="00D92C4F"/>
    <w:rsid w:val="00D93598"/>
    <w:rsid w:val="00DA0A33"/>
    <w:rsid w:val="00DA1E18"/>
    <w:rsid w:val="00DA2ACE"/>
    <w:rsid w:val="00DA3949"/>
    <w:rsid w:val="00DB05B1"/>
    <w:rsid w:val="00DB50B7"/>
    <w:rsid w:val="00DC1ED9"/>
    <w:rsid w:val="00DC366F"/>
    <w:rsid w:val="00DD512E"/>
    <w:rsid w:val="00DD58F6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449F4"/>
    <w:rsid w:val="00E44F7C"/>
    <w:rsid w:val="00E502B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C1C30"/>
    <w:rsid w:val="00EC6993"/>
    <w:rsid w:val="00ED2B5C"/>
    <w:rsid w:val="00EE09BF"/>
    <w:rsid w:val="00EE2F8E"/>
    <w:rsid w:val="00EF15FF"/>
    <w:rsid w:val="00EF7111"/>
    <w:rsid w:val="00EF7AD1"/>
    <w:rsid w:val="00EF7D1A"/>
    <w:rsid w:val="00F02C49"/>
    <w:rsid w:val="00F0448F"/>
    <w:rsid w:val="00F1005F"/>
    <w:rsid w:val="00F1399C"/>
    <w:rsid w:val="00F142F3"/>
    <w:rsid w:val="00F213B9"/>
    <w:rsid w:val="00F223A3"/>
    <w:rsid w:val="00F238D4"/>
    <w:rsid w:val="00F275C0"/>
    <w:rsid w:val="00F36145"/>
    <w:rsid w:val="00F37BDD"/>
    <w:rsid w:val="00F41503"/>
    <w:rsid w:val="00F4312A"/>
    <w:rsid w:val="00F466C8"/>
    <w:rsid w:val="00F50B46"/>
    <w:rsid w:val="00F52372"/>
    <w:rsid w:val="00F54DFD"/>
    <w:rsid w:val="00F57D07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4D11"/>
    <w:rsid w:val="00F95971"/>
    <w:rsid w:val="00F96AFD"/>
    <w:rsid w:val="00FA2E19"/>
    <w:rsid w:val="00FB610D"/>
    <w:rsid w:val="00FC6E0E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F57D0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800E8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00E8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800E85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00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0E85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DD58F6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Body">
    <w:name w:val="About and Contact Body"/>
    <w:rsid w:val="00792BF7"/>
    <w:rPr>
      <w:rFonts w:ascii="Segoe UI" w:hAnsi="Segoe UI" w:cs="Times New Roman"/>
      <w:sz w:val="18"/>
    </w:rPr>
  </w:style>
  <w:style w:type="character" w:customStyle="1" w:styleId="Headline">
    <w:name w:val="Headline"/>
    <w:rsid w:val="00CA0C63"/>
    <w:rPr>
      <w:rFonts w:cs="Times New Roman"/>
      <w:b/>
      <w:bCs/>
      <w:sz w:val="32"/>
    </w:rPr>
  </w:style>
  <w:style w:type="character" w:customStyle="1" w:styleId="AboutandContactHeadline">
    <w:name w:val="About and Contact Headline"/>
    <w:rsid w:val="00CA0C63"/>
    <w:rPr>
      <w:rFonts w:ascii="Segoe UI" w:hAnsi="Segoe UI" w:cs="Times New Roman"/>
      <w:b/>
      <w:bCs/>
      <w:sz w:val="18"/>
    </w:rPr>
  </w:style>
  <w:style w:type="paragraph" w:styleId="Listaszerbekezds">
    <w:name w:val="List Paragraph"/>
    <w:basedOn w:val="Norml"/>
    <w:uiPriority w:val="34"/>
    <w:qFormat/>
    <w:rsid w:val="00CA0C63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8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48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hanna.philipps@henke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ulf.klueppelholz@henke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nis.starke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com/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ennifer.ott@henkel.com" TargetMode="Externa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8</Pages>
  <Words>2657</Words>
  <Characters>18337</Characters>
  <Application>Microsoft Office Word</Application>
  <DocSecurity>0</DocSecurity>
  <Lines>152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20953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</cp:revision>
  <cp:lastPrinted>2016-11-16T08:11:00Z</cp:lastPrinted>
  <dcterms:created xsi:type="dcterms:W3CDTF">2022-08-15T15:21:00Z</dcterms:created>
  <dcterms:modified xsi:type="dcterms:W3CDTF">2022-08-15T18:55:00Z</dcterms:modified>
</cp:coreProperties>
</file>