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71AD" w14:textId="77777777" w:rsidR="004B4CF6" w:rsidRDefault="004B4CF6" w:rsidP="004B4CF6">
      <w:pPr>
        <w:pStyle w:val="MonthDayYear"/>
        <w:tabs>
          <w:tab w:val="left" w:pos="557"/>
          <w:tab w:val="left" w:pos="7513"/>
          <w:tab w:val="right" w:pos="9086"/>
        </w:tabs>
        <w:rPr>
          <w:rFonts w:cs="Segoe UI"/>
          <w:lang w:val="es-ES"/>
        </w:rPr>
      </w:pPr>
    </w:p>
    <w:p w14:paraId="05C4E40B" w14:textId="656FB83A" w:rsidR="00C354E8" w:rsidRPr="00CF57C0" w:rsidRDefault="009113A5" w:rsidP="004B4CF6">
      <w:pPr>
        <w:pStyle w:val="MonthDayYear"/>
        <w:tabs>
          <w:tab w:val="left" w:pos="557"/>
          <w:tab w:val="left" w:pos="7513"/>
          <w:tab w:val="right" w:pos="9086"/>
        </w:tabs>
        <w:rPr>
          <w:rFonts w:cs="Segoe UI"/>
          <w:lang w:val="es-ES"/>
        </w:rPr>
      </w:pPr>
      <w:r w:rsidRPr="00CF57C0">
        <w:rPr>
          <w:rFonts w:cs="Segoe UI"/>
          <w:lang w:val="es-ES"/>
        </w:rPr>
        <w:t>15 de agosto de 2022</w:t>
      </w:r>
    </w:p>
    <w:p w14:paraId="6D6D35C9" w14:textId="77777777" w:rsidR="00C354E8" w:rsidRPr="00CF57C0" w:rsidRDefault="00C354E8" w:rsidP="00CF57C0">
      <w:pPr>
        <w:pStyle w:val="MonthDayYear"/>
        <w:tabs>
          <w:tab w:val="left" w:pos="557"/>
          <w:tab w:val="left" w:pos="7513"/>
          <w:tab w:val="right" w:pos="9086"/>
        </w:tabs>
        <w:jc w:val="both"/>
        <w:rPr>
          <w:rFonts w:cs="Segoe UI"/>
          <w:lang w:val="es-ES"/>
        </w:rPr>
      </w:pPr>
    </w:p>
    <w:p w14:paraId="64732696" w14:textId="77777777" w:rsidR="00C354E8" w:rsidRPr="00CF57C0" w:rsidRDefault="00C354E8" w:rsidP="00CF57C0">
      <w:pPr>
        <w:pStyle w:val="MonthDayYear"/>
        <w:tabs>
          <w:tab w:val="left" w:pos="557"/>
          <w:tab w:val="left" w:pos="7513"/>
          <w:tab w:val="right" w:pos="9086"/>
        </w:tabs>
        <w:jc w:val="both"/>
        <w:rPr>
          <w:rFonts w:cs="Segoe UI"/>
          <w:lang w:val="es-ES"/>
        </w:rPr>
      </w:pPr>
    </w:p>
    <w:p w14:paraId="416F8E70" w14:textId="5D71B628" w:rsidR="009113A5" w:rsidRPr="00CF57C0" w:rsidRDefault="009113A5" w:rsidP="00CF57C0">
      <w:pPr>
        <w:jc w:val="both"/>
        <w:rPr>
          <w:rFonts w:ascii="Segoe UI" w:hAnsi="Segoe UI" w:cs="Segoe UI"/>
          <w:szCs w:val="22"/>
          <w:lang w:val="es-ES"/>
        </w:rPr>
      </w:pPr>
      <w:r w:rsidRPr="00CF57C0">
        <w:rPr>
          <w:rFonts w:ascii="Segoe UI" w:hAnsi="Segoe UI" w:cs="Segoe UI"/>
          <w:szCs w:val="22"/>
          <w:lang w:val="es-ES"/>
        </w:rPr>
        <w:t>Reporte de Henkel sobre su desempeño de mitad de año</w:t>
      </w:r>
    </w:p>
    <w:p w14:paraId="6E65F744" w14:textId="77777777" w:rsidR="009113A5" w:rsidRPr="00CF57C0" w:rsidRDefault="009113A5" w:rsidP="00CF57C0">
      <w:pPr>
        <w:jc w:val="both"/>
        <w:rPr>
          <w:rFonts w:ascii="Segoe UI" w:hAnsi="Segoe UI" w:cs="Segoe UI"/>
          <w:szCs w:val="22"/>
          <w:lang w:val="es-ES"/>
        </w:rPr>
      </w:pPr>
    </w:p>
    <w:p w14:paraId="7565E954" w14:textId="3FB5D6FF" w:rsidR="00C354E8" w:rsidRPr="004B4CF6" w:rsidRDefault="009113A5" w:rsidP="00CF57C0">
      <w:pPr>
        <w:jc w:val="both"/>
        <w:rPr>
          <w:rFonts w:ascii="Segoe UI" w:eastAsia="Arial" w:hAnsi="Segoe UI" w:cs="Segoe UI"/>
          <w:b/>
          <w:sz w:val="36"/>
          <w:szCs w:val="36"/>
          <w:lang w:val="es-ES" w:eastAsia="es-ES"/>
        </w:rPr>
      </w:pPr>
      <w:r w:rsidRPr="004B4CF6">
        <w:rPr>
          <w:rFonts w:ascii="Segoe UI" w:eastAsia="Arial" w:hAnsi="Segoe UI" w:cs="Segoe UI"/>
          <w:b/>
          <w:sz w:val="36"/>
          <w:szCs w:val="36"/>
          <w:lang w:val="es-ES" w:eastAsia="es-ES"/>
        </w:rPr>
        <w:t>Henkel aumenta significativamente sus ventas, impulsa la agenda estratégica y eleva la orientación de ventas para 2022</w:t>
      </w:r>
    </w:p>
    <w:p w14:paraId="4C814F42" w14:textId="5EF82AF8" w:rsidR="009113A5" w:rsidRDefault="009113A5" w:rsidP="00CF57C0">
      <w:pPr>
        <w:jc w:val="both"/>
        <w:rPr>
          <w:rFonts w:ascii="Segoe UI" w:hAnsi="Segoe UI" w:cs="Segoe UI"/>
          <w:lang w:val="es-ES"/>
        </w:rPr>
      </w:pPr>
    </w:p>
    <w:p w14:paraId="719542EF" w14:textId="77777777" w:rsidR="004B4CF6" w:rsidRPr="00CF57C0" w:rsidRDefault="004B4CF6" w:rsidP="00CF57C0">
      <w:pPr>
        <w:jc w:val="both"/>
        <w:rPr>
          <w:rFonts w:ascii="Segoe UI" w:hAnsi="Segoe UI" w:cs="Segoe UI"/>
          <w:lang w:val="es-ES"/>
        </w:rPr>
      </w:pPr>
    </w:p>
    <w:p w14:paraId="6AC37506" w14:textId="77777777" w:rsidR="009113A5" w:rsidRPr="00CF57C0" w:rsidRDefault="009113A5" w:rsidP="00CF57C0">
      <w:pPr>
        <w:pStyle w:val="Prrafodelista"/>
        <w:numPr>
          <w:ilvl w:val="0"/>
          <w:numId w:val="18"/>
        </w:numPr>
        <w:spacing w:after="80" w:line="276" w:lineRule="auto"/>
        <w:ind w:right="-108"/>
        <w:jc w:val="both"/>
        <w:rPr>
          <w:rFonts w:ascii="Segoe UI" w:hAnsi="Segoe UI" w:cs="Segoe UI"/>
          <w:b/>
          <w:szCs w:val="22"/>
          <w:lang w:val="es-ES"/>
        </w:rPr>
      </w:pPr>
      <w:bookmarkStart w:id="0" w:name="_Hlk43712519"/>
      <w:r w:rsidRPr="00CF57C0">
        <w:rPr>
          <w:rFonts w:ascii="Segoe UI" w:hAnsi="Segoe UI" w:cs="Segoe UI"/>
          <w:b/>
          <w:szCs w:val="22"/>
          <w:lang w:val="es-ES"/>
        </w:rPr>
        <w:t>Las ventas del grupo en la primera mitad de 2022 crecieron orgánicamente en un +8,9%, a alrededor de 10.900 millones de euros (+9,9% nominal), impulsado por todas las unidades de negocio y regiones.</w:t>
      </w:r>
    </w:p>
    <w:p w14:paraId="676D4DC1" w14:textId="77777777" w:rsidR="009113A5" w:rsidRPr="00CF57C0" w:rsidRDefault="009113A5" w:rsidP="00CF57C0">
      <w:pPr>
        <w:pStyle w:val="Prrafodelista"/>
        <w:numPr>
          <w:ilvl w:val="0"/>
          <w:numId w:val="18"/>
        </w:numPr>
        <w:spacing w:after="80" w:line="276" w:lineRule="auto"/>
        <w:ind w:right="-108"/>
        <w:jc w:val="both"/>
        <w:rPr>
          <w:rFonts w:ascii="Segoe UI" w:hAnsi="Segoe UI" w:cs="Segoe UI"/>
          <w:b/>
          <w:szCs w:val="22"/>
          <w:lang w:val="es-ES"/>
        </w:rPr>
      </w:pPr>
      <w:r w:rsidRPr="00CF57C0">
        <w:rPr>
          <w:rFonts w:ascii="Segoe UI" w:hAnsi="Segoe UI" w:cs="Segoe UI"/>
          <w:b/>
          <w:szCs w:val="22"/>
          <w:lang w:val="es-ES"/>
        </w:rPr>
        <w:t>Las ganancias se vieron afectadas, como se esperaba, por los drásticos vientos en contra de los costos de los insumos:</w:t>
      </w:r>
    </w:p>
    <w:p w14:paraId="674CD880" w14:textId="77777777" w:rsidR="009113A5" w:rsidRPr="00CF57C0" w:rsidRDefault="009113A5" w:rsidP="00CF57C0">
      <w:pPr>
        <w:pStyle w:val="Prrafodelista"/>
        <w:numPr>
          <w:ilvl w:val="1"/>
          <w:numId w:val="18"/>
        </w:numPr>
        <w:spacing w:after="80" w:line="266" w:lineRule="auto"/>
        <w:ind w:left="709" w:right="-108" w:hanging="283"/>
        <w:contextualSpacing w:val="0"/>
        <w:jc w:val="both"/>
        <w:rPr>
          <w:rFonts w:ascii="Segoe UI" w:hAnsi="Segoe UI" w:cs="Segoe UI"/>
          <w:b/>
          <w:szCs w:val="22"/>
          <w:lang w:val="es-ES"/>
        </w:rPr>
      </w:pPr>
      <w:r w:rsidRPr="00CF57C0">
        <w:rPr>
          <w:rFonts w:ascii="Segoe UI" w:hAnsi="Segoe UI" w:cs="Segoe UI"/>
          <w:b/>
          <w:szCs w:val="22"/>
          <w:lang w:val="es-ES"/>
        </w:rPr>
        <w:t>El beneficio operativo (EBIT)* alcanza los 1.166 millones de euros (-18,5%)</w:t>
      </w:r>
    </w:p>
    <w:p w14:paraId="0A1A9C37" w14:textId="77777777" w:rsidR="009113A5" w:rsidRPr="00CF57C0" w:rsidRDefault="009113A5" w:rsidP="00CF57C0">
      <w:pPr>
        <w:pStyle w:val="Prrafodelista"/>
        <w:numPr>
          <w:ilvl w:val="1"/>
          <w:numId w:val="18"/>
        </w:numPr>
        <w:spacing w:after="80" w:line="266" w:lineRule="auto"/>
        <w:ind w:left="709" w:right="-108" w:hanging="283"/>
        <w:contextualSpacing w:val="0"/>
        <w:jc w:val="both"/>
        <w:rPr>
          <w:rFonts w:ascii="Segoe UI" w:hAnsi="Segoe UI" w:cs="Segoe UI"/>
          <w:b/>
          <w:szCs w:val="22"/>
          <w:lang w:val="es-ES"/>
        </w:rPr>
      </w:pPr>
      <w:r w:rsidRPr="00CF57C0">
        <w:rPr>
          <w:rFonts w:ascii="Segoe UI" w:hAnsi="Segoe UI" w:cs="Segoe UI"/>
          <w:b/>
          <w:szCs w:val="22"/>
          <w:lang w:val="es-ES"/>
        </w:rPr>
        <w:t>Margen EBIT* al 10,7% (-370 puntos básicos)</w:t>
      </w:r>
    </w:p>
    <w:p w14:paraId="39E7AB2B" w14:textId="77777777" w:rsidR="009113A5" w:rsidRPr="00CF57C0" w:rsidRDefault="009113A5" w:rsidP="00CF57C0">
      <w:pPr>
        <w:pStyle w:val="Prrafodelista"/>
        <w:numPr>
          <w:ilvl w:val="1"/>
          <w:numId w:val="18"/>
        </w:numPr>
        <w:spacing w:after="80" w:line="266" w:lineRule="auto"/>
        <w:ind w:left="709" w:right="-108" w:hanging="283"/>
        <w:contextualSpacing w:val="0"/>
        <w:jc w:val="both"/>
        <w:rPr>
          <w:rFonts w:ascii="Segoe UI" w:hAnsi="Segoe UI" w:cs="Segoe UI"/>
          <w:b/>
          <w:szCs w:val="22"/>
          <w:lang w:val="es-ES"/>
        </w:rPr>
      </w:pPr>
      <w:r w:rsidRPr="00CF57C0">
        <w:rPr>
          <w:rFonts w:ascii="Segoe UI" w:hAnsi="Segoe UI" w:cs="Segoe UI"/>
          <w:b/>
          <w:szCs w:val="22"/>
          <w:lang w:val="es-ES"/>
        </w:rPr>
        <w:t>Beneficio por acción preferente (EPS)* a 1,95 euros, -20,8% a tipos de cambio constantes</w:t>
      </w:r>
    </w:p>
    <w:p w14:paraId="079E6B83" w14:textId="77777777" w:rsidR="009113A5" w:rsidRPr="00CF57C0" w:rsidRDefault="009113A5" w:rsidP="00CF57C0">
      <w:pPr>
        <w:pStyle w:val="Prrafodelista"/>
        <w:numPr>
          <w:ilvl w:val="0"/>
          <w:numId w:val="18"/>
        </w:numPr>
        <w:spacing w:after="80" w:line="276" w:lineRule="auto"/>
        <w:ind w:right="-108"/>
        <w:jc w:val="both"/>
        <w:rPr>
          <w:rFonts w:ascii="Segoe UI" w:hAnsi="Segoe UI" w:cs="Segoe UI"/>
          <w:b/>
          <w:szCs w:val="22"/>
          <w:lang w:val="es-ES"/>
        </w:rPr>
      </w:pPr>
      <w:r w:rsidRPr="00CF57C0">
        <w:rPr>
          <w:rFonts w:ascii="Segoe UI" w:hAnsi="Segoe UI" w:cs="Segoe UI"/>
          <w:b/>
          <w:szCs w:val="22"/>
          <w:lang w:val="es-ES"/>
        </w:rPr>
        <w:t>Buen progreso en la implementación de la Agenda de Crecimiento con Propósito y en la fusión de los negocios de consumo en Henkel Consumer Brands.</w:t>
      </w:r>
    </w:p>
    <w:p w14:paraId="638F40BA" w14:textId="77777777" w:rsidR="009113A5" w:rsidRPr="00CF57C0" w:rsidRDefault="009113A5" w:rsidP="00CF57C0">
      <w:pPr>
        <w:pStyle w:val="Prrafodelista"/>
        <w:numPr>
          <w:ilvl w:val="0"/>
          <w:numId w:val="18"/>
        </w:numPr>
        <w:spacing w:after="80" w:line="276" w:lineRule="auto"/>
        <w:ind w:right="-108"/>
        <w:jc w:val="both"/>
        <w:rPr>
          <w:rFonts w:ascii="Segoe UI" w:hAnsi="Segoe UI" w:cs="Segoe UI"/>
          <w:b/>
          <w:szCs w:val="22"/>
          <w:lang w:val="es-ES"/>
        </w:rPr>
      </w:pPr>
      <w:r w:rsidRPr="00CF57C0">
        <w:rPr>
          <w:rFonts w:ascii="Segoe UI" w:hAnsi="Segoe UI" w:cs="Segoe UI"/>
          <w:b/>
          <w:szCs w:val="22"/>
          <w:lang w:val="es-ES"/>
        </w:rPr>
        <w:t>Las perspectivas para el año fiscal 2022 actualizadas:</w:t>
      </w:r>
    </w:p>
    <w:p w14:paraId="09B30BFF" w14:textId="77777777" w:rsidR="009113A5" w:rsidRPr="00CF57C0" w:rsidRDefault="009113A5" w:rsidP="00CF57C0">
      <w:pPr>
        <w:pStyle w:val="Prrafodelista"/>
        <w:numPr>
          <w:ilvl w:val="1"/>
          <w:numId w:val="18"/>
        </w:numPr>
        <w:spacing w:after="80" w:line="276" w:lineRule="auto"/>
        <w:ind w:right="-108"/>
        <w:jc w:val="both"/>
        <w:rPr>
          <w:rFonts w:ascii="Segoe UI" w:hAnsi="Segoe UI" w:cs="Segoe UI"/>
          <w:b/>
          <w:szCs w:val="22"/>
          <w:lang w:val="es-ES"/>
        </w:rPr>
      </w:pPr>
      <w:r w:rsidRPr="00CF57C0">
        <w:rPr>
          <w:rFonts w:ascii="Segoe UI" w:hAnsi="Segoe UI" w:cs="Segoe UI"/>
          <w:b/>
          <w:szCs w:val="22"/>
          <w:lang w:val="es-ES"/>
        </w:rPr>
        <w:t>Crecimiento orgánico de ventas: aumentó de +4,5 a 6,5%.</w:t>
      </w:r>
    </w:p>
    <w:p w14:paraId="34DFE2BF" w14:textId="77777777" w:rsidR="009113A5" w:rsidRPr="00CF57C0" w:rsidRDefault="009113A5" w:rsidP="00CF57C0">
      <w:pPr>
        <w:pStyle w:val="Prrafodelista"/>
        <w:numPr>
          <w:ilvl w:val="1"/>
          <w:numId w:val="18"/>
        </w:numPr>
        <w:spacing w:after="80" w:line="276" w:lineRule="auto"/>
        <w:ind w:right="-108"/>
        <w:jc w:val="both"/>
        <w:rPr>
          <w:rFonts w:ascii="Segoe UI" w:hAnsi="Segoe UI" w:cs="Segoe UI"/>
          <w:b/>
          <w:szCs w:val="22"/>
          <w:lang w:val="es-ES"/>
        </w:rPr>
      </w:pPr>
      <w:r w:rsidRPr="00CF57C0">
        <w:rPr>
          <w:rFonts w:ascii="Segoe UI" w:hAnsi="Segoe UI" w:cs="Segoe UI"/>
          <w:b/>
          <w:szCs w:val="22"/>
          <w:lang w:val="es-ES"/>
        </w:rPr>
        <w:t>Maren EBIT*: Sin cambios en 9,0 a 11.0%.</w:t>
      </w:r>
    </w:p>
    <w:p w14:paraId="0C0A7A34" w14:textId="77777777" w:rsidR="009113A5" w:rsidRPr="00CF57C0" w:rsidRDefault="009113A5" w:rsidP="00CF57C0">
      <w:pPr>
        <w:pStyle w:val="Prrafodelista"/>
        <w:numPr>
          <w:ilvl w:val="1"/>
          <w:numId w:val="18"/>
        </w:numPr>
        <w:spacing w:after="80" w:line="276" w:lineRule="auto"/>
        <w:ind w:right="-108"/>
        <w:jc w:val="both"/>
        <w:rPr>
          <w:rFonts w:ascii="Segoe UI" w:hAnsi="Segoe UI" w:cs="Segoe UI"/>
          <w:b/>
          <w:szCs w:val="22"/>
          <w:lang w:val="es-ES"/>
        </w:rPr>
      </w:pPr>
      <w:r w:rsidRPr="00CF57C0">
        <w:rPr>
          <w:rFonts w:ascii="Segoe UI" w:hAnsi="Segoe UI" w:cs="Segoe UI"/>
          <w:b/>
          <w:szCs w:val="22"/>
          <w:lang w:val="es-ES"/>
        </w:rPr>
        <w:t>Utilidad por acción preferente (EPS)* con tipos de cambios constates: sin cambios, una disminución en el rango de -35 a -15%.</w:t>
      </w:r>
    </w:p>
    <w:bookmarkEnd w:id="0"/>
    <w:p w14:paraId="5D53CA26" w14:textId="77777777" w:rsidR="00C354E8" w:rsidRPr="00CF57C0" w:rsidRDefault="00C354E8" w:rsidP="00CF57C0">
      <w:pPr>
        <w:pStyle w:val="Prrafodelista"/>
        <w:spacing w:after="80" w:line="266" w:lineRule="auto"/>
        <w:ind w:left="709" w:right="-108"/>
        <w:contextualSpacing w:val="0"/>
        <w:jc w:val="both"/>
        <w:rPr>
          <w:rFonts w:ascii="Segoe UI" w:hAnsi="Segoe UI" w:cs="Segoe UI"/>
          <w:b/>
          <w:sz w:val="22"/>
          <w:szCs w:val="22"/>
          <w:lang w:val="es-ES"/>
        </w:rPr>
      </w:pPr>
    </w:p>
    <w:p w14:paraId="4DC947C7" w14:textId="53BF7032" w:rsidR="009113A5" w:rsidRDefault="009113A5" w:rsidP="00CF57C0">
      <w:pPr>
        <w:spacing w:line="276" w:lineRule="auto"/>
        <w:jc w:val="both"/>
        <w:rPr>
          <w:rFonts w:ascii="Segoe UI" w:hAnsi="Segoe UI" w:cs="Segoe UI"/>
          <w:sz w:val="22"/>
          <w:szCs w:val="22"/>
          <w:lang w:val="es-ES"/>
        </w:rPr>
      </w:pPr>
      <w:r w:rsidRPr="00CF57C0">
        <w:rPr>
          <w:rFonts w:ascii="Segoe UI" w:hAnsi="Segoe UI" w:cs="Segoe UI"/>
          <w:noProof/>
          <w:sz w:val="22"/>
          <w:szCs w:val="22"/>
        </w:rPr>
        <mc:AlternateContent>
          <mc:Choice Requires="wps">
            <w:drawing>
              <wp:anchor distT="45720" distB="45720" distL="114300" distR="114300" simplePos="0" relativeHeight="251659264" behindDoc="0" locked="0" layoutInCell="1" allowOverlap="1" wp14:anchorId="78CEC587" wp14:editId="2F7CB638">
                <wp:simplePos x="0" y="0"/>
                <wp:positionH relativeFrom="margin">
                  <wp:posOffset>-32824</wp:posOffset>
                </wp:positionH>
                <wp:positionV relativeFrom="paragraph">
                  <wp:posOffset>1813267</wp:posOffset>
                </wp:positionV>
                <wp:extent cx="5375082" cy="294198"/>
                <wp:effectExtent l="0" t="0" r="0" b="0"/>
                <wp:wrapNone/>
                <wp:docPr id="10"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1827B" w14:textId="77777777" w:rsidR="009113A5" w:rsidRPr="008C01D6" w:rsidRDefault="009113A5" w:rsidP="009113A5">
                            <w:pPr>
                              <w:autoSpaceDE w:val="0"/>
                              <w:autoSpaceDN w:val="0"/>
                              <w:adjustRightInd w:val="0"/>
                              <w:spacing w:after="60"/>
                              <w:rPr>
                                <w:sz w:val="16"/>
                                <w:szCs w:val="16"/>
                                <w:lang w:val="es-ES"/>
                              </w:rPr>
                            </w:pPr>
                            <w:r w:rsidRPr="008C01D6">
                              <w:rPr>
                                <w:sz w:val="16"/>
                                <w:szCs w:val="16"/>
                                <w:lang w:val="es-ES"/>
                              </w:rPr>
                              <w:t xml:space="preserve">* </w:t>
                            </w:r>
                            <w:r w:rsidRPr="008C01D6">
                              <w:rPr>
                                <w:rFonts w:ascii="SegoeUI" w:hAnsi="SegoeUI" w:cs="SegoeUI"/>
                                <w:sz w:val="16"/>
                                <w:szCs w:val="16"/>
                                <w:lang w:val="es-ES"/>
                              </w:rPr>
                              <w:t>Ajustado por gastos e ingresos n</w:t>
                            </w:r>
                            <w:r>
                              <w:rPr>
                                <w:rFonts w:ascii="SegoeUI" w:hAnsi="SegoeUI" w:cs="SegoeUI"/>
                                <w:sz w:val="16"/>
                                <w:szCs w:val="16"/>
                                <w:lang w:val="es-ES"/>
                              </w:rPr>
                              <w:t>o recurrentes y por gastos de reestructuración.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CEC587" id="_x0000_t202" coordsize="21600,21600" o:spt="202" path="m,l,21600r21600,l21600,xe">
                <v:stroke joinstyle="miter"/>
                <v:path gradientshapeok="t" o:connecttype="rect"/>
              </v:shapetype>
              <v:shape id="Textfeld 8" o:spid="_x0000_s1026" type="#_x0000_t202" style="position:absolute;left:0;text-align:left;margin-left:-2.6pt;margin-top:142.8pt;width:423.25pt;height:2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" stroked="f">
                <v:textbox>
                  <w:txbxContent>
                    <w:p w14:paraId="52D1827B" w14:textId="77777777" w:rsidR="009113A5" w:rsidRPr="008C01D6" w:rsidRDefault="009113A5" w:rsidP="009113A5">
                      <w:pPr>
                        <w:autoSpaceDE w:val="0"/>
                        <w:autoSpaceDN w:val="0"/>
                        <w:adjustRightInd w:val="0"/>
                        <w:spacing w:after="60"/>
                        <w:rPr>
                          <w:sz w:val="16"/>
                          <w:szCs w:val="16"/>
                          <w:lang w:val="es-ES"/>
                        </w:rPr>
                      </w:pPr>
                      <w:r w:rsidRPr="008C01D6">
                        <w:rPr>
                          <w:sz w:val="16"/>
                          <w:szCs w:val="16"/>
                          <w:lang w:val="es-ES"/>
                        </w:rPr>
                        <w:t xml:space="preserve">* </w:t>
                      </w:r>
                      <w:r w:rsidRPr="008C01D6">
                        <w:rPr>
                          <w:rFonts w:ascii="SegoeUI" w:hAnsi="SegoeUI" w:cs="SegoeUI"/>
                          <w:sz w:val="16"/>
                          <w:szCs w:val="16"/>
                          <w:lang w:val="es-ES"/>
                        </w:rPr>
                        <w:t>Ajustado por gastos e ingresos n</w:t>
                      </w:r>
                      <w:r>
                        <w:rPr>
                          <w:rFonts w:ascii="SegoeUI" w:hAnsi="SegoeUI" w:cs="SegoeUI"/>
                          <w:sz w:val="16"/>
                          <w:szCs w:val="16"/>
                          <w:lang w:val="es-ES"/>
                        </w:rPr>
                        <w:t>o recurrentes y por gastos de reestructuración.</w:t>
                      </w:r>
                    </w:p>
                  </w:txbxContent>
                </v:textbox>
                <w10:wrap anchorx="margin"/>
              </v:shape>
            </w:pict>
          </mc:Fallback>
        </mc:AlternateContent>
      </w:r>
      <w:r w:rsidRPr="00CF57C0">
        <w:rPr>
          <w:rFonts w:ascii="Segoe UI" w:hAnsi="Segoe UI" w:cs="Segoe UI"/>
          <w:sz w:val="22"/>
          <w:szCs w:val="22"/>
          <w:lang w:val="es-ES"/>
        </w:rPr>
        <w:t>Düsseldorf - En la primera mitad de 2022, Henkel aumentó las ventas del Grupo a alrededor de 10.900 millones de euros. Esto corresponde a un importante crecimiento orgánico de las ventas de +8,9 por cient</w:t>
      </w:r>
      <w:r w:rsidR="00CF57C0">
        <w:rPr>
          <w:rFonts w:ascii="Segoe UI" w:hAnsi="Segoe UI" w:cs="Segoe UI"/>
          <w:sz w:val="22"/>
          <w:szCs w:val="22"/>
          <w:lang w:val="es-ES"/>
        </w:rPr>
        <w:t>o.</w:t>
      </w:r>
      <w:r w:rsidRPr="00CF57C0">
        <w:rPr>
          <w:rFonts w:ascii="Segoe UI" w:hAnsi="Segoe UI" w:cs="Segoe UI"/>
          <w:sz w:val="22"/>
          <w:szCs w:val="22"/>
          <w:lang w:val="es-ES"/>
        </w:rPr>
        <w:t xml:space="preserve"> Este desarrollo positivo fue impulsado por todas las unidades de negocio y regiones. Como era de esperar, las ganancias en la primera mitad del año se vieron </w:t>
      </w:r>
      <w:r w:rsidRPr="00CF57C0">
        <w:rPr>
          <w:rFonts w:ascii="Segoe UI" w:hAnsi="Segoe UI" w:cs="Segoe UI"/>
          <w:sz w:val="22"/>
          <w:szCs w:val="22"/>
          <w:lang w:val="es-ES"/>
        </w:rPr>
        <w:lastRenderedPageBreak/>
        <w:t>afectadas por el aumento drástico en los precios de materiales y logística. A pesar de los aumentos significativos de precios, la gestión estricta de costos y las mejoras adicionales en la eficiencia, estos efectos no pudieron compensarse por completo.</w:t>
      </w:r>
    </w:p>
    <w:p w14:paraId="72401AF5" w14:textId="77777777" w:rsidR="00CF57C0" w:rsidRPr="00CF57C0" w:rsidRDefault="00CF57C0" w:rsidP="00CF57C0">
      <w:pPr>
        <w:spacing w:line="276" w:lineRule="auto"/>
        <w:jc w:val="both"/>
        <w:rPr>
          <w:rFonts w:ascii="Segoe UI" w:hAnsi="Segoe UI" w:cs="Segoe UI"/>
          <w:sz w:val="22"/>
          <w:szCs w:val="22"/>
          <w:lang w:val="es-ES"/>
        </w:rPr>
      </w:pPr>
    </w:p>
    <w:p w14:paraId="3DD38D50" w14:textId="77777777" w:rsidR="009113A5" w:rsidRPr="00CF57C0" w:rsidRDefault="009113A5" w:rsidP="00CF57C0">
      <w:pPr>
        <w:spacing w:line="276" w:lineRule="auto"/>
        <w:jc w:val="both"/>
        <w:rPr>
          <w:rFonts w:ascii="Segoe UI" w:hAnsi="Segoe UI" w:cs="Segoe UI"/>
          <w:sz w:val="22"/>
          <w:szCs w:val="22"/>
          <w:lang w:val="es-ES"/>
        </w:rPr>
      </w:pPr>
      <w:r w:rsidRPr="00CF57C0">
        <w:rPr>
          <w:rFonts w:ascii="Segoe UI" w:hAnsi="Segoe UI" w:cs="Segoe UI"/>
          <w:sz w:val="22"/>
          <w:szCs w:val="22"/>
          <w:lang w:val="es-ES"/>
        </w:rPr>
        <w:t>“En un entorno muy desafiante, el desempeño de las ventas en los primeros seis meses superó las expectativas para todo el año, mientras que las ganancias se desarrollaron en línea con la guía de nuestro Grupo para el año fiscal 2022. En vista de este desarrollo, hemos elevado nuestra guía para todo el año para el crecimiento orgánico de las ventas del Grupo y confirmó nuestra guía para el margen EBIT y las ganancias por acción preferente”, dijo el CEO de Henkel, Carsten Knobel.</w:t>
      </w:r>
    </w:p>
    <w:p w14:paraId="77E0FEBD" w14:textId="77777777" w:rsidR="009113A5" w:rsidRPr="00CF57C0" w:rsidRDefault="009113A5" w:rsidP="00CF57C0">
      <w:pPr>
        <w:spacing w:line="276" w:lineRule="auto"/>
        <w:jc w:val="both"/>
        <w:rPr>
          <w:rFonts w:ascii="Segoe UI" w:hAnsi="Segoe UI" w:cs="Segoe UI"/>
          <w:sz w:val="22"/>
          <w:szCs w:val="22"/>
          <w:lang w:val="es-ES"/>
        </w:rPr>
      </w:pPr>
    </w:p>
    <w:p w14:paraId="0D99A035" w14:textId="4B5CE746" w:rsidR="009113A5" w:rsidRPr="00CF57C0" w:rsidRDefault="009113A5" w:rsidP="00CF57C0">
      <w:pPr>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“Estamos avanzando constantemente en nuestra estrategia de crecimiento con propósito y logramos un buen progreso en la implementación en la primera mitad de 2022, gracias, sobre todo, al fuerte compromiso de nuestros empleados en todo el mundo. Con nuestro negocio de Tecnologías adhesivas, somos un líder mundial en el suministro de soluciones innovadoras, centrándonos en tendencias futuras como la movilidad, la conectividad y la sostenibilidad. Al combinar los negocios de consumo de </w:t>
      </w:r>
      <w:r w:rsidR="00CF57C0">
        <w:rPr>
          <w:rFonts w:ascii="Segoe UI" w:hAnsi="Segoe UI" w:cs="Segoe UI"/>
          <w:sz w:val="22"/>
          <w:szCs w:val="22"/>
          <w:lang w:val="es-ES"/>
        </w:rPr>
        <w:t>detergentes</w:t>
      </w:r>
      <w:r w:rsidRPr="00CF57C0">
        <w:rPr>
          <w:rFonts w:ascii="Segoe UI" w:hAnsi="Segoe UI" w:cs="Segoe UI"/>
          <w:sz w:val="22"/>
          <w:szCs w:val="22"/>
          <w:lang w:val="es-ES"/>
        </w:rPr>
        <w:t xml:space="preserve"> y cuidado del hogar</w:t>
      </w:r>
      <w:r w:rsidR="00CE3E28">
        <w:rPr>
          <w:rFonts w:ascii="Segoe UI" w:hAnsi="Segoe UI" w:cs="Segoe UI"/>
          <w:sz w:val="22"/>
          <w:szCs w:val="22"/>
          <w:lang w:val="es-ES"/>
        </w:rPr>
        <w:t>,</w:t>
      </w:r>
      <w:r w:rsidRPr="00CF57C0">
        <w:rPr>
          <w:rFonts w:ascii="Segoe UI" w:hAnsi="Segoe UI" w:cs="Segoe UI"/>
          <w:sz w:val="22"/>
          <w:szCs w:val="22"/>
          <w:lang w:val="es-ES"/>
        </w:rPr>
        <w:t xml:space="preserve"> y cuidado de la belleza, ahora estamos creando una plataforma multicategoría con ventas de alrededor de 10 mil millones de euros. Estamos bien encaminados y apuntamos a que nuestro futuro negocio de marcas de consumo se establezca a principios de 2023. La unidad combinada ofrecerá una base más amplia para optimizar nuestra cartera de manera más consistente y llevará al negocio hacia un mayor crecimiento y perfil de margen”.</w:t>
      </w:r>
    </w:p>
    <w:p w14:paraId="59A3DB5B" w14:textId="77777777" w:rsidR="009113A5" w:rsidRPr="00CF57C0" w:rsidRDefault="009113A5" w:rsidP="00CF57C0">
      <w:pPr>
        <w:spacing w:after="120" w:line="276" w:lineRule="auto"/>
        <w:ind w:right="-108"/>
        <w:jc w:val="both"/>
        <w:rPr>
          <w:rFonts w:ascii="Segoe UI" w:hAnsi="Segoe UI" w:cs="Segoe UI"/>
          <w:b/>
          <w:bCs/>
          <w:sz w:val="22"/>
          <w:szCs w:val="22"/>
          <w:lang w:val="es-ES"/>
        </w:rPr>
      </w:pPr>
    </w:p>
    <w:p w14:paraId="7E23248C" w14:textId="77777777" w:rsidR="009113A5" w:rsidRPr="00CF57C0" w:rsidRDefault="009113A5" w:rsidP="00CF57C0">
      <w:pPr>
        <w:spacing w:line="276" w:lineRule="auto"/>
        <w:jc w:val="both"/>
        <w:rPr>
          <w:rFonts w:ascii="Segoe UI" w:hAnsi="Segoe UI" w:cs="Segoe UI"/>
          <w:b/>
          <w:bCs/>
          <w:sz w:val="22"/>
          <w:szCs w:val="22"/>
          <w:lang w:val="es-ES"/>
        </w:rPr>
      </w:pPr>
      <w:r w:rsidRPr="00CF57C0">
        <w:rPr>
          <w:rFonts w:ascii="Segoe UI" w:hAnsi="Segoe UI" w:cs="Segoe UI"/>
          <w:b/>
          <w:bCs/>
          <w:sz w:val="22"/>
          <w:szCs w:val="22"/>
          <w:lang w:val="es-ES"/>
        </w:rPr>
        <w:t>Perspectivas para el año fiscal 2022 actualizadas</w:t>
      </w:r>
    </w:p>
    <w:p w14:paraId="253DFDAE" w14:textId="77777777" w:rsidR="009113A5" w:rsidRPr="00CF57C0" w:rsidRDefault="009113A5" w:rsidP="00CF57C0">
      <w:pPr>
        <w:spacing w:line="276" w:lineRule="auto"/>
        <w:jc w:val="both"/>
        <w:rPr>
          <w:rFonts w:ascii="Segoe UI" w:hAnsi="Segoe UI" w:cs="Segoe UI"/>
          <w:b/>
          <w:bCs/>
          <w:sz w:val="22"/>
          <w:szCs w:val="22"/>
          <w:lang w:val="es-ES"/>
        </w:rPr>
      </w:pPr>
    </w:p>
    <w:p w14:paraId="5639C890" w14:textId="57E339DC" w:rsidR="009113A5" w:rsidRPr="00CF57C0" w:rsidRDefault="009113A5" w:rsidP="00CF57C0">
      <w:pPr>
        <w:spacing w:line="276" w:lineRule="auto"/>
        <w:jc w:val="both"/>
        <w:rPr>
          <w:rFonts w:ascii="Segoe UI" w:hAnsi="Segoe UI" w:cs="Segoe UI"/>
          <w:b/>
          <w:bCs/>
          <w:sz w:val="22"/>
          <w:szCs w:val="22"/>
          <w:lang w:val="es-ES"/>
        </w:rPr>
      </w:pPr>
      <w:r w:rsidRPr="00CF57C0">
        <w:rPr>
          <w:rFonts w:ascii="Segoe UI" w:hAnsi="Segoe UI" w:cs="Segoe UI"/>
          <w:b/>
          <w:bCs/>
          <w:sz w:val="22"/>
          <w:szCs w:val="22"/>
          <w:lang w:val="es-ES"/>
        </w:rPr>
        <w:t xml:space="preserve">Henkel ahora espera un crecimiento orgánico de las ventas de +4,5 a +6,5 por ciento en el año fiscal 2022 (anteriormente: +3,5 a +5,5 por ciento). Todavía se espera un crecimiento orgánico de las ventas de +8,0 a +10,0 por ciento para la unidad de negocios de Tecnologías Adhesivas. Para Beauty Care, Henkel ahora anticipa un crecimiento orgánico de las ventas de -3,0 a -1,0 por ciento (anteriormente: -5,0 a -3,0 por ciento). Para la unidad de negocio de </w:t>
      </w:r>
      <w:r w:rsidR="00CE3E28">
        <w:rPr>
          <w:rFonts w:ascii="Segoe UI" w:hAnsi="Segoe UI" w:cs="Segoe UI"/>
          <w:b/>
          <w:bCs/>
          <w:sz w:val="22"/>
          <w:szCs w:val="22"/>
          <w:lang w:val="es-ES"/>
        </w:rPr>
        <w:t>Detergentes</w:t>
      </w:r>
      <w:r w:rsidRPr="00CF57C0">
        <w:rPr>
          <w:rFonts w:ascii="Segoe UI" w:hAnsi="Segoe UI" w:cs="Segoe UI"/>
          <w:b/>
          <w:bCs/>
          <w:sz w:val="22"/>
          <w:szCs w:val="22"/>
          <w:lang w:val="es-ES"/>
        </w:rPr>
        <w:t xml:space="preserve"> y Cuidado del Hogar, Henkel ahora proyecta un crecimiento orgánico de las ventas de +4,0 a +6,0 por ciento (anteriormente: +2,0 a +4,0 por ciento). Se espera que el margen EBIT ajustado a nivel de Grupo permanezca sin cambios en el rango de 9.0 a 11.0 por ciento. Para el desarrollo de las ganancias ajustadas por acción preferente (EPS) a tipos de cambio constantes, Henkel continúa esperando una disminución en el rango de -35 a -15%</w:t>
      </w:r>
    </w:p>
    <w:p w14:paraId="01D019AD" w14:textId="0E449CD8" w:rsidR="009113A5" w:rsidRDefault="009113A5" w:rsidP="00CF57C0">
      <w:pPr>
        <w:spacing w:line="276" w:lineRule="auto"/>
        <w:jc w:val="both"/>
        <w:rPr>
          <w:rFonts w:ascii="Segoe UI" w:hAnsi="Segoe UI" w:cs="Segoe UI"/>
          <w:b/>
          <w:bCs/>
          <w:sz w:val="22"/>
          <w:szCs w:val="22"/>
          <w:lang w:val="es-ES"/>
        </w:rPr>
      </w:pPr>
    </w:p>
    <w:p w14:paraId="7941B746" w14:textId="6920EA18" w:rsidR="004B4CF6" w:rsidRDefault="004B4CF6" w:rsidP="00CF57C0">
      <w:pPr>
        <w:spacing w:line="276" w:lineRule="auto"/>
        <w:jc w:val="both"/>
        <w:rPr>
          <w:rFonts w:ascii="Segoe UI" w:hAnsi="Segoe UI" w:cs="Segoe UI"/>
          <w:b/>
          <w:bCs/>
          <w:sz w:val="22"/>
          <w:szCs w:val="22"/>
          <w:lang w:val="es-ES"/>
        </w:rPr>
      </w:pPr>
    </w:p>
    <w:p w14:paraId="2EC189B0" w14:textId="77777777" w:rsidR="004B4CF6" w:rsidRDefault="004B4CF6" w:rsidP="00CF57C0">
      <w:pPr>
        <w:spacing w:line="276" w:lineRule="auto"/>
        <w:jc w:val="both"/>
        <w:rPr>
          <w:rFonts w:ascii="Segoe UI" w:hAnsi="Segoe UI" w:cs="Segoe UI"/>
          <w:b/>
          <w:bCs/>
          <w:sz w:val="22"/>
          <w:szCs w:val="22"/>
          <w:lang w:val="es-ES"/>
        </w:rPr>
      </w:pPr>
    </w:p>
    <w:p w14:paraId="49593912" w14:textId="77777777" w:rsidR="00CF57C0" w:rsidRPr="00CF57C0" w:rsidRDefault="00CF57C0" w:rsidP="00CF57C0">
      <w:pPr>
        <w:spacing w:line="276" w:lineRule="auto"/>
        <w:ind w:left="720" w:hanging="720"/>
        <w:jc w:val="both"/>
        <w:rPr>
          <w:rFonts w:ascii="Segoe UI" w:hAnsi="Segoe UI" w:cs="Segoe UI"/>
          <w:b/>
          <w:bCs/>
          <w:sz w:val="22"/>
          <w:szCs w:val="22"/>
          <w:u w:val="single"/>
          <w:lang w:val="es-ES"/>
        </w:rPr>
      </w:pPr>
    </w:p>
    <w:p w14:paraId="2775C1C3" w14:textId="77777777" w:rsidR="009113A5" w:rsidRPr="00CF57C0" w:rsidRDefault="009113A5" w:rsidP="00CF57C0">
      <w:pPr>
        <w:spacing w:after="120" w:line="276" w:lineRule="auto"/>
        <w:jc w:val="both"/>
        <w:rPr>
          <w:rFonts w:ascii="Segoe UI" w:hAnsi="Segoe UI" w:cs="Segoe UI"/>
          <w:b/>
          <w:bCs/>
          <w:sz w:val="22"/>
          <w:szCs w:val="22"/>
          <w:lang w:val="es-ES"/>
        </w:rPr>
      </w:pPr>
      <w:r w:rsidRPr="00CF57C0">
        <w:rPr>
          <w:rFonts w:ascii="Segoe UI" w:hAnsi="Segoe UI" w:cs="Segoe UI"/>
          <w:b/>
          <w:bCs/>
          <w:sz w:val="22"/>
          <w:szCs w:val="22"/>
          <w:lang w:val="es-ES"/>
        </w:rPr>
        <w:t>Salida de operaciones en Rusia y Bielorrusia en ejecución</w:t>
      </w:r>
    </w:p>
    <w:p w14:paraId="6B972D5B" w14:textId="77777777" w:rsidR="009113A5" w:rsidRPr="004B4CF6" w:rsidRDefault="009113A5" w:rsidP="00CF57C0">
      <w:pPr>
        <w:spacing w:after="120" w:line="276" w:lineRule="auto"/>
        <w:jc w:val="both"/>
        <w:rPr>
          <w:rFonts w:ascii="Segoe UI" w:hAnsi="Segoe UI" w:cs="Segoe UI"/>
          <w:sz w:val="22"/>
          <w:szCs w:val="22"/>
          <w:lang w:val="es-ES"/>
        </w:rPr>
      </w:pPr>
      <w:r w:rsidRPr="004B4CF6">
        <w:rPr>
          <w:rFonts w:ascii="Segoe UI" w:hAnsi="Segoe UI" w:cs="Segoe UI"/>
          <w:sz w:val="22"/>
          <w:szCs w:val="22"/>
          <w:lang w:val="es-ES"/>
        </w:rPr>
        <w:t>En abril de 2022, Henkel decidió abandonar sus actividades comerciales en Rusia y Bielorrusia. Henkel está evaluando minuciosamente todas sus opciones y tiene la intención de haber completado el proceso para fines de año.</w:t>
      </w:r>
    </w:p>
    <w:p w14:paraId="30B73E80" w14:textId="77777777" w:rsidR="004B4CF6" w:rsidRDefault="004B4CF6" w:rsidP="00CF57C0">
      <w:pPr>
        <w:spacing w:line="276" w:lineRule="auto"/>
        <w:jc w:val="both"/>
        <w:rPr>
          <w:rFonts w:ascii="Segoe UI" w:hAnsi="Segoe UI" w:cs="Segoe UI"/>
          <w:b/>
          <w:bCs/>
          <w:sz w:val="22"/>
          <w:szCs w:val="22"/>
          <w:lang w:val="es-ES"/>
        </w:rPr>
      </w:pPr>
    </w:p>
    <w:p w14:paraId="0F7A1855" w14:textId="4AF19393" w:rsidR="009113A5" w:rsidRPr="00CF57C0" w:rsidRDefault="009113A5" w:rsidP="00CF57C0">
      <w:pPr>
        <w:spacing w:line="276" w:lineRule="auto"/>
        <w:jc w:val="both"/>
        <w:rPr>
          <w:rFonts w:ascii="Segoe UI" w:hAnsi="Segoe UI" w:cs="Segoe UI"/>
          <w:b/>
          <w:bCs/>
          <w:sz w:val="22"/>
          <w:szCs w:val="22"/>
          <w:lang w:val="es-ES"/>
        </w:rPr>
      </w:pPr>
      <w:r w:rsidRPr="00CF57C0">
        <w:rPr>
          <w:rFonts w:ascii="Segoe UI" w:hAnsi="Segoe UI" w:cs="Segoe UI"/>
          <w:b/>
          <w:bCs/>
          <w:sz w:val="22"/>
          <w:szCs w:val="22"/>
          <w:lang w:val="es-ES"/>
        </w:rPr>
        <w:t>Evolución de las ventas y los beneficios del grupo en el primer semestre de 2022</w:t>
      </w:r>
    </w:p>
    <w:p w14:paraId="6B482B58" w14:textId="77777777" w:rsidR="009113A5" w:rsidRPr="00CF57C0" w:rsidRDefault="009113A5" w:rsidP="00CF57C0">
      <w:pPr>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Con 10.913 millones de euros, las </w:t>
      </w:r>
      <w:r w:rsidRPr="00CF57C0">
        <w:rPr>
          <w:rFonts w:ascii="Segoe UI" w:hAnsi="Segoe UI" w:cs="Segoe UI"/>
          <w:b/>
          <w:bCs/>
          <w:sz w:val="22"/>
          <w:szCs w:val="22"/>
          <w:lang w:val="es-ES"/>
        </w:rPr>
        <w:t>ventas del Grupo</w:t>
      </w:r>
      <w:r w:rsidRPr="00CF57C0">
        <w:rPr>
          <w:rFonts w:ascii="Segoe UI" w:hAnsi="Segoe UI" w:cs="Segoe UI"/>
          <w:sz w:val="22"/>
          <w:szCs w:val="22"/>
          <w:lang w:val="es-ES"/>
        </w:rPr>
        <w:t xml:space="preserve"> en la primera mitad de 2022 fueron un 9,9% superiores al nivel del año anterior (Q2: 5.642 millones de euros, un 13,8%). </w:t>
      </w:r>
      <w:r w:rsidRPr="00CF57C0">
        <w:rPr>
          <w:rFonts w:ascii="Segoe UI" w:hAnsi="Segoe UI" w:cs="Segoe UI"/>
          <w:b/>
          <w:bCs/>
          <w:sz w:val="22"/>
          <w:szCs w:val="22"/>
          <w:lang w:val="es-ES"/>
        </w:rPr>
        <w:t>Las ventas orgánicas</w:t>
      </w:r>
      <w:r w:rsidRPr="00CF57C0">
        <w:rPr>
          <w:rFonts w:ascii="Segoe UI" w:hAnsi="Segoe UI" w:cs="Segoe UI"/>
          <w:sz w:val="22"/>
          <w:szCs w:val="22"/>
          <w:lang w:val="es-ES"/>
        </w:rPr>
        <w:t>, que excluyen el impacto de los efectos cambiarios y las adquisiciones/desinversiones, mostraron un crecimiento significativo de +8,9 por ciento (Q2: +10,9 por ciento). Las adquisiciones y desinversiones tuvieron un impacto negativo de -1,4 por ciento en las ventas (Q2: -1,8%). Desde el comienzo del segundo trimestre, esto incluye los efectos de la salida anunciada de las operaciones en Rusia y Bielorrusia. Los efectos del tipo de cambio aumentaron las ventas en un +2,4 por ciento (Q2: +4,7%). Estos también incluyen los efectos de la aplicación de la IAS 29 (Información financiera en economías hiperinflacionarias) requerida para Turquía desde el comienzo del período de informe.</w:t>
      </w:r>
    </w:p>
    <w:p w14:paraId="4AB3ADAE" w14:textId="77777777" w:rsidR="009113A5" w:rsidRPr="00CF57C0" w:rsidRDefault="009113A5" w:rsidP="00CF57C0">
      <w:pPr>
        <w:spacing w:line="276" w:lineRule="auto"/>
        <w:jc w:val="both"/>
        <w:rPr>
          <w:rFonts w:ascii="Segoe UI" w:hAnsi="Segoe UI" w:cs="Segoe UI"/>
          <w:sz w:val="22"/>
          <w:szCs w:val="22"/>
          <w:lang w:val="es-ES"/>
        </w:rPr>
      </w:pPr>
    </w:p>
    <w:p w14:paraId="6A1AB676" w14:textId="1F7B337A" w:rsidR="009113A5" w:rsidRPr="00CF57C0" w:rsidRDefault="009113A5" w:rsidP="00CF57C0">
      <w:pPr>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El crecimiento de las ventas en la primera mitad del año fue impulsado principalmente por la unidad de negocios </w:t>
      </w:r>
      <w:r w:rsidRPr="00CF57C0">
        <w:rPr>
          <w:rFonts w:ascii="Segoe UI" w:hAnsi="Segoe UI" w:cs="Segoe UI"/>
          <w:b/>
          <w:bCs/>
          <w:sz w:val="22"/>
          <w:szCs w:val="22"/>
          <w:lang w:val="es-ES"/>
        </w:rPr>
        <w:t>Adhesives Technologies</w:t>
      </w:r>
      <w:r w:rsidRPr="00CF57C0">
        <w:rPr>
          <w:rFonts w:ascii="Segoe UI" w:hAnsi="Segoe UI" w:cs="Segoe UI"/>
          <w:sz w:val="22"/>
          <w:szCs w:val="22"/>
          <w:lang w:val="es-ES"/>
        </w:rPr>
        <w:t xml:space="preserve">, que logró un aumento orgánico de dos dígitos, de +12,2%. Aquí, todas las áreas de negocio lograron un crecimiento orgánico de las ventas. La unidad de negocios </w:t>
      </w:r>
      <w:r w:rsidRPr="00CF57C0">
        <w:rPr>
          <w:rFonts w:ascii="Segoe UI" w:hAnsi="Segoe UI" w:cs="Segoe UI"/>
          <w:b/>
          <w:bCs/>
          <w:sz w:val="22"/>
          <w:szCs w:val="22"/>
          <w:lang w:val="es-ES"/>
        </w:rPr>
        <w:t>Beauty Care</w:t>
      </w:r>
      <w:r w:rsidRPr="00CF57C0">
        <w:rPr>
          <w:rFonts w:ascii="Segoe UI" w:hAnsi="Segoe UI" w:cs="Segoe UI"/>
          <w:sz w:val="22"/>
          <w:szCs w:val="22"/>
          <w:lang w:val="es-ES"/>
        </w:rPr>
        <w:t xml:space="preserve"> registró un crecimiento orgánico de las ventas de +0,4 por ciento en la primera mitad del año. El negocio de Peluquería logró un crecimiento orgánico de ventas de dos dígitos. Por el contrario, el negocio de consumo se sitúa por debajo del nivel del año anterior, principalmente como consecuencia de las medidas anunciadas para mejorar la cartera. La unidad de negocio de </w:t>
      </w:r>
      <w:r w:rsidRPr="00CF57C0">
        <w:rPr>
          <w:rFonts w:ascii="Segoe UI" w:hAnsi="Segoe UI" w:cs="Segoe UI"/>
          <w:b/>
          <w:bCs/>
          <w:sz w:val="22"/>
          <w:szCs w:val="22"/>
          <w:lang w:val="es-ES"/>
        </w:rPr>
        <w:t>Detergentes y Cuidado del Hogar</w:t>
      </w:r>
      <w:r w:rsidRPr="00CF57C0">
        <w:rPr>
          <w:rFonts w:ascii="Segoe UI" w:hAnsi="Segoe UI" w:cs="Segoe UI"/>
          <w:sz w:val="22"/>
          <w:szCs w:val="22"/>
          <w:lang w:val="es-ES"/>
        </w:rPr>
        <w:t xml:space="preserve"> logró un aumento orgánico significativo en las ventas de +7,4%, impulsado en particular por un crecimiento de dos dígitos en el negocio de </w:t>
      </w:r>
      <w:r w:rsidR="00CE3E28">
        <w:rPr>
          <w:rFonts w:ascii="Segoe UI" w:hAnsi="Segoe UI" w:cs="Segoe UI"/>
          <w:sz w:val="22"/>
          <w:szCs w:val="22"/>
          <w:lang w:val="es-ES"/>
        </w:rPr>
        <w:t>Detergentes</w:t>
      </w:r>
      <w:r w:rsidRPr="00CF57C0">
        <w:rPr>
          <w:rFonts w:ascii="Segoe UI" w:hAnsi="Segoe UI" w:cs="Segoe UI"/>
          <w:sz w:val="22"/>
          <w:szCs w:val="22"/>
          <w:lang w:val="es-ES"/>
        </w:rPr>
        <w:t>. El negocio de Cuidado del Hogar registró un desarrollo positivo de ventas orgánicas en la primera mitad del año.</w:t>
      </w:r>
    </w:p>
    <w:p w14:paraId="1DD6CD4C" w14:textId="77777777" w:rsidR="009113A5" w:rsidRPr="00CF57C0" w:rsidRDefault="009113A5" w:rsidP="00CF57C0">
      <w:pPr>
        <w:spacing w:line="276" w:lineRule="auto"/>
        <w:jc w:val="both"/>
        <w:rPr>
          <w:rFonts w:ascii="Segoe UI" w:hAnsi="Segoe UI" w:cs="Segoe UI"/>
          <w:sz w:val="22"/>
          <w:szCs w:val="22"/>
          <w:lang w:val="es-ES"/>
        </w:rPr>
      </w:pPr>
    </w:p>
    <w:p w14:paraId="548E9CD2" w14:textId="77777777" w:rsidR="009113A5" w:rsidRPr="00CF57C0" w:rsidRDefault="009113A5" w:rsidP="00CF57C0">
      <w:pPr>
        <w:spacing w:line="276" w:lineRule="auto"/>
        <w:jc w:val="both"/>
        <w:rPr>
          <w:rFonts w:ascii="Segoe UI" w:hAnsi="Segoe UI" w:cs="Segoe UI"/>
          <w:bCs/>
          <w:sz w:val="22"/>
          <w:szCs w:val="22"/>
          <w:lang w:val="es-ES"/>
        </w:rPr>
      </w:pPr>
      <w:r w:rsidRPr="00CF57C0">
        <w:rPr>
          <w:rFonts w:ascii="Segoe UI" w:hAnsi="Segoe UI" w:cs="Segoe UI"/>
          <w:bCs/>
          <w:sz w:val="22"/>
          <w:szCs w:val="22"/>
          <w:lang w:val="es-ES"/>
        </w:rPr>
        <w:t xml:space="preserve">En los </w:t>
      </w:r>
      <w:r w:rsidRPr="00CF57C0">
        <w:rPr>
          <w:rFonts w:ascii="Segoe UI" w:hAnsi="Segoe UI" w:cs="Segoe UI"/>
          <w:b/>
          <w:sz w:val="22"/>
          <w:szCs w:val="22"/>
          <w:lang w:val="es-ES"/>
        </w:rPr>
        <w:t>mercados emergentes</w:t>
      </w:r>
      <w:r w:rsidRPr="00CF57C0">
        <w:rPr>
          <w:rFonts w:ascii="Segoe UI" w:hAnsi="Segoe UI" w:cs="Segoe UI"/>
          <w:bCs/>
          <w:sz w:val="22"/>
          <w:szCs w:val="22"/>
          <w:lang w:val="es-ES"/>
        </w:rPr>
        <w:t xml:space="preserve">, las ventas orgánicas crecieron a una tasa de dos dígitos de +12,9% (Q2: +14,6%). El negocio en los </w:t>
      </w:r>
      <w:r w:rsidRPr="00CF57C0">
        <w:rPr>
          <w:rFonts w:ascii="Segoe UI" w:hAnsi="Segoe UI" w:cs="Segoe UI"/>
          <w:b/>
          <w:sz w:val="22"/>
          <w:szCs w:val="22"/>
          <w:lang w:val="es-ES"/>
        </w:rPr>
        <w:t>mercados maduros</w:t>
      </w:r>
      <w:r w:rsidRPr="00CF57C0">
        <w:rPr>
          <w:rFonts w:ascii="Segoe UI" w:hAnsi="Segoe UI" w:cs="Segoe UI"/>
          <w:bCs/>
          <w:sz w:val="22"/>
          <w:szCs w:val="22"/>
          <w:lang w:val="es-ES"/>
        </w:rPr>
        <w:t xml:space="preserve"> mostró un rendimiento de ventas orgánicas muy sólido de +5,5 por ciento (Q2: +7,8%).</w:t>
      </w:r>
    </w:p>
    <w:p w14:paraId="7E2317AD" w14:textId="77777777" w:rsidR="009113A5" w:rsidRPr="00CF57C0" w:rsidRDefault="009113A5" w:rsidP="00CF57C0">
      <w:pPr>
        <w:spacing w:line="276" w:lineRule="auto"/>
        <w:jc w:val="both"/>
        <w:rPr>
          <w:rFonts w:ascii="Segoe UI" w:hAnsi="Segoe UI" w:cs="Segoe UI"/>
          <w:sz w:val="22"/>
          <w:szCs w:val="22"/>
          <w:lang w:val="es-MX"/>
        </w:rPr>
      </w:pPr>
    </w:p>
    <w:p w14:paraId="23503D90" w14:textId="77777777" w:rsidR="009113A5" w:rsidRPr="00CF57C0" w:rsidRDefault="009113A5" w:rsidP="00CF57C0">
      <w:pPr>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Las ventas en la primera mitad del año en </w:t>
      </w:r>
      <w:r w:rsidRPr="00CF57C0">
        <w:rPr>
          <w:rFonts w:ascii="Segoe UI" w:hAnsi="Segoe UI" w:cs="Segoe UI"/>
          <w:b/>
          <w:bCs/>
          <w:sz w:val="22"/>
          <w:szCs w:val="22"/>
          <w:lang w:val="es-ES"/>
        </w:rPr>
        <w:t>Europa Occidental</w:t>
      </w:r>
      <w:r w:rsidRPr="00CF57C0">
        <w:rPr>
          <w:rFonts w:ascii="Segoe UI" w:hAnsi="Segoe UI" w:cs="Segoe UI"/>
          <w:sz w:val="22"/>
          <w:szCs w:val="22"/>
          <w:lang w:val="es-ES"/>
        </w:rPr>
        <w:t xml:space="preserve"> mostraron un desarrollo orgánico de +2,2% (Q2: +4,8 por ciento). En </w:t>
      </w:r>
      <w:r w:rsidRPr="00CF57C0">
        <w:rPr>
          <w:rFonts w:ascii="Segoe UI" w:hAnsi="Segoe UI" w:cs="Segoe UI"/>
          <w:b/>
          <w:bCs/>
          <w:sz w:val="22"/>
          <w:szCs w:val="22"/>
          <w:lang w:val="es-ES"/>
        </w:rPr>
        <w:t>Europa del Este</w:t>
      </w:r>
      <w:r w:rsidRPr="00CF57C0">
        <w:rPr>
          <w:rFonts w:ascii="Segoe UI" w:hAnsi="Segoe UI" w:cs="Segoe UI"/>
          <w:sz w:val="22"/>
          <w:szCs w:val="22"/>
          <w:lang w:val="es-ES"/>
        </w:rPr>
        <w:t xml:space="preserve">, el crecimiento orgánico de las ventas ascendió a +23,2% (Q2: +26,3 por ciento). En </w:t>
      </w:r>
      <w:r w:rsidRPr="00CF57C0">
        <w:rPr>
          <w:rFonts w:ascii="Segoe UI" w:hAnsi="Segoe UI" w:cs="Segoe UI"/>
          <w:b/>
          <w:bCs/>
          <w:sz w:val="22"/>
          <w:szCs w:val="22"/>
          <w:lang w:val="es-ES"/>
        </w:rPr>
        <w:t>África/Oriente Medio</w:t>
      </w:r>
      <w:r w:rsidRPr="00CF57C0">
        <w:rPr>
          <w:rFonts w:ascii="Segoe UI" w:hAnsi="Segoe UI" w:cs="Segoe UI"/>
          <w:sz w:val="22"/>
          <w:szCs w:val="22"/>
          <w:lang w:val="es-ES"/>
        </w:rPr>
        <w:t xml:space="preserve">, las ventas orgánicas aumentaron +3,2% (Q2: +5,1 por ciento). El crecimiento orgánico de las ventas en América del Norte fue del +9,2% (Q2: +11,7 por ciento). </w:t>
      </w:r>
      <w:r w:rsidRPr="00CE3E28">
        <w:rPr>
          <w:rFonts w:ascii="Segoe UI" w:hAnsi="Segoe UI" w:cs="Segoe UI"/>
          <w:b/>
          <w:bCs/>
          <w:sz w:val="22"/>
          <w:szCs w:val="22"/>
          <w:lang w:val="es-ES"/>
        </w:rPr>
        <w:t xml:space="preserve">América Latina registró un </w:t>
      </w:r>
      <w:r w:rsidRPr="00CE3E28">
        <w:rPr>
          <w:rFonts w:ascii="Segoe UI" w:hAnsi="Segoe UI" w:cs="Segoe UI"/>
          <w:b/>
          <w:bCs/>
          <w:sz w:val="22"/>
          <w:szCs w:val="22"/>
          <w:lang w:val="es-ES"/>
        </w:rPr>
        <w:lastRenderedPageBreak/>
        <w:t>crecimiento orgánico de las ventas de +16,9 por ciento</w:t>
      </w:r>
      <w:r w:rsidRPr="00CF57C0">
        <w:rPr>
          <w:rFonts w:ascii="Segoe UI" w:hAnsi="Segoe UI" w:cs="Segoe UI"/>
          <w:sz w:val="22"/>
          <w:szCs w:val="22"/>
          <w:lang w:val="es-ES"/>
        </w:rPr>
        <w:t xml:space="preserve"> (Q2: +18,5 por ciento). En la región de </w:t>
      </w:r>
      <w:r w:rsidRPr="00CF57C0">
        <w:rPr>
          <w:rFonts w:ascii="Segoe UI" w:hAnsi="Segoe UI" w:cs="Segoe UI"/>
          <w:b/>
          <w:bCs/>
          <w:sz w:val="22"/>
          <w:szCs w:val="22"/>
          <w:lang w:val="es-ES"/>
        </w:rPr>
        <w:t>Asia-Pacífico</w:t>
      </w:r>
      <w:r w:rsidRPr="00CF57C0">
        <w:rPr>
          <w:rFonts w:ascii="Segoe UI" w:hAnsi="Segoe UI" w:cs="Segoe UI"/>
          <w:sz w:val="22"/>
          <w:szCs w:val="22"/>
          <w:lang w:val="es-ES"/>
        </w:rPr>
        <w:t>, las ventas orgánicas aumentaron un +6,1% (Q2: +6,9 por ciento).</w:t>
      </w:r>
    </w:p>
    <w:p w14:paraId="0942AF43" w14:textId="77777777" w:rsidR="009113A5" w:rsidRPr="00CF57C0" w:rsidRDefault="009113A5" w:rsidP="00CF57C0">
      <w:pPr>
        <w:spacing w:line="276" w:lineRule="auto"/>
        <w:jc w:val="both"/>
        <w:rPr>
          <w:rFonts w:ascii="Segoe UI" w:hAnsi="Segoe UI" w:cs="Segoe UI"/>
          <w:bCs/>
          <w:sz w:val="22"/>
          <w:szCs w:val="22"/>
          <w:lang w:val="es-MX"/>
        </w:rPr>
      </w:pPr>
    </w:p>
    <w:p w14:paraId="5E4A595B" w14:textId="77777777" w:rsidR="009113A5" w:rsidRPr="00CF57C0" w:rsidRDefault="009113A5" w:rsidP="00CF57C0">
      <w:pPr>
        <w:spacing w:line="276" w:lineRule="auto"/>
        <w:jc w:val="both"/>
        <w:rPr>
          <w:rFonts w:ascii="Segoe UI" w:hAnsi="Segoe UI" w:cs="Segoe UI"/>
          <w:bCs/>
          <w:sz w:val="22"/>
          <w:szCs w:val="22"/>
          <w:lang w:val="es-ES"/>
        </w:rPr>
      </w:pPr>
      <w:r w:rsidRPr="00CF57C0">
        <w:rPr>
          <w:rFonts w:ascii="Segoe UI" w:hAnsi="Segoe UI" w:cs="Segoe UI"/>
          <w:b/>
          <w:sz w:val="22"/>
          <w:szCs w:val="22"/>
          <w:lang w:val="es-ES"/>
        </w:rPr>
        <w:t>El beneficio operativo ajustado (EBIT ajustado)</w:t>
      </w:r>
      <w:r w:rsidRPr="00CF57C0">
        <w:rPr>
          <w:rFonts w:ascii="Segoe UI" w:hAnsi="Segoe UI" w:cs="Segoe UI"/>
          <w:bCs/>
          <w:sz w:val="22"/>
          <w:szCs w:val="22"/>
          <w:lang w:val="es-ES"/>
        </w:rPr>
        <w:t xml:space="preserve"> fue de 1.166 millones de euros en la primera mitad del año, en comparación con los 1.430 millones de euros del mismo período del año anterior. La disminución se debió principalmente a los precios significativamente más altos de los materiales directos.</w:t>
      </w:r>
    </w:p>
    <w:p w14:paraId="6552E4DA" w14:textId="77777777" w:rsidR="009113A5" w:rsidRPr="00CF57C0" w:rsidRDefault="009113A5" w:rsidP="00CF57C0">
      <w:pPr>
        <w:spacing w:line="276" w:lineRule="auto"/>
        <w:jc w:val="both"/>
        <w:rPr>
          <w:rFonts w:ascii="Segoe UI" w:hAnsi="Segoe UI" w:cs="Segoe UI"/>
          <w:bCs/>
          <w:sz w:val="22"/>
          <w:szCs w:val="22"/>
          <w:lang w:val="es-ES"/>
        </w:rPr>
      </w:pPr>
    </w:p>
    <w:p w14:paraId="38227582" w14:textId="77777777" w:rsidR="009113A5" w:rsidRPr="00CF57C0" w:rsidRDefault="009113A5" w:rsidP="00CF57C0">
      <w:pPr>
        <w:spacing w:line="276" w:lineRule="auto"/>
        <w:jc w:val="both"/>
        <w:rPr>
          <w:rFonts w:ascii="Segoe UI" w:hAnsi="Segoe UI" w:cs="Segoe UI"/>
          <w:b/>
          <w:bCs/>
          <w:sz w:val="22"/>
          <w:szCs w:val="22"/>
          <w:lang w:val="es-ES"/>
        </w:rPr>
      </w:pPr>
      <w:r w:rsidRPr="00CF57C0">
        <w:rPr>
          <w:rFonts w:ascii="Segoe UI" w:hAnsi="Segoe UI" w:cs="Segoe UI"/>
          <w:b/>
          <w:bCs/>
          <w:sz w:val="22"/>
          <w:szCs w:val="22"/>
          <w:lang w:val="es-ES"/>
        </w:rPr>
        <w:t xml:space="preserve">El rendimiento ajustado de las ventas (margen EBIT ajustado) </w:t>
      </w:r>
      <w:r w:rsidRPr="00CF57C0">
        <w:rPr>
          <w:rFonts w:ascii="Segoe UI" w:hAnsi="Segoe UI" w:cs="Segoe UI"/>
          <w:sz w:val="22"/>
          <w:szCs w:val="22"/>
          <w:lang w:val="es-ES"/>
        </w:rPr>
        <w:t>disminuyó de 14.4% a 10,7% debido a los precios, significativamente más altos, de los materiales directos.</w:t>
      </w:r>
    </w:p>
    <w:p w14:paraId="1D02CECD" w14:textId="77777777" w:rsidR="009113A5" w:rsidRPr="00CF57C0" w:rsidRDefault="009113A5" w:rsidP="00CF57C0">
      <w:pPr>
        <w:spacing w:line="276" w:lineRule="auto"/>
        <w:jc w:val="both"/>
        <w:rPr>
          <w:rFonts w:ascii="Segoe UI" w:hAnsi="Segoe UI" w:cs="Segoe UI"/>
          <w:b/>
          <w:bCs/>
          <w:sz w:val="22"/>
          <w:szCs w:val="22"/>
          <w:lang w:val="es-ES"/>
        </w:rPr>
      </w:pPr>
    </w:p>
    <w:p w14:paraId="0FC44865" w14:textId="77777777" w:rsidR="009113A5" w:rsidRPr="00CF57C0" w:rsidRDefault="009113A5" w:rsidP="00CF57C0">
      <w:pPr>
        <w:spacing w:line="276" w:lineRule="auto"/>
        <w:jc w:val="both"/>
        <w:rPr>
          <w:rFonts w:ascii="Segoe UI" w:hAnsi="Segoe UI" w:cs="Segoe UI"/>
          <w:sz w:val="22"/>
          <w:szCs w:val="22"/>
          <w:lang w:val="es-ES"/>
        </w:rPr>
      </w:pPr>
      <w:r w:rsidRPr="00CF57C0">
        <w:rPr>
          <w:rFonts w:ascii="Segoe UI" w:hAnsi="Segoe UI" w:cs="Segoe UI"/>
          <w:b/>
          <w:bCs/>
          <w:sz w:val="22"/>
          <w:szCs w:val="22"/>
          <w:lang w:val="es-ES"/>
        </w:rPr>
        <w:t xml:space="preserve">Las ganancias ajustadas por acción preferente </w:t>
      </w:r>
      <w:r w:rsidRPr="00CF57C0">
        <w:rPr>
          <w:rFonts w:ascii="Segoe UI" w:hAnsi="Segoe UI" w:cs="Segoe UI"/>
          <w:sz w:val="22"/>
          <w:szCs w:val="22"/>
          <w:lang w:val="es-ES"/>
        </w:rPr>
        <w:t>fueron de 1,95 euros en la primera mitad de 2022. A tipos de cambio constantes, esto representa una disminución del -20,8% en comparación con el mismo período del año anterior. El desarrollo también fue impulsado principalmente por el aumento significativo en los precios de los materiales directos.</w:t>
      </w:r>
    </w:p>
    <w:p w14:paraId="781A0DD3" w14:textId="77777777" w:rsidR="009113A5" w:rsidRPr="00CF57C0" w:rsidRDefault="009113A5" w:rsidP="00CF57C0">
      <w:pPr>
        <w:spacing w:line="276" w:lineRule="auto"/>
        <w:jc w:val="both"/>
        <w:rPr>
          <w:rFonts w:ascii="Segoe UI" w:hAnsi="Segoe UI" w:cs="Segoe UI"/>
          <w:b/>
          <w:bCs/>
          <w:sz w:val="22"/>
          <w:szCs w:val="22"/>
          <w:lang w:val="es-ES"/>
        </w:rPr>
      </w:pPr>
    </w:p>
    <w:p w14:paraId="1A914E44" w14:textId="77777777" w:rsidR="009113A5" w:rsidRPr="00CF57C0" w:rsidRDefault="009113A5" w:rsidP="00CF57C0">
      <w:pPr>
        <w:spacing w:line="276" w:lineRule="auto"/>
        <w:jc w:val="both"/>
        <w:rPr>
          <w:rFonts w:ascii="Segoe UI" w:hAnsi="Segoe UI" w:cs="Segoe UI"/>
          <w:b/>
          <w:bCs/>
          <w:sz w:val="22"/>
          <w:szCs w:val="22"/>
          <w:lang w:val="es-ES"/>
        </w:rPr>
      </w:pPr>
      <w:r w:rsidRPr="00CF57C0">
        <w:rPr>
          <w:rFonts w:ascii="Segoe UI" w:hAnsi="Segoe UI" w:cs="Segoe UI"/>
          <w:b/>
          <w:bCs/>
          <w:sz w:val="22"/>
          <w:szCs w:val="22"/>
          <w:lang w:val="es-ES"/>
        </w:rPr>
        <w:t xml:space="preserve">El capital de trabajo neto </w:t>
      </w:r>
      <w:r w:rsidRPr="00CF57C0">
        <w:rPr>
          <w:rFonts w:ascii="Segoe UI" w:hAnsi="Segoe UI" w:cs="Segoe UI"/>
          <w:sz w:val="22"/>
          <w:szCs w:val="22"/>
          <w:lang w:val="es-ES"/>
        </w:rPr>
        <w:t>aumentó en 1,6 puntos porcentuales al 5,2% de las ventas (período del año anterior: 3,6%), también afectado por el fuerte aumento en los precios de las materias primas.</w:t>
      </w:r>
    </w:p>
    <w:p w14:paraId="53744EDC" w14:textId="77777777" w:rsidR="009113A5" w:rsidRPr="00CF57C0" w:rsidRDefault="009113A5" w:rsidP="00CF57C0">
      <w:pPr>
        <w:spacing w:line="276" w:lineRule="auto"/>
        <w:jc w:val="both"/>
        <w:rPr>
          <w:rFonts w:ascii="Segoe UI" w:hAnsi="Segoe UI" w:cs="Segoe UI"/>
          <w:sz w:val="22"/>
          <w:szCs w:val="22"/>
          <w:lang w:val="es-ES"/>
        </w:rPr>
      </w:pPr>
    </w:p>
    <w:p w14:paraId="300224B1" w14:textId="77777777" w:rsidR="009113A5" w:rsidRPr="00CF57C0" w:rsidRDefault="009113A5" w:rsidP="00CF57C0">
      <w:pPr>
        <w:spacing w:after="120" w:line="276" w:lineRule="auto"/>
        <w:jc w:val="both"/>
        <w:rPr>
          <w:rFonts w:ascii="Segoe UI" w:hAnsi="Segoe UI" w:cs="Segoe UI"/>
          <w:sz w:val="22"/>
          <w:szCs w:val="22"/>
          <w:lang w:val="es-ES"/>
        </w:rPr>
      </w:pPr>
      <w:r w:rsidRPr="00CF57C0">
        <w:rPr>
          <w:rFonts w:ascii="Segoe UI" w:hAnsi="Segoe UI" w:cs="Segoe UI"/>
          <w:b/>
          <w:bCs/>
          <w:sz w:val="22"/>
          <w:szCs w:val="22"/>
          <w:lang w:val="es-ES"/>
        </w:rPr>
        <w:t>El flujo de caja libre</w:t>
      </w:r>
      <w:r w:rsidRPr="00CF57C0">
        <w:rPr>
          <w:rFonts w:ascii="Segoe UI" w:hAnsi="Segoe UI" w:cs="Segoe UI"/>
          <w:sz w:val="22"/>
          <w:szCs w:val="22"/>
          <w:lang w:val="es-ES"/>
        </w:rPr>
        <w:t xml:space="preserve"> de 46 millones de euros es inferior al del primer semestre de 2021 (471 millones de euros) debido al menor flujo de caja de las actividades operativas, como consecuencia del menor resultado operativo y del mayor capital circulante neto.</w:t>
      </w:r>
    </w:p>
    <w:p w14:paraId="5D465AD0" w14:textId="77777777" w:rsidR="009113A5" w:rsidRPr="00CF57C0" w:rsidRDefault="009113A5" w:rsidP="00CF57C0">
      <w:pPr>
        <w:spacing w:after="120" w:line="276" w:lineRule="auto"/>
        <w:jc w:val="both"/>
        <w:rPr>
          <w:rFonts w:ascii="Segoe UI" w:hAnsi="Segoe UI" w:cs="Segoe UI"/>
          <w:sz w:val="22"/>
          <w:szCs w:val="22"/>
          <w:lang w:val="es-ES"/>
        </w:rPr>
      </w:pPr>
    </w:p>
    <w:p w14:paraId="6F16C676" w14:textId="77777777" w:rsidR="009113A5" w:rsidRPr="00CF57C0" w:rsidRDefault="009113A5" w:rsidP="00CF57C0">
      <w:pPr>
        <w:spacing w:after="120" w:line="276" w:lineRule="auto"/>
        <w:jc w:val="both"/>
        <w:rPr>
          <w:rFonts w:ascii="Segoe UI" w:hAnsi="Segoe UI" w:cs="Segoe UI"/>
          <w:sz w:val="22"/>
          <w:szCs w:val="22"/>
          <w:lang w:val="es-ES"/>
        </w:rPr>
      </w:pPr>
      <w:r w:rsidRPr="00CF57C0">
        <w:rPr>
          <w:rFonts w:ascii="Segoe UI" w:hAnsi="Segoe UI" w:cs="Segoe UI"/>
          <w:sz w:val="22"/>
          <w:szCs w:val="22"/>
          <w:lang w:val="es-ES"/>
        </w:rPr>
        <w:t xml:space="preserve">A 30 de junio de 2022, </w:t>
      </w:r>
      <w:r w:rsidRPr="00CF57C0">
        <w:rPr>
          <w:rFonts w:ascii="Segoe UI" w:hAnsi="Segoe UI" w:cs="Segoe UI"/>
          <w:b/>
          <w:bCs/>
          <w:sz w:val="22"/>
          <w:szCs w:val="22"/>
          <w:lang w:val="es-ES"/>
        </w:rPr>
        <w:t>la posición financiera neta</w:t>
      </w:r>
      <w:r w:rsidRPr="00CF57C0">
        <w:rPr>
          <w:rFonts w:ascii="Segoe UI" w:hAnsi="Segoe UI" w:cs="Segoe UI"/>
          <w:sz w:val="22"/>
          <w:szCs w:val="22"/>
          <w:lang w:val="es-ES"/>
        </w:rPr>
        <w:t xml:space="preserve"> asciende a -1.441 millones de euros (31 de diciembre de 2021: -292 millones de euros). Este desarrollo también incluye gastos de alrededor de 430 millones de euros en el programa de recompra de acciones lanzado en febrero de 2022, así como pagos de dividendos de alrededor de 800 millones de euros en el segundo trimestre.</w:t>
      </w:r>
    </w:p>
    <w:p w14:paraId="57C88218" w14:textId="77777777" w:rsidR="009113A5" w:rsidRPr="00CF57C0" w:rsidRDefault="009113A5" w:rsidP="00CF57C0">
      <w:pPr>
        <w:spacing w:after="120" w:line="276" w:lineRule="auto"/>
        <w:jc w:val="both"/>
        <w:rPr>
          <w:rFonts w:ascii="Segoe UI" w:hAnsi="Segoe UI" w:cs="Segoe UI"/>
          <w:sz w:val="22"/>
          <w:szCs w:val="22"/>
          <w:lang w:val="es-ES" w:eastAsia="de-DE"/>
        </w:rPr>
      </w:pPr>
    </w:p>
    <w:p w14:paraId="4233BBD8" w14:textId="77777777" w:rsidR="009113A5" w:rsidRPr="00CF57C0" w:rsidRDefault="009113A5" w:rsidP="00CF57C0">
      <w:pPr>
        <w:spacing w:after="120" w:line="276" w:lineRule="auto"/>
        <w:jc w:val="both"/>
        <w:rPr>
          <w:rFonts w:ascii="Segoe UI" w:hAnsi="Segoe UI" w:cs="Segoe UI"/>
          <w:b/>
          <w:bCs/>
          <w:sz w:val="22"/>
          <w:szCs w:val="22"/>
          <w:lang w:val="es-ES"/>
        </w:rPr>
      </w:pPr>
      <w:r w:rsidRPr="00CF57C0">
        <w:rPr>
          <w:rFonts w:ascii="Segoe UI" w:hAnsi="Segoe UI" w:cs="Segoe UI"/>
          <w:b/>
          <w:bCs/>
          <w:sz w:val="22"/>
          <w:szCs w:val="22"/>
          <w:lang w:val="es-ES"/>
        </w:rPr>
        <w:t>Desempeño de la unidad de negocio en el primer semestre de 2022</w:t>
      </w:r>
    </w:p>
    <w:p w14:paraId="55BA213D" w14:textId="77777777" w:rsidR="009113A5" w:rsidRPr="00CF57C0" w:rsidRDefault="009113A5" w:rsidP="00CF57C0">
      <w:pPr>
        <w:spacing w:after="120" w:line="276" w:lineRule="auto"/>
        <w:jc w:val="both"/>
        <w:rPr>
          <w:rFonts w:ascii="Segoe UI" w:hAnsi="Segoe UI" w:cs="Segoe UI"/>
          <w:sz w:val="22"/>
          <w:szCs w:val="22"/>
          <w:lang w:val="es-ES"/>
        </w:rPr>
      </w:pPr>
      <w:r w:rsidRPr="00CF57C0">
        <w:rPr>
          <w:rFonts w:ascii="Segoe UI" w:hAnsi="Segoe UI" w:cs="Segoe UI"/>
          <w:sz w:val="22"/>
          <w:szCs w:val="22"/>
          <w:lang w:val="es-ES"/>
        </w:rPr>
        <w:t xml:space="preserve">En la primera mitad de 2022, las </w:t>
      </w:r>
      <w:r w:rsidRPr="00CF57C0">
        <w:rPr>
          <w:rFonts w:ascii="Segoe UI" w:hAnsi="Segoe UI" w:cs="Segoe UI"/>
          <w:b/>
          <w:bCs/>
          <w:sz w:val="22"/>
          <w:szCs w:val="22"/>
          <w:lang w:val="es-ES"/>
        </w:rPr>
        <w:t>ventas</w:t>
      </w:r>
      <w:r w:rsidRPr="00CF57C0">
        <w:rPr>
          <w:rFonts w:ascii="Segoe UI" w:hAnsi="Segoe UI" w:cs="Segoe UI"/>
          <w:sz w:val="22"/>
          <w:szCs w:val="22"/>
          <w:lang w:val="es-ES"/>
        </w:rPr>
        <w:t xml:space="preserve"> de la unidad de negocio de </w:t>
      </w:r>
      <w:r w:rsidRPr="00CF57C0">
        <w:rPr>
          <w:rFonts w:ascii="Segoe UI" w:hAnsi="Segoe UI" w:cs="Segoe UI"/>
          <w:b/>
          <w:bCs/>
          <w:sz w:val="22"/>
          <w:szCs w:val="22"/>
          <w:lang w:val="es-ES"/>
        </w:rPr>
        <w:t>Adhesives Technologies</w:t>
      </w:r>
      <w:r w:rsidRPr="00CF57C0">
        <w:rPr>
          <w:rFonts w:ascii="Segoe UI" w:hAnsi="Segoe UI" w:cs="Segoe UI"/>
          <w:sz w:val="22"/>
          <w:szCs w:val="22"/>
          <w:lang w:val="es-ES"/>
        </w:rPr>
        <w:t xml:space="preserve"> aumentaron nominalmente un +15,0 % hasta los 5467 millones de euros (Q2: 2836 millones de euros, +18,5%). Las </w:t>
      </w:r>
      <w:r w:rsidRPr="00CF57C0">
        <w:rPr>
          <w:rFonts w:ascii="Segoe UI" w:hAnsi="Segoe UI" w:cs="Segoe UI"/>
          <w:b/>
          <w:bCs/>
          <w:sz w:val="22"/>
          <w:szCs w:val="22"/>
          <w:lang w:val="es-ES"/>
        </w:rPr>
        <w:t>ventas orgánicas</w:t>
      </w:r>
      <w:r w:rsidRPr="00CF57C0">
        <w:rPr>
          <w:rFonts w:ascii="Segoe UI" w:hAnsi="Segoe UI" w:cs="Segoe UI"/>
          <w:sz w:val="22"/>
          <w:szCs w:val="22"/>
          <w:lang w:val="es-ES"/>
        </w:rPr>
        <w:t xml:space="preserve"> aumentaron un +12,2% (Q2: +13,7%). Este desarrollo fue impulsado por todas las unidades de negocio y regiones. El </w:t>
      </w:r>
      <w:r w:rsidRPr="00CF57C0">
        <w:rPr>
          <w:rFonts w:ascii="Segoe UI" w:hAnsi="Segoe UI" w:cs="Segoe UI"/>
          <w:b/>
          <w:bCs/>
          <w:sz w:val="22"/>
          <w:szCs w:val="22"/>
          <w:lang w:val="es-ES"/>
        </w:rPr>
        <w:t>beneficio operativo ajustado</w:t>
      </w:r>
      <w:r w:rsidRPr="00CF57C0">
        <w:rPr>
          <w:rFonts w:ascii="Segoe UI" w:hAnsi="Segoe UI" w:cs="Segoe UI"/>
          <w:sz w:val="22"/>
          <w:szCs w:val="22"/>
          <w:lang w:val="es-ES"/>
        </w:rPr>
        <w:t xml:space="preserve"> en el primer semestre de 2022 alcanzó los 743 millones de euros, en comparación con los 820 millones de euros del mismo período del año anterior. Con un 13,6%, el </w:t>
      </w:r>
      <w:r w:rsidRPr="00CF57C0">
        <w:rPr>
          <w:rFonts w:ascii="Segoe UI" w:hAnsi="Segoe UI" w:cs="Segoe UI"/>
          <w:b/>
          <w:bCs/>
          <w:sz w:val="22"/>
          <w:szCs w:val="22"/>
          <w:lang w:val="es-ES"/>
        </w:rPr>
        <w:t xml:space="preserve">rendimiento ajustado </w:t>
      </w:r>
      <w:r w:rsidRPr="00CF57C0">
        <w:rPr>
          <w:rFonts w:ascii="Segoe UI" w:hAnsi="Segoe UI" w:cs="Segoe UI"/>
          <w:b/>
          <w:bCs/>
          <w:sz w:val="22"/>
          <w:szCs w:val="22"/>
          <w:lang w:val="es-ES"/>
        </w:rPr>
        <w:lastRenderedPageBreak/>
        <w:t xml:space="preserve">de las ventas </w:t>
      </w:r>
      <w:r w:rsidRPr="00CF57C0">
        <w:rPr>
          <w:rFonts w:ascii="Segoe UI" w:hAnsi="Segoe UI" w:cs="Segoe UI"/>
          <w:sz w:val="22"/>
          <w:szCs w:val="22"/>
          <w:lang w:val="es-ES"/>
        </w:rPr>
        <w:t>estuvo 3,7 puntos porcentuales por debajo de la cifra del primer semestre de 2021, y las cifras de ganancias se vieron afectadas por el aumento significativo de los precios de los materiales directos.</w:t>
      </w:r>
    </w:p>
    <w:p w14:paraId="6099FDD8" w14:textId="77777777" w:rsidR="009113A5" w:rsidRPr="00CF57C0" w:rsidRDefault="009113A5" w:rsidP="00CF57C0">
      <w:pPr>
        <w:spacing w:after="120" w:line="276" w:lineRule="auto"/>
        <w:jc w:val="both"/>
        <w:rPr>
          <w:rFonts w:ascii="Segoe UI" w:hAnsi="Segoe UI" w:cs="Segoe UI"/>
          <w:sz w:val="22"/>
          <w:szCs w:val="22"/>
          <w:lang w:val="es-ES"/>
        </w:rPr>
      </w:pPr>
    </w:p>
    <w:p w14:paraId="0EAC3BC3" w14:textId="77777777" w:rsidR="009113A5" w:rsidRPr="00CF57C0" w:rsidRDefault="009113A5" w:rsidP="00CF57C0">
      <w:pPr>
        <w:spacing w:after="120" w:line="276" w:lineRule="auto"/>
        <w:jc w:val="both"/>
        <w:rPr>
          <w:rFonts w:ascii="Segoe UI" w:hAnsi="Segoe UI" w:cs="Segoe UI"/>
          <w:sz w:val="22"/>
          <w:szCs w:val="22"/>
          <w:lang w:val="es-ES"/>
        </w:rPr>
      </w:pPr>
      <w:r w:rsidRPr="00CF57C0">
        <w:rPr>
          <w:rFonts w:ascii="Segoe UI" w:hAnsi="Segoe UI" w:cs="Segoe UI"/>
          <w:sz w:val="22"/>
          <w:szCs w:val="22"/>
          <w:lang w:val="es-ES"/>
        </w:rPr>
        <w:t xml:space="preserve">En la unidad de negocio de </w:t>
      </w:r>
      <w:r w:rsidRPr="00CF57C0">
        <w:rPr>
          <w:rFonts w:ascii="Segoe UI" w:hAnsi="Segoe UI" w:cs="Segoe UI"/>
          <w:b/>
          <w:bCs/>
          <w:sz w:val="22"/>
          <w:szCs w:val="22"/>
          <w:lang w:val="es-ES"/>
        </w:rPr>
        <w:t>Beauty Care</w:t>
      </w:r>
      <w:r w:rsidRPr="00CF57C0">
        <w:rPr>
          <w:rFonts w:ascii="Segoe UI" w:hAnsi="Segoe UI" w:cs="Segoe UI"/>
          <w:sz w:val="22"/>
          <w:szCs w:val="22"/>
          <w:lang w:val="es-ES"/>
        </w:rPr>
        <w:t xml:space="preserve">, las </w:t>
      </w:r>
      <w:r w:rsidRPr="00CF57C0">
        <w:rPr>
          <w:rFonts w:ascii="Segoe UI" w:hAnsi="Segoe UI" w:cs="Segoe UI"/>
          <w:b/>
          <w:bCs/>
          <w:sz w:val="22"/>
          <w:szCs w:val="22"/>
          <w:lang w:val="es-ES"/>
        </w:rPr>
        <w:t>ventas</w:t>
      </w:r>
      <w:r w:rsidRPr="00CF57C0">
        <w:rPr>
          <w:rFonts w:ascii="Segoe UI" w:hAnsi="Segoe UI" w:cs="Segoe UI"/>
          <w:sz w:val="22"/>
          <w:szCs w:val="22"/>
          <w:lang w:val="es-ES"/>
        </w:rPr>
        <w:t xml:space="preserve"> aumentaron </w:t>
      </w:r>
      <w:r w:rsidRPr="00CF57C0">
        <w:rPr>
          <w:rFonts w:ascii="Segoe UI" w:hAnsi="Segoe UI" w:cs="Segoe UI"/>
          <w:b/>
          <w:bCs/>
          <w:sz w:val="22"/>
          <w:szCs w:val="22"/>
          <w:lang w:val="es-ES"/>
        </w:rPr>
        <w:t>orgánicamente</w:t>
      </w:r>
      <w:r w:rsidRPr="00CF57C0">
        <w:rPr>
          <w:rFonts w:ascii="Segoe UI" w:hAnsi="Segoe UI" w:cs="Segoe UI"/>
          <w:sz w:val="22"/>
          <w:szCs w:val="22"/>
          <w:lang w:val="es-ES"/>
        </w:rPr>
        <w:t xml:space="preserve"> un +0,4% (Q2: +2,1%) en los primeros seis meses de 2022. En términos nominales, las ventas aumentaron un +0,2 % y alcanzaron los 1.842 millones de euros (Q2: 950 millones de euros), +3,9%. Este crecimiento fue impulsado principalmente por el sólido desempeño del negocio de Peluquería, que pudo aprovechar su sólido desempeño del año anterior. El negocio de consumo, por su parte, se sitúa por debajo del nivel del año anterior, principalmente por la implantación de las medidas de mejora de cartera anunciadas para 2022. El </w:t>
      </w:r>
      <w:r w:rsidRPr="00CF57C0">
        <w:rPr>
          <w:rFonts w:ascii="Segoe UI" w:hAnsi="Segoe UI" w:cs="Segoe UI"/>
          <w:b/>
          <w:bCs/>
          <w:sz w:val="22"/>
          <w:szCs w:val="22"/>
          <w:lang w:val="es-ES"/>
        </w:rPr>
        <w:t>resultado operativo ajustado</w:t>
      </w:r>
      <w:r w:rsidRPr="00CF57C0">
        <w:rPr>
          <w:rFonts w:ascii="Segoe UI" w:hAnsi="Segoe UI" w:cs="Segoe UI"/>
          <w:sz w:val="22"/>
          <w:szCs w:val="22"/>
          <w:lang w:val="es-ES"/>
        </w:rPr>
        <w:t xml:space="preserve"> alcanza los 169 millones de euros en el primer semestre de 2022, frente a los 183 millones de euros en la primera mitad de 2021. El </w:t>
      </w:r>
      <w:r w:rsidRPr="00CF57C0">
        <w:rPr>
          <w:rFonts w:ascii="Segoe UI" w:hAnsi="Segoe UI" w:cs="Segoe UI"/>
          <w:b/>
          <w:bCs/>
          <w:sz w:val="22"/>
          <w:szCs w:val="22"/>
          <w:lang w:val="es-ES"/>
        </w:rPr>
        <w:t>rendimiento ajustado de las ventas</w:t>
      </w:r>
      <w:r w:rsidRPr="00CF57C0">
        <w:rPr>
          <w:rFonts w:ascii="Segoe UI" w:hAnsi="Segoe UI" w:cs="Segoe UI"/>
          <w:sz w:val="22"/>
          <w:szCs w:val="22"/>
          <w:lang w:val="es-ES"/>
        </w:rPr>
        <w:t xml:space="preserve"> fue de 0,8 puntos porcentuales por debajo del nivel del año anterior en 9,2%, también afectado por los precios más altos de los materiales directos.</w:t>
      </w:r>
    </w:p>
    <w:p w14:paraId="007D57B9" w14:textId="77777777" w:rsidR="009113A5" w:rsidRPr="00CF57C0" w:rsidRDefault="009113A5" w:rsidP="00CF57C0">
      <w:pPr>
        <w:spacing w:after="120" w:line="276" w:lineRule="auto"/>
        <w:jc w:val="both"/>
        <w:rPr>
          <w:rFonts w:ascii="Segoe UI" w:hAnsi="Segoe UI" w:cs="Segoe UI"/>
          <w:sz w:val="22"/>
          <w:szCs w:val="22"/>
          <w:lang w:val="es-ES"/>
        </w:rPr>
      </w:pPr>
    </w:p>
    <w:p w14:paraId="639B0A4E" w14:textId="3203E6F2" w:rsidR="009113A5" w:rsidRPr="00CF57C0" w:rsidRDefault="009113A5" w:rsidP="00CF57C0">
      <w:pPr>
        <w:spacing w:after="120" w:line="276" w:lineRule="auto"/>
        <w:jc w:val="both"/>
        <w:rPr>
          <w:rFonts w:ascii="Segoe UI" w:hAnsi="Segoe UI" w:cs="Segoe UI"/>
          <w:sz w:val="22"/>
          <w:szCs w:val="22"/>
          <w:lang w:val="es-ES"/>
        </w:rPr>
      </w:pPr>
      <w:r w:rsidRPr="00CF57C0">
        <w:rPr>
          <w:rFonts w:ascii="Segoe UI" w:hAnsi="Segoe UI" w:cs="Segoe UI"/>
          <w:sz w:val="22"/>
          <w:szCs w:val="22"/>
          <w:lang w:val="es-ES"/>
        </w:rPr>
        <w:t xml:space="preserve">La unidad de negocio de </w:t>
      </w:r>
      <w:r w:rsidRPr="00CF57C0">
        <w:rPr>
          <w:rFonts w:ascii="Segoe UI" w:hAnsi="Segoe UI" w:cs="Segoe UI"/>
          <w:b/>
          <w:bCs/>
          <w:sz w:val="22"/>
          <w:szCs w:val="22"/>
          <w:lang w:val="es-ES"/>
        </w:rPr>
        <w:t>Detergentes y Cuidado del Hogar</w:t>
      </w:r>
      <w:r w:rsidRPr="00CF57C0">
        <w:rPr>
          <w:rFonts w:ascii="Segoe UI" w:hAnsi="Segoe UI" w:cs="Segoe UI"/>
          <w:sz w:val="22"/>
          <w:szCs w:val="22"/>
          <w:lang w:val="es-ES"/>
        </w:rPr>
        <w:t xml:space="preserve"> logró un </w:t>
      </w:r>
      <w:r w:rsidRPr="00CF57C0">
        <w:rPr>
          <w:rFonts w:ascii="Segoe UI" w:hAnsi="Segoe UI" w:cs="Segoe UI"/>
          <w:b/>
          <w:bCs/>
          <w:sz w:val="22"/>
          <w:szCs w:val="22"/>
          <w:lang w:val="es-ES"/>
        </w:rPr>
        <w:t>aumento orgánico</w:t>
      </w:r>
      <w:r w:rsidRPr="00CF57C0">
        <w:rPr>
          <w:rFonts w:ascii="Segoe UI" w:hAnsi="Segoe UI" w:cs="Segoe UI"/>
          <w:sz w:val="22"/>
          <w:szCs w:val="22"/>
          <w:lang w:val="es-ES"/>
        </w:rPr>
        <w:t xml:space="preserve"> significativo en las ventas de +7,4 por ciento en la primera mitad de 2022 (Q2: +10,1 por ciento). El crecimiento fue impulsado en particular por un aumento de dos dígitos en las ventas en el negocio de </w:t>
      </w:r>
      <w:r w:rsidR="00CF57C0">
        <w:rPr>
          <w:rFonts w:ascii="Segoe UI" w:hAnsi="Segoe UI" w:cs="Segoe UI"/>
          <w:sz w:val="22"/>
          <w:szCs w:val="22"/>
          <w:lang w:val="es-ES"/>
        </w:rPr>
        <w:t>Detergentes</w:t>
      </w:r>
      <w:r w:rsidRPr="00CF57C0">
        <w:rPr>
          <w:rFonts w:ascii="Segoe UI" w:hAnsi="Segoe UI" w:cs="Segoe UI"/>
          <w:sz w:val="22"/>
          <w:szCs w:val="22"/>
          <w:lang w:val="es-ES"/>
        </w:rPr>
        <w:t xml:space="preserve">. En términos nominales, las ventas aumentaron un +6,7%, hasta los 3.494 millones de euros (Q2: 1.802 millones de euros, +11,3%). El </w:t>
      </w:r>
      <w:r w:rsidRPr="00CF57C0">
        <w:rPr>
          <w:rFonts w:ascii="Segoe UI" w:hAnsi="Segoe UI" w:cs="Segoe UI"/>
          <w:b/>
          <w:bCs/>
          <w:sz w:val="22"/>
          <w:szCs w:val="22"/>
          <w:lang w:val="es-ES"/>
        </w:rPr>
        <w:t xml:space="preserve">beneficio operativo ajustado </w:t>
      </w:r>
      <w:r w:rsidRPr="00CF57C0">
        <w:rPr>
          <w:rFonts w:ascii="Segoe UI" w:hAnsi="Segoe UI" w:cs="Segoe UI"/>
          <w:sz w:val="22"/>
          <w:szCs w:val="22"/>
          <w:lang w:val="es-ES"/>
        </w:rPr>
        <w:t>fue</w:t>
      </w:r>
      <w:r w:rsidRPr="00CF57C0">
        <w:rPr>
          <w:rFonts w:ascii="Segoe UI" w:hAnsi="Segoe UI" w:cs="Segoe UI"/>
          <w:b/>
          <w:bCs/>
          <w:sz w:val="22"/>
          <w:szCs w:val="22"/>
          <w:lang w:val="es-ES"/>
        </w:rPr>
        <w:t xml:space="preserve"> </w:t>
      </w:r>
      <w:r w:rsidRPr="00CF57C0">
        <w:rPr>
          <w:rFonts w:ascii="Segoe UI" w:hAnsi="Segoe UI" w:cs="Segoe UI"/>
          <w:sz w:val="22"/>
          <w:szCs w:val="22"/>
          <w:lang w:val="es-ES"/>
        </w:rPr>
        <w:t xml:space="preserve">de 313 millones de euros, en comparación con los 490 millones de euros del mismo período del año anterior. El </w:t>
      </w:r>
      <w:r w:rsidRPr="00CF57C0">
        <w:rPr>
          <w:rFonts w:ascii="Segoe UI" w:hAnsi="Segoe UI" w:cs="Segoe UI"/>
          <w:b/>
          <w:bCs/>
          <w:sz w:val="22"/>
          <w:szCs w:val="22"/>
          <w:lang w:val="es-ES"/>
        </w:rPr>
        <w:t>rendimiento ajustado de las ventas</w:t>
      </w:r>
      <w:r w:rsidRPr="00CF57C0">
        <w:rPr>
          <w:rFonts w:ascii="Segoe UI" w:hAnsi="Segoe UI" w:cs="Segoe UI"/>
          <w:sz w:val="22"/>
          <w:szCs w:val="22"/>
          <w:lang w:val="es-ES"/>
        </w:rPr>
        <w:t xml:space="preserve"> fue del 9,0%, también por debajo del nivel del primer semestre de 2021, particularmente debido al aumento significativo en los precios de los materiales directos.</w:t>
      </w:r>
    </w:p>
    <w:p w14:paraId="4DE731B8" w14:textId="77777777" w:rsidR="009113A5" w:rsidRPr="00CF57C0" w:rsidRDefault="009113A5" w:rsidP="00CF57C0">
      <w:pPr>
        <w:spacing w:after="120" w:line="276" w:lineRule="auto"/>
        <w:jc w:val="both"/>
        <w:rPr>
          <w:rFonts w:ascii="Segoe UI" w:hAnsi="Segoe UI" w:cs="Segoe UI"/>
          <w:b/>
          <w:bCs/>
          <w:sz w:val="22"/>
          <w:szCs w:val="22"/>
          <w:lang w:val="es-MX" w:eastAsia="de-DE"/>
        </w:rPr>
      </w:pPr>
    </w:p>
    <w:p w14:paraId="396B4DEA" w14:textId="77777777" w:rsidR="009113A5" w:rsidRPr="00CF57C0" w:rsidRDefault="009113A5" w:rsidP="00CF57C0">
      <w:pPr>
        <w:autoSpaceDE w:val="0"/>
        <w:autoSpaceDN w:val="0"/>
        <w:adjustRightInd w:val="0"/>
        <w:spacing w:line="276" w:lineRule="auto"/>
        <w:jc w:val="both"/>
        <w:rPr>
          <w:rFonts w:ascii="Segoe UI" w:hAnsi="Segoe UI" w:cs="Segoe UI"/>
          <w:b/>
          <w:bCs/>
          <w:sz w:val="22"/>
          <w:szCs w:val="22"/>
          <w:lang w:val="es-ES" w:eastAsia="de-DE"/>
        </w:rPr>
      </w:pPr>
      <w:bookmarkStart w:id="1" w:name="_Hlk109204398"/>
      <w:r w:rsidRPr="00CF57C0">
        <w:rPr>
          <w:rFonts w:ascii="Segoe UI" w:hAnsi="Segoe UI" w:cs="Segoe UI"/>
          <w:b/>
          <w:bCs/>
          <w:sz w:val="22"/>
          <w:szCs w:val="22"/>
          <w:lang w:val="es-ES" w:eastAsia="de-DE"/>
        </w:rPr>
        <w:t>Agenda para el Crecimiento Propósito: buen progreso</w:t>
      </w:r>
    </w:p>
    <w:bookmarkEnd w:id="1"/>
    <w:p w14:paraId="6498DD53"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r w:rsidRPr="00CF57C0">
        <w:rPr>
          <w:rFonts w:ascii="Segoe UI" w:hAnsi="Segoe UI" w:cs="Segoe UI"/>
          <w:sz w:val="22"/>
          <w:szCs w:val="22"/>
          <w:lang w:val="es-ES"/>
        </w:rPr>
        <w:t>Henkel persigue una agenda de crecimiento con propósito y ha desarrollado un marco estratégico claro para ello. Los elementos clave del marco estratégico son una cartera exitosa, una clara ventaja competitiva en las áreas de innovación, sostenibilidad y digitalización, así como modelos operativos preparados para el futuro, basados ​​en una sólida cultura empresarial.</w:t>
      </w:r>
    </w:p>
    <w:p w14:paraId="576FB8C1"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p>
    <w:p w14:paraId="740FAAC3" w14:textId="44EA3BE5"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En la primera mitad de 2022, Henkel continuó trabajando constantemente en la implementación de su agenda de crecimiento y logró un buen progreso en todos los pilares. Con la fusión de las unidades de negocio de </w:t>
      </w:r>
      <w:r w:rsidR="00CF57C0">
        <w:rPr>
          <w:rFonts w:ascii="Segoe UI" w:hAnsi="Segoe UI" w:cs="Segoe UI"/>
          <w:sz w:val="22"/>
          <w:szCs w:val="22"/>
          <w:lang w:val="es-ES"/>
        </w:rPr>
        <w:t>Detergentes</w:t>
      </w:r>
      <w:r w:rsidRPr="00CF57C0">
        <w:rPr>
          <w:rFonts w:ascii="Segoe UI" w:hAnsi="Segoe UI" w:cs="Segoe UI"/>
          <w:sz w:val="22"/>
          <w:szCs w:val="22"/>
          <w:lang w:val="es-ES"/>
        </w:rPr>
        <w:t xml:space="preserve"> y Cuidado del Hogar y Cuidado de la Belleza en la nueva unidad de negocio </w:t>
      </w:r>
      <w:r w:rsidRPr="00CF57C0">
        <w:rPr>
          <w:rFonts w:ascii="Segoe UI" w:hAnsi="Segoe UI" w:cs="Segoe UI"/>
          <w:b/>
          <w:bCs/>
          <w:sz w:val="22"/>
          <w:szCs w:val="22"/>
          <w:lang w:val="es-ES"/>
        </w:rPr>
        <w:t>Henkel Consumer Brands</w:t>
      </w:r>
      <w:r w:rsidRPr="00CF57C0">
        <w:rPr>
          <w:rFonts w:ascii="Segoe UI" w:hAnsi="Segoe UI" w:cs="Segoe UI"/>
          <w:sz w:val="22"/>
          <w:szCs w:val="22"/>
          <w:lang w:val="es-ES"/>
        </w:rPr>
        <w:t xml:space="preserve">, la compañía está llevando </w:t>
      </w:r>
      <w:r w:rsidRPr="00CF57C0">
        <w:rPr>
          <w:rFonts w:ascii="Segoe UI" w:hAnsi="Segoe UI" w:cs="Segoe UI"/>
          <w:sz w:val="22"/>
          <w:szCs w:val="22"/>
          <w:lang w:val="es-ES"/>
        </w:rPr>
        <w:lastRenderedPageBreak/>
        <w:t>su agenda de crecimiento al siguiente nivel. La estructura de la nueva unidad de negocios comprende las dos categorías globales de Detergentes y Cuidado del Hogar y Cuidado del Cabello, respaldadas por funciones centrales y cuatro regiones. Otras categorías se gestionarán bajo control regional. Ya se han definido los primeros cuatro niveles de gestión. En el mercado individual más grande de Henkel, EE.UU., se espera que la nueva organización esté completamente establecida a partir de septiembre.</w:t>
      </w:r>
    </w:p>
    <w:p w14:paraId="1816F533"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p>
    <w:p w14:paraId="43C970D5"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En el contexto de la fusión de los dos negocios de consumo y como parte de una </w:t>
      </w:r>
      <w:r w:rsidRPr="00CF57C0">
        <w:rPr>
          <w:rFonts w:ascii="Segoe UI" w:hAnsi="Segoe UI" w:cs="Segoe UI"/>
          <w:b/>
          <w:bCs/>
          <w:sz w:val="22"/>
          <w:szCs w:val="22"/>
          <w:lang w:val="es-ES"/>
        </w:rPr>
        <w:t>gestión activa de cartera</w:t>
      </w:r>
      <w:r w:rsidRPr="00CF57C0">
        <w:rPr>
          <w:rFonts w:ascii="Segoe UI" w:hAnsi="Segoe UI" w:cs="Segoe UI"/>
          <w:sz w:val="22"/>
          <w:szCs w:val="22"/>
          <w:lang w:val="es-ES"/>
        </w:rPr>
        <w:t>, actualmente se están revisando negocios y marcas que suman unas ventas totales de hasta 1.000 millones de euros. Esto incluye la desinversión o descontinuación de negocios que no cumplan con los criterios de Henkel en términos de crecimiento y rentabilidad. En la primera mitad de 2022, Henkel ya ha logrado un buen progreso al salir de algunos negocios no centrales en el cuidado de la belleza. Estas son parte de las medidas de cartera en Beauty Care, con un volumen de ventas de alrededor de 200 millones de euros, cuyo objetivo es ejecutar a finales de año.</w:t>
      </w:r>
    </w:p>
    <w:p w14:paraId="21FA63E9"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p>
    <w:p w14:paraId="1DD7B4E4"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r w:rsidRPr="00CF57C0">
        <w:rPr>
          <w:rFonts w:ascii="Segoe UI" w:hAnsi="Segoe UI" w:cs="Segoe UI"/>
          <w:sz w:val="22"/>
          <w:szCs w:val="22"/>
          <w:lang w:val="es-ES"/>
        </w:rPr>
        <w:t xml:space="preserve">Henkel también fortaleció, aún más, su cartera a través de </w:t>
      </w:r>
      <w:r w:rsidRPr="00CF57C0">
        <w:rPr>
          <w:rFonts w:ascii="Segoe UI" w:hAnsi="Segoe UI" w:cs="Segoe UI"/>
          <w:b/>
          <w:bCs/>
          <w:sz w:val="22"/>
          <w:szCs w:val="22"/>
          <w:lang w:val="es-ES"/>
        </w:rPr>
        <w:t>adquisiciones</w:t>
      </w:r>
      <w:r w:rsidRPr="00CF57C0">
        <w:rPr>
          <w:rFonts w:ascii="Segoe UI" w:hAnsi="Segoe UI" w:cs="Segoe UI"/>
          <w:sz w:val="22"/>
          <w:szCs w:val="22"/>
          <w:lang w:val="es-ES"/>
        </w:rPr>
        <w:t>. En julio de 2022, se cerró la adquisición del negocio Hair Professional de Shiseido en la región de Asia-Pacífico. Esto ha convertido a Henkel en el co-número 2 mundial en el negocio Profesional de Cabellos.</w:t>
      </w:r>
    </w:p>
    <w:p w14:paraId="77436119" w14:textId="77777777" w:rsidR="009113A5" w:rsidRPr="00CF57C0" w:rsidRDefault="009113A5" w:rsidP="00CF57C0">
      <w:pPr>
        <w:autoSpaceDE w:val="0"/>
        <w:autoSpaceDN w:val="0"/>
        <w:adjustRightInd w:val="0"/>
        <w:spacing w:line="276" w:lineRule="auto"/>
        <w:jc w:val="both"/>
        <w:rPr>
          <w:rFonts w:ascii="Segoe UI" w:hAnsi="Segoe UI" w:cs="Segoe UI"/>
          <w:sz w:val="22"/>
          <w:szCs w:val="22"/>
          <w:lang w:val="es-ES"/>
        </w:rPr>
      </w:pPr>
    </w:p>
    <w:p w14:paraId="6EF0E6DA"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r w:rsidRPr="00CF57C0">
        <w:rPr>
          <w:rFonts w:ascii="Segoe UI" w:hAnsi="Segoe UI" w:cs="Segoe UI"/>
          <w:bCs/>
          <w:sz w:val="22"/>
          <w:szCs w:val="22"/>
          <w:lang w:val="es-ES"/>
        </w:rPr>
        <w:t xml:space="preserve">Para fortalecer su </w:t>
      </w:r>
      <w:r w:rsidRPr="00CF57C0">
        <w:rPr>
          <w:rFonts w:ascii="Segoe UI" w:hAnsi="Segoe UI" w:cs="Segoe UI"/>
          <w:b/>
          <w:sz w:val="22"/>
          <w:szCs w:val="22"/>
          <w:lang w:val="es-ES"/>
        </w:rPr>
        <w:t>ventaja competitiva</w:t>
      </w:r>
      <w:r w:rsidRPr="00CF57C0">
        <w:rPr>
          <w:rFonts w:ascii="Segoe UI" w:hAnsi="Segoe UI" w:cs="Segoe UI"/>
          <w:bCs/>
          <w:sz w:val="22"/>
          <w:szCs w:val="22"/>
          <w:lang w:val="es-ES"/>
        </w:rPr>
        <w:t xml:space="preserve">, Henkel se centró en acelerar aún más las </w:t>
      </w:r>
      <w:r w:rsidRPr="00CF57C0">
        <w:rPr>
          <w:rFonts w:ascii="Segoe UI" w:hAnsi="Segoe UI" w:cs="Segoe UI"/>
          <w:b/>
          <w:sz w:val="22"/>
          <w:szCs w:val="22"/>
          <w:lang w:val="es-ES"/>
        </w:rPr>
        <w:t>innovaciones</w:t>
      </w:r>
      <w:r w:rsidRPr="00CF57C0">
        <w:rPr>
          <w:rFonts w:ascii="Segoe UI" w:hAnsi="Segoe UI" w:cs="Segoe UI"/>
          <w:bCs/>
          <w:sz w:val="22"/>
          <w:szCs w:val="22"/>
          <w:lang w:val="es-ES"/>
        </w:rPr>
        <w:t xml:space="preserve">, impulsar la </w:t>
      </w:r>
      <w:r w:rsidRPr="00CF57C0">
        <w:rPr>
          <w:rFonts w:ascii="Segoe UI" w:hAnsi="Segoe UI" w:cs="Segoe UI"/>
          <w:b/>
          <w:sz w:val="22"/>
          <w:szCs w:val="22"/>
          <w:lang w:val="es-ES"/>
        </w:rPr>
        <w:t>sustentabilidad</w:t>
      </w:r>
      <w:r w:rsidRPr="00CF57C0">
        <w:rPr>
          <w:rFonts w:ascii="Segoe UI" w:hAnsi="Segoe UI" w:cs="Segoe UI"/>
          <w:bCs/>
          <w:sz w:val="22"/>
          <w:szCs w:val="22"/>
          <w:lang w:val="es-ES"/>
        </w:rPr>
        <w:t xml:space="preserve"> como factor diferenciador y aumentar la creación de valor para los clientes y consumidores a través de la </w:t>
      </w:r>
      <w:r w:rsidRPr="00CF57C0">
        <w:rPr>
          <w:rFonts w:ascii="Segoe UI" w:hAnsi="Segoe UI" w:cs="Segoe UI"/>
          <w:b/>
          <w:sz w:val="22"/>
          <w:szCs w:val="22"/>
          <w:lang w:val="es-ES"/>
        </w:rPr>
        <w:t>digitalización</w:t>
      </w:r>
      <w:r w:rsidRPr="00CF57C0">
        <w:rPr>
          <w:rFonts w:ascii="Segoe UI" w:hAnsi="Segoe UI" w:cs="Segoe UI"/>
          <w:bCs/>
          <w:sz w:val="22"/>
          <w:szCs w:val="22"/>
          <w:lang w:val="es-ES"/>
        </w:rPr>
        <w:t>.</w:t>
      </w:r>
    </w:p>
    <w:p w14:paraId="2AD53341"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p>
    <w:p w14:paraId="501C1A68"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r w:rsidRPr="00CF57C0">
        <w:rPr>
          <w:rFonts w:ascii="Segoe UI" w:hAnsi="Segoe UI" w:cs="Segoe UI"/>
          <w:bCs/>
          <w:sz w:val="22"/>
          <w:szCs w:val="22"/>
          <w:lang w:val="es-ES"/>
        </w:rPr>
        <w:t xml:space="preserve">Un pilar clave de la estrategia de Henkel es una clara diferenciación en el mercado a través de </w:t>
      </w:r>
      <w:r w:rsidRPr="00CF57C0">
        <w:rPr>
          <w:rFonts w:ascii="Segoe UI" w:hAnsi="Segoe UI" w:cs="Segoe UI"/>
          <w:b/>
          <w:sz w:val="22"/>
          <w:szCs w:val="22"/>
          <w:lang w:val="es-ES"/>
        </w:rPr>
        <w:t>innovaciones</w:t>
      </w:r>
      <w:r w:rsidRPr="00CF57C0">
        <w:rPr>
          <w:rFonts w:ascii="Segoe UI" w:hAnsi="Segoe UI" w:cs="Segoe UI"/>
          <w:bCs/>
          <w:sz w:val="22"/>
          <w:szCs w:val="22"/>
          <w:lang w:val="es-ES"/>
        </w:rPr>
        <w:t xml:space="preserve"> exitosas. Estos apoyaron el crecimiento significativamente en la primera mitad del año. En Tecnologías Adhesivas, por ejemplo, Henkel ha desarrollado nuevos recubrimientos de protección contra incendios para baterías de vehículos eléctricos. No solo aumentan significativamente la seguridad de los pasajeros, sino que también permiten a los clientes de la industria automotriz lograr una producción rentable. En Beauty Care, Henkel ha relanzado su marca de cuidado del cabello Schauma con un concepto de empaque sostenible rediseñado que utiliza entre un 50 y 100% de plástico reciclado. En la unidad de negocios de Laundry &amp; Beauty Care, Persil logró un crecimiento de dos dígitos y mayores ganancias de participación de mercado, respaldado por la expansión de la gama de productos sostenibles y listos para el comercio electrónico.</w:t>
      </w:r>
    </w:p>
    <w:p w14:paraId="612DE0CB"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p>
    <w:p w14:paraId="3815C3DB"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r w:rsidRPr="00CF57C0">
        <w:rPr>
          <w:rFonts w:ascii="Segoe UI" w:hAnsi="Segoe UI" w:cs="Segoe UI"/>
          <w:bCs/>
          <w:sz w:val="22"/>
          <w:szCs w:val="22"/>
          <w:lang w:val="es-ES"/>
        </w:rPr>
        <w:t xml:space="preserve">Durante mucho tiempo, la </w:t>
      </w:r>
      <w:r w:rsidRPr="00CF57C0">
        <w:rPr>
          <w:rFonts w:ascii="Segoe UI" w:hAnsi="Segoe UI" w:cs="Segoe UI"/>
          <w:b/>
          <w:sz w:val="22"/>
          <w:szCs w:val="22"/>
          <w:lang w:val="es-ES"/>
        </w:rPr>
        <w:t>sustentabilidad</w:t>
      </w:r>
      <w:r w:rsidRPr="00CF57C0">
        <w:rPr>
          <w:rFonts w:ascii="Segoe UI" w:hAnsi="Segoe UI" w:cs="Segoe UI"/>
          <w:bCs/>
          <w:sz w:val="22"/>
          <w:szCs w:val="22"/>
          <w:lang w:val="es-ES"/>
        </w:rPr>
        <w:t xml:space="preserve"> ha sido una de las mayores fortalezas de Henkel. Para reflejar la creciente importancia de la gestión sostenible y las crecientes expectativas de los clientes y la sociedad, Henkel ha mejorado su estrategia de sostenibilidad a largo plazo con </w:t>
      </w:r>
      <w:r w:rsidRPr="00CF57C0">
        <w:rPr>
          <w:rFonts w:ascii="Segoe UI" w:hAnsi="Segoe UI" w:cs="Segoe UI"/>
          <w:bCs/>
          <w:sz w:val="22"/>
          <w:szCs w:val="22"/>
          <w:lang w:val="es-ES"/>
        </w:rPr>
        <w:lastRenderedPageBreak/>
        <w:t>su nuevo "Marco de ambición de sostenibilidad 2030+", presentado a principios de este año. Además de los objetivos existentes, se han establecido nuevas ambiciones a largo plazo para impulsar un mayor progreso en tres dimensiones: "Planeta regenerativo", "Comunidades prósperas" y "Socio de confianza".</w:t>
      </w:r>
    </w:p>
    <w:p w14:paraId="360788EB" w14:textId="77777777" w:rsidR="009113A5" w:rsidRPr="00CF57C0" w:rsidRDefault="009113A5" w:rsidP="00CF57C0">
      <w:pPr>
        <w:autoSpaceDE w:val="0"/>
        <w:autoSpaceDN w:val="0"/>
        <w:adjustRightInd w:val="0"/>
        <w:spacing w:line="276" w:lineRule="auto"/>
        <w:jc w:val="both"/>
        <w:rPr>
          <w:rFonts w:ascii="Segoe UI" w:hAnsi="Segoe UI" w:cs="Segoe UI"/>
          <w:color w:val="000000"/>
          <w:sz w:val="22"/>
          <w:szCs w:val="22"/>
          <w:shd w:val="clear" w:color="auto" w:fill="FFFFFF"/>
          <w:lang w:val="es-ES"/>
        </w:rPr>
      </w:pPr>
    </w:p>
    <w:p w14:paraId="5A1C6979"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bookmarkStart w:id="2" w:name="_Hlk109206660"/>
      <w:r w:rsidRPr="00CF57C0">
        <w:rPr>
          <w:rFonts w:ascii="Segoe UI" w:hAnsi="Segoe UI" w:cs="Segoe UI"/>
          <w:bCs/>
          <w:sz w:val="22"/>
          <w:szCs w:val="22"/>
          <w:lang w:val="es-ES"/>
        </w:rPr>
        <w:t>Henkel avanzó aún más en sustentabilidad en la primera mitad de 2022. En el camino para lograr el objetivo de un balance de CO2 positivo para el clima en sus sitios de producción para 2030. Henkel, por ejemplo, ha convertido tres sitios adicionales en Europa para operar con 100% de energía neutra en CO2. Además, Henkel continúa dependiendo constantemente de materias primas renovables. A través de una asociación con BASF, alrededor de 110.000 toneladas de materiales de origen fósil se reemplazan con fuentes de carbono renovables.</w:t>
      </w:r>
    </w:p>
    <w:p w14:paraId="0F073973"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p>
    <w:p w14:paraId="2333B93C" w14:textId="77777777" w:rsidR="009113A5" w:rsidRPr="00CF57C0" w:rsidRDefault="009113A5" w:rsidP="00CF57C0">
      <w:pPr>
        <w:autoSpaceDE w:val="0"/>
        <w:autoSpaceDN w:val="0"/>
        <w:adjustRightInd w:val="0"/>
        <w:spacing w:line="276" w:lineRule="auto"/>
        <w:jc w:val="both"/>
        <w:rPr>
          <w:rFonts w:ascii="Segoe UI" w:hAnsi="Segoe UI" w:cs="Segoe UI"/>
          <w:bCs/>
          <w:sz w:val="22"/>
          <w:szCs w:val="22"/>
          <w:lang w:val="es-ES"/>
        </w:rPr>
      </w:pPr>
      <w:r w:rsidRPr="00CF57C0">
        <w:rPr>
          <w:rFonts w:ascii="Segoe UI" w:hAnsi="Segoe UI" w:cs="Segoe UI"/>
          <w:bCs/>
          <w:sz w:val="22"/>
          <w:szCs w:val="22"/>
          <w:lang w:val="es-ES"/>
        </w:rPr>
        <w:t xml:space="preserve">Junto a la innovación y la sostenibilidad, Henkel ha definido la </w:t>
      </w:r>
      <w:r w:rsidRPr="00CF57C0">
        <w:rPr>
          <w:rFonts w:ascii="Segoe UI" w:hAnsi="Segoe UI" w:cs="Segoe UI"/>
          <w:b/>
          <w:sz w:val="22"/>
          <w:szCs w:val="22"/>
          <w:lang w:val="es-ES"/>
        </w:rPr>
        <w:t>digitalización</w:t>
      </w:r>
      <w:r w:rsidRPr="00CF57C0">
        <w:rPr>
          <w:rFonts w:ascii="Segoe UI" w:hAnsi="Segoe UI" w:cs="Segoe UI"/>
          <w:bCs/>
          <w:sz w:val="22"/>
          <w:szCs w:val="22"/>
          <w:lang w:val="es-ES"/>
        </w:rPr>
        <w:t xml:space="preserve"> como una palanca clave para fortalecer su competitividad. En la primera mitad del año, la participación de las ventas generadas a través de canales digitales creció a dos dígitos, alcanzando más del 20 por ciento. A través de su plataforma de comercio electrónico, la unidad de negocios de Tecnologías Adhesivas logró un crecimiento de dos dígitos en la primera mitad de 2022. El eShop en el negocio de Hair Professional también registró un crecimiento de dos dígitos con una gama ampliada de marcas y productos. Además, Henkel está ampliando aún más sus ofertas listas para el comercio electrónico en Laundry &amp; Home Care. La nueva plataforma técnica integrada RAQN contribuyó a ello.</w:t>
      </w:r>
    </w:p>
    <w:bookmarkEnd w:id="2"/>
    <w:p w14:paraId="1255FF14" w14:textId="77777777" w:rsidR="009113A5" w:rsidRPr="00CF57C0" w:rsidRDefault="009113A5" w:rsidP="00CF57C0">
      <w:pPr>
        <w:spacing w:line="276" w:lineRule="auto"/>
        <w:jc w:val="both"/>
        <w:rPr>
          <w:rFonts w:ascii="Segoe UI" w:hAnsi="Segoe UI" w:cs="Segoe UI"/>
          <w:sz w:val="22"/>
          <w:szCs w:val="22"/>
          <w:lang w:val="es-MX" w:eastAsia="de-DE"/>
        </w:rPr>
      </w:pPr>
    </w:p>
    <w:p w14:paraId="0827524C" w14:textId="77777777" w:rsidR="009113A5" w:rsidRPr="00CF57C0" w:rsidRDefault="009113A5" w:rsidP="00CF57C0">
      <w:pPr>
        <w:spacing w:line="276" w:lineRule="auto"/>
        <w:jc w:val="both"/>
        <w:rPr>
          <w:rStyle w:val="AboutandContactHeadline"/>
          <w:rFonts w:cs="Segoe UI"/>
          <w:b w:val="0"/>
          <w:sz w:val="22"/>
          <w:szCs w:val="22"/>
          <w:lang w:val="es-ES"/>
        </w:rPr>
      </w:pPr>
      <w:r w:rsidRPr="00CF57C0">
        <w:rPr>
          <w:rStyle w:val="AboutandContactHeadline"/>
          <w:rFonts w:cs="Segoe UI"/>
          <w:b w:val="0"/>
          <w:sz w:val="22"/>
          <w:szCs w:val="22"/>
          <w:lang w:val="es-ES"/>
        </w:rPr>
        <w:t xml:space="preserve">Los </w:t>
      </w:r>
      <w:r w:rsidRPr="00CF57C0">
        <w:rPr>
          <w:rStyle w:val="AboutandContactHeadline"/>
          <w:rFonts w:cs="Segoe UI"/>
          <w:bCs w:val="0"/>
          <w:sz w:val="22"/>
          <w:szCs w:val="22"/>
          <w:lang w:val="es-ES"/>
        </w:rPr>
        <w:t>modelos operativos ágiles, rápidos y preparados para el futuro</w:t>
      </w:r>
      <w:r w:rsidRPr="00CF57C0">
        <w:rPr>
          <w:rStyle w:val="AboutandContactHeadline"/>
          <w:rFonts w:cs="Segoe UI"/>
          <w:b w:val="0"/>
          <w:sz w:val="22"/>
          <w:szCs w:val="22"/>
          <w:lang w:val="es-ES"/>
        </w:rPr>
        <w:t xml:space="preserve"> son elementos importantes del marco estratégico de Henkel. La compañía ha ampliado aún más los cambios lanzados en 2020: la unidad digital Henkel DX tiene estructuras altamente eficientes que permiten mayores inversiones en proyectos de TI a costos estables.</w:t>
      </w:r>
    </w:p>
    <w:p w14:paraId="678CF1A4" w14:textId="77777777" w:rsidR="009113A5" w:rsidRPr="00CF57C0" w:rsidRDefault="009113A5" w:rsidP="00CF57C0">
      <w:pPr>
        <w:spacing w:line="276" w:lineRule="auto"/>
        <w:jc w:val="both"/>
        <w:rPr>
          <w:rStyle w:val="AboutandContactHeadline"/>
          <w:rFonts w:cs="Segoe UI"/>
          <w:b w:val="0"/>
          <w:sz w:val="22"/>
          <w:szCs w:val="22"/>
          <w:lang w:val="es-ES"/>
        </w:rPr>
      </w:pPr>
    </w:p>
    <w:p w14:paraId="251F1E16" w14:textId="77777777" w:rsidR="009113A5" w:rsidRPr="00CF57C0" w:rsidRDefault="009113A5" w:rsidP="00CF57C0">
      <w:pPr>
        <w:spacing w:line="276" w:lineRule="auto"/>
        <w:jc w:val="both"/>
        <w:rPr>
          <w:rStyle w:val="AboutandContactHeadline"/>
          <w:rFonts w:cs="Segoe UI"/>
          <w:b w:val="0"/>
          <w:sz w:val="22"/>
          <w:szCs w:val="22"/>
          <w:lang w:val="es-ES"/>
        </w:rPr>
      </w:pPr>
      <w:r w:rsidRPr="00CF57C0">
        <w:rPr>
          <w:rStyle w:val="AboutandContactHeadline"/>
          <w:rFonts w:cs="Segoe UI"/>
          <w:b w:val="0"/>
          <w:sz w:val="22"/>
          <w:szCs w:val="22"/>
          <w:lang w:val="es-ES"/>
        </w:rPr>
        <w:t xml:space="preserve">Otro elemento clave de la Agenda de Crecimiento con Propósito es desarrollar aún más la </w:t>
      </w:r>
      <w:r w:rsidRPr="00CF57C0">
        <w:rPr>
          <w:rStyle w:val="AboutandContactHeadline"/>
          <w:rFonts w:cs="Segoe UI"/>
          <w:bCs w:val="0"/>
          <w:sz w:val="22"/>
          <w:szCs w:val="22"/>
          <w:lang w:val="es-ES"/>
        </w:rPr>
        <w:t>cultura corporativa</w:t>
      </w:r>
      <w:r w:rsidRPr="00CF57C0">
        <w:rPr>
          <w:rStyle w:val="AboutandContactHeadline"/>
          <w:rFonts w:cs="Segoe UI"/>
          <w:b w:val="0"/>
          <w:sz w:val="22"/>
          <w:szCs w:val="22"/>
          <w:lang w:val="es-ES"/>
        </w:rPr>
        <w:t xml:space="preserve"> de Henkel y </w:t>
      </w:r>
      <w:r w:rsidRPr="00CF57C0">
        <w:rPr>
          <w:rStyle w:val="AboutandContactHeadline"/>
          <w:rFonts w:cs="Segoe UI"/>
          <w:bCs w:val="0"/>
          <w:sz w:val="22"/>
          <w:szCs w:val="22"/>
          <w:lang w:val="es-ES"/>
        </w:rPr>
        <w:t>acelerar la transformación cultural</w:t>
      </w:r>
      <w:r w:rsidRPr="00CF57C0">
        <w:rPr>
          <w:rStyle w:val="AboutandContactHeadline"/>
          <w:rFonts w:cs="Segoe UI"/>
          <w:b w:val="0"/>
          <w:sz w:val="22"/>
          <w:szCs w:val="22"/>
          <w:lang w:val="es-ES"/>
        </w:rPr>
        <w:t>. La compañía tiene como objetivo fomentar una cultura colaborativa. En la primera mitad del año, Henkel continuó lanzando una serie de medidas para lograr este objetivo y empoderar aún más a sus empleados.</w:t>
      </w:r>
    </w:p>
    <w:p w14:paraId="35D1EEFC" w14:textId="77777777" w:rsidR="009113A5" w:rsidRPr="00CF57C0" w:rsidRDefault="009113A5" w:rsidP="00CF57C0">
      <w:pPr>
        <w:spacing w:line="276" w:lineRule="auto"/>
        <w:jc w:val="both"/>
        <w:rPr>
          <w:rStyle w:val="AboutandContactHeadline"/>
          <w:rFonts w:cs="Segoe UI"/>
          <w:b w:val="0"/>
          <w:sz w:val="22"/>
          <w:szCs w:val="22"/>
          <w:lang w:val="es-ES"/>
        </w:rPr>
      </w:pPr>
    </w:p>
    <w:p w14:paraId="51CA0DD7" w14:textId="77777777" w:rsidR="009113A5" w:rsidRPr="00CF57C0" w:rsidRDefault="009113A5" w:rsidP="00CF57C0">
      <w:pPr>
        <w:spacing w:line="276" w:lineRule="auto"/>
        <w:jc w:val="both"/>
        <w:rPr>
          <w:rStyle w:val="AboutandContactHeadline"/>
          <w:rFonts w:cs="Segoe UI"/>
          <w:b w:val="0"/>
          <w:sz w:val="22"/>
          <w:szCs w:val="22"/>
          <w:lang w:val="es-ES"/>
        </w:rPr>
      </w:pPr>
      <w:r w:rsidRPr="00CF57C0">
        <w:rPr>
          <w:rStyle w:val="AboutandContactHeadline"/>
          <w:rFonts w:cs="Segoe UI"/>
          <w:b w:val="0"/>
          <w:sz w:val="22"/>
          <w:szCs w:val="22"/>
          <w:lang w:val="es-ES"/>
        </w:rPr>
        <w:t xml:space="preserve">Por ejemplo, Henkel lanzó un programa integral de gestión de cambios en relación con la fusión de las unidades de negocios de Detergentes y Cuidado del Hogar y Beauty Care. El programa se centra en la mejora de las habilidades del cambio y la transformación del equipo. Además, para lograr el objetivo de la paridad de género en todos los niveles de gestión para 2025, Henkel ha tomado medidas concretas adicionales y ha lanzado iniciativas como la Semana de la Diversidad, la Equidad y la Inclusión. Como parte del concepto integral de Smart </w:t>
      </w:r>
      <w:r w:rsidRPr="00CF57C0">
        <w:rPr>
          <w:rStyle w:val="AboutandContactHeadline"/>
          <w:rFonts w:cs="Segoe UI"/>
          <w:b w:val="0"/>
          <w:sz w:val="22"/>
          <w:szCs w:val="22"/>
          <w:lang w:val="es-ES"/>
        </w:rPr>
        <w:lastRenderedPageBreak/>
        <w:t>Work, se introdujeron nuevas iniciativas que se enfocan en la salud mental y el bienestar de los empleados.</w:t>
      </w:r>
    </w:p>
    <w:p w14:paraId="4F81D835" w14:textId="77777777" w:rsidR="009113A5" w:rsidRPr="00CF57C0" w:rsidRDefault="009113A5" w:rsidP="00CF57C0">
      <w:pPr>
        <w:spacing w:line="276" w:lineRule="auto"/>
        <w:jc w:val="both"/>
        <w:rPr>
          <w:rFonts w:ascii="Segoe UI" w:hAnsi="Segoe UI" w:cs="Segoe UI"/>
          <w:sz w:val="22"/>
          <w:szCs w:val="22"/>
          <w:highlight w:val="yellow"/>
          <w:lang w:val="es-ES" w:eastAsia="de-DE"/>
        </w:rPr>
      </w:pPr>
    </w:p>
    <w:p w14:paraId="435040B2" w14:textId="77777777" w:rsidR="009113A5" w:rsidRPr="00CF57C0" w:rsidRDefault="009113A5" w:rsidP="00CF57C0">
      <w:pPr>
        <w:spacing w:line="276" w:lineRule="auto"/>
        <w:jc w:val="both"/>
        <w:rPr>
          <w:rFonts w:ascii="Segoe UI" w:hAnsi="Segoe UI" w:cs="Segoe UI"/>
          <w:sz w:val="22"/>
          <w:szCs w:val="22"/>
          <w:lang w:val="es-ES" w:eastAsia="de-DE"/>
        </w:rPr>
      </w:pPr>
      <w:r w:rsidRPr="00CF57C0">
        <w:rPr>
          <w:rFonts w:ascii="Segoe UI" w:hAnsi="Segoe UI" w:cs="Segoe UI"/>
          <w:sz w:val="22"/>
          <w:szCs w:val="22"/>
          <w:lang w:val="es-ES" w:eastAsia="de-DE"/>
        </w:rPr>
        <w:t>“</w:t>
      </w:r>
      <w:r w:rsidRPr="00CF57C0">
        <w:rPr>
          <w:rStyle w:val="AboutandContactHeadline"/>
          <w:rFonts w:cs="Segoe UI"/>
          <w:b w:val="0"/>
          <w:bCs w:val="0"/>
          <w:sz w:val="22"/>
          <w:szCs w:val="22"/>
          <w:lang w:val="es-ES"/>
        </w:rPr>
        <w:t>Aunque nos enfrentamos a los efectos de la pandemia de COVID y la guerra en Ucrania, aumentamos significativamente nuestras ventas orgánicas y reportadas en la primera mitad del año. Como era de esperar, nuestros resultados se vieron impactados, sobre todo por el drástico incremento en los costos de materias primas y logística. Esto también se refleja en nuestra perspectiva actualizada para el año fiscal 2022”, dijo Carsten Knobel. “Estamos orgullosos del buen progreso que hemos logrado en la implementación de nuestra agenda estratégica para un crecimiento decidido y continuaremos persiguiendo nuestra estrategia de manera constante en este entorno desafiante”.</w:t>
      </w:r>
    </w:p>
    <w:p w14:paraId="0EAC41D8" w14:textId="4C8A00B3" w:rsidR="00C354E8" w:rsidRPr="00CF57C0" w:rsidRDefault="00C354E8" w:rsidP="00CF57C0">
      <w:pPr>
        <w:jc w:val="both"/>
        <w:rPr>
          <w:rFonts w:ascii="Segoe UI" w:hAnsi="Segoe UI" w:cs="Segoe UI"/>
          <w:sz w:val="22"/>
          <w:lang w:val="es-ES"/>
        </w:rPr>
      </w:pPr>
    </w:p>
    <w:p w14:paraId="6549B5C8" w14:textId="57CFA2EE" w:rsidR="009113A5" w:rsidRPr="00CF57C0" w:rsidRDefault="009113A5" w:rsidP="00CF57C0">
      <w:pPr>
        <w:jc w:val="both"/>
        <w:rPr>
          <w:rFonts w:ascii="Segoe UI" w:hAnsi="Segoe UI" w:cs="Segoe UI"/>
          <w:sz w:val="22"/>
          <w:lang w:val="es-ES"/>
        </w:rPr>
      </w:pPr>
    </w:p>
    <w:p w14:paraId="7BEDEA86" w14:textId="77777777" w:rsidR="009113A5" w:rsidRPr="00CF57C0" w:rsidRDefault="009113A5" w:rsidP="00CF57C0">
      <w:pPr>
        <w:jc w:val="both"/>
        <w:rPr>
          <w:rStyle w:val="AboutandContactHeadline"/>
          <w:rFonts w:cs="Segoe UI"/>
          <w:sz w:val="22"/>
          <w:lang w:val="es-ES"/>
        </w:rPr>
      </w:pPr>
      <w:r w:rsidRPr="00CF57C0">
        <w:rPr>
          <w:rStyle w:val="AboutandContactHeadline"/>
          <w:rFonts w:cs="Segoe UI"/>
          <w:sz w:val="22"/>
          <w:lang w:val="es-ES"/>
        </w:rPr>
        <w:t>Contactos:</w:t>
      </w:r>
    </w:p>
    <w:p w14:paraId="714B17EE" w14:textId="77777777" w:rsidR="009113A5" w:rsidRPr="00CF57C0" w:rsidRDefault="009113A5" w:rsidP="00CF57C0">
      <w:pPr>
        <w:jc w:val="both"/>
        <w:rPr>
          <w:rStyle w:val="AboutandContactHeadline"/>
          <w:rFonts w:cs="Segoe UI"/>
          <w:sz w:val="22"/>
          <w:lang w:val="es-ES"/>
        </w:rPr>
      </w:pPr>
    </w:p>
    <w:p w14:paraId="3C76CA2C" w14:textId="77777777" w:rsidR="009113A5" w:rsidRPr="00CF57C0" w:rsidRDefault="009113A5" w:rsidP="00CF57C0">
      <w:pPr>
        <w:jc w:val="both"/>
        <w:rPr>
          <w:rStyle w:val="AboutandContactHeadline"/>
          <w:rFonts w:cs="Segoe UI"/>
          <w:sz w:val="22"/>
          <w:lang w:val="es-ES"/>
        </w:rPr>
        <w:sectPr w:rsidR="009113A5" w:rsidRPr="00CF57C0">
          <w:headerReference w:type="default" r:id="rId8"/>
          <w:footerReference w:type="default" r:id="rId9"/>
          <w:headerReference w:type="first" r:id="rId10"/>
          <w:footerReference w:type="first" r:id="rId11"/>
          <w:pgSz w:w="11907" w:h="16840"/>
          <w:pgMar w:top="1134" w:right="1418" w:bottom="1985" w:left="1418" w:header="1304" w:footer="947" w:gutter="0"/>
          <w:pgNumType w:start="1"/>
          <w:cols w:space="720"/>
          <w:titlePg/>
        </w:sectPr>
      </w:pPr>
    </w:p>
    <w:p w14:paraId="7EA3003D" w14:textId="695A66EC" w:rsidR="009113A5" w:rsidRPr="00CF57C0" w:rsidRDefault="009113A5" w:rsidP="00CF57C0">
      <w:pPr>
        <w:jc w:val="both"/>
        <w:rPr>
          <w:rStyle w:val="AboutandContactHeadline"/>
          <w:rFonts w:cs="Segoe UI"/>
          <w:sz w:val="22"/>
          <w:lang w:val="es-ES"/>
        </w:rPr>
      </w:pPr>
      <w:r w:rsidRPr="00CF57C0">
        <w:rPr>
          <w:rStyle w:val="AboutandContactHeadline"/>
          <w:rFonts w:cs="Segoe UI"/>
          <w:sz w:val="22"/>
          <w:lang w:val="es-ES"/>
        </w:rPr>
        <w:t>Henkel en Colombia</w:t>
      </w:r>
    </w:p>
    <w:p w14:paraId="4E0FC078" w14:textId="77777777" w:rsidR="009113A5" w:rsidRPr="00CF57C0" w:rsidRDefault="009113A5" w:rsidP="00CF57C0">
      <w:pPr>
        <w:jc w:val="both"/>
        <w:rPr>
          <w:rStyle w:val="AboutandContactHeadline"/>
          <w:rFonts w:cs="Segoe UI"/>
          <w:sz w:val="22"/>
          <w:lang w:val="es-ES"/>
        </w:rPr>
      </w:pPr>
      <w:r w:rsidRPr="00CF57C0">
        <w:rPr>
          <w:rStyle w:val="AboutandContactHeadline"/>
          <w:rFonts w:cs="Segoe UI"/>
          <w:sz w:val="22"/>
          <w:lang w:val="es-ES"/>
        </w:rPr>
        <w:t>María Ximena Marín</w:t>
      </w:r>
    </w:p>
    <w:p w14:paraId="4F9EA07C" w14:textId="77777777" w:rsidR="009113A5" w:rsidRPr="00CF57C0" w:rsidRDefault="009113A5" w:rsidP="00CF57C0">
      <w:pPr>
        <w:jc w:val="both"/>
        <w:rPr>
          <w:rStyle w:val="AboutandContactHeadline"/>
          <w:rFonts w:cs="Segoe UI"/>
          <w:b w:val="0"/>
          <w:bCs w:val="0"/>
          <w:sz w:val="22"/>
          <w:lang w:val="es-ES"/>
        </w:rPr>
      </w:pPr>
      <w:r w:rsidRPr="00CF57C0">
        <w:rPr>
          <w:rStyle w:val="AboutandContactHeadline"/>
          <w:rFonts w:cs="Segoe UI"/>
          <w:b w:val="0"/>
          <w:bCs w:val="0"/>
          <w:sz w:val="22"/>
          <w:lang w:val="es-ES"/>
        </w:rPr>
        <w:t xml:space="preserve">maria.m.marin@henkel.com </w:t>
      </w:r>
    </w:p>
    <w:p w14:paraId="1FC48A33" w14:textId="2D10C222" w:rsidR="009113A5" w:rsidRPr="00CF57C0" w:rsidRDefault="009113A5" w:rsidP="00CF57C0">
      <w:pPr>
        <w:jc w:val="both"/>
        <w:rPr>
          <w:rStyle w:val="AboutandContactHeadline"/>
          <w:rFonts w:cs="Segoe UI"/>
          <w:sz w:val="22"/>
          <w:lang w:val="es-ES"/>
        </w:rPr>
      </w:pPr>
    </w:p>
    <w:p w14:paraId="76F45988" w14:textId="77777777" w:rsidR="009113A5" w:rsidRPr="00CF57C0" w:rsidRDefault="009113A5" w:rsidP="00CF57C0">
      <w:pPr>
        <w:jc w:val="both"/>
        <w:rPr>
          <w:rStyle w:val="AboutandContactHeadline"/>
          <w:rFonts w:cs="Segoe UI"/>
          <w:sz w:val="22"/>
          <w:lang w:val="es-ES"/>
        </w:rPr>
      </w:pPr>
    </w:p>
    <w:p w14:paraId="7EB412C7" w14:textId="77777777" w:rsidR="009113A5" w:rsidRPr="00CF57C0" w:rsidRDefault="009113A5" w:rsidP="00CF57C0">
      <w:pPr>
        <w:jc w:val="both"/>
        <w:rPr>
          <w:rStyle w:val="AboutandContactHeadline"/>
          <w:rFonts w:cs="Segoe UI"/>
          <w:sz w:val="22"/>
          <w:lang w:val="es-ES"/>
        </w:rPr>
      </w:pPr>
      <w:r w:rsidRPr="00CF57C0">
        <w:rPr>
          <w:rStyle w:val="AboutandContactHeadline"/>
          <w:rFonts w:cs="Segoe UI"/>
          <w:sz w:val="22"/>
          <w:lang w:val="es-ES"/>
        </w:rPr>
        <w:t>Babel Grou</w:t>
      </w:r>
      <w:r w:rsidRPr="00CF57C0">
        <w:rPr>
          <w:rStyle w:val="AboutandContactHeadline"/>
          <w:rFonts w:cs="Segoe UI"/>
          <w:sz w:val="22"/>
          <w:lang w:val="es-ES"/>
        </w:rPr>
        <w:t>p</w:t>
      </w:r>
    </w:p>
    <w:p w14:paraId="1AAFADA6" w14:textId="77777777" w:rsidR="009113A5" w:rsidRPr="00CF57C0" w:rsidRDefault="009113A5" w:rsidP="00CF57C0">
      <w:pPr>
        <w:jc w:val="both"/>
        <w:rPr>
          <w:rStyle w:val="AboutandContactHeadline"/>
          <w:rFonts w:cs="Segoe UI"/>
          <w:sz w:val="22"/>
          <w:lang w:val="es-ES"/>
        </w:rPr>
      </w:pPr>
      <w:r w:rsidRPr="00CF57C0">
        <w:rPr>
          <w:rStyle w:val="AboutandContactHeadline"/>
          <w:rFonts w:cs="Segoe UI"/>
          <w:sz w:val="22"/>
          <w:lang w:val="es-ES"/>
        </w:rPr>
        <w:t xml:space="preserve">Marcela Escobar </w:t>
      </w:r>
    </w:p>
    <w:p w14:paraId="0B5DDE6C" w14:textId="12C3F266" w:rsidR="009113A5" w:rsidRPr="00CF57C0" w:rsidRDefault="00CF57C0" w:rsidP="00CF57C0">
      <w:pPr>
        <w:jc w:val="both"/>
        <w:rPr>
          <w:rStyle w:val="AboutandContactHeadline"/>
          <w:rFonts w:cs="Segoe UI"/>
          <w:b w:val="0"/>
          <w:bCs w:val="0"/>
          <w:sz w:val="22"/>
          <w:lang w:val="es-ES"/>
        </w:rPr>
      </w:pPr>
      <w:r w:rsidRPr="00CF57C0">
        <w:rPr>
          <w:rStyle w:val="AboutandContactHeadline"/>
          <w:rFonts w:cs="Segoe UI"/>
          <w:b w:val="0"/>
          <w:bCs w:val="0"/>
          <w:sz w:val="22"/>
          <w:lang w:val="es-ES"/>
        </w:rPr>
        <w:t xml:space="preserve">+57 </w:t>
      </w:r>
      <w:r w:rsidR="009113A5" w:rsidRPr="00CF57C0">
        <w:rPr>
          <w:rStyle w:val="AboutandContactHeadline"/>
          <w:rFonts w:cs="Segoe UI"/>
          <w:b w:val="0"/>
          <w:bCs w:val="0"/>
          <w:sz w:val="22"/>
          <w:lang w:val="es-ES"/>
        </w:rPr>
        <w:t>3175111810</w:t>
      </w:r>
    </w:p>
    <w:p w14:paraId="6E7DE8D5" w14:textId="619A39D2" w:rsidR="004C5AF4" w:rsidRPr="00CF57C0" w:rsidRDefault="009113A5" w:rsidP="00CF57C0">
      <w:pPr>
        <w:jc w:val="both"/>
        <w:rPr>
          <w:rStyle w:val="AboutandContactHeadline"/>
          <w:rFonts w:cs="Segoe UI"/>
          <w:b w:val="0"/>
          <w:bCs w:val="0"/>
          <w:sz w:val="22"/>
          <w:lang w:val="es-ES"/>
        </w:rPr>
      </w:pPr>
      <w:r w:rsidRPr="00CF57C0">
        <w:rPr>
          <w:rStyle w:val="AboutandContactHeadline"/>
          <w:rFonts w:cs="Segoe UI"/>
          <w:b w:val="0"/>
          <w:bCs w:val="0"/>
          <w:sz w:val="22"/>
          <w:lang w:val="es-ES"/>
        </w:rPr>
        <w:t xml:space="preserve">marcelaescobar@mailbabel.com </w:t>
      </w:r>
    </w:p>
    <w:p w14:paraId="3436C31E" w14:textId="77777777" w:rsidR="009113A5" w:rsidRPr="00CF57C0" w:rsidRDefault="009113A5" w:rsidP="00CF57C0">
      <w:pPr>
        <w:jc w:val="both"/>
        <w:rPr>
          <w:rStyle w:val="AboutandContactBody"/>
          <w:rFonts w:cs="Segoe UI"/>
          <w:b/>
          <w:szCs w:val="18"/>
          <w:lang w:val="es-MX"/>
        </w:rPr>
        <w:sectPr w:rsidR="009113A5" w:rsidRPr="00CF57C0" w:rsidSect="009113A5">
          <w:type w:val="continuous"/>
          <w:pgSz w:w="11907" w:h="16840"/>
          <w:pgMar w:top="1134" w:right="1418" w:bottom="1985" w:left="1418" w:header="1304" w:footer="947" w:gutter="0"/>
          <w:pgNumType w:start="1"/>
          <w:cols w:num="2" w:space="720"/>
          <w:titlePg/>
        </w:sectPr>
      </w:pPr>
    </w:p>
    <w:p w14:paraId="4740EA9D" w14:textId="09CB7BD2" w:rsidR="009113A5" w:rsidRPr="00CF57C0" w:rsidRDefault="009113A5" w:rsidP="00CF57C0">
      <w:pPr>
        <w:jc w:val="both"/>
        <w:rPr>
          <w:rStyle w:val="AboutandContactBody"/>
          <w:rFonts w:cs="Segoe UI"/>
          <w:b/>
          <w:szCs w:val="18"/>
          <w:lang w:val="es-MX"/>
        </w:rPr>
      </w:pPr>
    </w:p>
    <w:p w14:paraId="5E59DD63" w14:textId="77777777" w:rsidR="009113A5" w:rsidRPr="00CF57C0" w:rsidRDefault="009113A5" w:rsidP="00CF57C0">
      <w:pPr>
        <w:jc w:val="both"/>
        <w:rPr>
          <w:rFonts w:ascii="Segoe UI" w:eastAsia="Calibri" w:hAnsi="Segoe UI" w:cs="Segoe UI"/>
          <w:sz w:val="18"/>
          <w:szCs w:val="18"/>
          <w:lang w:eastAsia="es-ES"/>
        </w:rPr>
      </w:pPr>
    </w:p>
    <w:p w14:paraId="05649326" w14:textId="77777777" w:rsidR="00891E2C" w:rsidRPr="00CF57C0" w:rsidRDefault="00F86AC0" w:rsidP="00CF57C0">
      <w:pPr>
        <w:pStyle w:val="Normal1"/>
        <w:jc w:val="both"/>
        <w:rPr>
          <w:rFonts w:ascii="Segoe UI" w:eastAsia="Calibri" w:hAnsi="Segoe UI" w:cs="Segoe UI"/>
          <w:b/>
          <w:bCs/>
          <w:sz w:val="18"/>
          <w:szCs w:val="18"/>
        </w:rPr>
      </w:pPr>
      <w:r w:rsidRPr="00CF57C0">
        <w:rPr>
          <w:rFonts w:ascii="Segoe UI" w:eastAsia="Calibri" w:hAnsi="Segoe UI" w:cs="Segoe UI"/>
          <w:b/>
          <w:bCs/>
          <w:sz w:val="18"/>
          <w:szCs w:val="18"/>
        </w:rPr>
        <w:t>Acerca de Henkel</w:t>
      </w:r>
    </w:p>
    <w:p w14:paraId="7E6DCAB4" w14:textId="4E482E4F" w:rsidR="00891E2C" w:rsidRPr="00CF57C0" w:rsidRDefault="00F86AC0" w:rsidP="00CF57C0">
      <w:pPr>
        <w:pStyle w:val="Normal1"/>
        <w:jc w:val="both"/>
        <w:rPr>
          <w:rFonts w:ascii="Segoe UI" w:eastAsia="Calibri" w:hAnsi="Segoe UI" w:cs="Segoe UI"/>
          <w:sz w:val="18"/>
          <w:szCs w:val="18"/>
        </w:rPr>
      </w:pPr>
      <w:r w:rsidRPr="00CF57C0">
        <w:rPr>
          <w:rFonts w:ascii="Segoe UI" w:eastAsia="Calibri" w:hAnsi="Segoe UI" w:cs="Segoe UI"/>
          <w:sz w:val="18"/>
          <w:szCs w:val="18"/>
        </w:rPr>
        <w:t>Henkel opera a nivel mundial con un por</w:t>
      </w:r>
      <w:r w:rsidR="00604FB9" w:rsidRPr="00CF57C0">
        <w:rPr>
          <w:rFonts w:ascii="Segoe UI" w:eastAsia="Calibri" w:hAnsi="Segoe UI" w:cs="Segoe UI"/>
          <w:sz w:val="18"/>
          <w:szCs w:val="18"/>
        </w:rPr>
        <w:t>ta</w:t>
      </w:r>
      <w:r w:rsidRPr="00CF57C0">
        <w:rPr>
          <w:rFonts w:ascii="Segoe UI" w:eastAsia="Calibri" w:hAnsi="Segoe UI" w:cs="Segoe UI"/>
          <w:sz w:val="18"/>
          <w:szCs w:val="18"/>
        </w:rPr>
        <w:t xml:space="preserve">folio bien equilibrado y diversificado. La compañía ocupa posiciones de liderazgo con sus tres unidades de negocios tanto en negocios industriales como de consumo gracias a sus marcas, innovaciones y tecnologías sólidas. Henkel Adhesive Technologies es el líder mundial en el mercado de adhesivos en todos los segmentos de la industria en todo el mundo. En sus negocios de Laundry &amp; Home Care y Beauty Care, Henkel ocupa posiciones de liderazgo en muchos mercados y categorías en todo el mundo. Fundada en 1876, Henkel cuenta con más de 140 años de éxito. En 2018, Henkel reportó ventas de alrededor de 20 mil millones de euros y un beneficio operativo ajustado de alrededor de 3,5 mil millones de euros. Henkel emplea a unas 53.000 personas en todo el mundo: un equipo apasionado y muy diverso, unido por una sólida cultura empresarial, un propósito común para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visite </w:t>
      </w:r>
      <w:hyperlink r:id="rId12">
        <w:r w:rsidRPr="00CF57C0">
          <w:rPr>
            <w:rFonts w:ascii="Segoe UI" w:eastAsia="Calibri" w:hAnsi="Segoe UI" w:cs="Segoe UI"/>
            <w:color w:val="0000FF"/>
            <w:sz w:val="18"/>
            <w:szCs w:val="18"/>
            <w:u w:val="single"/>
          </w:rPr>
          <w:t>www.henkel.com</w:t>
        </w:r>
      </w:hyperlink>
      <w:r w:rsidRPr="00CF57C0">
        <w:rPr>
          <w:rFonts w:ascii="Segoe UI" w:eastAsia="Calibri" w:hAnsi="Segoe UI" w:cs="Segoe UI"/>
          <w:sz w:val="18"/>
          <w:szCs w:val="18"/>
        </w:rPr>
        <w:t>.</w:t>
      </w:r>
    </w:p>
    <w:p w14:paraId="65301193" w14:textId="77777777" w:rsidR="00C354E8" w:rsidRPr="00CF57C0" w:rsidRDefault="00C354E8" w:rsidP="00CF57C0">
      <w:pPr>
        <w:pStyle w:val="Normal1"/>
        <w:ind w:right="202"/>
        <w:jc w:val="both"/>
        <w:rPr>
          <w:rFonts w:ascii="Segoe UI" w:eastAsia="Calibri" w:hAnsi="Segoe UI" w:cs="Segoe UI"/>
        </w:rPr>
      </w:pPr>
    </w:p>
    <w:p w14:paraId="6060AAC8" w14:textId="00E59503" w:rsidR="00C354E8" w:rsidRPr="00CF57C0" w:rsidRDefault="00C354E8" w:rsidP="00CF57C0">
      <w:pPr>
        <w:pStyle w:val="NormalWeb"/>
        <w:shd w:val="clear" w:color="auto" w:fill="FFFFFF"/>
        <w:spacing w:before="0" w:beforeAutospacing="0" w:after="0" w:afterAutospacing="0"/>
        <w:jc w:val="both"/>
        <w:rPr>
          <w:rFonts w:ascii="Segoe UI" w:eastAsia="Calibri" w:hAnsi="Segoe UI" w:cs="Segoe UI"/>
          <w:b/>
          <w:bCs/>
          <w:sz w:val="18"/>
          <w:szCs w:val="18"/>
          <w:lang w:val="es-AR" w:eastAsia="es-ES"/>
        </w:rPr>
      </w:pPr>
      <w:r w:rsidRPr="00CF57C0">
        <w:rPr>
          <w:rFonts w:ascii="Segoe UI" w:eastAsia="Calibri" w:hAnsi="Segoe UI" w:cs="Segoe UI"/>
          <w:b/>
          <w:bCs/>
          <w:sz w:val="18"/>
          <w:szCs w:val="18"/>
          <w:lang w:val="es-AR" w:eastAsia="es-ES"/>
        </w:rPr>
        <w:t>Henkel en Colombia</w:t>
      </w:r>
    </w:p>
    <w:p w14:paraId="7784A042" w14:textId="77777777" w:rsidR="00C354E8" w:rsidRPr="00CF57C0" w:rsidRDefault="00C354E8" w:rsidP="00CF57C0">
      <w:pPr>
        <w:pStyle w:val="NormalWeb"/>
        <w:shd w:val="clear" w:color="auto" w:fill="FFFFFF"/>
        <w:spacing w:before="0" w:beforeAutospacing="0" w:after="0" w:afterAutospacing="0"/>
        <w:jc w:val="both"/>
        <w:rPr>
          <w:rFonts w:ascii="Segoe UI" w:eastAsia="Calibri" w:hAnsi="Segoe UI" w:cs="Segoe UI"/>
          <w:sz w:val="18"/>
          <w:szCs w:val="18"/>
          <w:lang w:val="es-AR" w:eastAsia="es-ES"/>
        </w:rPr>
      </w:pPr>
      <w:r w:rsidRPr="00CF57C0">
        <w:rPr>
          <w:rFonts w:ascii="Segoe UI" w:eastAsia="Calibri" w:hAnsi="Segoe UI" w:cs="Segoe UI"/>
          <w:sz w:val="18"/>
          <w:szCs w:val="18"/>
          <w:lang w:val="es-AR" w:eastAsia="es-ES"/>
        </w:rPr>
        <w:t>A finales de los años 50, Henkel hace presencia en Colombia a través de Laboratorios Artibel y a finales de los 80 llega con la empresa Química Aplicada Alemana (Cognis). Henkel Colombiana registró ventas por más de 473 mil millones de pesos en el año 2021. Actualmente, cuenta con más de 600 empleados en todo el país. En las instalaciones de la compañía de la zona industrial de Bogotá funcionan las oficinas administrativas y la planta de producción para el negocio de Belleza y Cuidado Personal, desde la cual se exportan productos a más de 10 países de Europa y América.  En el negocio de Tecnologías Adhesivas en Colombia, contamos con dos plantas, la primera ubicada en el municipio de Sibaté y desde la cual se producen los adhesivos del negocio de construcción. La segunda planta de este negocio está ubicada en el municipio de Funza, Cundinamarca y desde ahí producimos productos de recubrimientos. Estamos presentes en el País a través de nuestros productos industriales y en el negocio de consumo por medio de reconocidas marcas como </w:t>
      </w:r>
      <w:hyperlink r:id="rId13" w:tgtFrame="_blank" w:tooltip="https://www.henkel.mx/marcas-y-negocios/schwarzkopf-571020" w:history="1">
        <w:r w:rsidRPr="00CF57C0">
          <w:rPr>
            <w:rFonts w:ascii="Segoe UI" w:eastAsia="Calibri" w:hAnsi="Segoe UI" w:cs="Segoe UI"/>
            <w:sz w:val="18"/>
            <w:szCs w:val="18"/>
            <w:lang w:val="es-AR" w:eastAsia="es-ES"/>
          </w:rPr>
          <w:t>Schwarzkopf</w:t>
        </w:r>
      </w:hyperlink>
      <w:r w:rsidRPr="00CF57C0">
        <w:rPr>
          <w:rFonts w:ascii="Segoe UI" w:eastAsia="Calibri" w:hAnsi="Segoe UI" w:cs="Segoe UI"/>
          <w:sz w:val="18"/>
          <w:szCs w:val="18"/>
          <w:lang w:val="es-AR" w:eastAsia="es-ES"/>
        </w:rPr>
        <w:t>, </w:t>
      </w:r>
      <w:hyperlink r:id="rId14" w:tgtFrame="_blank" w:tooltip="https://www.henkel.com.co/marcas-y-negocios/igora-570540" w:history="1">
        <w:r w:rsidRPr="00CF57C0">
          <w:rPr>
            <w:rFonts w:ascii="Segoe UI" w:eastAsia="Calibri" w:hAnsi="Segoe UI" w:cs="Segoe UI"/>
            <w:sz w:val="18"/>
            <w:szCs w:val="18"/>
            <w:lang w:val="es-AR" w:eastAsia="es-ES"/>
          </w:rPr>
          <w:t>Igora</w:t>
        </w:r>
      </w:hyperlink>
      <w:r w:rsidRPr="00CF57C0">
        <w:rPr>
          <w:rFonts w:ascii="Segoe UI" w:eastAsia="Calibri" w:hAnsi="Segoe UI" w:cs="Segoe UI"/>
          <w:sz w:val="18"/>
          <w:szCs w:val="18"/>
          <w:lang w:val="es-AR" w:eastAsia="es-ES"/>
        </w:rPr>
        <w:t>, </w:t>
      </w:r>
      <w:hyperlink r:id="rId15" w:tgtFrame="_blank" w:tooltip="https://www.henkel.com.co/marcas-y-negocios/konzil-570536" w:history="1">
        <w:r w:rsidRPr="00CF57C0">
          <w:rPr>
            <w:rFonts w:ascii="Segoe UI" w:eastAsia="Calibri" w:hAnsi="Segoe UI" w:cs="Segoe UI"/>
            <w:sz w:val="18"/>
            <w:szCs w:val="18"/>
            <w:lang w:val="es-AR" w:eastAsia="es-ES"/>
          </w:rPr>
          <w:t>Konzil</w:t>
        </w:r>
      </w:hyperlink>
      <w:r w:rsidRPr="00CF57C0">
        <w:rPr>
          <w:rFonts w:ascii="Segoe UI" w:eastAsia="Calibri" w:hAnsi="Segoe UI" w:cs="Segoe UI"/>
          <w:sz w:val="18"/>
          <w:szCs w:val="18"/>
          <w:lang w:val="es-AR" w:eastAsia="es-ES"/>
        </w:rPr>
        <w:t>, Tec Italy, Authentic Beauty Concept, Palette, </w:t>
      </w:r>
      <w:hyperlink r:id="rId16" w:tgtFrame="_blank" w:tooltip="https://www.henkel.com.co/marcas-y-negocios/balance-575700" w:history="1">
        <w:r w:rsidRPr="00CF57C0">
          <w:rPr>
            <w:rFonts w:ascii="Segoe UI" w:eastAsia="Calibri" w:hAnsi="Segoe UI" w:cs="Segoe UI"/>
            <w:sz w:val="18"/>
            <w:szCs w:val="18"/>
            <w:lang w:val="es-AR" w:eastAsia="es-ES"/>
          </w:rPr>
          <w:t>Balance</w:t>
        </w:r>
      </w:hyperlink>
      <w:r w:rsidRPr="00CF57C0">
        <w:rPr>
          <w:rFonts w:ascii="Segoe UI" w:eastAsia="Calibri" w:hAnsi="Segoe UI" w:cs="Segoe UI"/>
          <w:sz w:val="18"/>
          <w:szCs w:val="18"/>
          <w:lang w:val="es-AR" w:eastAsia="es-ES"/>
        </w:rPr>
        <w:t>, </w:t>
      </w:r>
      <w:hyperlink r:id="rId17" w:tgtFrame="_blank" w:tooltip="https://www.henkel.com.co/marcas-y-negocios/sista-580558" w:history="1">
        <w:r w:rsidRPr="00CF57C0">
          <w:rPr>
            <w:rFonts w:ascii="Segoe UI" w:eastAsia="Calibri" w:hAnsi="Segoe UI" w:cs="Segoe UI"/>
            <w:sz w:val="18"/>
            <w:szCs w:val="18"/>
            <w:lang w:val="es-AR" w:eastAsia="es-ES"/>
          </w:rPr>
          <w:t>Sista</w:t>
        </w:r>
      </w:hyperlink>
      <w:r w:rsidRPr="00CF57C0">
        <w:rPr>
          <w:rFonts w:ascii="Segoe UI" w:eastAsia="Calibri" w:hAnsi="Segoe UI" w:cs="Segoe UI"/>
          <w:sz w:val="18"/>
          <w:szCs w:val="18"/>
          <w:lang w:val="es-AR" w:eastAsia="es-ES"/>
        </w:rPr>
        <w:t>, </w:t>
      </w:r>
      <w:hyperlink r:id="rId18" w:tgtFrame="_blank" w:tooltip="https://www.henkel.com.co/marcas-y-negocios/loctite-570858" w:history="1">
        <w:r w:rsidRPr="00CF57C0">
          <w:rPr>
            <w:rFonts w:ascii="Segoe UI" w:eastAsia="Calibri" w:hAnsi="Segoe UI" w:cs="Segoe UI"/>
            <w:sz w:val="18"/>
            <w:szCs w:val="18"/>
            <w:lang w:val="es-AR" w:eastAsia="es-ES"/>
          </w:rPr>
          <w:t>Loctite</w:t>
        </w:r>
      </w:hyperlink>
      <w:r w:rsidRPr="00CF57C0">
        <w:rPr>
          <w:rFonts w:ascii="Segoe UI" w:eastAsia="Calibri" w:hAnsi="Segoe UI" w:cs="Segoe UI"/>
          <w:sz w:val="18"/>
          <w:szCs w:val="18"/>
          <w:lang w:val="es-AR" w:eastAsia="es-ES"/>
        </w:rPr>
        <w:t>, Ceresit entre otras.</w:t>
      </w:r>
    </w:p>
    <w:p w14:paraId="53CB84A6" w14:textId="3604E981" w:rsidR="00544A02" w:rsidRPr="00CF57C0" w:rsidRDefault="00544A02" w:rsidP="00CF57C0">
      <w:pPr>
        <w:pStyle w:val="Normal1"/>
        <w:ind w:right="202"/>
        <w:jc w:val="both"/>
        <w:rPr>
          <w:rFonts w:ascii="Segoe UI" w:eastAsia="Calibri" w:hAnsi="Segoe UI" w:cs="Segoe UI"/>
          <w:sz w:val="18"/>
          <w:szCs w:val="18"/>
        </w:rPr>
      </w:pPr>
    </w:p>
    <w:sectPr w:rsidR="00544A02" w:rsidRPr="00CF57C0" w:rsidSect="009113A5">
      <w:type w:val="continuous"/>
      <w:pgSz w:w="11907" w:h="16840"/>
      <w:pgMar w:top="1134" w:right="1418" w:bottom="1985" w:left="1418" w:header="1304" w:footer="9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67D5" w14:textId="77777777" w:rsidR="00B45285" w:rsidRDefault="00B45285">
      <w:r>
        <w:separator/>
      </w:r>
    </w:p>
  </w:endnote>
  <w:endnote w:type="continuationSeparator" w:id="0">
    <w:p w14:paraId="11D5B28C" w14:textId="77777777" w:rsidR="00B45285" w:rsidRDefault="00B4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SegoeUI">
    <w:altName w:val="Segoe UI"/>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0125" w14:textId="77777777" w:rsidR="00FE28E8" w:rsidRDefault="00FE28E8">
    <w:pPr>
      <w:pStyle w:val="Normal1"/>
      <w:pBdr>
        <w:top w:val="nil"/>
        <w:left w:val="nil"/>
        <w:bottom w:val="nil"/>
        <w:right w:val="nil"/>
        <w:between w:val="nil"/>
      </w:pBdr>
      <w:tabs>
        <w:tab w:val="right" w:pos="7083"/>
        <w:tab w:val="right" w:pos="8640"/>
        <w:tab w:val="right" w:pos="9057"/>
      </w:tabs>
      <w:rPr>
        <w:color w:val="000000"/>
        <w:sz w:val="14"/>
        <w:szCs w:val="14"/>
      </w:rPr>
    </w:pPr>
    <w:r>
      <w:rPr>
        <w:b/>
        <w:color w:val="000000"/>
        <w:sz w:val="14"/>
        <w:szCs w:val="14"/>
      </w:rPr>
      <w:t>Henkel AG &amp; Co. KGaA</w:t>
    </w:r>
    <w:r>
      <w:rPr>
        <w:b/>
        <w:color w:val="E1000F"/>
        <w:sz w:val="14"/>
        <w:szCs w:val="14"/>
      </w:rPr>
      <w:tab/>
    </w:r>
    <w:r>
      <w:rPr>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3E7EEF">
      <w:rPr>
        <w:noProof/>
        <w:color w:val="000000"/>
        <w:sz w:val="14"/>
        <w:szCs w:val="14"/>
      </w:rPr>
      <w:t>2</w:t>
    </w:r>
    <w:r>
      <w:rPr>
        <w:color w:val="000000"/>
        <w:sz w:val="14"/>
        <w:szCs w:val="14"/>
      </w:rPr>
      <w:fldChar w:fldCharType="end"/>
    </w:r>
    <w:r>
      <w:rPr>
        <w:color w:val="000000"/>
        <w:sz w:val="14"/>
        <w:szCs w:val="14"/>
      </w:rPr>
      <w:t>/</w:t>
    </w:r>
    <w:r>
      <w:rPr>
        <w:b/>
        <w:color w:val="E1000F"/>
        <w:sz w:val="14"/>
        <w:szCs w:val="14"/>
      </w:rPr>
      <w:fldChar w:fldCharType="begin"/>
    </w:r>
    <w:r>
      <w:rPr>
        <w:b/>
        <w:color w:val="E1000F"/>
        <w:sz w:val="14"/>
        <w:szCs w:val="14"/>
      </w:rPr>
      <w:instrText>NUMPAGES</w:instrText>
    </w:r>
    <w:r>
      <w:rPr>
        <w:b/>
        <w:color w:val="E1000F"/>
        <w:sz w:val="14"/>
        <w:szCs w:val="14"/>
      </w:rPr>
      <w:fldChar w:fldCharType="separate"/>
    </w:r>
    <w:r w:rsidR="003E7EEF">
      <w:rPr>
        <w:b/>
        <w:noProof/>
        <w:color w:val="E1000F"/>
        <w:sz w:val="14"/>
        <w:szCs w:val="14"/>
      </w:rPr>
      <w:t>3</w:t>
    </w:r>
    <w:r>
      <w:rPr>
        <w:b/>
        <w:color w:val="E1000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D1EC" w14:textId="77777777" w:rsidR="00FE28E8" w:rsidRDefault="00FE28E8">
    <w:pPr>
      <w:pStyle w:val="Normal1"/>
      <w:widowControl w:val="0"/>
      <w:pBdr>
        <w:top w:val="nil"/>
        <w:left w:val="nil"/>
        <w:bottom w:val="nil"/>
        <w:right w:val="nil"/>
        <w:between w:val="nil"/>
      </w:pBdr>
      <w:spacing w:line="276" w:lineRule="auto"/>
      <w:rPr>
        <w:color w:val="000000"/>
      </w:rPr>
    </w:pPr>
  </w:p>
  <w:tbl>
    <w:tblPr>
      <w:tblStyle w:val="a0"/>
      <w:tblW w:w="928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158"/>
      <w:gridCol w:w="1070"/>
      <w:gridCol w:w="1099"/>
      <w:gridCol w:w="1276"/>
      <w:gridCol w:w="1246"/>
      <w:gridCol w:w="1864"/>
      <w:gridCol w:w="1574"/>
    </w:tblGrid>
    <w:tr w:rsidR="00FE28E8" w14:paraId="38783D26" w14:textId="77777777">
      <w:tc>
        <w:tcPr>
          <w:tcW w:w="1158" w:type="dxa"/>
        </w:tcPr>
        <w:p w14:paraId="15CE31FD"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noProof/>
              <w:lang w:val="es-ES"/>
            </w:rPr>
            <w:drawing>
              <wp:anchor distT="0" distB="0" distL="114300" distR="114300" simplePos="0" relativeHeight="251659264" behindDoc="0" locked="0" layoutInCell="1" hidden="0" allowOverlap="1" wp14:anchorId="2331936E" wp14:editId="3FF1B4EF">
                <wp:simplePos x="0" y="0"/>
                <wp:positionH relativeFrom="column">
                  <wp:posOffset>-3995</wp:posOffset>
                </wp:positionH>
                <wp:positionV relativeFrom="paragraph">
                  <wp:posOffset>149</wp:posOffset>
                </wp:positionV>
                <wp:extent cx="609600" cy="32258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09600" cy="322580"/>
                        </a:xfrm>
                        <a:prstGeom prst="rect">
                          <a:avLst/>
                        </a:prstGeom>
                        <a:ln/>
                      </pic:spPr>
                    </pic:pic>
                  </a:graphicData>
                </a:graphic>
              </wp:anchor>
            </w:drawing>
          </w:r>
        </w:p>
      </w:tc>
      <w:tc>
        <w:tcPr>
          <w:tcW w:w="1070" w:type="dxa"/>
        </w:tcPr>
        <w:p w14:paraId="22607614"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b/>
              <w:noProof/>
              <w:color w:val="E1000F"/>
              <w:sz w:val="14"/>
              <w:szCs w:val="14"/>
              <w:lang w:val="es-ES"/>
            </w:rPr>
            <w:drawing>
              <wp:inline distT="0" distB="0" distL="0" distR="0" wp14:anchorId="36B703B9" wp14:editId="2616B450">
                <wp:extent cx="542925" cy="361950"/>
                <wp:effectExtent l="0" t="0" r="0" b="0"/>
                <wp:docPr id="2" name="image4.jpg" descr="konzil_logo"/>
                <wp:cNvGraphicFramePr/>
                <a:graphic xmlns:a="http://schemas.openxmlformats.org/drawingml/2006/main">
                  <a:graphicData uri="http://schemas.openxmlformats.org/drawingml/2006/picture">
                    <pic:pic xmlns:pic="http://schemas.openxmlformats.org/drawingml/2006/picture">
                      <pic:nvPicPr>
                        <pic:cNvPr id="0" name="image4.jpg" descr="konzil_logo"/>
                        <pic:cNvPicPr preferRelativeResize="0"/>
                      </pic:nvPicPr>
                      <pic:blipFill>
                        <a:blip r:embed="rId2"/>
                        <a:srcRect/>
                        <a:stretch>
                          <a:fillRect/>
                        </a:stretch>
                      </pic:blipFill>
                      <pic:spPr>
                        <a:xfrm>
                          <a:off x="0" y="0"/>
                          <a:ext cx="542925" cy="361950"/>
                        </a:xfrm>
                        <a:prstGeom prst="rect">
                          <a:avLst/>
                        </a:prstGeom>
                        <a:ln/>
                      </pic:spPr>
                    </pic:pic>
                  </a:graphicData>
                </a:graphic>
              </wp:inline>
            </w:drawing>
          </w:r>
        </w:p>
      </w:tc>
      <w:tc>
        <w:tcPr>
          <w:tcW w:w="1099" w:type="dxa"/>
        </w:tcPr>
        <w:p w14:paraId="699E9576"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b/>
              <w:noProof/>
              <w:color w:val="E1000F"/>
              <w:sz w:val="14"/>
              <w:szCs w:val="14"/>
              <w:lang w:val="es-ES"/>
            </w:rPr>
            <w:drawing>
              <wp:inline distT="0" distB="0" distL="0" distR="0" wp14:anchorId="50102E50" wp14:editId="17CD9752">
                <wp:extent cx="571500" cy="3810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571500" cy="381000"/>
                        </a:xfrm>
                        <a:prstGeom prst="rect">
                          <a:avLst/>
                        </a:prstGeom>
                        <a:ln/>
                      </pic:spPr>
                    </pic:pic>
                  </a:graphicData>
                </a:graphic>
              </wp:inline>
            </w:drawing>
          </w:r>
        </w:p>
      </w:tc>
      <w:tc>
        <w:tcPr>
          <w:tcW w:w="1276" w:type="dxa"/>
          <w:vAlign w:val="bottom"/>
        </w:tcPr>
        <w:p w14:paraId="03D8B28D"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p>
        <w:p w14:paraId="2B46872B"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r>
            <w:rPr>
              <w:b/>
              <w:noProof/>
              <w:color w:val="E1000F"/>
              <w:sz w:val="14"/>
              <w:szCs w:val="14"/>
              <w:lang w:val="es-ES"/>
            </w:rPr>
            <w:drawing>
              <wp:inline distT="0" distB="0" distL="0" distR="0" wp14:anchorId="4532D99D" wp14:editId="4AD3380C">
                <wp:extent cx="685800" cy="190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685800" cy="190500"/>
                        </a:xfrm>
                        <a:prstGeom prst="rect">
                          <a:avLst/>
                        </a:prstGeom>
                        <a:ln/>
                      </pic:spPr>
                    </pic:pic>
                  </a:graphicData>
                </a:graphic>
              </wp:inline>
            </w:drawing>
          </w:r>
        </w:p>
        <w:p w14:paraId="4BBC3C16"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p>
      </w:tc>
      <w:tc>
        <w:tcPr>
          <w:tcW w:w="1246" w:type="dxa"/>
          <w:vAlign w:val="center"/>
        </w:tcPr>
        <w:p w14:paraId="0F59EC11" w14:textId="77777777" w:rsidR="00FE28E8" w:rsidRDefault="00FE28E8">
          <w:pPr>
            <w:pStyle w:val="Normal1"/>
            <w:pBdr>
              <w:top w:val="nil"/>
              <w:left w:val="nil"/>
              <w:bottom w:val="nil"/>
              <w:right w:val="nil"/>
              <w:between w:val="nil"/>
            </w:pBdr>
            <w:tabs>
              <w:tab w:val="right" w:pos="7083"/>
              <w:tab w:val="right" w:pos="8640"/>
            </w:tabs>
            <w:jc w:val="center"/>
            <w:rPr>
              <w:rFonts w:ascii="Arial" w:eastAsia="Arial" w:hAnsi="Arial" w:cs="Arial"/>
              <w:color w:val="000000"/>
              <w:sz w:val="36"/>
              <w:szCs w:val="36"/>
              <w:vertAlign w:val="subscript"/>
            </w:rPr>
          </w:pPr>
          <w:r>
            <w:rPr>
              <w:b/>
              <w:noProof/>
              <w:color w:val="E1000F"/>
              <w:sz w:val="14"/>
              <w:szCs w:val="14"/>
              <w:lang w:val="es-ES"/>
            </w:rPr>
            <w:drawing>
              <wp:inline distT="0" distB="0" distL="0" distR="0" wp14:anchorId="241A004C" wp14:editId="148A3895">
                <wp:extent cx="685523" cy="35045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685523" cy="350455"/>
                        </a:xfrm>
                        <a:prstGeom prst="rect">
                          <a:avLst/>
                        </a:prstGeom>
                        <a:ln/>
                      </pic:spPr>
                    </pic:pic>
                  </a:graphicData>
                </a:graphic>
              </wp:inline>
            </w:drawing>
          </w:r>
        </w:p>
      </w:tc>
      <w:tc>
        <w:tcPr>
          <w:tcW w:w="1864" w:type="dxa"/>
        </w:tcPr>
        <w:p w14:paraId="07C1F403"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color w:val="000000"/>
              <w:sz w:val="36"/>
              <w:szCs w:val="36"/>
              <w:vertAlign w:val="subscript"/>
            </w:rPr>
          </w:pPr>
          <w:r>
            <w:rPr>
              <w:noProof/>
              <w:lang w:val="es-ES"/>
            </w:rPr>
            <w:drawing>
              <wp:anchor distT="0" distB="0" distL="114300" distR="114300" simplePos="0" relativeHeight="251660288" behindDoc="0" locked="0" layoutInCell="1" hidden="0" allowOverlap="1" wp14:anchorId="15A95EDC" wp14:editId="1DA8D047">
                <wp:simplePos x="0" y="0"/>
                <wp:positionH relativeFrom="column">
                  <wp:posOffset>19686</wp:posOffset>
                </wp:positionH>
                <wp:positionV relativeFrom="paragraph">
                  <wp:posOffset>118110</wp:posOffset>
                </wp:positionV>
                <wp:extent cx="1067183" cy="305476"/>
                <wp:effectExtent l="0" t="0" r="0" b="0"/>
                <wp:wrapSquare wrapText="bothSides" distT="0" distB="0" distL="114300" distR="114300"/>
                <wp:docPr id="1" name="image1.png" descr="Resultado de imagen para ceresit"/>
                <wp:cNvGraphicFramePr/>
                <a:graphic xmlns:a="http://schemas.openxmlformats.org/drawingml/2006/main">
                  <a:graphicData uri="http://schemas.openxmlformats.org/drawingml/2006/picture">
                    <pic:pic xmlns:pic="http://schemas.openxmlformats.org/drawingml/2006/picture">
                      <pic:nvPicPr>
                        <pic:cNvPr id="0" name="image1.png" descr="Resultado de imagen para ceresit"/>
                        <pic:cNvPicPr preferRelativeResize="0"/>
                      </pic:nvPicPr>
                      <pic:blipFill>
                        <a:blip r:embed="rId6"/>
                        <a:srcRect/>
                        <a:stretch>
                          <a:fillRect/>
                        </a:stretch>
                      </pic:blipFill>
                      <pic:spPr>
                        <a:xfrm>
                          <a:off x="0" y="0"/>
                          <a:ext cx="1067183" cy="305476"/>
                        </a:xfrm>
                        <a:prstGeom prst="rect">
                          <a:avLst/>
                        </a:prstGeom>
                        <a:ln/>
                      </pic:spPr>
                    </pic:pic>
                  </a:graphicData>
                </a:graphic>
              </wp:anchor>
            </w:drawing>
          </w:r>
        </w:p>
      </w:tc>
      <w:tc>
        <w:tcPr>
          <w:tcW w:w="1574" w:type="dxa"/>
        </w:tcPr>
        <w:p w14:paraId="36BAD488" w14:textId="77777777" w:rsidR="00FE28E8" w:rsidRDefault="00FE28E8">
          <w:pPr>
            <w:pStyle w:val="Normal1"/>
            <w:pBdr>
              <w:top w:val="nil"/>
              <w:left w:val="nil"/>
              <w:bottom w:val="nil"/>
              <w:right w:val="nil"/>
              <w:between w:val="nil"/>
            </w:pBdr>
            <w:tabs>
              <w:tab w:val="right" w:pos="7083"/>
              <w:tab w:val="right" w:pos="8640"/>
            </w:tabs>
            <w:jc w:val="both"/>
            <w:rPr>
              <w:rFonts w:ascii="Arial" w:eastAsia="Arial" w:hAnsi="Arial" w:cs="Arial"/>
              <w:b/>
              <w:color w:val="E1000F"/>
              <w:sz w:val="14"/>
              <w:szCs w:val="14"/>
            </w:rPr>
          </w:pPr>
          <w:r>
            <w:rPr>
              <w:noProof/>
              <w:lang w:val="es-ES"/>
            </w:rPr>
            <w:drawing>
              <wp:anchor distT="0" distB="0" distL="114300" distR="114300" simplePos="0" relativeHeight="251661312" behindDoc="0" locked="0" layoutInCell="1" hidden="0" allowOverlap="1" wp14:anchorId="704AE9AA" wp14:editId="04F30F9B">
                <wp:simplePos x="0" y="0"/>
                <wp:positionH relativeFrom="column">
                  <wp:posOffset>-3809</wp:posOffset>
                </wp:positionH>
                <wp:positionV relativeFrom="paragraph">
                  <wp:posOffset>121285</wp:posOffset>
                </wp:positionV>
                <wp:extent cx="878840" cy="187325"/>
                <wp:effectExtent l="0" t="0" r="0" b="0"/>
                <wp:wrapSquare wrapText="bothSides" distT="0" distB="0" distL="114300" distR="114300"/>
                <wp:docPr id="4" name="image7.png" descr="Loctite"/>
                <wp:cNvGraphicFramePr/>
                <a:graphic xmlns:a="http://schemas.openxmlformats.org/drawingml/2006/main">
                  <a:graphicData uri="http://schemas.openxmlformats.org/drawingml/2006/picture">
                    <pic:pic xmlns:pic="http://schemas.openxmlformats.org/drawingml/2006/picture">
                      <pic:nvPicPr>
                        <pic:cNvPr id="0" name="image7.png" descr="Loctite"/>
                        <pic:cNvPicPr preferRelativeResize="0"/>
                      </pic:nvPicPr>
                      <pic:blipFill>
                        <a:blip r:embed="rId7"/>
                        <a:srcRect/>
                        <a:stretch>
                          <a:fillRect/>
                        </a:stretch>
                      </pic:blipFill>
                      <pic:spPr>
                        <a:xfrm>
                          <a:off x="0" y="0"/>
                          <a:ext cx="878840" cy="187325"/>
                        </a:xfrm>
                        <a:prstGeom prst="rect">
                          <a:avLst/>
                        </a:prstGeom>
                        <a:ln/>
                      </pic:spPr>
                    </pic:pic>
                  </a:graphicData>
                </a:graphic>
              </wp:anchor>
            </w:drawing>
          </w:r>
        </w:p>
      </w:tc>
    </w:tr>
  </w:tbl>
  <w:p w14:paraId="77CEA92D" w14:textId="77777777" w:rsidR="00FE28E8" w:rsidRDefault="00FE28E8">
    <w:pPr>
      <w:pStyle w:val="Normal1"/>
      <w:pBdr>
        <w:top w:val="nil"/>
        <w:left w:val="nil"/>
        <w:bottom w:val="nil"/>
        <w:right w:val="nil"/>
        <w:between w:val="nil"/>
      </w:pBdr>
      <w:tabs>
        <w:tab w:val="right" w:pos="7083"/>
        <w:tab w:val="right" w:pos="8640"/>
      </w:tabs>
      <w:jc w:val="both"/>
      <w:rPr>
        <w:color w:val="000000"/>
        <w:sz w:val="14"/>
        <w:szCs w:val="14"/>
      </w:rPr>
    </w:pPr>
    <w:r>
      <w:rPr>
        <w:color w:val="000000"/>
        <w:sz w:val="36"/>
        <w:szCs w:val="36"/>
        <w:vertAlign w:val="subscript"/>
      </w:rPr>
      <w:t xml:space="preserve"> </w:t>
    </w:r>
    <w:r>
      <w:rPr>
        <w:b/>
        <w:color w:val="E1000F"/>
        <w:sz w:val="14"/>
        <w:szCs w:val="14"/>
      </w:rPr>
      <w:t xml:space="preserve">     </w:t>
    </w:r>
    <w:r>
      <w:rPr>
        <w:color w:val="000000"/>
        <w:sz w:val="14"/>
        <w:szCs w:val="14"/>
      </w:rPr>
      <w:t xml:space="preserve"> </w:t>
    </w:r>
  </w:p>
  <w:p w14:paraId="4E3D2366" w14:textId="77777777" w:rsidR="00FE28E8" w:rsidRDefault="00FE28E8">
    <w:pPr>
      <w:pStyle w:val="Normal1"/>
      <w:pBdr>
        <w:top w:val="nil"/>
        <w:left w:val="nil"/>
        <w:bottom w:val="nil"/>
        <w:right w:val="nil"/>
        <w:between w:val="nil"/>
      </w:pBdr>
      <w:tabs>
        <w:tab w:val="right" w:pos="7083"/>
        <w:tab w:val="right" w:pos="8640"/>
      </w:tabs>
      <w:jc w:val="both"/>
      <w:rPr>
        <w:color w:val="000000"/>
        <w:sz w:val="14"/>
        <w:szCs w:val="14"/>
      </w:rPr>
    </w:pPr>
  </w:p>
  <w:p w14:paraId="1A83EA3B" w14:textId="77777777" w:rsidR="00FE28E8" w:rsidRDefault="00FE28E8">
    <w:pPr>
      <w:pStyle w:val="Normal1"/>
      <w:pBdr>
        <w:top w:val="nil"/>
        <w:left w:val="nil"/>
        <w:bottom w:val="nil"/>
        <w:right w:val="nil"/>
        <w:between w:val="nil"/>
      </w:pBdr>
      <w:tabs>
        <w:tab w:val="right" w:pos="7083"/>
        <w:tab w:val="right" w:pos="8640"/>
      </w:tabs>
      <w:jc w:val="right"/>
      <w:rPr>
        <w:b/>
        <w:color w:val="000000"/>
        <w:sz w:val="14"/>
        <w:szCs w:val="14"/>
      </w:rPr>
    </w:pPr>
    <w:r>
      <w:rPr>
        <w:color w:val="000000"/>
        <w:sz w:val="14"/>
        <w:szCs w:val="14"/>
      </w:rPr>
      <w:t xml:space="preserve">Página </w:t>
    </w:r>
    <w:r>
      <w:rPr>
        <w:color w:val="000000"/>
        <w:sz w:val="14"/>
        <w:szCs w:val="14"/>
      </w:rPr>
      <w:fldChar w:fldCharType="begin"/>
    </w:r>
    <w:r>
      <w:rPr>
        <w:color w:val="000000"/>
        <w:sz w:val="14"/>
        <w:szCs w:val="14"/>
      </w:rPr>
      <w:instrText>PAGE</w:instrText>
    </w:r>
    <w:r>
      <w:rPr>
        <w:color w:val="000000"/>
        <w:sz w:val="14"/>
        <w:szCs w:val="14"/>
      </w:rPr>
      <w:fldChar w:fldCharType="separate"/>
    </w:r>
    <w:r w:rsidR="003E7EEF">
      <w:rPr>
        <w:noProof/>
        <w:color w:val="000000"/>
        <w:sz w:val="14"/>
        <w:szCs w:val="14"/>
      </w:rPr>
      <w:t>1</w:t>
    </w:r>
    <w:r>
      <w:rPr>
        <w:color w:val="000000"/>
        <w:sz w:val="14"/>
        <w:szCs w:val="14"/>
      </w:rPr>
      <w:fldChar w:fldCharType="end"/>
    </w:r>
    <w:r>
      <w:rPr>
        <w:color w:val="000000"/>
        <w:sz w:val="14"/>
        <w:szCs w:val="14"/>
      </w:rPr>
      <w:t>/</w:t>
    </w:r>
    <w:r>
      <w:rPr>
        <w:b/>
        <w:color w:val="E1000F"/>
        <w:sz w:val="14"/>
        <w:szCs w:val="14"/>
      </w:rPr>
      <w:fldChar w:fldCharType="begin"/>
    </w:r>
    <w:r>
      <w:rPr>
        <w:b/>
        <w:color w:val="E1000F"/>
        <w:sz w:val="14"/>
        <w:szCs w:val="14"/>
      </w:rPr>
      <w:instrText>NUMPAGES</w:instrText>
    </w:r>
    <w:r>
      <w:rPr>
        <w:b/>
        <w:color w:val="E1000F"/>
        <w:sz w:val="14"/>
        <w:szCs w:val="14"/>
      </w:rPr>
      <w:fldChar w:fldCharType="separate"/>
    </w:r>
    <w:r w:rsidR="003E7EEF">
      <w:rPr>
        <w:b/>
        <w:noProof/>
        <w:color w:val="E1000F"/>
        <w:sz w:val="14"/>
        <w:szCs w:val="14"/>
      </w:rPr>
      <w:t>3</w:t>
    </w:r>
    <w:r>
      <w:rPr>
        <w:b/>
        <w:color w:val="E1000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56CC" w14:textId="77777777" w:rsidR="00B45285" w:rsidRDefault="00B45285">
      <w:r>
        <w:separator/>
      </w:r>
    </w:p>
  </w:footnote>
  <w:footnote w:type="continuationSeparator" w:id="0">
    <w:p w14:paraId="5A9A60BF" w14:textId="77777777" w:rsidR="00B45285" w:rsidRDefault="00B4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827B" w14:textId="77777777" w:rsidR="00FE28E8" w:rsidRDefault="00FE28E8">
    <w:pPr>
      <w:pStyle w:val="Normal1"/>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82A2" w14:textId="7EE61F58" w:rsidR="00FE28E8" w:rsidRDefault="00FE28E8">
    <w:pPr>
      <w:pStyle w:val="Normal1"/>
      <w:pBdr>
        <w:top w:val="nil"/>
        <w:left w:val="nil"/>
        <w:bottom w:val="nil"/>
        <w:right w:val="nil"/>
        <w:between w:val="nil"/>
      </w:pBdr>
      <w:tabs>
        <w:tab w:val="center" w:pos="4320"/>
        <w:tab w:val="right" w:pos="8640"/>
        <w:tab w:val="right" w:pos="9071"/>
      </w:tabs>
      <w:rPr>
        <w:rFonts w:ascii="Calibri" w:eastAsia="Calibri" w:hAnsi="Calibri" w:cs="Calibri"/>
        <w:b/>
        <w:color w:val="000000"/>
        <w:sz w:val="40"/>
        <w:szCs w:val="40"/>
      </w:rPr>
    </w:pPr>
    <w:r>
      <w:rPr>
        <w:noProof/>
        <w:color w:val="000000"/>
        <w:lang w:val="es-ES"/>
      </w:rPr>
      <w:drawing>
        <wp:anchor distT="0" distB="0" distL="114300" distR="114300" simplePos="0" relativeHeight="251658240" behindDoc="0" locked="0" layoutInCell="1" hidden="0" allowOverlap="1" wp14:anchorId="7FB6B146" wp14:editId="486C7C40">
          <wp:simplePos x="0" y="0"/>
          <wp:positionH relativeFrom="margin">
            <wp:posOffset>5261610</wp:posOffset>
          </wp:positionH>
          <wp:positionV relativeFrom="margin">
            <wp:posOffset>-1297305</wp:posOffset>
          </wp:positionV>
          <wp:extent cx="852170" cy="576580"/>
          <wp:effectExtent l="0" t="0" r="5080" b="0"/>
          <wp:wrapSquare wrapText="bothSides" distT="0" distB="0" distL="114300" distR="114300"/>
          <wp:docPr id="8" name="image8.jpg" descr="HENKEL_Logo_Red_sRGB"/>
          <wp:cNvGraphicFramePr/>
          <a:graphic xmlns:a="http://schemas.openxmlformats.org/drawingml/2006/main">
            <a:graphicData uri="http://schemas.openxmlformats.org/drawingml/2006/picture">
              <pic:pic xmlns:pic="http://schemas.openxmlformats.org/drawingml/2006/picture">
                <pic:nvPicPr>
                  <pic:cNvPr id="0" name="image8.jpg" descr="HENKEL_Logo_Red_sRGB"/>
                  <pic:cNvPicPr preferRelativeResize="0"/>
                </pic:nvPicPr>
                <pic:blipFill>
                  <a:blip r:embed="rId1"/>
                  <a:srcRect/>
                  <a:stretch>
                    <a:fillRect/>
                  </a:stretch>
                </pic:blipFill>
                <pic:spPr>
                  <a:xfrm>
                    <a:off x="0" y="0"/>
                    <a:ext cx="852170" cy="576580"/>
                  </a:xfrm>
                  <a:prstGeom prst="rect">
                    <a:avLst/>
                  </a:prstGeom>
                  <a:ln/>
                </pic:spPr>
              </pic:pic>
            </a:graphicData>
          </a:graphic>
          <wp14:sizeRelH relativeFrom="margin">
            <wp14:pctWidth>0</wp14:pctWidth>
          </wp14:sizeRelH>
          <wp14:sizeRelV relativeFrom="margin">
            <wp14:pctHeight>0</wp14:pctHeight>
          </wp14:sizeRelV>
        </wp:anchor>
      </w:drawing>
    </w:r>
  </w:p>
  <w:p w14:paraId="7C0A5C1C" w14:textId="77777777" w:rsidR="00C354E8" w:rsidRDefault="00C354E8" w:rsidP="00C354E8">
    <w:pPr>
      <w:pStyle w:val="Encabezado"/>
      <w:tabs>
        <w:tab w:val="left" w:pos="0"/>
      </w:tabs>
      <w:rPr>
        <w:noProof/>
      </w:rPr>
    </w:pPr>
    <w:r w:rsidRPr="00EB46D9">
      <w:rPr>
        <w:noProof/>
      </w:rPr>
      <mc:AlternateContent>
        <mc:Choice Requires="wpg">
          <w:drawing>
            <wp:anchor distT="0" distB="0" distL="114300" distR="114300" simplePos="0" relativeHeight="251663360" behindDoc="0" locked="0" layoutInCell="1" allowOverlap="1" wp14:anchorId="773248E8" wp14:editId="6BA0AB24">
              <wp:simplePos x="0" y="0"/>
              <wp:positionH relativeFrom="page">
                <wp:posOffset>180340</wp:posOffset>
              </wp:positionH>
              <wp:positionV relativeFrom="page">
                <wp:posOffset>3780790</wp:posOffset>
              </wp:positionV>
              <wp:extent cx="179705" cy="3780155"/>
              <wp:effectExtent l="0" t="0" r="1905" b="11430"/>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2"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3"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DEED083" id="Group 16" o:spid="_x0000_s1026" style="position:absolute;margin-left:14.2pt;margin-top:297.7pt;width:14.15pt;height:297.65pt;z-index:25166336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" stroked="f" strokecolor="#e1000f" strokeweight=".5pt"/>
              <w10:wrap anchorx="page" anchory="page"/>
            </v:group>
          </w:pict>
        </mc:Fallback>
      </mc:AlternateContent>
    </w:r>
    <w:r>
      <w:rPr>
        <w:noProof/>
      </w:rPr>
      <w:tab/>
    </w:r>
  </w:p>
  <w:p w14:paraId="2C5BB49F" w14:textId="77777777" w:rsidR="00C354E8" w:rsidRDefault="00C354E8" w:rsidP="00C354E8">
    <w:pPr>
      <w:pStyle w:val="Encabezado"/>
      <w:tabs>
        <w:tab w:val="left" w:pos="0"/>
      </w:tabs>
      <w:rPr>
        <w:noProof/>
      </w:rPr>
    </w:pPr>
  </w:p>
  <w:p w14:paraId="338A42EF" w14:textId="0CC50F75" w:rsidR="00FE28E8" w:rsidRDefault="00C354E8" w:rsidP="00C354E8">
    <w:pPr>
      <w:pStyle w:val="Normal1"/>
      <w:pBdr>
        <w:top w:val="nil"/>
        <w:left w:val="nil"/>
        <w:bottom w:val="nil"/>
        <w:right w:val="nil"/>
        <w:between w:val="nil"/>
      </w:pBdr>
      <w:tabs>
        <w:tab w:val="center" w:pos="4320"/>
        <w:tab w:val="right" w:pos="8640"/>
        <w:tab w:val="left" w:pos="2607"/>
        <w:tab w:val="right" w:pos="9071"/>
      </w:tabs>
      <w:jc w:val="right"/>
      <w:rPr>
        <w:b/>
        <w:color w:val="3E3C3C"/>
        <w:sz w:val="40"/>
        <w:szCs w:val="40"/>
      </w:rPr>
    </w:pPr>
    <w:r>
      <w:rPr>
        <w:b/>
        <w:color w:val="3E3C3C"/>
        <w:sz w:val="40"/>
        <w:szCs w:val="40"/>
      </w:rP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111"/>
    <w:multiLevelType w:val="hybridMultilevel"/>
    <w:tmpl w:val="F16E8C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BD536E"/>
    <w:multiLevelType w:val="hybridMultilevel"/>
    <w:tmpl w:val="3990B970"/>
    <w:lvl w:ilvl="0" w:tplc="A552C4A2">
      <w:start w:val="1"/>
      <w:numFmt w:val="decimal"/>
      <w:lvlText w:val="%1."/>
      <w:lvlJc w:val="left"/>
      <w:pPr>
        <w:ind w:left="720" w:hanging="360"/>
      </w:pPr>
      <w:rPr>
        <w:rFonts w:hint="default"/>
        <w:lang w:val="es-C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74D6371"/>
    <w:multiLevelType w:val="hybridMultilevel"/>
    <w:tmpl w:val="7E307C4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3" w15:restartNumberingAfterBreak="0">
    <w:nsid w:val="287B356E"/>
    <w:multiLevelType w:val="hybridMultilevel"/>
    <w:tmpl w:val="3BCA01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E2326B7"/>
    <w:multiLevelType w:val="hybridMultilevel"/>
    <w:tmpl w:val="E7ECFD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E058F0"/>
    <w:multiLevelType w:val="hybridMultilevel"/>
    <w:tmpl w:val="53A40AE2"/>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6" w15:restartNumberingAfterBreak="0">
    <w:nsid w:val="3D651834"/>
    <w:multiLevelType w:val="hybridMultilevel"/>
    <w:tmpl w:val="5E0EA4FC"/>
    <w:lvl w:ilvl="0" w:tplc="6DBC3400">
      <w:start w:val="5"/>
      <w:numFmt w:val="bullet"/>
      <w:lvlText w:val="-"/>
      <w:lvlJc w:val="left"/>
      <w:pPr>
        <w:ind w:left="1080" w:hanging="360"/>
      </w:pPr>
      <w:rPr>
        <w:rFonts w:ascii="Calibri" w:eastAsia="Helvetica Neue" w:hAnsi="Calibri"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2E03AF1"/>
    <w:multiLevelType w:val="hybridMultilevel"/>
    <w:tmpl w:val="CB7CFA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41A49F5"/>
    <w:multiLevelType w:val="multilevel"/>
    <w:tmpl w:val="01348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63475C9"/>
    <w:multiLevelType w:val="hybridMultilevel"/>
    <w:tmpl w:val="3990B970"/>
    <w:lvl w:ilvl="0" w:tplc="FFFFFFFF">
      <w:start w:val="1"/>
      <w:numFmt w:val="decimal"/>
      <w:lvlText w:val="%1."/>
      <w:lvlJc w:val="left"/>
      <w:pPr>
        <w:ind w:left="720" w:hanging="360"/>
      </w:pPr>
      <w:rPr>
        <w:rFonts w:hint="default"/>
        <w:lang w:val="es-C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6138D8"/>
    <w:multiLevelType w:val="hybridMultilevel"/>
    <w:tmpl w:val="3990B970"/>
    <w:lvl w:ilvl="0" w:tplc="FFFFFFFF">
      <w:start w:val="1"/>
      <w:numFmt w:val="decimal"/>
      <w:lvlText w:val="%1."/>
      <w:lvlJc w:val="left"/>
      <w:pPr>
        <w:ind w:left="720" w:hanging="360"/>
      </w:pPr>
      <w:rPr>
        <w:rFonts w:hint="default"/>
        <w:lang w:val="es-C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40138F"/>
    <w:multiLevelType w:val="hybridMultilevel"/>
    <w:tmpl w:val="EFD67C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DEF0DAB"/>
    <w:multiLevelType w:val="multilevel"/>
    <w:tmpl w:val="1548CA22"/>
    <w:lvl w:ilvl="0">
      <w:numFmt w:val="bullet"/>
      <w:lvlText w:val="-"/>
      <w:lvlJc w:val="left"/>
      <w:pPr>
        <w:tabs>
          <w:tab w:val="num" w:pos="720"/>
        </w:tabs>
        <w:ind w:left="720" w:hanging="360"/>
      </w:pPr>
      <w:rPr>
        <w:rFonts w:ascii="Arial" w:hAnsi="Arial" w:hint="default"/>
        <w:color w:val="FF0000"/>
        <w:sz w:val="20"/>
      </w:rPr>
    </w:lvl>
    <w:lvl w:ilvl="1">
      <w:numFmt w:val="bullet"/>
      <w:lvlText w:val="-"/>
      <w:lvlJc w:val="left"/>
      <w:pPr>
        <w:ind w:left="1440" w:hanging="360"/>
      </w:pPr>
      <w:rPr>
        <w:rFonts w:ascii="Arial" w:hAnsi="Arial" w:hint="default"/>
        <w:color w:val="FF000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34E0A"/>
    <w:multiLevelType w:val="hybridMultilevel"/>
    <w:tmpl w:val="268C28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F3F6C87"/>
    <w:multiLevelType w:val="hybridMultilevel"/>
    <w:tmpl w:val="2B92FAB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0D960F1"/>
    <w:multiLevelType w:val="hybridMultilevel"/>
    <w:tmpl w:val="8BCA5F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7987D11"/>
    <w:multiLevelType w:val="hybridMultilevel"/>
    <w:tmpl w:val="3990B970"/>
    <w:lvl w:ilvl="0" w:tplc="FFFFFFFF">
      <w:start w:val="1"/>
      <w:numFmt w:val="decimal"/>
      <w:lvlText w:val="%1."/>
      <w:lvlJc w:val="left"/>
      <w:pPr>
        <w:ind w:left="720" w:hanging="360"/>
      </w:pPr>
      <w:rPr>
        <w:rFonts w:hint="default"/>
        <w:lang w:val="es-C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366412">
    <w:abstractNumId w:val="9"/>
  </w:num>
  <w:num w:numId="2" w16cid:durableId="1045981978">
    <w:abstractNumId w:val="12"/>
  </w:num>
  <w:num w:numId="3" w16cid:durableId="802385410">
    <w:abstractNumId w:val="8"/>
  </w:num>
  <w:num w:numId="4" w16cid:durableId="1291478955">
    <w:abstractNumId w:val="3"/>
  </w:num>
  <w:num w:numId="5" w16cid:durableId="1474906153">
    <w:abstractNumId w:val="1"/>
  </w:num>
  <w:num w:numId="6" w16cid:durableId="235092544">
    <w:abstractNumId w:val="11"/>
  </w:num>
  <w:num w:numId="7" w16cid:durableId="1891531128">
    <w:abstractNumId w:val="10"/>
  </w:num>
  <w:num w:numId="8" w16cid:durableId="1394231242">
    <w:abstractNumId w:val="17"/>
  </w:num>
  <w:num w:numId="9" w16cid:durableId="1464930907">
    <w:abstractNumId w:val="14"/>
  </w:num>
  <w:num w:numId="10" w16cid:durableId="1994795239">
    <w:abstractNumId w:val="16"/>
  </w:num>
  <w:num w:numId="11" w16cid:durableId="1158306848">
    <w:abstractNumId w:val="5"/>
  </w:num>
  <w:num w:numId="12" w16cid:durableId="1234462996">
    <w:abstractNumId w:val="4"/>
  </w:num>
  <w:num w:numId="13" w16cid:durableId="11998264">
    <w:abstractNumId w:val="2"/>
  </w:num>
  <w:num w:numId="14" w16cid:durableId="1842158627">
    <w:abstractNumId w:val="0"/>
  </w:num>
  <w:num w:numId="15" w16cid:durableId="559748797">
    <w:abstractNumId w:val="6"/>
  </w:num>
  <w:num w:numId="16" w16cid:durableId="656962456">
    <w:abstractNumId w:val="15"/>
  </w:num>
  <w:num w:numId="17" w16cid:durableId="1571848089">
    <w:abstractNumId w:val="13"/>
  </w:num>
  <w:num w:numId="18" w16cid:durableId="339354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2C"/>
    <w:rsid w:val="000164AA"/>
    <w:rsid w:val="00016F77"/>
    <w:rsid w:val="00025CA4"/>
    <w:rsid w:val="000276BC"/>
    <w:rsid w:val="00045E2D"/>
    <w:rsid w:val="00052AEA"/>
    <w:rsid w:val="000537FF"/>
    <w:rsid w:val="00060106"/>
    <w:rsid w:val="00074C36"/>
    <w:rsid w:val="00081FA1"/>
    <w:rsid w:val="000A06F3"/>
    <w:rsid w:val="000A1975"/>
    <w:rsid w:val="000A4BF8"/>
    <w:rsid w:val="000A5E9B"/>
    <w:rsid w:val="000B27DD"/>
    <w:rsid w:val="000B77DA"/>
    <w:rsid w:val="000C5853"/>
    <w:rsid w:val="000D2920"/>
    <w:rsid w:val="000D4D3B"/>
    <w:rsid w:val="000E1EC7"/>
    <w:rsid w:val="000F28A3"/>
    <w:rsid w:val="000F7EB7"/>
    <w:rsid w:val="001043E6"/>
    <w:rsid w:val="00110E21"/>
    <w:rsid w:val="00110EAB"/>
    <w:rsid w:val="00140DB8"/>
    <w:rsid w:val="00142F48"/>
    <w:rsid w:val="001525FB"/>
    <w:rsid w:val="0015688D"/>
    <w:rsid w:val="00161ED8"/>
    <w:rsid w:val="00170CA5"/>
    <w:rsid w:val="00172470"/>
    <w:rsid w:val="001760E9"/>
    <w:rsid w:val="00176F79"/>
    <w:rsid w:val="00182DAD"/>
    <w:rsid w:val="00187EF9"/>
    <w:rsid w:val="00190B9C"/>
    <w:rsid w:val="00192BF1"/>
    <w:rsid w:val="001930F8"/>
    <w:rsid w:val="00194926"/>
    <w:rsid w:val="001B1E8B"/>
    <w:rsid w:val="001B7892"/>
    <w:rsid w:val="001C40D1"/>
    <w:rsid w:val="001C73F5"/>
    <w:rsid w:val="001D08E7"/>
    <w:rsid w:val="001D616D"/>
    <w:rsid w:val="001E0591"/>
    <w:rsid w:val="00216BA3"/>
    <w:rsid w:val="002177F1"/>
    <w:rsid w:val="00234C50"/>
    <w:rsid w:val="00241E7D"/>
    <w:rsid w:val="0024744E"/>
    <w:rsid w:val="00253248"/>
    <w:rsid w:val="0025412C"/>
    <w:rsid w:val="00265FAF"/>
    <w:rsid w:val="00270896"/>
    <w:rsid w:val="00270BAC"/>
    <w:rsid w:val="002A2867"/>
    <w:rsid w:val="002A4C79"/>
    <w:rsid w:val="002E5221"/>
    <w:rsid w:val="002E57A4"/>
    <w:rsid w:val="002F4A20"/>
    <w:rsid w:val="00301B45"/>
    <w:rsid w:val="00310E7B"/>
    <w:rsid w:val="0031697F"/>
    <w:rsid w:val="00316F32"/>
    <w:rsid w:val="003173A2"/>
    <w:rsid w:val="003438FE"/>
    <w:rsid w:val="0034530E"/>
    <w:rsid w:val="003473CD"/>
    <w:rsid w:val="00352550"/>
    <w:rsid w:val="00356572"/>
    <w:rsid w:val="00356F43"/>
    <w:rsid w:val="00367EFA"/>
    <w:rsid w:val="003751FE"/>
    <w:rsid w:val="00384F28"/>
    <w:rsid w:val="00384F6E"/>
    <w:rsid w:val="003B47E4"/>
    <w:rsid w:val="003B5517"/>
    <w:rsid w:val="003C0EE4"/>
    <w:rsid w:val="003C3127"/>
    <w:rsid w:val="003C69E3"/>
    <w:rsid w:val="003C7D14"/>
    <w:rsid w:val="003D0B08"/>
    <w:rsid w:val="003D343C"/>
    <w:rsid w:val="003D7950"/>
    <w:rsid w:val="003E30C2"/>
    <w:rsid w:val="003E7EEF"/>
    <w:rsid w:val="003F5A8B"/>
    <w:rsid w:val="00400E26"/>
    <w:rsid w:val="00402EDE"/>
    <w:rsid w:val="004047B0"/>
    <w:rsid w:val="004051D9"/>
    <w:rsid w:val="00407A7B"/>
    <w:rsid w:val="00410B0B"/>
    <w:rsid w:val="00413FA6"/>
    <w:rsid w:val="00445B50"/>
    <w:rsid w:val="004522D5"/>
    <w:rsid w:val="004670DA"/>
    <w:rsid w:val="0048023B"/>
    <w:rsid w:val="004A3BB8"/>
    <w:rsid w:val="004B19DD"/>
    <w:rsid w:val="004B4CF6"/>
    <w:rsid w:val="004B640B"/>
    <w:rsid w:val="004C02B4"/>
    <w:rsid w:val="004C2E3E"/>
    <w:rsid w:val="004C5AF4"/>
    <w:rsid w:val="004C73FB"/>
    <w:rsid w:val="004C7F70"/>
    <w:rsid w:val="004D2222"/>
    <w:rsid w:val="004D6FF6"/>
    <w:rsid w:val="004D7878"/>
    <w:rsid w:val="004E2E33"/>
    <w:rsid w:val="004E38AA"/>
    <w:rsid w:val="004E5222"/>
    <w:rsid w:val="00505282"/>
    <w:rsid w:val="0052073D"/>
    <w:rsid w:val="00520A2F"/>
    <w:rsid w:val="0052238E"/>
    <w:rsid w:val="00522D6E"/>
    <w:rsid w:val="00532F45"/>
    <w:rsid w:val="0054024F"/>
    <w:rsid w:val="00541F92"/>
    <w:rsid w:val="00543A64"/>
    <w:rsid w:val="00544A02"/>
    <w:rsid w:val="0055490E"/>
    <w:rsid w:val="00561475"/>
    <w:rsid w:val="00572DB4"/>
    <w:rsid w:val="005812A2"/>
    <w:rsid w:val="00592D8A"/>
    <w:rsid w:val="00592E25"/>
    <w:rsid w:val="005A07BF"/>
    <w:rsid w:val="005A1595"/>
    <w:rsid w:val="005C3C47"/>
    <w:rsid w:val="005E6C81"/>
    <w:rsid w:val="005F6F9C"/>
    <w:rsid w:val="00602B89"/>
    <w:rsid w:val="00604335"/>
    <w:rsid w:val="00604FB9"/>
    <w:rsid w:val="0060597D"/>
    <w:rsid w:val="00625AFC"/>
    <w:rsid w:val="006266DA"/>
    <w:rsid w:val="006302F5"/>
    <w:rsid w:val="0063633F"/>
    <w:rsid w:val="00642F24"/>
    <w:rsid w:val="00645EB2"/>
    <w:rsid w:val="00646C3A"/>
    <w:rsid w:val="00647F75"/>
    <w:rsid w:val="0066271F"/>
    <w:rsid w:val="006653F2"/>
    <w:rsid w:val="00673FBF"/>
    <w:rsid w:val="00677EDF"/>
    <w:rsid w:val="00680F98"/>
    <w:rsid w:val="00682859"/>
    <w:rsid w:val="00686908"/>
    <w:rsid w:val="00694751"/>
    <w:rsid w:val="006A3505"/>
    <w:rsid w:val="006A489E"/>
    <w:rsid w:val="006A5C48"/>
    <w:rsid w:val="006B42AA"/>
    <w:rsid w:val="006C5297"/>
    <w:rsid w:val="006E3432"/>
    <w:rsid w:val="006E5EB9"/>
    <w:rsid w:val="00702E25"/>
    <w:rsid w:val="0070659A"/>
    <w:rsid w:val="00707015"/>
    <w:rsid w:val="0071132F"/>
    <w:rsid w:val="00711A59"/>
    <w:rsid w:val="00713F03"/>
    <w:rsid w:val="0071789C"/>
    <w:rsid w:val="007207C6"/>
    <w:rsid w:val="00750057"/>
    <w:rsid w:val="007558ED"/>
    <w:rsid w:val="007655B6"/>
    <w:rsid w:val="007726B6"/>
    <w:rsid w:val="00796942"/>
    <w:rsid w:val="007B5A81"/>
    <w:rsid w:val="007D5B01"/>
    <w:rsid w:val="007D6A73"/>
    <w:rsid w:val="007D7E30"/>
    <w:rsid w:val="007F10C5"/>
    <w:rsid w:val="00804290"/>
    <w:rsid w:val="00810B61"/>
    <w:rsid w:val="008118C9"/>
    <w:rsid w:val="00816578"/>
    <w:rsid w:val="00837011"/>
    <w:rsid w:val="00843076"/>
    <w:rsid w:val="00847CE4"/>
    <w:rsid w:val="00861881"/>
    <w:rsid w:val="00867F8E"/>
    <w:rsid w:val="008730EB"/>
    <w:rsid w:val="00891E2C"/>
    <w:rsid w:val="008B1AF5"/>
    <w:rsid w:val="008B6DD4"/>
    <w:rsid w:val="008D3521"/>
    <w:rsid w:val="008E600B"/>
    <w:rsid w:val="0090592A"/>
    <w:rsid w:val="009113A5"/>
    <w:rsid w:val="0091675A"/>
    <w:rsid w:val="009213C1"/>
    <w:rsid w:val="00921562"/>
    <w:rsid w:val="0092496F"/>
    <w:rsid w:val="00940E99"/>
    <w:rsid w:val="00945199"/>
    <w:rsid w:val="00951063"/>
    <w:rsid w:val="00954502"/>
    <w:rsid w:val="00971B0A"/>
    <w:rsid w:val="009757F4"/>
    <w:rsid w:val="00983CBA"/>
    <w:rsid w:val="00987427"/>
    <w:rsid w:val="009977BF"/>
    <w:rsid w:val="009A3599"/>
    <w:rsid w:val="009C67DD"/>
    <w:rsid w:val="009E78B4"/>
    <w:rsid w:val="009F6AFB"/>
    <w:rsid w:val="00A00F85"/>
    <w:rsid w:val="00A06152"/>
    <w:rsid w:val="00A13E8A"/>
    <w:rsid w:val="00A35E6E"/>
    <w:rsid w:val="00A36B5A"/>
    <w:rsid w:val="00A6461E"/>
    <w:rsid w:val="00AA74F8"/>
    <w:rsid w:val="00AB3358"/>
    <w:rsid w:val="00AC0725"/>
    <w:rsid w:val="00AC698C"/>
    <w:rsid w:val="00AD0F63"/>
    <w:rsid w:val="00AD2D04"/>
    <w:rsid w:val="00AD3F6B"/>
    <w:rsid w:val="00AE021B"/>
    <w:rsid w:val="00AE1938"/>
    <w:rsid w:val="00AE649C"/>
    <w:rsid w:val="00AF00B3"/>
    <w:rsid w:val="00AF161C"/>
    <w:rsid w:val="00AF286F"/>
    <w:rsid w:val="00AF7B1D"/>
    <w:rsid w:val="00B032AF"/>
    <w:rsid w:val="00B07A36"/>
    <w:rsid w:val="00B10A10"/>
    <w:rsid w:val="00B15B89"/>
    <w:rsid w:val="00B15D34"/>
    <w:rsid w:val="00B2555C"/>
    <w:rsid w:val="00B4125E"/>
    <w:rsid w:val="00B45285"/>
    <w:rsid w:val="00B51DA6"/>
    <w:rsid w:val="00B644B1"/>
    <w:rsid w:val="00B655F4"/>
    <w:rsid w:val="00B65691"/>
    <w:rsid w:val="00B80478"/>
    <w:rsid w:val="00B9275C"/>
    <w:rsid w:val="00B93E2A"/>
    <w:rsid w:val="00BA7152"/>
    <w:rsid w:val="00BB0B65"/>
    <w:rsid w:val="00BB0E2A"/>
    <w:rsid w:val="00BC1D9A"/>
    <w:rsid w:val="00BE6E07"/>
    <w:rsid w:val="00C036B5"/>
    <w:rsid w:val="00C3140E"/>
    <w:rsid w:val="00C3257C"/>
    <w:rsid w:val="00C354E8"/>
    <w:rsid w:val="00C50FE5"/>
    <w:rsid w:val="00C62200"/>
    <w:rsid w:val="00C73A33"/>
    <w:rsid w:val="00C74AA9"/>
    <w:rsid w:val="00C75339"/>
    <w:rsid w:val="00C86991"/>
    <w:rsid w:val="00C91543"/>
    <w:rsid w:val="00C94295"/>
    <w:rsid w:val="00CB075B"/>
    <w:rsid w:val="00CC28C8"/>
    <w:rsid w:val="00CC2D08"/>
    <w:rsid w:val="00CD220D"/>
    <w:rsid w:val="00CD5E7F"/>
    <w:rsid w:val="00CD66FF"/>
    <w:rsid w:val="00CE3E28"/>
    <w:rsid w:val="00CE3E88"/>
    <w:rsid w:val="00CE4834"/>
    <w:rsid w:val="00CF0A29"/>
    <w:rsid w:val="00CF1365"/>
    <w:rsid w:val="00CF57C0"/>
    <w:rsid w:val="00D348B4"/>
    <w:rsid w:val="00D4310D"/>
    <w:rsid w:val="00D5141C"/>
    <w:rsid w:val="00D7246C"/>
    <w:rsid w:val="00D86F4B"/>
    <w:rsid w:val="00D87B43"/>
    <w:rsid w:val="00D87BDB"/>
    <w:rsid w:val="00D95A2F"/>
    <w:rsid w:val="00DA14C5"/>
    <w:rsid w:val="00DA35F9"/>
    <w:rsid w:val="00DB52E3"/>
    <w:rsid w:val="00DD039A"/>
    <w:rsid w:val="00DD673A"/>
    <w:rsid w:val="00DE4FD6"/>
    <w:rsid w:val="00DE54F5"/>
    <w:rsid w:val="00DE6B37"/>
    <w:rsid w:val="00DE6D00"/>
    <w:rsid w:val="00DF0085"/>
    <w:rsid w:val="00DF2277"/>
    <w:rsid w:val="00E06491"/>
    <w:rsid w:val="00E211A1"/>
    <w:rsid w:val="00E2775F"/>
    <w:rsid w:val="00E3441C"/>
    <w:rsid w:val="00E36E01"/>
    <w:rsid w:val="00E45BED"/>
    <w:rsid w:val="00E549A0"/>
    <w:rsid w:val="00E55CCB"/>
    <w:rsid w:val="00E60490"/>
    <w:rsid w:val="00E648D0"/>
    <w:rsid w:val="00E749E7"/>
    <w:rsid w:val="00E74F35"/>
    <w:rsid w:val="00E959BA"/>
    <w:rsid w:val="00ED5324"/>
    <w:rsid w:val="00EF26B8"/>
    <w:rsid w:val="00EF5383"/>
    <w:rsid w:val="00EF7C95"/>
    <w:rsid w:val="00F00BAA"/>
    <w:rsid w:val="00F0177A"/>
    <w:rsid w:val="00F0218F"/>
    <w:rsid w:val="00F07E5E"/>
    <w:rsid w:val="00F16108"/>
    <w:rsid w:val="00F202A5"/>
    <w:rsid w:val="00F20E44"/>
    <w:rsid w:val="00F22790"/>
    <w:rsid w:val="00F3235B"/>
    <w:rsid w:val="00F6271D"/>
    <w:rsid w:val="00F67F35"/>
    <w:rsid w:val="00F74E20"/>
    <w:rsid w:val="00F76D22"/>
    <w:rsid w:val="00F86AC0"/>
    <w:rsid w:val="00F94020"/>
    <w:rsid w:val="00F9696E"/>
    <w:rsid w:val="00F97957"/>
    <w:rsid w:val="00FB4027"/>
    <w:rsid w:val="00FD276F"/>
    <w:rsid w:val="00FD51BB"/>
    <w:rsid w:val="00FE06C1"/>
    <w:rsid w:val="00FE28E8"/>
    <w:rsid w:val="00FE4F14"/>
    <w:rsid w:val="00FF06DA"/>
    <w:rsid w:val="00FF3EF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06E2D"/>
  <w15:docId w15:val="{DC81E584-4DDD-A846-93DD-8800E928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F24"/>
    <w:rPr>
      <w:rFonts w:ascii="Times New Roman" w:eastAsia="Times New Roman" w:hAnsi="Times New Roman" w:cs="Times New Roman"/>
      <w:sz w:val="24"/>
      <w:szCs w:val="24"/>
      <w:lang w:val="es-CO" w:eastAsia="es-ES_tradnl"/>
    </w:rPr>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F86AC0"/>
    <w:rPr>
      <w:rFonts w:ascii="Lucida Grande" w:eastAsia="Arial" w:hAnsi="Lucida Grande" w:cs="Lucida Grande"/>
      <w:sz w:val="18"/>
      <w:szCs w:val="18"/>
      <w:lang w:val="es-AR" w:eastAsia="es-ES"/>
    </w:rPr>
  </w:style>
  <w:style w:type="character" w:customStyle="1" w:styleId="TextodegloboCar">
    <w:name w:val="Texto de globo Car"/>
    <w:basedOn w:val="Fuentedeprrafopredeter"/>
    <w:link w:val="Textodeglobo"/>
    <w:uiPriority w:val="99"/>
    <w:semiHidden/>
    <w:rsid w:val="00F86AC0"/>
    <w:rPr>
      <w:rFonts w:ascii="Lucida Grande" w:hAnsi="Lucida Grande" w:cs="Lucida Grande"/>
      <w:sz w:val="18"/>
      <w:szCs w:val="18"/>
    </w:rPr>
  </w:style>
  <w:style w:type="paragraph" w:styleId="Revisin">
    <w:name w:val="Revision"/>
    <w:hidden/>
    <w:uiPriority w:val="99"/>
    <w:semiHidden/>
    <w:rsid w:val="001930F8"/>
  </w:style>
  <w:style w:type="paragraph" w:styleId="Prrafodelista">
    <w:name w:val="List Paragraph"/>
    <w:basedOn w:val="Normal"/>
    <w:uiPriority w:val="34"/>
    <w:qFormat/>
    <w:rsid w:val="008118C9"/>
    <w:pPr>
      <w:ind w:left="720"/>
      <w:contextualSpacing/>
    </w:pPr>
    <w:rPr>
      <w:rFonts w:ascii="Arial" w:eastAsia="Arial" w:hAnsi="Arial" w:cs="Arial"/>
      <w:sz w:val="20"/>
      <w:szCs w:val="20"/>
      <w:lang w:val="es-AR" w:eastAsia="es-ES"/>
    </w:rPr>
  </w:style>
  <w:style w:type="paragraph" w:styleId="Encabezado">
    <w:name w:val="header"/>
    <w:basedOn w:val="Normal"/>
    <w:link w:val="EncabezadoCar"/>
    <w:unhideWhenUsed/>
    <w:rsid w:val="00413FA6"/>
    <w:pPr>
      <w:tabs>
        <w:tab w:val="center" w:pos="4419"/>
        <w:tab w:val="right" w:pos="8838"/>
      </w:tabs>
    </w:pPr>
    <w:rPr>
      <w:rFonts w:ascii="Arial" w:eastAsia="Arial" w:hAnsi="Arial" w:cs="Arial"/>
      <w:sz w:val="20"/>
      <w:szCs w:val="20"/>
      <w:lang w:val="es-AR" w:eastAsia="es-ES"/>
    </w:rPr>
  </w:style>
  <w:style w:type="character" w:customStyle="1" w:styleId="EncabezadoCar">
    <w:name w:val="Encabezado Car"/>
    <w:basedOn w:val="Fuentedeprrafopredeter"/>
    <w:link w:val="Encabezado"/>
    <w:rsid w:val="00413FA6"/>
  </w:style>
  <w:style w:type="paragraph" w:styleId="Piedepgina">
    <w:name w:val="footer"/>
    <w:basedOn w:val="Normal"/>
    <w:link w:val="PiedepginaCar"/>
    <w:uiPriority w:val="99"/>
    <w:unhideWhenUsed/>
    <w:rsid w:val="00413FA6"/>
    <w:pPr>
      <w:tabs>
        <w:tab w:val="center" w:pos="4419"/>
        <w:tab w:val="right" w:pos="8838"/>
      </w:tabs>
    </w:pPr>
    <w:rPr>
      <w:rFonts w:ascii="Arial" w:eastAsia="Arial" w:hAnsi="Arial" w:cs="Arial"/>
      <w:sz w:val="20"/>
      <w:szCs w:val="20"/>
      <w:lang w:val="es-AR" w:eastAsia="es-ES"/>
    </w:rPr>
  </w:style>
  <w:style w:type="character" w:customStyle="1" w:styleId="PiedepginaCar">
    <w:name w:val="Pie de página Car"/>
    <w:basedOn w:val="Fuentedeprrafopredeter"/>
    <w:link w:val="Piedepgina"/>
    <w:uiPriority w:val="99"/>
    <w:rsid w:val="00413FA6"/>
  </w:style>
  <w:style w:type="character" w:styleId="Hipervnculo">
    <w:name w:val="Hyperlink"/>
    <w:basedOn w:val="Fuentedeprrafopredeter"/>
    <w:uiPriority w:val="99"/>
    <w:unhideWhenUsed/>
    <w:rsid w:val="0034530E"/>
    <w:rPr>
      <w:color w:val="0000FF" w:themeColor="hyperlink"/>
      <w:u w:val="single"/>
    </w:rPr>
  </w:style>
  <w:style w:type="character" w:styleId="Hipervnculovisitado">
    <w:name w:val="FollowedHyperlink"/>
    <w:basedOn w:val="Fuentedeprrafopredeter"/>
    <w:uiPriority w:val="99"/>
    <w:semiHidden/>
    <w:unhideWhenUsed/>
    <w:rsid w:val="000D4D3B"/>
    <w:rPr>
      <w:color w:val="800080" w:themeColor="followedHyperlink"/>
      <w:u w:val="single"/>
    </w:rPr>
  </w:style>
  <w:style w:type="character" w:styleId="Mencinsinresolver">
    <w:name w:val="Unresolved Mention"/>
    <w:basedOn w:val="Fuentedeprrafopredeter"/>
    <w:uiPriority w:val="99"/>
    <w:semiHidden/>
    <w:unhideWhenUsed/>
    <w:rsid w:val="00BA7152"/>
    <w:rPr>
      <w:color w:val="605E5C"/>
      <w:shd w:val="clear" w:color="auto" w:fill="E1DFDD"/>
    </w:rPr>
  </w:style>
  <w:style w:type="character" w:styleId="Refdecomentario">
    <w:name w:val="annotation reference"/>
    <w:basedOn w:val="Fuentedeprrafopredeter"/>
    <w:uiPriority w:val="99"/>
    <w:semiHidden/>
    <w:unhideWhenUsed/>
    <w:rsid w:val="00543A64"/>
    <w:rPr>
      <w:sz w:val="16"/>
      <w:szCs w:val="16"/>
    </w:rPr>
  </w:style>
  <w:style w:type="paragraph" w:styleId="Textocomentario">
    <w:name w:val="annotation text"/>
    <w:basedOn w:val="Normal"/>
    <w:link w:val="TextocomentarioCar"/>
    <w:uiPriority w:val="99"/>
    <w:semiHidden/>
    <w:unhideWhenUsed/>
    <w:rsid w:val="00543A64"/>
    <w:rPr>
      <w:sz w:val="20"/>
      <w:szCs w:val="20"/>
    </w:rPr>
  </w:style>
  <w:style w:type="character" w:customStyle="1" w:styleId="TextocomentarioCar">
    <w:name w:val="Texto comentario Car"/>
    <w:basedOn w:val="Fuentedeprrafopredeter"/>
    <w:link w:val="Textocomentario"/>
    <w:uiPriority w:val="99"/>
    <w:semiHidden/>
    <w:rsid w:val="00543A64"/>
    <w:rPr>
      <w:rFonts w:ascii="Times New Roman" w:eastAsia="Times New Roman" w:hAnsi="Times New Roman" w:cs="Times New Roman"/>
      <w:lang w:val="es-CO" w:eastAsia="es-ES_tradnl"/>
    </w:rPr>
  </w:style>
  <w:style w:type="paragraph" w:styleId="Asuntodelcomentario">
    <w:name w:val="annotation subject"/>
    <w:basedOn w:val="Textocomentario"/>
    <w:next w:val="Textocomentario"/>
    <w:link w:val="AsuntodelcomentarioCar"/>
    <w:uiPriority w:val="99"/>
    <w:semiHidden/>
    <w:unhideWhenUsed/>
    <w:rsid w:val="00543A64"/>
    <w:rPr>
      <w:b/>
      <w:bCs/>
    </w:rPr>
  </w:style>
  <w:style w:type="character" w:customStyle="1" w:styleId="AsuntodelcomentarioCar">
    <w:name w:val="Asunto del comentario Car"/>
    <w:basedOn w:val="TextocomentarioCar"/>
    <w:link w:val="Asuntodelcomentario"/>
    <w:uiPriority w:val="99"/>
    <w:semiHidden/>
    <w:rsid w:val="00543A64"/>
    <w:rPr>
      <w:rFonts w:ascii="Times New Roman" w:eastAsia="Times New Roman" w:hAnsi="Times New Roman" w:cs="Times New Roman"/>
      <w:b/>
      <w:bCs/>
      <w:lang w:val="es-CO" w:eastAsia="es-ES_tradnl"/>
    </w:rPr>
  </w:style>
  <w:style w:type="character" w:styleId="Textoennegrita">
    <w:name w:val="Strong"/>
    <w:basedOn w:val="Fuentedeprrafopredeter"/>
    <w:uiPriority w:val="22"/>
    <w:qFormat/>
    <w:rsid w:val="004E38AA"/>
    <w:rPr>
      <w:b/>
      <w:bCs/>
    </w:rPr>
  </w:style>
  <w:style w:type="paragraph" w:styleId="NormalWeb">
    <w:name w:val="Normal (Web)"/>
    <w:basedOn w:val="Normal"/>
    <w:uiPriority w:val="99"/>
    <w:semiHidden/>
    <w:unhideWhenUsed/>
    <w:rsid w:val="00FE06C1"/>
    <w:pPr>
      <w:spacing w:before="100" w:beforeAutospacing="1" w:after="100" w:afterAutospacing="1"/>
    </w:pPr>
  </w:style>
  <w:style w:type="paragraph" w:customStyle="1" w:styleId="MonthDayYear">
    <w:name w:val="Month Day Year"/>
    <w:basedOn w:val="Normal"/>
    <w:rsid w:val="00C354E8"/>
    <w:pPr>
      <w:spacing w:before="120" w:line="276" w:lineRule="auto"/>
      <w:ind w:right="-1"/>
      <w:jc w:val="right"/>
    </w:pPr>
    <w:rPr>
      <w:rFonts w:ascii="Segoe UI" w:hAnsi="Segoe UI"/>
      <w:sz w:val="22"/>
      <w:szCs w:val="20"/>
      <w:lang w:val="en-US" w:eastAsia="en-US"/>
    </w:rPr>
  </w:style>
  <w:style w:type="character" w:customStyle="1" w:styleId="AboutandContactHeadline">
    <w:name w:val="About and Contact Headline"/>
    <w:basedOn w:val="Fuentedeprrafopredeter"/>
    <w:rsid w:val="009113A5"/>
    <w:rPr>
      <w:rFonts w:ascii="Segoe UI" w:hAnsi="Segoe UI"/>
      <w:b/>
      <w:bCs/>
      <w:sz w:val="18"/>
    </w:rPr>
  </w:style>
  <w:style w:type="character" w:customStyle="1" w:styleId="AboutandContactBody">
    <w:name w:val="About and Contact Body"/>
    <w:basedOn w:val="Fuentedeprrafopredeter"/>
    <w:rsid w:val="009113A5"/>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13">
      <w:bodyDiv w:val="1"/>
      <w:marLeft w:val="0"/>
      <w:marRight w:val="0"/>
      <w:marTop w:val="0"/>
      <w:marBottom w:val="0"/>
      <w:divBdr>
        <w:top w:val="none" w:sz="0" w:space="0" w:color="auto"/>
        <w:left w:val="none" w:sz="0" w:space="0" w:color="auto"/>
        <w:bottom w:val="none" w:sz="0" w:space="0" w:color="auto"/>
        <w:right w:val="none" w:sz="0" w:space="0" w:color="auto"/>
      </w:divBdr>
      <w:divsChild>
        <w:div w:id="545143809">
          <w:marLeft w:val="0"/>
          <w:marRight w:val="0"/>
          <w:marTop w:val="0"/>
          <w:marBottom w:val="0"/>
          <w:divBdr>
            <w:top w:val="none" w:sz="0" w:space="0" w:color="auto"/>
            <w:left w:val="none" w:sz="0" w:space="0" w:color="auto"/>
            <w:bottom w:val="none" w:sz="0" w:space="0" w:color="auto"/>
            <w:right w:val="none" w:sz="0" w:space="0" w:color="auto"/>
          </w:divBdr>
          <w:divsChild>
            <w:div w:id="4979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028">
      <w:bodyDiv w:val="1"/>
      <w:marLeft w:val="0"/>
      <w:marRight w:val="0"/>
      <w:marTop w:val="0"/>
      <w:marBottom w:val="0"/>
      <w:divBdr>
        <w:top w:val="none" w:sz="0" w:space="0" w:color="auto"/>
        <w:left w:val="none" w:sz="0" w:space="0" w:color="auto"/>
        <w:bottom w:val="none" w:sz="0" w:space="0" w:color="auto"/>
        <w:right w:val="none" w:sz="0" w:space="0" w:color="auto"/>
      </w:divBdr>
    </w:div>
    <w:div w:id="107824558">
      <w:bodyDiv w:val="1"/>
      <w:marLeft w:val="0"/>
      <w:marRight w:val="0"/>
      <w:marTop w:val="0"/>
      <w:marBottom w:val="0"/>
      <w:divBdr>
        <w:top w:val="none" w:sz="0" w:space="0" w:color="auto"/>
        <w:left w:val="none" w:sz="0" w:space="0" w:color="auto"/>
        <w:bottom w:val="none" w:sz="0" w:space="0" w:color="auto"/>
        <w:right w:val="none" w:sz="0" w:space="0" w:color="auto"/>
      </w:divBdr>
    </w:div>
    <w:div w:id="323633705">
      <w:bodyDiv w:val="1"/>
      <w:marLeft w:val="0"/>
      <w:marRight w:val="0"/>
      <w:marTop w:val="0"/>
      <w:marBottom w:val="0"/>
      <w:divBdr>
        <w:top w:val="none" w:sz="0" w:space="0" w:color="auto"/>
        <w:left w:val="none" w:sz="0" w:space="0" w:color="auto"/>
        <w:bottom w:val="none" w:sz="0" w:space="0" w:color="auto"/>
        <w:right w:val="none" w:sz="0" w:space="0" w:color="auto"/>
      </w:divBdr>
    </w:div>
    <w:div w:id="339889933">
      <w:bodyDiv w:val="1"/>
      <w:marLeft w:val="0"/>
      <w:marRight w:val="0"/>
      <w:marTop w:val="0"/>
      <w:marBottom w:val="0"/>
      <w:divBdr>
        <w:top w:val="none" w:sz="0" w:space="0" w:color="auto"/>
        <w:left w:val="none" w:sz="0" w:space="0" w:color="auto"/>
        <w:bottom w:val="none" w:sz="0" w:space="0" w:color="auto"/>
        <w:right w:val="none" w:sz="0" w:space="0" w:color="auto"/>
      </w:divBdr>
      <w:divsChild>
        <w:div w:id="1603879304">
          <w:marLeft w:val="0"/>
          <w:marRight w:val="0"/>
          <w:marTop w:val="0"/>
          <w:marBottom w:val="0"/>
          <w:divBdr>
            <w:top w:val="none" w:sz="0" w:space="0" w:color="auto"/>
            <w:left w:val="none" w:sz="0" w:space="0" w:color="auto"/>
            <w:bottom w:val="none" w:sz="0" w:space="0" w:color="auto"/>
            <w:right w:val="none" w:sz="0" w:space="0" w:color="auto"/>
          </w:divBdr>
          <w:divsChild>
            <w:div w:id="3765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0799">
      <w:bodyDiv w:val="1"/>
      <w:marLeft w:val="0"/>
      <w:marRight w:val="0"/>
      <w:marTop w:val="0"/>
      <w:marBottom w:val="0"/>
      <w:divBdr>
        <w:top w:val="none" w:sz="0" w:space="0" w:color="auto"/>
        <w:left w:val="none" w:sz="0" w:space="0" w:color="auto"/>
        <w:bottom w:val="none" w:sz="0" w:space="0" w:color="auto"/>
        <w:right w:val="none" w:sz="0" w:space="0" w:color="auto"/>
      </w:divBdr>
    </w:div>
    <w:div w:id="410348185">
      <w:bodyDiv w:val="1"/>
      <w:marLeft w:val="0"/>
      <w:marRight w:val="0"/>
      <w:marTop w:val="0"/>
      <w:marBottom w:val="0"/>
      <w:divBdr>
        <w:top w:val="none" w:sz="0" w:space="0" w:color="auto"/>
        <w:left w:val="none" w:sz="0" w:space="0" w:color="auto"/>
        <w:bottom w:val="none" w:sz="0" w:space="0" w:color="auto"/>
        <w:right w:val="none" w:sz="0" w:space="0" w:color="auto"/>
      </w:divBdr>
    </w:div>
    <w:div w:id="432362561">
      <w:bodyDiv w:val="1"/>
      <w:marLeft w:val="0"/>
      <w:marRight w:val="0"/>
      <w:marTop w:val="0"/>
      <w:marBottom w:val="0"/>
      <w:divBdr>
        <w:top w:val="none" w:sz="0" w:space="0" w:color="auto"/>
        <w:left w:val="none" w:sz="0" w:space="0" w:color="auto"/>
        <w:bottom w:val="none" w:sz="0" w:space="0" w:color="auto"/>
        <w:right w:val="none" w:sz="0" w:space="0" w:color="auto"/>
      </w:divBdr>
    </w:div>
    <w:div w:id="536429895">
      <w:bodyDiv w:val="1"/>
      <w:marLeft w:val="0"/>
      <w:marRight w:val="0"/>
      <w:marTop w:val="0"/>
      <w:marBottom w:val="0"/>
      <w:divBdr>
        <w:top w:val="none" w:sz="0" w:space="0" w:color="auto"/>
        <w:left w:val="none" w:sz="0" w:space="0" w:color="auto"/>
        <w:bottom w:val="none" w:sz="0" w:space="0" w:color="auto"/>
        <w:right w:val="none" w:sz="0" w:space="0" w:color="auto"/>
      </w:divBdr>
    </w:div>
    <w:div w:id="623388345">
      <w:bodyDiv w:val="1"/>
      <w:marLeft w:val="0"/>
      <w:marRight w:val="0"/>
      <w:marTop w:val="0"/>
      <w:marBottom w:val="0"/>
      <w:divBdr>
        <w:top w:val="none" w:sz="0" w:space="0" w:color="auto"/>
        <w:left w:val="none" w:sz="0" w:space="0" w:color="auto"/>
        <w:bottom w:val="none" w:sz="0" w:space="0" w:color="auto"/>
        <w:right w:val="none" w:sz="0" w:space="0" w:color="auto"/>
      </w:divBdr>
    </w:div>
    <w:div w:id="629826493">
      <w:bodyDiv w:val="1"/>
      <w:marLeft w:val="0"/>
      <w:marRight w:val="0"/>
      <w:marTop w:val="0"/>
      <w:marBottom w:val="0"/>
      <w:divBdr>
        <w:top w:val="none" w:sz="0" w:space="0" w:color="auto"/>
        <w:left w:val="none" w:sz="0" w:space="0" w:color="auto"/>
        <w:bottom w:val="none" w:sz="0" w:space="0" w:color="auto"/>
        <w:right w:val="none" w:sz="0" w:space="0" w:color="auto"/>
      </w:divBdr>
    </w:div>
    <w:div w:id="828206160">
      <w:bodyDiv w:val="1"/>
      <w:marLeft w:val="0"/>
      <w:marRight w:val="0"/>
      <w:marTop w:val="0"/>
      <w:marBottom w:val="0"/>
      <w:divBdr>
        <w:top w:val="none" w:sz="0" w:space="0" w:color="auto"/>
        <w:left w:val="none" w:sz="0" w:space="0" w:color="auto"/>
        <w:bottom w:val="none" w:sz="0" w:space="0" w:color="auto"/>
        <w:right w:val="none" w:sz="0" w:space="0" w:color="auto"/>
      </w:divBdr>
    </w:div>
    <w:div w:id="840849199">
      <w:bodyDiv w:val="1"/>
      <w:marLeft w:val="0"/>
      <w:marRight w:val="0"/>
      <w:marTop w:val="0"/>
      <w:marBottom w:val="0"/>
      <w:divBdr>
        <w:top w:val="none" w:sz="0" w:space="0" w:color="auto"/>
        <w:left w:val="none" w:sz="0" w:space="0" w:color="auto"/>
        <w:bottom w:val="none" w:sz="0" w:space="0" w:color="auto"/>
        <w:right w:val="none" w:sz="0" w:space="0" w:color="auto"/>
      </w:divBdr>
    </w:div>
    <w:div w:id="841429834">
      <w:bodyDiv w:val="1"/>
      <w:marLeft w:val="0"/>
      <w:marRight w:val="0"/>
      <w:marTop w:val="0"/>
      <w:marBottom w:val="0"/>
      <w:divBdr>
        <w:top w:val="none" w:sz="0" w:space="0" w:color="auto"/>
        <w:left w:val="none" w:sz="0" w:space="0" w:color="auto"/>
        <w:bottom w:val="none" w:sz="0" w:space="0" w:color="auto"/>
        <w:right w:val="none" w:sz="0" w:space="0" w:color="auto"/>
      </w:divBdr>
    </w:div>
    <w:div w:id="842429075">
      <w:bodyDiv w:val="1"/>
      <w:marLeft w:val="0"/>
      <w:marRight w:val="0"/>
      <w:marTop w:val="0"/>
      <w:marBottom w:val="0"/>
      <w:divBdr>
        <w:top w:val="none" w:sz="0" w:space="0" w:color="auto"/>
        <w:left w:val="none" w:sz="0" w:space="0" w:color="auto"/>
        <w:bottom w:val="none" w:sz="0" w:space="0" w:color="auto"/>
        <w:right w:val="none" w:sz="0" w:space="0" w:color="auto"/>
      </w:divBdr>
    </w:div>
    <w:div w:id="859974111">
      <w:bodyDiv w:val="1"/>
      <w:marLeft w:val="0"/>
      <w:marRight w:val="0"/>
      <w:marTop w:val="0"/>
      <w:marBottom w:val="0"/>
      <w:divBdr>
        <w:top w:val="none" w:sz="0" w:space="0" w:color="auto"/>
        <w:left w:val="none" w:sz="0" w:space="0" w:color="auto"/>
        <w:bottom w:val="none" w:sz="0" w:space="0" w:color="auto"/>
        <w:right w:val="none" w:sz="0" w:space="0" w:color="auto"/>
      </w:divBdr>
    </w:div>
    <w:div w:id="985361080">
      <w:bodyDiv w:val="1"/>
      <w:marLeft w:val="0"/>
      <w:marRight w:val="0"/>
      <w:marTop w:val="0"/>
      <w:marBottom w:val="0"/>
      <w:divBdr>
        <w:top w:val="none" w:sz="0" w:space="0" w:color="auto"/>
        <w:left w:val="none" w:sz="0" w:space="0" w:color="auto"/>
        <w:bottom w:val="none" w:sz="0" w:space="0" w:color="auto"/>
        <w:right w:val="none" w:sz="0" w:space="0" w:color="auto"/>
      </w:divBdr>
    </w:div>
    <w:div w:id="1033461703">
      <w:bodyDiv w:val="1"/>
      <w:marLeft w:val="0"/>
      <w:marRight w:val="0"/>
      <w:marTop w:val="0"/>
      <w:marBottom w:val="0"/>
      <w:divBdr>
        <w:top w:val="none" w:sz="0" w:space="0" w:color="auto"/>
        <w:left w:val="none" w:sz="0" w:space="0" w:color="auto"/>
        <w:bottom w:val="none" w:sz="0" w:space="0" w:color="auto"/>
        <w:right w:val="none" w:sz="0" w:space="0" w:color="auto"/>
      </w:divBdr>
    </w:div>
    <w:div w:id="1070270084">
      <w:bodyDiv w:val="1"/>
      <w:marLeft w:val="0"/>
      <w:marRight w:val="0"/>
      <w:marTop w:val="0"/>
      <w:marBottom w:val="0"/>
      <w:divBdr>
        <w:top w:val="none" w:sz="0" w:space="0" w:color="auto"/>
        <w:left w:val="none" w:sz="0" w:space="0" w:color="auto"/>
        <w:bottom w:val="none" w:sz="0" w:space="0" w:color="auto"/>
        <w:right w:val="none" w:sz="0" w:space="0" w:color="auto"/>
      </w:divBdr>
    </w:div>
    <w:div w:id="1121846827">
      <w:bodyDiv w:val="1"/>
      <w:marLeft w:val="0"/>
      <w:marRight w:val="0"/>
      <w:marTop w:val="0"/>
      <w:marBottom w:val="0"/>
      <w:divBdr>
        <w:top w:val="none" w:sz="0" w:space="0" w:color="auto"/>
        <w:left w:val="none" w:sz="0" w:space="0" w:color="auto"/>
        <w:bottom w:val="none" w:sz="0" w:space="0" w:color="auto"/>
        <w:right w:val="none" w:sz="0" w:space="0" w:color="auto"/>
      </w:divBdr>
    </w:div>
    <w:div w:id="1285771695">
      <w:bodyDiv w:val="1"/>
      <w:marLeft w:val="0"/>
      <w:marRight w:val="0"/>
      <w:marTop w:val="0"/>
      <w:marBottom w:val="0"/>
      <w:divBdr>
        <w:top w:val="none" w:sz="0" w:space="0" w:color="auto"/>
        <w:left w:val="none" w:sz="0" w:space="0" w:color="auto"/>
        <w:bottom w:val="none" w:sz="0" w:space="0" w:color="auto"/>
        <w:right w:val="none" w:sz="0" w:space="0" w:color="auto"/>
      </w:divBdr>
    </w:div>
    <w:div w:id="1350910255">
      <w:bodyDiv w:val="1"/>
      <w:marLeft w:val="0"/>
      <w:marRight w:val="0"/>
      <w:marTop w:val="0"/>
      <w:marBottom w:val="0"/>
      <w:divBdr>
        <w:top w:val="none" w:sz="0" w:space="0" w:color="auto"/>
        <w:left w:val="none" w:sz="0" w:space="0" w:color="auto"/>
        <w:bottom w:val="none" w:sz="0" w:space="0" w:color="auto"/>
        <w:right w:val="none" w:sz="0" w:space="0" w:color="auto"/>
      </w:divBdr>
    </w:div>
    <w:div w:id="1366517797">
      <w:bodyDiv w:val="1"/>
      <w:marLeft w:val="0"/>
      <w:marRight w:val="0"/>
      <w:marTop w:val="0"/>
      <w:marBottom w:val="0"/>
      <w:divBdr>
        <w:top w:val="none" w:sz="0" w:space="0" w:color="auto"/>
        <w:left w:val="none" w:sz="0" w:space="0" w:color="auto"/>
        <w:bottom w:val="none" w:sz="0" w:space="0" w:color="auto"/>
        <w:right w:val="none" w:sz="0" w:space="0" w:color="auto"/>
      </w:divBdr>
    </w:div>
    <w:div w:id="1415516304">
      <w:bodyDiv w:val="1"/>
      <w:marLeft w:val="0"/>
      <w:marRight w:val="0"/>
      <w:marTop w:val="0"/>
      <w:marBottom w:val="0"/>
      <w:divBdr>
        <w:top w:val="none" w:sz="0" w:space="0" w:color="auto"/>
        <w:left w:val="none" w:sz="0" w:space="0" w:color="auto"/>
        <w:bottom w:val="none" w:sz="0" w:space="0" w:color="auto"/>
        <w:right w:val="none" w:sz="0" w:space="0" w:color="auto"/>
      </w:divBdr>
    </w:div>
    <w:div w:id="1482191778">
      <w:bodyDiv w:val="1"/>
      <w:marLeft w:val="0"/>
      <w:marRight w:val="0"/>
      <w:marTop w:val="0"/>
      <w:marBottom w:val="0"/>
      <w:divBdr>
        <w:top w:val="none" w:sz="0" w:space="0" w:color="auto"/>
        <w:left w:val="none" w:sz="0" w:space="0" w:color="auto"/>
        <w:bottom w:val="none" w:sz="0" w:space="0" w:color="auto"/>
        <w:right w:val="none" w:sz="0" w:space="0" w:color="auto"/>
      </w:divBdr>
    </w:div>
    <w:div w:id="1541819666">
      <w:bodyDiv w:val="1"/>
      <w:marLeft w:val="0"/>
      <w:marRight w:val="0"/>
      <w:marTop w:val="0"/>
      <w:marBottom w:val="0"/>
      <w:divBdr>
        <w:top w:val="none" w:sz="0" w:space="0" w:color="auto"/>
        <w:left w:val="none" w:sz="0" w:space="0" w:color="auto"/>
        <w:bottom w:val="none" w:sz="0" w:space="0" w:color="auto"/>
        <w:right w:val="none" w:sz="0" w:space="0" w:color="auto"/>
      </w:divBdr>
    </w:div>
    <w:div w:id="1576427983">
      <w:bodyDiv w:val="1"/>
      <w:marLeft w:val="0"/>
      <w:marRight w:val="0"/>
      <w:marTop w:val="0"/>
      <w:marBottom w:val="0"/>
      <w:divBdr>
        <w:top w:val="none" w:sz="0" w:space="0" w:color="auto"/>
        <w:left w:val="none" w:sz="0" w:space="0" w:color="auto"/>
        <w:bottom w:val="none" w:sz="0" w:space="0" w:color="auto"/>
        <w:right w:val="none" w:sz="0" w:space="0" w:color="auto"/>
      </w:divBdr>
    </w:div>
    <w:div w:id="1644390515">
      <w:bodyDiv w:val="1"/>
      <w:marLeft w:val="0"/>
      <w:marRight w:val="0"/>
      <w:marTop w:val="0"/>
      <w:marBottom w:val="0"/>
      <w:divBdr>
        <w:top w:val="none" w:sz="0" w:space="0" w:color="auto"/>
        <w:left w:val="none" w:sz="0" w:space="0" w:color="auto"/>
        <w:bottom w:val="none" w:sz="0" w:space="0" w:color="auto"/>
        <w:right w:val="none" w:sz="0" w:space="0" w:color="auto"/>
      </w:divBdr>
    </w:div>
    <w:div w:id="1666662396">
      <w:bodyDiv w:val="1"/>
      <w:marLeft w:val="0"/>
      <w:marRight w:val="0"/>
      <w:marTop w:val="0"/>
      <w:marBottom w:val="0"/>
      <w:divBdr>
        <w:top w:val="none" w:sz="0" w:space="0" w:color="auto"/>
        <w:left w:val="none" w:sz="0" w:space="0" w:color="auto"/>
        <w:bottom w:val="none" w:sz="0" w:space="0" w:color="auto"/>
        <w:right w:val="none" w:sz="0" w:space="0" w:color="auto"/>
      </w:divBdr>
    </w:div>
    <w:div w:id="1742945584">
      <w:bodyDiv w:val="1"/>
      <w:marLeft w:val="0"/>
      <w:marRight w:val="0"/>
      <w:marTop w:val="0"/>
      <w:marBottom w:val="0"/>
      <w:divBdr>
        <w:top w:val="none" w:sz="0" w:space="0" w:color="auto"/>
        <w:left w:val="none" w:sz="0" w:space="0" w:color="auto"/>
        <w:bottom w:val="none" w:sz="0" w:space="0" w:color="auto"/>
        <w:right w:val="none" w:sz="0" w:space="0" w:color="auto"/>
      </w:divBdr>
    </w:div>
    <w:div w:id="1838572112">
      <w:bodyDiv w:val="1"/>
      <w:marLeft w:val="0"/>
      <w:marRight w:val="0"/>
      <w:marTop w:val="0"/>
      <w:marBottom w:val="0"/>
      <w:divBdr>
        <w:top w:val="none" w:sz="0" w:space="0" w:color="auto"/>
        <w:left w:val="none" w:sz="0" w:space="0" w:color="auto"/>
        <w:bottom w:val="none" w:sz="0" w:space="0" w:color="auto"/>
        <w:right w:val="none" w:sz="0" w:space="0" w:color="auto"/>
      </w:divBdr>
    </w:div>
    <w:div w:id="1893692987">
      <w:bodyDiv w:val="1"/>
      <w:marLeft w:val="0"/>
      <w:marRight w:val="0"/>
      <w:marTop w:val="0"/>
      <w:marBottom w:val="0"/>
      <w:divBdr>
        <w:top w:val="none" w:sz="0" w:space="0" w:color="auto"/>
        <w:left w:val="none" w:sz="0" w:space="0" w:color="auto"/>
        <w:bottom w:val="none" w:sz="0" w:space="0" w:color="auto"/>
        <w:right w:val="none" w:sz="0" w:space="0" w:color="auto"/>
      </w:divBdr>
    </w:div>
    <w:div w:id="1917012257">
      <w:bodyDiv w:val="1"/>
      <w:marLeft w:val="0"/>
      <w:marRight w:val="0"/>
      <w:marTop w:val="0"/>
      <w:marBottom w:val="0"/>
      <w:divBdr>
        <w:top w:val="none" w:sz="0" w:space="0" w:color="auto"/>
        <w:left w:val="none" w:sz="0" w:space="0" w:color="auto"/>
        <w:bottom w:val="none" w:sz="0" w:space="0" w:color="auto"/>
        <w:right w:val="none" w:sz="0" w:space="0" w:color="auto"/>
      </w:divBdr>
    </w:div>
    <w:div w:id="1956979612">
      <w:bodyDiv w:val="1"/>
      <w:marLeft w:val="0"/>
      <w:marRight w:val="0"/>
      <w:marTop w:val="0"/>
      <w:marBottom w:val="0"/>
      <w:divBdr>
        <w:top w:val="none" w:sz="0" w:space="0" w:color="auto"/>
        <w:left w:val="none" w:sz="0" w:space="0" w:color="auto"/>
        <w:bottom w:val="none" w:sz="0" w:space="0" w:color="auto"/>
        <w:right w:val="none" w:sz="0" w:space="0" w:color="auto"/>
      </w:divBdr>
    </w:div>
    <w:div w:id="205935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nkel.mx/marcas-y-negocios/schwarzkopf-571020" TargetMode="External"/><Relationship Id="rId18" Type="http://schemas.openxmlformats.org/officeDocument/2006/relationships/hyperlink" Target="https://www.henkel.com.co/marcas-y-negocios/loctite-5708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kel.com" TargetMode="External"/><Relationship Id="rId17" Type="http://schemas.openxmlformats.org/officeDocument/2006/relationships/hyperlink" Target="https://www.henkel.com.co/marcas-y-negocios/sista-580558" TargetMode="External"/><Relationship Id="rId2" Type="http://schemas.openxmlformats.org/officeDocument/2006/relationships/numbering" Target="numbering.xml"/><Relationship Id="rId16" Type="http://schemas.openxmlformats.org/officeDocument/2006/relationships/hyperlink" Target="https://www.henkel.com.co/marcas-y-negocios/balance-5757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nkel.com.co/marcas-y-negocios/konzil-570536"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nkel.com.co/marcas-y-negocios/igora-5705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27D4-9667-0A41-810D-07E435D5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3422</Words>
  <Characters>18827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Babel group sas</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Parra</dc:creator>
  <cp:lastModifiedBy>Maria Ximena Del Pilar Marin Morales</cp:lastModifiedBy>
  <cp:revision>3</cp:revision>
  <dcterms:created xsi:type="dcterms:W3CDTF">2022-08-16T11:42:00Z</dcterms:created>
  <dcterms:modified xsi:type="dcterms:W3CDTF">2022-08-16T11:44:00Z</dcterms:modified>
</cp:coreProperties>
</file>