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6FE7" w14:textId="53944090" w:rsidR="004C034F" w:rsidRPr="00316D1F" w:rsidRDefault="004C034F" w:rsidP="00E41377">
      <w:pPr>
        <w:pStyle w:val="MonthDayYear"/>
        <w:tabs>
          <w:tab w:val="left" w:pos="7513"/>
        </w:tabs>
        <w:jc w:val="left"/>
      </w:pPr>
    </w:p>
    <w:p w14:paraId="55D5E39A" w14:textId="20E308A1" w:rsidR="00B422EC" w:rsidRPr="00316D1F" w:rsidRDefault="002F05AC" w:rsidP="002F05AC">
      <w:pPr>
        <w:pStyle w:val="MonthDayYear"/>
        <w:tabs>
          <w:tab w:val="left" w:pos="7513"/>
        </w:tabs>
        <w:rPr>
          <w:lang w:val="hr-HR"/>
        </w:rPr>
      </w:pPr>
      <w:r w:rsidRPr="00316D1F">
        <w:rPr>
          <w:lang w:val="hr-HR"/>
        </w:rPr>
        <w:t>15. kolovoza</w:t>
      </w:r>
      <w:r w:rsidR="00A16FC1" w:rsidRPr="00316D1F">
        <w:rPr>
          <w:lang w:val="hr-HR"/>
        </w:rPr>
        <w:t>,</w:t>
      </w:r>
      <w:r w:rsidR="00BF6E82" w:rsidRPr="00316D1F">
        <w:rPr>
          <w:lang w:val="hr-HR"/>
        </w:rPr>
        <w:t xml:space="preserve"> 20</w:t>
      </w:r>
      <w:r w:rsidR="00F635FC" w:rsidRPr="00316D1F">
        <w:rPr>
          <w:lang w:val="hr-HR"/>
        </w:rPr>
        <w:t>2</w:t>
      </w:r>
      <w:r w:rsidR="0001450F" w:rsidRPr="00316D1F">
        <w:rPr>
          <w:lang w:val="hr-HR"/>
        </w:rPr>
        <w:t>2</w:t>
      </w:r>
    </w:p>
    <w:p w14:paraId="76AD0789" w14:textId="2D20804D" w:rsidR="007F0F63" w:rsidRPr="00316D1F" w:rsidRDefault="004B7CCC" w:rsidP="00AA346C">
      <w:pPr>
        <w:pStyle w:val="Topline"/>
        <w:spacing w:after="360"/>
        <w:rPr>
          <w:rStyle w:val="Headline"/>
          <w:rFonts w:asciiTheme="majorHAnsi" w:hAnsiTheme="majorHAnsi" w:cstheme="majorHAnsi"/>
          <w:b w:val="0"/>
          <w:bCs w:val="0"/>
          <w:sz w:val="22"/>
        </w:rPr>
      </w:pPr>
      <w:r w:rsidRPr="00316D1F">
        <w:rPr>
          <w:rFonts w:asciiTheme="majorHAnsi" w:hAnsiTheme="majorHAnsi" w:cstheme="majorHAnsi"/>
          <w:lang w:val="hr-HR"/>
        </w:rPr>
        <w:t xml:space="preserve">Henkel </w:t>
      </w:r>
      <w:r w:rsidR="002F05AC" w:rsidRPr="00316D1F">
        <w:rPr>
          <w:rFonts w:asciiTheme="majorHAnsi" w:hAnsiTheme="majorHAnsi" w:cstheme="majorHAnsi"/>
          <w:lang w:val="hr-HR"/>
        </w:rPr>
        <w:t>objavljuje polugodišnje rezultate prodaje</w:t>
      </w:r>
    </w:p>
    <w:p w14:paraId="2C8B8F4C" w14:textId="624C8CB8" w:rsidR="002F05AC" w:rsidRPr="00316D1F" w:rsidRDefault="002F05AC" w:rsidP="00635616">
      <w:pPr>
        <w:jc w:val="left"/>
        <w:rPr>
          <w:rStyle w:val="Headline"/>
          <w:rFonts w:asciiTheme="majorHAnsi" w:hAnsiTheme="majorHAnsi" w:cstheme="majorHAnsi"/>
          <w:lang w:val="hr-HR"/>
        </w:rPr>
      </w:pPr>
      <w:r w:rsidRPr="00316D1F">
        <w:rPr>
          <w:rStyle w:val="Headline"/>
          <w:rFonts w:asciiTheme="majorHAnsi" w:hAnsiTheme="majorHAnsi" w:cstheme="majorHAnsi"/>
          <w:lang w:val="hr-HR"/>
        </w:rPr>
        <w:t>Henkel značajno povećava prodaju, provodi strateški program i podiže smjernice za prodaju za 2022.</w:t>
      </w:r>
    </w:p>
    <w:p w14:paraId="6706FA18" w14:textId="77777777" w:rsidR="00852511" w:rsidRPr="00316D1F" w:rsidRDefault="00852511" w:rsidP="00365E44">
      <w:pPr>
        <w:rPr>
          <w:lang w:val="hr-HR"/>
        </w:rPr>
      </w:pPr>
    </w:p>
    <w:p w14:paraId="016710F2" w14:textId="7C24B8B5" w:rsidR="0001002C" w:rsidRPr="00316D1F" w:rsidRDefault="00FE0F32" w:rsidP="006655D3">
      <w:pPr>
        <w:pStyle w:val="ListParagraph"/>
        <w:numPr>
          <w:ilvl w:val="0"/>
          <w:numId w:val="7"/>
        </w:numPr>
        <w:spacing w:after="80"/>
        <w:ind w:left="357" w:right="-108" w:hanging="357"/>
        <w:contextualSpacing w:val="0"/>
        <w:jc w:val="left"/>
        <w:rPr>
          <w:rFonts w:asciiTheme="majorHAnsi" w:hAnsiTheme="majorHAnsi" w:cstheme="majorHAnsi"/>
          <w:b/>
          <w:szCs w:val="22"/>
        </w:rPr>
      </w:pPr>
      <w:bookmarkStart w:id="0" w:name="_Hlk43712519"/>
      <w:r w:rsidRPr="00316D1F">
        <w:rPr>
          <w:rFonts w:asciiTheme="majorHAnsi" w:hAnsiTheme="majorHAnsi" w:cstheme="majorHAnsi"/>
          <w:b/>
          <w:szCs w:val="22"/>
          <w:lang w:val="hr-HR"/>
        </w:rPr>
        <w:t>Grupna p</w:t>
      </w:r>
      <w:r w:rsidR="00AA346C" w:rsidRPr="00316D1F">
        <w:rPr>
          <w:rFonts w:asciiTheme="majorHAnsi" w:hAnsiTheme="majorHAnsi" w:cstheme="majorHAnsi"/>
          <w:b/>
          <w:szCs w:val="22"/>
          <w:lang w:val="hr-HR"/>
        </w:rPr>
        <w:t>rodaja u prvoj polovici 2022. organski je porasla za +8,9 posto na oko 10,9 milijardi eura (nominalno + 9,9 posto), u svim poslovnim sektorima i regijama</w:t>
      </w:r>
    </w:p>
    <w:p w14:paraId="3B8FD12B" w14:textId="1FCC1D12" w:rsidR="00793A4C" w:rsidRPr="00316D1F" w:rsidRDefault="00AA346C" w:rsidP="00604E54">
      <w:pPr>
        <w:pStyle w:val="ListParagraph"/>
        <w:numPr>
          <w:ilvl w:val="0"/>
          <w:numId w:val="7"/>
        </w:numPr>
        <w:spacing w:after="80"/>
        <w:ind w:right="-108"/>
        <w:contextualSpacing w:val="0"/>
        <w:jc w:val="left"/>
        <w:rPr>
          <w:rFonts w:asciiTheme="majorHAnsi" w:hAnsiTheme="majorHAnsi" w:cstheme="majorHAnsi"/>
          <w:b/>
          <w:szCs w:val="22"/>
        </w:rPr>
      </w:pPr>
      <w:r w:rsidRPr="00316D1F">
        <w:rPr>
          <w:rFonts w:asciiTheme="majorHAnsi" w:hAnsiTheme="majorHAnsi" w:cstheme="majorHAnsi"/>
          <w:b/>
          <w:szCs w:val="22"/>
          <w:lang w:val="hr-HR"/>
        </w:rPr>
        <w:t>Na zaradu su, kako je i očekivano, utjecali drastično nepovoljni troškovi:</w:t>
      </w:r>
    </w:p>
    <w:p w14:paraId="58752EFB" w14:textId="38090B95" w:rsidR="00793A4C" w:rsidRPr="00316D1F" w:rsidRDefault="00AA346C" w:rsidP="00793A4C">
      <w:pPr>
        <w:pStyle w:val="ListParagraph"/>
        <w:numPr>
          <w:ilvl w:val="1"/>
          <w:numId w:val="7"/>
        </w:numPr>
        <w:spacing w:after="80" w:line="266" w:lineRule="auto"/>
        <w:ind w:left="709" w:right="-108" w:hanging="283"/>
        <w:contextualSpacing w:val="0"/>
        <w:jc w:val="left"/>
        <w:rPr>
          <w:rFonts w:asciiTheme="majorHAnsi" w:hAnsiTheme="majorHAnsi" w:cstheme="majorHAnsi"/>
          <w:b/>
          <w:szCs w:val="22"/>
        </w:rPr>
      </w:pPr>
      <w:r w:rsidRPr="00316D1F">
        <w:rPr>
          <w:rFonts w:asciiTheme="majorHAnsi" w:hAnsiTheme="majorHAnsi" w:cstheme="majorHAnsi"/>
          <w:b/>
          <w:szCs w:val="22"/>
          <w:lang w:val="hr-HR"/>
        </w:rPr>
        <w:t>Operativna dobit (EBIT)* dosegla je 1,166 milijardi eura (-18,5%)</w:t>
      </w:r>
    </w:p>
    <w:p w14:paraId="229837D0" w14:textId="052CB1A7" w:rsidR="00793A4C" w:rsidRPr="00316D1F" w:rsidRDefault="00AA346C" w:rsidP="00793A4C">
      <w:pPr>
        <w:pStyle w:val="ListParagraph"/>
        <w:numPr>
          <w:ilvl w:val="1"/>
          <w:numId w:val="7"/>
        </w:numPr>
        <w:spacing w:after="80" w:line="266" w:lineRule="auto"/>
        <w:ind w:left="709" w:right="-108" w:hanging="283"/>
        <w:contextualSpacing w:val="0"/>
        <w:jc w:val="left"/>
        <w:rPr>
          <w:rFonts w:asciiTheme="majorHAnsi" w:hAnsiTheme="majorHAnsi" w:cstheme="majorHAnsi"/>
          <w:b/>
          <w:szCs w:val="22"/>
        </w:rPr>
      </w:pPr>
      <w:r w:rsidRPr="00316D1F">
        <w:rPr>
          <w:rFonts w:asciiTheme="majorHAnsi" w:hAnsiTheme="majorHAnsi" w:cstheme="majorHAnsi"/>
          <w:b/>
          <w:szCs w:val="22"/>
          <w:lang w:val="hr-HR"/>
        </w:rPr>
        <w:t>EBIT marža* na 10,7% (-370 osnovnih bodova)</w:t>
      </w:r>
    </w:p>
    <w:p w14:paraId="44A1FE3B" w14:textId="6B9F78BD" w:rsidR="00793A4C" w:rsidRPr="00316D1F" w:rsidRDefault="00AA346C" w:rsidP="00793A4C">
      <w:pPr>
        <w:pStyle w:val="ListParagraph"/>
        <w:numPr>
          <w:ilvl w:val="1"/>
          <w:numId w:val="7"/>
        </w:numPr>
        <w:spacing w:after="80" w:line="266" w:lineRule="auto"/>
        <w:ind w:left="709" w:right="-108" w:hanging="283"/>
        <w:contextualSpacing w:val="0"/>
        <w:jc w:val="left"/>
        <w:rPr>
          <w:rFonts w:asciiTheme="majorHAnsi" w:hAnsiTheme="majorHAnsi" w:cstheme="majorHAnsi"/>
          <w:b/>
          <w:szCs w:val="22"/>
        </w:rPr>
      </w:pPr>
      <w:r w:rsidRPr="00316D1F">
        <w:rPr>
          <w:rFonts w:asciiTheme="majorHAnsi" w:hAnsiTheme="majorHAnsi" w:cstheme="majorHAnsi"/>
          <w:b/>
          <w:szCs w:val="22"/>
          <w:lang w:val="hr-HR"/>
        </w:rPr>
        <w:t>Zarada po prioritetnoj dionici (EPS* bila je 1,95 eura, -20,8% pri stalnom tečaju</w:t>
      </w:r>
    </w:p>
    <w:p w14:paraId="1DCB5E20" w14:textId="519210B2" w:rsidR="00F5043C" w:rsidRPr="00316D1F" w:rsidRDefault="00AA346C" w:rsidP="00DE55CF">
      <w:pPr>
        <w:pStyle w:val="ListParagraph"/>
        <w:numPr>
          <w:ilvl w:val="0"/>
          <w:numId w:val="7"/>
        </w:numPr>
        <w:spacing w:after="80"/>
        <w:ind w:left="357" w:right="-108" w:hanging="357"/>
        <w:contextualSpacing w:val="0"/>
        <w:jc w:val="left"/>
        <w:rPr>
          <w:rFonts w:asciiTheme="majorHAnsi" w:hAnsiTheme="majorHAnsi" w:cstheme="majorHAnsi"/>
          <w:b/>
          <w:szCs w:val="22"/>
        </w:rPr>
      </w:pPr>
      <w:r w:rsidRPr="00316D1F">
        <w:rPr>
          <w:rFonts w:asciiTheme="majorHAnsi" w:hAnsiTheme="majorHAnsi" w:cstheme="majorHAnsi"/>
          <w:b/>
          <w:szCs w:val="22"/>
          <w:lang w:val="hr-HR"/>
        </w:rPr>
        <w:t>Dobar napredak u provođenju programa svrhovitog rasta i spajanju potrošačkih poslovnih sektora u Henkel Consumer Brands</w:t>
      </w:r>
    </w:p>
    <w:p w14:paraId="1741095F" w14:textId="414ADF5D" w:rsidR="00391A5F" w:rsidRPr="00316D1F" w:rsidRDefault="00AA346C" w:rsidP="00391A5F">
      <w:pPr>
        <w:pStyle w:val="ListParagraph"/>
        <w:numPr>
          <w:ilvl w:val="0"/>
          <w:numId w:val="7"/>
        </w:numPr>
        <w:spacing w:after="80"/>
        <w:ind w:left="357" w:right="-108" w:hanging="357"/>
        <w:contextualSpacing w:val="0"/>
        <w:jc w:val="left"/>
        <w:rPr>
          <w:rFonts w:asciiTheme="majorHAnsi" w:hAnsiTheme="majorHAnsi" w:cstheme="majorHAnsi"/>
          <w:b/>
          <w:szCs w:val="22"/>
          <w:lang w:val="de-DE"/>
        </w:rPr>
      </w:pPr>
      <w:r w:rsidRPr="00316D1F">
        <w:rPr>
          <w:rFonts w:asciiTheme="majorHAnsi" w:hAnsiTheme="majorHAnsi" w:cstheme="majorHAnsi"/>
          <w:b/>
          <w:szCs w:val="22"/>
          <w:lang w:val="hr-HR"/>
        </w:rPr>
        <w:t>Korigirana prognoza za fiskalnu 2022.:</w:t>
      </w:r>
    </w:p>
    <w:p w14:paraId="6481FFA1" w14:textId="283C4842" w:rsidR="00F5043C" w:rsidRPr="00316D1F" w:rsidRDefault="00AA346C" w:rsidP="00F5043C">
      <w:pPr>
        <w:pStyle w:val="ListParagraph"/>
        <w:numPr>
          <w:ilvl w:val="1"/>
          <w:numId w:val="7"/>
        </w:numPr>
        <w:spacing w:after="80" w:line="266" w:lineRule="auto"/>
        <w:ind w:left="709" w:right="-108" w:hanging="283"/>
        <w:contextualSpacing w:val="0"/>
        <w:jc w:val="left"/>
        <w:rPr>
          <w:rFonts w:asciiTheme="majorHAnsi" w:hAnsiTheme="majorHAnsi" w:cstheme="majorHAnsi"/>
          <w:b/>
          <w:szCs w:val="22"/>
        </w:rPr>
      </w:pPr>
      <w:r w:rsidRPr="00316D1F">
        <w:rPr>
          <w:rFonts w:asciiTheme="majorHAnsi" w:hAnsiTheme="majorHAnsi" w:cstheme="majorHAnsi"/>
          <w:b/>
          <w:szCs w:val="22"/>
          <w:lang w:val="hr-HR"/>
        </w:rPr>
        <w:t>Rast organske prodaje: povećan na +4,5 do +6,5 posto</w:t>
      </w:r>
    </w:p>
    <w:p w14:paraId="6A38BDFE" w14:textId="0B8FCB1E" w:rsidR="00F5043C" w:rsidRPr="00316D1F" w:rsidRDefault="00AA346C" w:rsidP="00F5043C">
      <w:pPr>
        <w:pStyle w:val="ListParagraph"/>
        <w:numPr>
          <w:ilvl w:val="1"/>
          <w:numId w:val="7"/>
        </w:numPr>
        <w:spacing w:after="80" w:line="266" w:lineRule="auto"/>
        <w:ind w:left="709" w:right="-108" w:hanging="283"/>
        <w:contextualSpacing w:val="0"/>
        <w:jc w:val="left"/>
        <w:rPr>
          <w:rFonts w:asciiTheme="majorHAnsi" w:hAnsiTheme="majorHAnsi" w:cstheme="majorHAnsi"/>
          <w:b/>
          <w:szCs w:val="22"/>
        </w:rPr>
      </w:pPr>
      <w:r w:rsidRPr="00316D1F">
        <w:rPr>
          <w:rFonts w:asciiTheme="majorHAnsi" w:hAnsiTheme="majorHAnsi" w:cstheme="majorHAnsi"/>
          <w:b/>
          <w:szCs w:val="22"/>
          <w:lang w:val="hr-HR"/>
        </w:rPr>
        <w:t>Marža EBIT*: nepromijenjena na 9,0 do 11,0 posto</w:t>
      </w:r>
    </w:p>
    <w:p w14:paraId="34CDF95F" w14:textId="6FB37900" w:rsidR="0001002C" w:rsidRPr="00316D1F" w:rsidRDefault="00AA346C" w:rsidP="000A23CD">
      <w:pPr>
        <w:pStyle w:val="ListParagraph"/>
        <w:numPr>
          <w:ilvl w:val="1"/>
          <w:numId w:val="7"/>
        </w:numPr>
        <w:spacing w:after="80" w:line="266" w:lineRule="auto"/>
        <w:ind w:left="709" w:right="-108" w:hanging="283"/>
        <w:contextualSpacing w:val="0"/>
        <w:jc w:val="left"/>
        <w:rPr>
          <w:rFonts w:asciiTheme="majorHAnsi" w:hAnsiTheme="majorHAnsi" w:cstheme="majorHAnsi"/>
          <w:b/>
          <w:szCs w:val="22"/>
        </w:rPr>
      </w:pPr>
      <w:r w:rsidRPr="00316D1F">
        <w:rPr>
          <w:rFonts w:asciiTheme="majorHAnsi" w:hAnsiTheme="majorHAnsi" w:cstheme="majorHAnsi"/>
          <w:b/>
          <w:szCs w:val="22"/>
          <w:lang w:val="hr-HR"/>
        </w:rPr>
        <w:t>Zarada po prioritetnoj dionici (EPS)* pri stalnom tečaju: nepromijenjen pad u rasponu od -35 do -15 posto</w:t>
      </w:r>
    </w:p>
    <w:bookmarkEnd w:id="0"/>
    <w:p w14:paraId="2977352D" w14:textId="5D3FBD03" w:rsidR="002F05AC" w:rsidRPr="00316D1F" w:rsidRDefault="002F05AC" w:rsidP="00D56358">
      <w:pPr>
        <w:rPr>
          <w:rFonts w:cs="Segoe UI"/>
          <w:b/>
          <w:bCs/>
          <w:szCs w:val="22"/>
          <w:lang w:val="hr-HR"/>
        </w:rPr>
      </w:pPr>
    </w:p>
    <w:p w14:paraId="714308BC" w14:textId="01DA0741" w:rsidR="002F05AC" w:rsidRPr="00316D1F" w:rsidRDefault="001E6344" w:rsidP="00D56358">
      <w:pPr>
        <w:rPr>
          <w:rFonts w:cs="Segoe UI"/>
          <w:b/>
          <w:bCs/>
          <w:szCs w:val="22"/>
          <w:lang w:val="hr-HR"/>
        </w:rPr>
      </w:pPr>
      <w:r w:rsidRPr="00316D1F">
        <w:rPr>
          <w:rFonts w:cs="Segoe UI"/>
          <w:b/>
          <w:bCs/>
          <w:szCs w:val="22"/>
          <w:lang w:val="hr-HR"/>
        </w:rPr>
        <w:t>D</w:t>
      </w:r>
      <w:r w:rsidR="00AA346C" w:rsidRPr="00316D1F">
        <w:rPr>
          <w:rFonts w:cs="Segoe UI"/>
          <w:b/>
          <w:bCs/>
          <w:szCs w:val="22"/>
          <w:lang w:val="hr-HR"/>
        </w:rPr>
        <w:t>ü</w:t>
      </w:r>
      <w:r w:rsidRPr="00316D1F">
        <w:rPr>
          <w:rFonts w:cs="Segoe UI"/>
          <w:b/>
          <w:bCs/>
          <w:szCs w:val="22"/>
          <w:lang w:val="hr-HR"/>
        </w:rPr>
        <w:t>sseldorf – u prvoj polovici 2022</w:t>
      </w:r>
      <w:r w:rsidR="00AA346C" w:rsidRPr="00316D1F">
        <w:rPr>
          <w:rFonts w:cs="Segoe UI"/>
          <w:b/>
          <w:bCs/>
          <w:szCs w:val="22"/>
          <w:lang w:val="hr-HR"/>
        </w:rPr>
        <w:t>.</w:t>
      </w:r>
      <w:r w:rsidRPr="00316D1F">
        <w:rPr>
          <w:rFonts w:cs="Segoe UI"/>
          <w:b/>
          <w:bCs/>
          <w:szCs w:val="22"/>
          <w:lang w:val="hr-HR"/>
        </w:rPr>
        <w:t xml:space="preserve">, Henkel je povećao </w:t>
      </w:r>
      <w:r w:rsidR="00FE0F32" w:rsidRPr="00316D1F">
        <w:rPr>
          <w:rFonts w:cs="Segoe UI"/>
          <w:b/>
          <w:bCs/>
          <w:szCs w:val="22"/>
          <w:lang w:val="hr-HR"/>
        </w:rPr>
        <w:t xml:space="preserve">grupnu </w:t>
      </w:r>
      <w:r w:rsidRPr="00316D1F">
        <w:rPr>
          <w:rFonts w:cs="Segoe UI"/>
          <w:b/>
          <w:bCs/>
          <w:szCs w:val="22"/>
          <w:lang w:val="hr-HR"/>
        </w:rPr>
        <w:t xml:space="preserve">prodaju za oko 10,9 milijardi eura. To je u skladu sa značajnim rastom organske prodaje od +8,9 posto. Taj pozitivan razvoj </w:t>
      </w:r>
      <w:r w:rsidR="00FE0F32" w:rsidRPr="00316D1F">
        <w:rPr>
          <w:rFonts w:cs="Segoe UI"/>
          <w:b/>
          <w:bCs/>
          <w:szCs w:val="22"/>
          <w:lang w:val="hr-HR"/>
        </w:rPr>
        <w:t>ostvarili su</w:t>
      </w:r>
      <w:r w:rsidRPr="00316D1F">
        <w:rPr>
          <w:rFonts w:cs="Segoe UI"/>
          <w:b/>
          <w:bCs/>
          <w:szCs w:val="22"/>
          <w:lang w:val="hr-HR"/>
        </w:rPr>
        <w:t xml:space="preserve"> sv</w:t>
      </w:r>
      <w:r w:rsidR="00FE0F32" w:rsidRPr="00316D1F">
        <w:rPr>
          <w:rFonts w:cs="Segoe UI"/>
          <w:b/>
          <w:bCs/>
          <w:szCs w:val="22"/>
          <w:lang w:val="hr-HR"/>
        </w:rPr>
        <w:t>i</w:t>
      </w:r>
      <w:r w:rsidRPr="00316D1F">
        <w:rPr>
          <w:rFonts w:cs="Segoe UI"/>
          <w:b/>
          <w:bCs/>
          <w:szCs w:val="22"/>
          <w:lang w:val="hr-HR"/>
        </w:rPr>
        <w:t xml:space="preserve"> poslovn</w:t>
      </w:r>
      <w:r w:rsidR="00FE0F32" w:rsidRPr="00316D1F">
        <w:rPr>
          <w:rFonts w:cs="Segoe UI"/>
          <w:b/>
          <w:bCs/>
          <w:szCs w:val="22"/>
          <w:lang w:val="hr-HR"/>
        </w:rPr>
        <w:t>i</w:t>
      </w:r>
      <w:r w:rsidRPr="00316D1F">
        <w:rPr>
          <w:rFonts w:cs="Segoe UI"/>
          <w:b/>
          <w:bCs/>
          <w:szCs w:val="22"/>
          <w:lang w:val="hr-HR"/>
        </w:rPr>
        <w:t xml:space="preserve"> </w:t>
      </w:r>
      <w:r w:rsidR="00FE0F32" w:rsidRPr="00316D1F">
        <w:rPr>
          <w:rFonts w:cs="Segoe UI"/>
          <w:b/>
          <w:bCs/>
          <w:szCs w:val="22"/>
          <w:lang w:val="hr-HR"/>
        </w:rPr>
        <w:t>sektori</w:t>
      </w:r>
      <w:r w:rsidRPr="00316D1F">
        <w:rPr>
          <w:rFonts w:cs="Segoe UI"/>
          <w:b/>
          <w:bCs/>
          <w:szCs w:val="22"/>
          <w:lang w:val="hr-HR"/>
        </w:rPr>
        <w:t xml:space="preserve"> i regij</w:t>
      </w:r>
      <w:r w:rsidR="00FE0F32" w:rsidRPr="00316D1F">
        <w:rPr>
          <w:rFonts w:cs="Segoe UI"/>
          <w:b/>
          <w:bCs/>
          <w:szCs w:val="22"/>
          <w:lang w:val="hr-HR"/>
        </w:rPr>
        <w:t>e</w:t>
      </w:r>
      <w:r w:rsidRPr="00316D1F">
        <w:rPr>
          <w:rFonts w:cs="Segoe UI"/>
          <w:b/>
          <w:bCs/>
          <w:szCs w:val="22"/>
          <w:lang w:val="hr-HR"/>
        </w:rPr>
        <w:t xml:space="preserve">. Kako je i očekivano, na zaradu u prvoj polovici godine utjecao je drastičan rast cijena materijala i logistike. Unatoč značajnom </w:t>
      </w:r>
      <w:r w:rsidR="00FE0F32" w:rsidRPr="00316D1F">
        <w:rPr>
          <w:rFonts w:cs="Segoe UI"/>
          <w:b/>
          <w:bCs/>
          <w:szCs w:val="22"/>
          <w:lang w:val="hr-HR"/>
        </w:rPr>
        <w:t>rastu</w:t>
      </w:r>
      <w:r w:rsidRPr="00316D1F">
        <w:rPr>
          <w:rFonts w:cs="Segoe UI"/>
          <w:b/>
          <w:bCs/>
          <w:szCs w:val="22"/>
          <w:lang w:val="hr-HR"/>
        </w:rPr>
        <w:t xml:space="preserve"> cijena, strogo upravljanje troškovima i daljnja poboljšanja učinkovitosti</w:t>
      </w:r>
      <w:r w:rsidR="00FE0F32" w:rsidRPr="00316D1F">
        <w:rPr>
          <w:rFonts w:cs="Segoe UI"/>
          <w:b/>
          <w:bCs/>
          <w:szCs w:val="22"/>
          <w:lang w:val="hr-HR"/>
        </w:rPr>
        <w:t>,</w:t>
      </w:r>
      <w:r w:rsidRPr="00316D1F">
        <w:rPr>
          <w:rFonts w:cs="Segoe UI"/>
          <w:b/>
          <w:bCs/>
          <w:szCs w:val="22"/>
          <w:lang w:val="hr-HR"/>
        </w:rPr>
        <w:t xml:space="preserve"> ti </w:t>
      </w:r>
      <w:r w:rsidR="00FE0F32" w:rsidRPr="00316D1F">
        <w:rPr>
          <w:rFonts w:cs="Segoe UI"/>
          <w:b/>
          <w:bCs/>
          <w:szCs w:val="22"/>
          <w:lang w:val="hr-HR"/>
        </w:rPr>
        <w:t xml:space="preserve">se </w:t>
      </w:r>
      <w:r w:rsidRPr="00316D1F">
        <w:rPr>
          <w:rFonts w:cs="Segoe UI"/>
          <w:b/>
          <w:bCs/>
          <w:szCs w:val="22"/>
          <w:lang w:val="hr-HR"/>
        </w:rPr>
        <w:t>učin</w:t>
      </w:r>
      <w:r w:rsidR="00FE0F32" w:rsidRPr="00316D1F">
        <w:rPr>
          <w:rFonts w:cs="Segoe UI"/>
          <w:b/>
          <w:bCs/>
          <w:szCs w:val="22"/>
          <w:lang w:val="hr-HR"/>
        </w:rPr>
        <w:t>ci</w:t>
      </w:r>
      <w:r w:rsidRPr="00316D1F">
        <w:rPr>
          <w:rFonts w:cs="Segoe UI"/>
          <w:b/>
          <w:bCs/>
          <w:szCs w:val="22"/>
          <w:lang w:val="hr-HR"/>
        </w:rPr>
        <w:t xml:space="preserve"> ni</w:t>
      </w:r>
      <w:r w:rsidR="00FE0F32" w:rsidRPr="00316D1F">
        <w:rPr>
          <w:rFonts w:cs="Segoe UI"/>
          <w:b/>
          <w:bCs/>
          <w:szCs w:val="22"/>
          <w:lang w:val="hr-HR"/>
        </w:rPr>
        <w:t>su</w:t>
      </w:r>
      <w:r w:rsidRPr="00316D1F">
        <w:rPr>
          <w:rFonts w:cs="Segoe UI"/>
          <w:b/>
          <w:bCs/>
          <w:szCs w:val="22"/>
          <w:lang w:val="hr-HR"/>
        </w:rPr>
        <w:t xml:space="preserve"> mogl</w:t>
      </w:r>
      <w:r w:rsidR="00FE0F32" w:rsidRPr="00316D1F">
        <w:rPr>
          <w:rFonts w:cs="Segoe UI"/>
          <w:b/>
          <w:bCs/>
          <w:szCs w:val="22"/>
          <w:lang w:val="hr-HR"/>
        </w:rPr>
        <w:t>i</w:t>
      </w:r>
      <w:r w:rsidRPr="00316D1F">
        <w:rPr>
          <w:rFonts w:cs="Segoe UI"/>
          <w:b/>
          <w:bCs/>
          <w:szCs w:val="22"/>
          <w:lang w:val="hr-HR"/>
        </w:rPr>
        <w:t xml:space="preserve"> posve kompenzira</w:t>
      </w:r>
      <w:r w:rsidR="00FE0F32" w:rsidRPr="00316D1F">
        <w:rPr>
          <w:rFonts w:cs="Segoe UI"/>
          <w:b/>
          <w:bCs/>
          <w:szCs w:val="22"/>
          <w:lang w:val="hr-HR"/>
        </w:rPr>
        <w:t>ti</w:t>
      </w:r>
      <w:r w:rsidRPr="00316D1F">
        <w:rPr>
          <w:rFonts w:cs="Segoe UI"/>
          <w:b/>
          <w:bCs/>
          <w:szCs w:val="22"/>
          <w:lang w:val="hr-HR"/>
        </w:rPr>
        <w:t>.</w:t>
      </w:r>
    </w:p>
    <w:p w14:paraId="74942D5F" w14:textId="77777777" w:rsidR="002F05AC" w:rsidRPr="00316D1F" w:rsidRDefault="002F05AC" w:rsidP="00D56358">
      <w:pPr>
        <w:rPr>
          <w:rFonts w:cs="Segoe UI"/>
          <w:b/>
          <w:bCs/>
          <w:szCs w:val="22"/>
          <w:lang w:val="hr-HR"/>
        </w:rPr>
      </w:pPr>
    </w:p>
    <w:p w14:paraId="00BBEF75" w14:textId="15010F2E" w:rsidR="004C034F" w:rsidRPr="00316D1F" w:rsidRDefault="00035285" w:rsidP="004B7CCC">
      <w:pPr>
        <w:rPr>
          <w:rFonts w:cs="Segoe UI"/>
          <w:b/>
          <w:bCs/>
          <w:szCs w:val="22"/>
        </w:rPr>
      </w:pPr>
      <w:r w:rsidRPr="00316D1F">
        <w:rPr>
          <w:rFonts w:asciiTheme="majorHAnsi" w:hAnsiTheme="majorHAnsi" w:cstheme="majorHAnsi"/>
          <w:noProof/>
          <w:sz w:val="24"/>
        </w:rPr>
        <mc:AlternateContent>
          <mc:Choice Requires="wps">
            <w:drawing>
              <wp:anchor distT="45720" distB="45720" distL="114300" distR="114300" simplePos="0" relativeHeight="251661312" behindDoc="0" locked="0" layoutInCell="1" allowOverlap="1" wp14:anchorId="47DC80B1" wp14:editId="00C1E0ED">
                <wp:simplePos x="0" y="0"/>
                <wp:positionH relativeFrom="margin">
                  <wp:posOffset>23028</wp:posOffset>
                </wp:positionH>
                <wp:positionV relativeFrom="paragraph">
                  <wp:posOffset>740080</wp:posOffset>
                </wp:positionV>
                <wp:extent cx="5375082" cy="524934"/>
                <wp:effectExtent l="0" t="0" r="0"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082" cy="5249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93F7D9" w14:textId="7A0F32C6" w:rsidR="00664612" w:rsidRPr="001F1252" w:rsidRDefault="00664612" w:rsidP="00044E68">
                            <w:pPr>
                              <w:autoSpaceDE w:val="0"/>
                              <w:autoSpaceDN w:val="0"/>
                              <w:adjustRightInd w:val="0"/>
                              <w:spacing w:after="60" w:line="240" w:lineRule="auto"/>
                              <w:rPr>
                                <w:sz w:val="16"/>
                                <w:szCs w:val="16"/>
                                <w:lang w:val="hr-HR"/>
                              </w:rPr>
                            </w:pPr>
                            <w:r w:rsidRPr="001F1252">
                              <w:rPr>
                                <w:rFonts w:ascii="SegoeUI" w:hAnsi="SegoeUI" w:cs="SegoeUI"/>
                                <w:sz w:val="16"/>
                                <w:szCs w:val="16"/>
                                <w:lang w:val="hr-HR"/>
                              </w:rPr>
                              <w:t xml:space="preserve">*Prilagođeno za jednokratne troškove </w:t>
                            </w:r>
                            <w:r w:rsidR="006F6319" w:rsidRPr="001F1252">
                              <w:rPr>
                                <w:rFonts w:ascii="SegoeUI" w:hAnsi="SegoeUI" w:cs="SegoeUI"/>
                                <w:sz w:val="16"/>
                                <w:szCs w:val="16"/>
                                <w:lang w:val="hr-HR"/>
                              </w:rPr>
                              <w:t>i dobit</w:t>
                            </w:r>
                            <w:r w:rsidRPr="001F1252">
                              <w:rPr>
                                <w:rFonts w:ascii="SegoeUI" w:hAnsi="SegoeUI" w:cs="SegoeUI"/>
                                <w:sz w:val="16"/>
                                <w:szCs w:val="16"/>
                                <w:lang w:val="hr-HR"/>
                              </w:rPr>
                              <w:t>, te za troškove restrukturiranja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DC80B1" id="_x0000_t202" coordsize="21600,21600" o:spt="202" path="m,l,21600r21600,l21600,xe">
                <v:stroke joinstyle="miter"/>
                <v:path gradientshapeok="t" o:connecttype="rect"/>
              </v:shapetype>
              <v:shape id="Textfeld 8" o:spid="_x0000_s1026" type="#_x0000_t202" style="position:absolute;left:0;text-align:left;margin-left:1.8pt;margin-top:58.25pt;width:423.25pt;height:41.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" stroked="f">
                <v:textbox>
                  <w:txbxContent>
                    <w:p w14:paraId="3093F7D9" w14:textId="7A0F32C6" w:rsidR="00664612" w:rsidRPr="001F1252" w:rsidRDefault="00664612" w:rsidP="00044E68">
                      <w:pPr>
                        <w:autoSpaceDE w:val="0"/>
                        <w:autoSpaceDN w:val="0"/>
                        <w:adjustRightInd w:val="0"/>
                        <w:spacing w:after="60" w:line="240" w:lineRule="auto"/>
                        <w:rPr>
                          <w:sz w:val="16"/>
                          <w:szCs w:val="16"/>
                          <w:lang w:val="hr-HR"/>
                        </w:rPr>
                      </w:pPr>
                      <w:r w:rsidRPr="001F1252">
                        <w:rPr>
                          <w:rFonts w:ascii="SegoeUI" w:hAnsi="SegoeUI" w:cs="SegoeUI"/>
                          <w:sz w:val="16"/>
                          <w:szCs w:val="16"/>
                          <w:lang w:val="hr-HR"/>
                        </w:rPr>
                        <w:t xml:space="preserve">*Prilagođeno za jednokratne troškove </w:t>
                      </w:r>
                      <w:r w:rsidR="006F6319" w:rsidRPr="001F1252">
                        <w:rPr>
                          <w:rFonts w:ascii="SegoeUI" w:hAnsi="SegoeUI" w:cs="SegoeUI"/>
                          <w:sz w:val="16"/>
                          <w:szCs w:val="16"/>
                          <w:lang w:val="hr-HR"/>
                        </w:rPr>
                        <w:t>i dobit</w:t>
                      </w:r>
                      <w:r w:rsidRPr="001F1252">
                        <w:rPr>
                          <w:rFonts w:ascii="SegoeUI" w:hAnsi="SegoeUI" w:cs="SegoeUI"/>
                          <w:sz w:val="16"/>
                          <w:szCs w:val="16"/>
                          <w:lang w:val="hr-HR"/>
                        </w:rPr>
                        <w:t>, te za troškove restrukturiranja</w:t>
                      </w:r>
                    </w:p>
                  </w:txbxContent>
                </v:textbox>
                <w10:wrap anchorx="margin"/>
              </v:shape>
            </w:pict>
          </mc:Fallback>
        </mc:AlternateContent>
      </w:r>
    </w:p>
    <w:p w14:paraId="7F1C74FF" w14:textId="6B273A79" w:rsidR="00664612" w:rsidRPr="00316D1F" w:rsidRDefault="00664612" w:rsidP="00664612">
      <w:pPr>
        <w:rPr>
          <w:rFonts w:cs="Segoe UI"/>
          <w:b/>
          <w:bCs/>
          <w:szCs w:val="22"/>
          <w:lang w:val="hr-HR"/>
        </w:rPr>
      </w:pPr>
    </w:p>
    <w:p w14:paraId="26C96FBA" w14:textId="3A90F517" w:rsidR="004B7CCC" w:rsidRPr="00D40964" w:rsidRDefault="002E24F9" w:rsidP="00DA4D27">
      <w:pPr>
        <w:rPr>
          <w:rFonts w:cs="Segoe UI"/>
          <w:b/>
          <w:bCs/>
          <w:szCs w:val="22"/>
          <w:lang w:val="hr-HR"/>
        </w:rPr>
      </w:pPr>
      <w:r w:rsidRPr="00316D1F">
        <w:rPr>
          <w:rFonts w:cs="Segoe UI"/>
          <w:b/>
          <w:bCs/>
          <w:szCs w:val="22"/>
          <w:lang w:val="hr-HR"/>
        </w:rPr>
        <w:t>„</w:t>
      </w:r>
      <w:r w:rsidR="001E6344" w:rsidRPr="00316D1F">
        <w:rPr>
          <w:rFonts w:cs="Segoe UI"/>
          <w:b/>
          <w:bCs/>
          <w:szCs w:val="22"/>
          <w:lang w:val="hr-HR"/>
        </w:rPr>
        <w:t xml:space="preserve">U vrlo izazovnom okruženju, prodaja je u prvih šest mjeseci premašila prethodna očekivanja za cijelu godinu, dok se zarada </w:t>
      </w:r>
      <w:r w:rsidRPr="00316D1F">
        <w:rPr>
          <w:rFonts w:cs="Segoe UI"/>
          <w:b/>
          <w:bCs/>
          <w:szCs w:val="22"/>
          <w:lang w:val="hr-HR"/>
        </w:rPr>
        <w:t>od</w:t>
      </w:r>
      <w:r w:rsidR="001E6344" w:rsidRPr="00316D1F">
        <w:rPr>
          <w:rFonts w:cs="Segoe UI"/>
          <w:b/>
          <w:bCs/>
          <w:szCs w:val="22"/>
          <w:lang w:val="hr-HR"/>
        </w:rPr>
        <w:t xml:space="preserve">vijala u skladu s našim </w:t>
      </w:r>
      <w:r w:rsidRPr="00316D1F">
        <w:rPr>
          <w:rFonts w:cs="Segoe UI"/>
          <w:b/>
          <w:bCs/>
          <w:szCs w:val="22"/>
          <w:lang w:val="hr-HR"/>
        </w:rPr>
        <w:t xml:space="preserve">grupnim </w:t>
      </w:r>
      <w:r w:rsidR="001E6344" w:rsidRPr="00316D1F">
        <w:rPr>
          <w:rFonts w:cs="Segoe UI"/>
          <w:b/>
          <w:bCs/>
          <w:szCs w:val="22"/>
          <w:lang w:val="hr-HR"/>
        </w:rPr>
        <w:t xml:space="preserve">smjernicama za fiskalnu 2022. S obzirom na </w:t>
      </w:r>
      <w:r w:rsidRPr="00316D1F">
        <w:rPr>
          <w:rFonts w:cs="Segoe UI"/>
          <w:b/>
          <w:bCs/>
          <w:szCs w:val="22"/>
          <w:lang w:val="hr-HR"/>
        </w:rPr>
        <w:t>t</w:t>
      </w:r>
      <w:r w:rsidR="001E6344" w:rsidRPr="00316D1F">
        <w:rPr>
          <w:rFonts w:cs="Segoe UI"/>
          <w:b/>
          <w:bCs/>
          <w:szCs w:val="22"/>
          <w:lang w:val="hr-HR"/>
        </w:rPr>
        <w:t xml:space="preserve">aj razvoj događaja, </w:t>
      </w:r>
      <w:r w:rsidR="00664612" w:rsidRPr="00316D1F">
        <w:rPr>
          <w:rFonts w:cs="Segoe UI"/>
          <w:b/>
          <w:bCs/>
          <w:szCs w:val="22"/>
          <w:lang w:val="hr-HR"/>
        </w:rPr>
        <w:t>po</w:t>
      </w:r>
      <w:r w:rsidRPr="00316D1F">
        <w:rPr>
          <w:rFonts w:cs="Segoe UI"/>
          <w:b/>
          <w:bCs/>
          <w:szCs w:val="22"/>
          <w:lang w:val="hr-HR"/>
        </w:rPr>
        <w:t>visil</w:t>
      </w:r>
      <w:r w:rsidR="00664612" w:rsidRPr="00316D1F">
        <w:rPr>
          <w:rFonts w:cs="Segoe UI"/>
          <w:b/>
          <w:bCs/>
          <w:szCs w:val="22"/>
          <w:lang w:val="hr-HR"/>
        </w:rPr>
        <w:t xml:space="preserve">i smo naše smjernice za cijelu godinu za rast </w:t>
      </w:r>
      <w:r w:rsidRPr="00316D1F">
        <w:rPr>
          <w:rFonts w:cs="Segoe UI"/>
          <w:b/>
          <w:bCs/>
          <w:szCs w:val="22"/>
          <w:lang w:val="hr-HR"/>
        </w:rPr>
        <w:t xml:space="preserve">organske </w:t>
      </w:r>
      <w:r w:rsidR="00664612" w:rsidRPr="00316D1F">
        <w:rPr>
          <w:rFonts w:cs="Segoe UI"/>
          <w:b/>
          <w:bCs/>
          <w:szCs w:val="22"/>
          <w:lang w:val="hr-HR"/>
        </w:rPr>
        <w:t xml:space="preserve">prodaje </w:t>
      </w:r>
      <w:r w:rsidRPr="00316D1F">
        <w:rPr>
          <w:rFonts w:cs="Segoe UI"/>
          <w:b/>
          <w:bCs/>
          <w:szCs w:val="22"/>
          <w:lang w:val="hr-HR"/>
        </w:rPr>
        <w:t xml:space="preserve">Grupe </w:t>
      </w:r>
      <w:r w:rsidR="00664612" w:rsidRPr="00316D1F">
        <w:rPr>
          <w:rFonts w:cs="Segoe UI"/>
          <w:b/>
          <w:bCs/>
          <w:szCs w:val="22"/>
          <w:lang w:val="hr-HR"/>
        </w:rPr>
        <w:t xml:space="preserve">i potvrdili naše smjernice za </w:t>
      </w:r>
      <w:r w:rsidRPr="00316D1F">
        <w:rPr>
          <w:rFonts w:cs="Segoe UI"/>
          <w:b/>
          <w:bCs/>
          <w:szCs w:val="22"/>
          <w:lang w:val="hr-HR"/>
        </w:rPr>
        <w:t xml:space="preserve">maržu </w:t>
      </w:r>
      <w:r w:rsidR="00664612" w:rsidRPr="00316D1F">
        <w:rPr>
          <w:rFonts w:cs="Segoe UI"/>
          <w:b/>
          <w:bCs/>
          <w:szCs w:val="22"/>
          <w:lang w:val="hr-HR"/>
        </w:rPr>
        <w:t xml:space="preserve">EBIT i zaradu po povlaštenoj dionici”, </w:t>
      </w:r>
      <w:r w:rsidRPr="00316D1F">
        <w:rPr>
          <w:rFonts w:cs="Segoe UI"/>
          <w:b/>
          <w:bCs/>
          <w:szCs w:val="22"/>
          <w:lang w:val="hr-HR"/>
        </w:rPr>
        <w:t>istaknu</w:t>
      </w:r>
      <w:r w:rsidR="00664612" w:rsidRPr="00316D1F">
        <w:rPr>
          <w:rFonts w:cs="Segoe UI"/>
          <w:b/>
          <w:bCs/>
          <w:szCs w:val="22"/>
          <w:lang w:val="hr-HR"/>
        </w:rPr>
        <w:t>o je izvršni direktor Henkela Carsten Knobel.</w:t>
      </w:r>
    </w:p>
    <w:p w14:paraId="12C002F1" w14:textId="2B54739A" w:rsidR="004B7CCC" w:rsidRPr="00316D1F" w:rsidRDefault="004B7CCC" w:rsidP="00E25F09">
      <w:pPr>
        <w:rPr>
          <w:rFonts w:cs="Segoe UI"/>
          <w:b/>
          <w:bCs/>
          <w:szCs w:val="22"/>
          <w:lang w:val="hr-HR"/>
        </w:rPr>
      </w:pPr>
    </w:p>
    <w:p w14:paraId="708451BB" w14:textId="3629B792" w:rsidR="004B7CCC" w:rsidRPr="00316D1F" w:rsidRDefault="00D6329C" w:rsidP="00274D13">
      <w:pPr>
        <w:rPr>
          <w:rFonts w:cs="Segoe UI"/>
          <w:b/>
          <w:bCs/>
          <w:szCs w:val="22"/>
          <w:lang w:val="hr-HR"/>
        </w:rPr>
      </w:pPr>
      <w:r w:rsidRPr="00316D1F">
        <w:rPr>
          <w:rFonts w:cs="Segoe UI"/>
          <w:b/>
          <w:bCs/>
          <w:szCs w:val="22"/>
          <w:lang w:val="hr-HR"/>
        </w:rPr>
        <w:t>„</w:t>
      </w:r>
      <w:r w:rsidR="002E24F9" w:rsidRPr="00316D1F">
        <w:rPr>
          <w:rFonts w:cs="Segoe UI"/>
          <w:b/>
          <w:bCs/>
          <w:szCs w:val="22"/>
          <w:lang w:val="hr-HR"/>
        </w:rPr>
        <w:t>Mi d</w:t>
      </w:r>
      <w:r w:rsidR="00664612" w:rsidRPr="00316D1F">
        <w:rPr>
          <w:rFonts w:cs="Segoe UI"/>
          <w:b/>
          <w:bCs/>
          <w:szCs w:val="22"/>
          <w:lang w:val="hr-HR"/>
        </w:rPr>
        <w:t xml:space="preserve">osljedno unapređujemo našu strategiju za svrhovit rast i </w:t>
      </w:r>
      <w:r w:rsidR="002E24F9" w:rsidRPr="00316D1F">
        <w:rPr>
          <w:rFonts w:cs="Segoe UI"/>
          <w:b/>
          <w:bCs/>
          <w:szCs w:val="22"/>
          <w:lang w:val="hr-HR"/>
        </w:rPr>
        <w:t xml:space="preserve">u prvoj polovici 2022. godine </w:t>
      </w:r>
      <w:r w:rsidR="00664612" w:rsidRPr="00316D1F">
        <w:rPr>
          <w:rFonts w:cs="Segoe UI"/>
          <w:b/>
          <w:bCs/>
          <w:szCs w:val="22"/>
          <w:lang w:val="hr-HR"/>
        </w:rPr>
        <w:t xml:space="preserve">ostvarili smo dobar napredak u njezinoj provedbi – </w:t>
      </w:r>
      <w:r w:rsidR="002E24F9" w:rsidRPr="00316D1F">
        <w:rPr>
          <w:rFonts w:cs="Segoe UI"/>
          <w:b/>
          <w:bCs/>
          <w:szCs w:val="22"/>
          <w:lang w:val="hr-HR"/>
        </w:rPr>
        <w:t xml:space="preserve">prije svega </w:t>
      </w:r>
      <w:r w:rsidR="00664612" w:rsidRPr="00316D1F">
        <w:rPr>
          <w:rFonts w:cs="Segoe UI"/>
          <w:b/>
          <w:bCs/>
          <w:szCs w:val="22"/>
          <w:lang w:val="hr-HR"/>
        </w:rPr>
        <w:t xml:space="preserve">zahvaljujući snažnoj predanosti naših zaposlenika diljem svijeta. </w:t>
      </w:r>
      <w:r w:rsidR="00097336" w:rsidRPr="00316D1F">
        <w:rPr>
          <w:rFonts w:cs="Segoe UI"/>
          <w:b/>
          <w:bCs/>
          <w:szCs w:val="22"/>
          <w:lang w:val="hr-HR"/>
        </w:rPr>
        <w:t>S</w:t>
      </w:r>
      <w:r w:rsidR="00664612" w:rsidRPr="00316D1F">
        <w:rPr>
          <w:rFonts w:cs="Segoe UI"/>
          <w:b/>
          <w:bCs/>
          <w:szCs w:val="22"/>
          <w:lang w:val="hr-HR"/>
        </w:rPr>
        <w:t xml:space="preserve">ektorom Ljepila i tehnologije mi smo globalni </w:t>
      </w:r>
      <w:r w:rsidR="004C4B20" w:rsidRPr="00316D1F">
        <w:rPr>
          <w:rFonts w:cs="Segoe UI"/>
          <w:b/>
          <w:bCs/>
          <w:szCs w:val="22"/>
          <w:lang w:val="hr-HR"/>
        </w:rPr>
        <w:t>lider</w:t>
      </w:r>
      <w:r w:rsidR="00664612" w:rsidRPr="00316D1F">
        <w:rPr>
          <w:rFonts w:cs="Segoe UI"/>
          <w:b/>
          <w:bCs/>
          <w:szCs w:val="22"/>
          <w:lang w:val="hr-HR"/>
        </w:rPr>
        <w:t xml:space="preserve"> u pružanju inovativnih rješenja, usredotočeni na buduće trendove poput mobilnosti, povezanosti i održivosti. Spajanjem sektora Sredstva za pranje i čišćenje</w:t>
      </w:r>
      <w:r w:rsidR="00A66958" w:rsidRPr="00316D1F">
        <w:rPr>
          <w:rFonts w:cs="Segoe UI"/>
          <w:b/>
          <w:bCs/>
          <w:szCs w:val="22"/>
          <w:lang w:val="hr-HR"/>
        </w:rPr>
        <w:t xml:space="preserve"> sa sektorom Beauty Care</w:t>
      </w:r>
      <w:r w:rsidR="00097336" w:rsidRPr="00316D1F">
        <w:rPr>
          <w:rFonts w:cs="Segoe UI"/>
          <w:b/>
          <w:bCs/>
          <w:szCs w:val="22"/>
          <w:lang w:val="hr-HR"/>
        </w:rPr>
        <w:t>,</w:t>
      </w:r>
      <w:r w:rsidR="00A66958" w:rsidRPr="00316D1F">
        <w:rPr>
          <w:rFonts w:cs="Segoe UI"/>
          <w:b/>
          <w:bCs/>
          <w:szCs w:val="22"/>
          <w:lang w:val="hr-HR"/>
        </w:rPr>
        <w:t xml:space="preserve"> stvaramo platformu s više kategorija i s prodajom od oko 10 milijardi eura. </w:t>
      </w:r>
      <w:r w:rsidRPr="00316D1F">
        <w:rPr>
          <w:rFonts w:cs="Segoe UI"/>
          <w:b/>
          <w:bCs/>
          <w:szCs w:val="22"/>
          <w:lang w:val="hr-HR"/>
        </w:rPr>
        <w:t xml:space="preserve">Na dobrom smo putu i cilj nam je </w:t>
      </w:r>
      <w:r w:rsidR="004C4B20" w:rsidRPr="00316D1F">
        <w:rPr>
          <w:rFonts w:cs="Segoe UI"/>
          <w:b/>
          <w:bCs/>
          <w:szCs w:val="22"/>
          <w:lang w:val="hr-HR"/>
        </w:rPr>
        <w:t>pokrenuti</w:t>
      </w:r>
      <w:r w:rsidRPr="00316D1F">
        <w:rPr>
          <w:rFonts w:cs="Segoe UI"/>
          <w:b/>
          <w:bCs/>
          <w:szCs w:val="22"/>
          <w:lang w:val="hr-HR"/>
        </w:rPr>
        <w:t xml:space="preserve"> poslovanje </w:t>
      </w:r>
      <w:r w:rsidR="004C4B20" w:rsidRPr="00316D1F">
        <w:rPr>
          <w:rFonts w:cs="Segoe UI"/>
          <w:b/>
          <w:bCs/>
          <w:szCs w:val="22"/>
          <w:lang w:val="hr-HR"/>
        </w:rPr>
        <w:t xml:space="preserve">našeg budućeg sektora </w:t>
      </w:r>
      <w:r w:rsidR="00097336" w:rsidRPr="00316D1F">
        <w:rPr>
          <w:rFonts w:cs="Segoe UI"/>
          <w:b/>
          <w:bCs/>
          <w:szCs w:val="22"/>
          <w:lang w:val="hr-HR"/>
        </w:rPr>
        <w:t xml:space="preserve">Henkel </w:t>
      </w:r>
      <w:r w:rsidRPr="00316D1F">
        <w:rPr>
          <w:rFonts w:cs="Segoe UI"/>
          <w:b/>
          <w:bCs/>
          <w:szCs w:val="22"/>
          <w:lang w:val="hr-HR"/>
        </w:rPr>
        <w:t xml:space="preserve">Consumer Brands najkasnije do početka 2023. Taj spojeni sektor </w:t>
      </w:r>
      <w:r w:rsidR="00097336" w:rsidRPr="00316D1F">
        <w:rPr>
          <w:rFonts w:cs="Segoe UI"/>
          <w:b/>
          <w:bCs/>
          <w:szCs w:val="22"/>
          <w:lang w:val="hr-HR"/>
        </w:rPr>
        <w:t>pruž</w:t>
      </w:r>
      <w:r w:rsidRPr="00316D1F">
        <w:rPr>
          <w:rFonts w:cs="Segoe UI"/>
          <w:b/>
          <w:bCs/>
          <w:szCs w:val="22"/>
          <w:lang w:val="hr-HR"/>
        </w:rPr>
        <w:t xml:space="preserve">it će širu </w:t>
      </w:r>
      <w:r w:rsidR="00097336" w:rsidRPr="00316D1F">
        <w:rPr>
          <w:rFonts w:cs="Segoe UI"/>
          <w:b/>
          <w:bCs/>
          <w:szCs w:val="22"/>
          <w:lang w:val="hr-HR"/>
        </w:rPr>
        <w:t>baz</w:t>
      </w:r>
      <w:r w:rsidR="004C4B20" w:rsidRPr="00316D1F">
        <w:rPr>
          <w:rFonts w:cs="Segoe UI"/>
          <w:b/>
          <w:bCs/>
          <w:szCs w:val="22"/>
          <w:lang w:val="hr-HR"/>
        </w:rPr>
        <w:t>u</w:t>
      </w:r>
      <w:r w:rsidRPr="00316D1F">
        <w:rPr>
          <w:rFonts w:cs="Segoe UI"/>
          <w:b/>
          <w:bCs/>
          <w:szCs w:val="22"/>
          <w:lang w:val="hr-HR"/>
        </w:rPr>
        <w:t xml:space="preserve"> za</w:t>
      </w:r>
      <w:r w:rsidR="004C4B20" w:rsidRPr="00316D1F">
        <w:rPr>
          <w:rFonts w:cs="Segoe UI"/>
          <w:b/>
          <w:bCs/>
          <w:szCs w:val="22"/>
          <w:lang w:val="hr-HR"/>
        </w:rPr>
        <w:t xml:space="preserve"> još</w:t>
      </w:r>
      <w:r w:rsidRPr="00316D1F">
        <w:rPr>
          <w:rFonts w:cs="Segoe UI"/>
          <w:b/>
          <w:bCs/>
          <w:szCs w:val="22"/>
          <w:lang w:val="hr-HR"/>
        </w:rPr>
        <w:t xml:space="preserve"> dosljedniju optimizaciju našeg portfelja i unaprijediti poslovanje prema većem rastu i profilu marže.“</w:t>
      </w:r>
    </w:p>
    <w:p w14:paraId="69CC0EBD" w14:textId="41631DA4" w:rsidR="007709ED" w:rsidRPr="00316D1F" w:rsidRDefault="007709ED" w:rsidP="0094024E">
      <w:pPr>
        <w:rPr>
          <w:rFonts w:cs="Segoe UI"/>
          <w:b/>
          <w:bCs/>
          <w:szCs w:val="22"/>
          <w:lang w:val="hr-HR"/>
        </w:rPr>
      </w:pPr>
    </w:p>
    <w:p w14:paraId="1275063B" w14:textId="286F4AAC" w:rsidR="002F05AC" w:rsidRDefault="00D6329C" w:rsidP="0094024E">
      <w:pPr>
        <w:rPr>
          <w:rFonts w:cs="Segoe UI"/>
          <w:b/>
          <w:bCs/>
          <w:szCs w:val="22"/>
          <w:lang w:val="hr-HR"/>
        </w:rPr>
      </w:pPr>
      <w:r w:rsidRPr="00316D1F">
        <w:rPr>
          <w:rFonts w:cs="Segoe UI"/>
          <w:b/>
          <w:bCs/>
          <w:szCs w:val="22"/>
          <w:lang w:val="hr-HR"/>
        </w:rPr>
        <w:t>Korigirana prognoza za fiskalnu 2022.</w:t>
      </w:r>
    </w:p>
    <w:p w14:paraId="509063FA" w14:textId="77777777" w:rsidR="00465C53" w:rsidRPr="00316D1F" w:rsidRDefault="00465C53" w:rsidP="0094024E">
      <w:pPr>
        <w:rPr>
          <w:rFonts w:cs="Segoe UI"/>
          <w:b/>
          <w:bCs/>
          <w:szCs w:val="22"/>
          <w:lang w:val="hr-HR"/>
        </w:rPr>
      </w:pPr>
    </w:p>
    <w:p w14:paraId="79E43B4F" w14:textId="7687DE10" w:rsidR="00D6329C" w:rsidRPr="00316D1F" w:rsidRDefault="00D6329C" w:rsidP="0094024E">
      <w:pPr>
        <w:rPr>
          <w:rFonts w:cs="Segoe UI"/>
          <w:b/>
          <w:bCs/>
          <w:szCs w:val="22"/>
          <w:lang w:val="hr-HR"/>
        </w:rPr>
      </w:pPr>
      <w:r w:rsidRPr="00316D1F">
        <w:rPr>
          <w:rFonts w:cs="Segoe UI"/>
          <w:b/>
          <w:bCs/>
          <w:szCs w:val="22"/>
          <w:lang w:val="hr-HR"/>
        </w:rPr>
        <w:t xml:space="preserve">Henkel sad očekuje </w:t>
      </w:r>
      <w:r w:rsidR="006E29A0" w:rsidRPr="00316D1F">
        <w:rPr>
          <w:rFonts w:cs="Segoe UI"/>
          <w:b/>
          <w:bCs/>
          <w:szCs w:val="22"/>
          <w:lang w:val="hr-HR"/>
        </w:rPr>
        <w:t xml:space="preserve">rast </w:t>
      </w:r>
      <w:r w:rsidRPr="00316D1F">
        <w:rPr>
          <w:rFonts w:cs="Segoe UI"/>
          <w:b/>
          <w:bCs/>
          <w:szCs w:val="22"/>
          <w:lang w:val="hr-HR"/>
        </w:rPr>
        <w:t>organsk</w:t>
      </w:r>
      <w:r w:rsidR="006E29A0" w:rsidRPr="00316D1F">
        <w:rPr>
          <w:rFonts w:cs="Segoe UI"/>
          <w:b/>
          <w:bCs/>
          <w:szCs w:val="22"/>
          <w:lang w:val="hr-HR"/>
        </w:rPr>
        <w:t>e</w:t>
      </w:r>
      <w:r w:rsidRPr="00316D1F">
        <w:rPr>
          <w:rFonts w:cs="Segoe UI"/>
          <w:b/>
          <w:bCs/>
          <w:szCs w:val="22"/>
          <w:lang w:val="hr-HR"/>
        </w:rPr>
        <w:t xml:space="preserve"> prodaje od +4,5 do +6</w:t>
      </w:r>
      <w:r w:rsidR="00097336" w:rsidRPr="00316D1F">
        <w:rPr>
          <w:rFonts w:cs="Segoe UI"/>
          <w:b/>
          <w:bCs/>
          <w:szCs w:val="22"/>
          <w:lang w:val="hr-HR"/>
        </w:rPr>
        <w:t>,5</w:t>
      </w:r>
      <w:r w:rsidRPr="00316D1F">
        <w:rPr>
          <w:rFonts w:cs="Segoe UI"/>
          <w:b/>
          <w:bCs/>
          <w:szCs w:val="22"/>
          <w:lang w:val="hr-HR"/>
        </w:rPr>
        <w:t xml:space="preserve">, posto u fiskalnoj 2022. (prethodno: +3,5 do </w:t>
      </w:r>
      <w:r w:rsidR="00097336" w:rsidRPr="00316D1F">
        <w:rPr>
          <w:rFonts w:cs="Segoe UI"/>
          <w:b/>
          <w:bCs/>
          <w:szCs w:val="22"/>
          <w:lang w:val="hr-HR"/>
        </w:rPr>
        <w:t>+</w:t>
      </w:r>
      <w:r w:rsidRPr="00316D1F">
        <w:rPr>
          <w:rFonts w:cs="Segoe UI"/>
          <w:b/>
          <w:bCs/>
          <w:szCs w:val="22"/>
          <w:lang w:val="hr-HR"/>
        </w:rPr>
        <w:t xml:space="preserve">5,5 posto). </w:t>
      </w:r>
      <w:r w:rsidR="00097336" w:rsidRPr="00316D1F">
        <w:rPr>
          <w:rFonts w:cs="Segoe UI"/>
          <w:b/>
          <w:bCs/>
          <w:szCs w:val="22"/>
          <w:lang w:val="hr-HR"/>
        </w:rPr>
        <w:t>R</w:t>
      </w:r>
      <w:r w:rsidRPr="00316D1F">
        <w:rPr>
          <w:rFonts w:cs="Segoe UI"/>
          <w:b/>
          <w:bCs/>
          <w:szCs w:val="22"/>
          <w:lang w:val="hr-HR"/>
        </w:rPr>
        <w:t xml:space="preserve">ast </w:t>
      </w:r>
      <w:r w:rsidR="00097336" w:rsidRPr="00316D1F">
        <w:rPr>
          <w:rFonts w:cs="Segoe UI"/>
          <w:b/>
          <w:bCs/>
          <w:szCs w:val="22"/>
          <w:lang w:val="hr-HR"/>
        </w:rPr>
        <w:t xml:space="preserve">organske </w:t>
      </w:r>
      <w:r w:rsidRPr="00316D1F">
        <w:rPr>
          <w:rFonts w:cs="Segoe UI"/>
          <w:b/>
          <w:bCs/>
          <w:szCs w:val="22"/>
          <w:lang w:val="hr-HR"/>
        </w:rPr>
        <w:t xml:space="preserve">prodaje od +8,0 do </w:t>
      </w:r>
      <w:r w:rsidR="00097336" w:rsidRPr="00316D1F">
        <w:rPr>
          <w:rFonts w:cs="Segoe UI"/>
          <w:b/>
          <w:bCs/>
          <w:szCs w:val="22"/>
          <w:lang w:val="hr-HR"/>
        </w:rPr>
        <w:t>+</w:t>
      </w:r>
      <w:r w:rsidRPr="00316D1F">
        <w:rPr>
          <w:rFonts w:cs="Segoe UI"/>
          <w:b/>
          <w:bCs/>
          <w:szCs w:val="22"/>
          <w:lang w:val="hr-HR"/>
        </w:rPr>
        <w:t xml:space="preserve">10,0 posto i dalje se očekuje za sektor Ljepila i tehnologije. Za sektor Beauty Care, Henkel sad očekuje </w:t>
      </w:r>
      <w:r w:rsidR="00097336" w:rsidRPr="00316D1F">
        <w:rPr>
          <w:rFonts w:cs="Segoe UI"/>
          <w:b/>
          <w:bCs/>
          <w:szCs w:val="22"/>
          <w:lang w:val="hr-HR"/>
        </w:rPr>
        <w:t xml:space="preserve">rast </w:t>
      </w:r>
      <w:r w:rsidRPr="00316D1F">
        <w:rPr>
          <w:rFonts w:cs="Segoe UI"/>
          <w:b/>
          <w:bCs/>
          <w:szCs w:val="22"/>
          <w:lang w:val="hr-HR"/>
        </w:rPr>
        <w:t>organsk</w:t>
      </w:r>
      <w:r w:rsidR="00097336" w:rsidRPr="00316D1F">
        <w:rPr>
          <w:rFonts w:cs="Segoe UI"/>
          <w:b/>
          <w:bCs/>
          <w:szCs w:val="22"/>
          <w:lang w:val="hr-HR"/>
        </w:rPr>
        <w:t>e</w:t>
      </w:r>
      <w:r w:rsidRPr="00316D1F">
        <w:rPr>
          <w:rFonts w:cs="Segoe UI"/>
          <w:b/>
          <w:bCs/>
          <w:szCs w:val="22"/>
          <w:lang w:val="hr-HR"/>
        </w:rPr>
        <w:t xml:space="preserve"> prodaj</w:t>
      </w:r>
      <w:r w:rsidR="006E29A0" w:rsidRPr="00316D1F">
        <w:rPr>
          <w:rFonts w:cs="Segoe UI"/>
          <w:b/>
          <w:bCs/>
          <w:szCs w:val="22"/>
          <w:lang w:val="hr-HR"/>
        </w:rPr>
        <w:t>e</w:t>
      </w:r>
      <w:r w:rsidRPr="00316D1F">
        <w:rPr>
          <w:rFonts w:cs="Segoe UI"/>
          <w:b/>
          <w:bCs/>
          <w:szCs w:val="22"/>
          <w:lang w:val="hr-HR"/>
        </w:rPr>
        <w:t xml:space="preserve"> od -3,0 do -1,0 po</w:t>
      </w:r>
      <w:r w:rsidR="009A0E33" w:rsidRPr="00316D1F">
        <w:rPr>
          <w:rFonts w:cs="Segoe UI"/>
          <w:b/>
          <w:bCs/>
          <w:szCs w:val="22"/>
          <w:lang w:val="hr-HR"/>
        </w:rPr>
        <w:t>st</w:t>
      </w:r>
      <w:r w:rsidRPr="00316D1F">
        <w:rPr>
          <w:rFonts w:cs="Segoe UI"/>
          <w:b/>
          <w:bCs/>
          <w:szCs w:val="22"/>
          <w:lang w:val="hr-HR"/>
        </w:rPr>
        <w:t xml:space="preserve">o (prethodno: -5,0 do -3,0 posto). Za sektor Sredstva za pranje i čišćenje, Henkel sad očekuje </w:t>
      </w:r>
      <w:r w:rsidR="00097336" w:rsidRPr="00316D1F">
        <w:rPr>
          <w:rFonts w:cs="Segoe UI"/>
          <w:b/>
          <w:bCs/>
          <w:szCs w:val="22"/>
          <w:lang w:val="hr-HR"/>
        </w:rPr>
        <w:t xml:space="preserve">rast </w:t>
      </w:r>
      <w:r w:rsidRPr="00316D1F">
        <w:rPr>
          <w:rFonts w:cs="Segoe UI"/>
          <w:b/>
          <w:bCs/>
          <w:szCs w:val="22"/>
          <w:lang w:val="hr-HR"/>
        </w:rPr>
        <w:t>organsk</w:t>
      </w:r>
      <w:r w:rsidR="00097336" w:rsidRPr="00316D1F">
        <w:rPr>
          <w:rFonts w:cs="Segoe UI"/>
          <w:b/>
          <w:bCs/>
          <w:szCs w:val="22"/>
          <w:lang w:val="hr-HR"/>
        </w:rPr>
        <w:t>e</w:t>
      </w:r>
      <w:r w:rsidRPr="00316D1F">
        <w:rPr>
          <w:rFonts w:cs="Segoe UI"/>
          <w:b/>
          <w:bCs/>
          <w:szCs w:val="22"/>
          <w:lang w:val="hr-HR"/>
        </w:rPr>
        <w:t xml:space="preserve"> prodaje od +4,0 do +6,0 posto (prethodno +2,0 do +4,0 posto). </w:t>
      </w:r>
      <w:r w:rsidR="00D82A0F" w:rsidRPr="00316D1F">
        <w:rPr>
          <w:rFonts w:cs="Segoe UI"/>
          <w:b/>
          <w:bCs/>
          <w:szCs w:val="22"/>
          <w:lang w:val="hr-HR"/>
        </w:rPr>
        <w:t>Očekuje se da će korigirana marža EBIT na razini Grupe ostati nepromijenjena po povlaštenoj dionici (EPS) pri stalnom tečaju, Henkel i dalje očekuje pad u rasponu od -35 do -15 posto.</w:t>
      </w:r>
    </w:p>
    <w:p w14:paraId="151E33CD" w14:textId="77777777" w:rsidR="00465C53" w:rsidRDefault="00465C53" w:rsidP="00226640">
      <w:pPr>
        <w:spacing w:after="120"/>
        <w:rPr>
          <w:rFonts w:cs="Segoe UI"/>
          <w:b/>
          <w:bCs/>
          <w:szCs w:val="22"/>
          <w:lang w:val="hr-HR"/>
        </w:rPr>
      </w:pPr>
    </w:p>
    <w:p w14:paraId="4099E195" w14:textId="307BB6BD" w:rsidR="002F05AC" w:rsidRPr="00316D1F" w:rsidRDefault="009A0E33" w:rsidP="00226640">
      <w:pPr>
        <w:spacing w:after="120"/>
        <w:rPr>
          <w:rFonts w:cs="Segoe UI"/>
          <w:b/>
          <w:bCs/>
          <w:szCs w:val="22"/>
          <w:lang w:val="hr-HR"/>
        </w:rPr>
      </w:pPr>
      <w:r w:rsidRPr="00316D1F">
        <w:rPr>
          <w:rFonts w:cs="Segoe UI"/>
          <w:b/>
          <w:bCs/>
          <w:szCs w:val="22"/>
          <w:lang w:val="hr-HR"/>
        </w:rPr>
        <w:t>Provedba prestanka poslovnih aktivnosti u Rusiji i Bjelorusiji</w:t>
      </w:r>
    </w:p>
    <w:p w14:paraId="62CC9B4E" w14:textId="79741CC6" w:rsidR="002F05AC" w:rsidRPr="00316D1F" w:rsidRDefault="009A0E33" w:rsidP="00226640">
      <w:pPr>
        <w:spacing w:after="120"/>
        <w:rPr>
          <w:rFonts w:cs="Segoe UI"/>
          <w:b/>
          <w:bCs/>
          <w:szCs w:val="22"/>
          <w:lang w:val="hr-HR"/>
        </w:rPr>
      </w:pPr>
      <w:r w:rsidRPr="00316D1F">
        <w:rPr>
          <w:rFonts w:cs="Segoe UI"/>
          <w:b/>
          <w:bCs/>
          <w:szCs w:val="22"/>
          <w:lang w:val="hr-HR"/>
        </w:rPr>
        <w:t>U travnju 2022. Henkel je odlučio prekinuti svoje poslovne aktivnosti u Rusiji i Bjelorusiji. Henkel temeljito procjenjuje sve mogućnosti i namjerava dovršiti taj postupak do kraja godine.</w:t>
      </w:r>
    </w:p>
    <w:p w14:paraId="6300864B" w14:textId="77777777" w:rsidR="002F05AC" w:rsidRPr="00316D1F" w:rsidRDefault="002F05AC" w:rsidP="00226640">
      <w:pPr>
        <w:spacing w:after="120"/>
        <w:rPr>
          <w:rFonts w:cs="Segoe UI"/>
          <w:b/>
          <w:bCs/>
          <w:szCs w:val="22"/>
        </w:rPr>
      </w:pPr>
    </w:p>
    <w:p w14:paraId="5D8D8BE2" w14:textId="77777777" w:rsidR="00B02550" w:rsidRPr="00316D1F" w:rsidRDefault="00B02550">
      <w:pPr>
        <w:spacing w:line="240" w:lineRule="auto"/>
        <w:jc w:val="left"/>
        <w:rPr>
          <w:rFonts w:ascii="SegoeUI-Bold" w:hAnsi="SegoeUI-Bold" w:cs="SegoeUI-Bold"/>
          <w:b/>
          <w:bCs/>
          <w:szCs w:val="22"/>
        </w:rPr>
      </w:pPr>
      <w:r w:rsidRPr="00316D1F">
        <w:rPr>
          <w:rFonts w:ascii="SegoeUI-Bold" w:hAnsi="SegoeUI-Bold" w:cs="SegoeUI-Bold"/>
          <w:b/>
          <w:bCs/>
          <w:szCs w:val="22"/>
        </w:rPr>
        <w:br w:type="page"/>
      </w:r>
    </w:p>
    <w:p w14:paraId="23AD93D3" w14:textId="7C2EA229" w:rsidR="002F05AC" w:rsidRDefault="006E29A0" w:rsidP="00226640">
      <w:pPr>
        <w:rPr>
          <w:rFonts w:cs="Segoe UI"/>
          <w:b/>
          <w:bCs/>
          <w:szCs w:val="22"/>
          <w:lang w:val="hr-HR"/>
        </w:rPr>
      </w:pPr>
      <w:r w:rsidRPr="00316D1F">
        <w:rPr>
          <w:rFonts w:cs="Segoe UI"/>
          <w:b/>
          <w:bCs/>
          <w:szCs w:val="22"/>
          <w:lang w:val="hr-HR"/>
        </w:rPr>
        <w:lastRenderedPageBreak/>
        <w:t>P</w:t>
      </w:r>
      <w:r w:rsidR="00647CA6" w:rsidRPr="00316D1F">
        <w:rPr>
          <w:rFonts w:cs="Segoe UI"/>
          <w:b/>
          <w:bCs/>
          <w:szCs w:val="22"/>
          <w:lang w:val="hr-HR"/>
        </w:rPr>
        <w:t>rodaja</w:t>
      </w:r>
      <w:r w:rsidRPr="00316D1F">
        <w:rPr>
          <w:rFonts w:cs="Segoe UI"/>
          <w:b/>
          <w:bCs/>
          <w:szCs w:val="22"/>
          <w:lang w:val="hr-HR"/>
        </w:rPr>
        <w:t xml:space="preserve"> Grupe</w:t>
      </w:r>
      <w:r w:rsidR="00647CA6" w:rsidRPr="00316D1F">
        <w:rPr>
          <w:rFonts w:cs="Segoe UI"/>
          <w:b/>
          <w:bCs/>
          <w:szCs w:val="22"/>
          <w:lang w:val="hr-HR"/>
        </w:rPr>
        <w:t xml:space="preserve"> i rezultati prihoda u prvoj polovici 2022.</w:t>
      </w:r>
    </w:p>
    <w:p w14:paraId="240FE7F2" w14:textId="77777777" w:rsidR="005846A7" w:rsidRPr="00316D1F" w:rsidRDefault="005846A7" w:rsidP="00226640">
      <w:pPr>
        <w:rPr>
          <w:rFonts w:cs="Segoe UI"/>
          <w:b/>
          <w:bCs/>
          <w:szCs w:val="22"/>
          <w:lang w:val="hr-HR"/>
        </w:rPr>
      </w:pPr>
    </w:p>
    <w:p w14:paraId="64CAD149" w14:textId="4B6C693C" w:rsidR="002F05AC" w:rsidRPr="00316D1F" w:rsidRDefault="00647CA6" w:rsidP="00226640">
      <w:pPr>
        <w:rPr>
          <w:rFonts w:cs="Segoe UI"/>
          <w:szCs w:val="22"/>
          <w:lang w:val="hr-HR"/>
        </w:rPr>
      </w:pPr>
      <w:r w:rsidRPr="00316D1F">
        <w:rPr>
          <w:rFonts w:cs="Segoe UI"/>
          <w:szCs w:val="22"/>
          <w:lang w:val="hr-HR"/>
        </w:rPr>
        <w:t>S 10,913 mili</w:t>
      </w:r>
      <w:r w:rsidR="006E29A0" w:rsidRPr="00316D1F">
        <w:rPr>
          <w:rFonts w:cs="Segoe UI"/>
          <w:szCs w:val="22"/>
          <w:lang w:val="hr-HR"/>
        </w:rPr>
        <w:t>juna</w:t>
      </w:r>
      <w:r w:rsidRPr="00316D1F">
        <w:rPr>
          <w:rFonts w:cs="Segoe UI"/>
          <w:szCs w:val="22"/>
          <w:lang w:val="hr-HR"/>
        </w:rPr>
        <w:t xml:space="preserve"> eura, </w:t>
      </w:r>
      <w:r w:rsidRPr="00316D1F">
        <w:rPr>
          <w:rFonts w:cs="Segoe UI"/>
          <w:b/>
          <w:bCs/>
          <w:szCs w:val="22"/>
          <w:lang w:val="hr-HR"/>
        </w:rPr>
        <w:t>prodaja Grupe</w:t>
      </w:r>
      <w:r w:rsidRPr="00316D1F">
        <w:rPr>
          <w:rFonts w:cs="Segoe UI"/>
          <w:szCs w:val="22"/>
          <w:lang w:val="hr-HR"/>
        </w:rPr>
        <w:t xml:space="preserve"> u prvoj polovici 2022. bila je 9,9 posto iznad razine prošle godine (Q2: 5,642 milijuna eura, + 13,8 posto). </w:t>
      </w:r>
      <w:r w:rsidRPr="00316D1F">
        <w:rPr>
          <w:rFonts w:cs="Segoe UI"/>
          <w:b/>
          <w:bCs/>
          <w:szCs w:val="22"/>
          <w:lang w:val="hr-HR"/>
        </w:rPr>
        <w:t>Organska prodaja</w:t>
      </w:r>
      <w:r w:rsidRPr="00316D1F">
        <w:rPr>
          <w:rFonts w:cs="Segoe UI"/>
          <w:szCs w:val="22"/>
          <w:lang w:val="hr-HR"/>
        </w:rPr>
        <w:t>, koja isključuje utjecaj učinka valuta i akvizicija/de</w:t>
      </w:r>
      <w:r w:rsidR="004C4B20" w:rsidRPr="00316D1F">
        <w:rPr>
          <w:rFonts w:cs="Segoe UI"/>
          <w:szCs w:val="22"/>
          <w:lang w:val="hr-HR"/>
        </w:rPr>
        <w:t>zinvesticij</w:t>
      </w:r>
      <w:r w:rsidRPr="00316D1F">
        <w:rPr>
          <w:rFonts w:cs="Segoe UI"/>
          <w:szCs w:val="22"/>
          <w:lang w:val="hr-HR"/>
        </w:rPr>
        <w:t xml:space="preserve">a, pokazuje značajan rast od +8,9 posto (Q2: +10,9 posto). Akvizicije i </w:t>
      </w:r>
      <w:r w:rsidR="004C4B20" w:rsidRPr="00316D1F">
        <w:rPr>
          <w:rFonts w:cs="Segoe UI"/>
          <w:szCs w:val="22"/>
          <w:lang w:val="hr-HR"/>
        </w:rPr>
        <w:t xml:space="preserve">dezinvesticije imale su negativan utjecaj </w:t>
      </w:r>
      <w:r w:rsidR="006E29A0" w:rsidRPr="00316D1F">
        <w:rPr>
          <w:rFonts w:cs="Segoe UI"/>
          <w:szCs w:val="22"/>
          <w:lang w:val="hr-HR"/>
        </w:rPr>
        <w:t xml:space="preserve">na prodaju </w:t>
      </w:r>
      <w:r w:rsidR="004C4B20" w:rsidRPr="00316D1F">
        <w:rPr>
          <w:rFonts w:cs="Segoe UI"/>
          <w:szCs w:val="22"/>
          <w:lang w:val="hr-HR"/>
        </w:rPr>
        <w:t xml:space="preserve">od -1,4 posto (Q2: -1,8 posto). Od početka Q2, to uključuje </w:t>
      </w:r>
      <w:r w:rsidR="00467DFA" w:rsidRPr="00316D1F">
        <w:rPr>
          <w:rFonts w:cs="Segoe UI"/>
          <w:szCs w:val="22"/>
          <w:lang w:val="hr-HR"/>
        </w:rPr>
        <w:t>posljedice</w:t>
      </w:r>
      <w:r w:rsidR="004C4B20" w:rsidRPr="00316D1F">
        <w:rPr>
          <w:rFonts w:cs="Segoe UI"/>
          <w:szCs w:val="22"/>
          <w:lang w:val="hr-HR"/>
        </w:rPr>
        <w:t xml:space="preserve"> najavljenog prekida poslovanja u Rusiji i Bjelorusiji. Učinci stranih valuta povećali su prodaju za +2,4 posto (Q2: +4,7 posto). To također uključuje </w:t>
      </w:r>
      <w:r w:rsidR="00467DFA" w:rsidRPr="00316D1F">
        <w:rPr>
          <w:rFonts w:cs="Segoe UI"/>
          <w:szCs w:val="22"/>
          <w:lang w:val="hr-HR"/>
        </w:rPr>
        <w:t>posljedice</w:t>
      </w:r>
      <w:r w:rsidR="004C4B20" w:rsidRPr="00316D1F">
        <w:rPr>
          <w:rFonts w:cs="Segoe UI"/>
          <w:szCs w:val="22"/>
          <w:lang w:val="hr-HR"/>
        </w:rPr>
        <w:t xml:space="preserve"> </w:t>
      </w:r>
      <w:r w:rsidR="00DB7881" w:rsidRPr="00316D1F">
        <w:rPr>
          <w:rFonts w:cs="Segoe UI"/>
          <w:szCs w:val="22"/>
          <w:lang w:val="hr-HR"/>
        </w:rPr>
        <w:t xml:space="preserve">primjene </w:t>
      </w:r>
      <w:r w:rsidR="00467DFA" w:rsidRPr="00316D1F">
        <w:rPr>
          <w:rFonts w:cs="Segoe UI"/>
          <w:szCs w:val="22"/>
          <w:lang w:val="hr-HR"/>
        </w:rPr>
        <w:t>programa MRS</w:t>
      </w:r>
      <w:r w:rsidR="00DB7881" w:rsidRPr="00316D1F">
        <w:rPr>
          <w:rFonts w:cs="Segoe UI"/>
          <w:szCs w:val="22"/>
          <w:lang w:val="hr-HR"/>
        </w:rPr>
        <w:t xml:space="preserve"> 29 (Financijsko izvještavanje u hiperinflacijskim gospodarstvima) </w:t>
      </w:r>
      <w:r w:rsidR="00467DFA" w:rsidRPr="00316D1F">
        <w:rPr>
          <w:rFonts w:cs="Segoe UI"/>
          <w:szCs w:val="22"/>
          <w:lang w:val="hr-HR"/>
        </w:rPr>
        <w:t xml:space="preserve">koji je bio </w:t>
      </w:r>
      <w:r w:rsidR="00DB7881" w:rsidRPr="00316D1F">
        <w:rPr>
          <w:rFonts w:cs="Segoe UI"/>
          <w:szCs w:val="22"/>
          <w:lang w:val="hr-HR"/>
        </w:rPr>
        <w:t>potreb</w:t>
      </w:r>
      <w:r w:rsidR="00467DFA" w:rsidRPr="00316D1F">
        <w:rPr>
          <w:rFonts w:cs="Segoe UI"/>
          <w:szCs w:val="22"/>
          <w:lang w:val="hr-HR"/>
        </w:rPr>
        <w:t>a</w:t>
      </w:r>
      <w:r w:rsidR="00DB7881" w:rsidRPr="00316D1F">
        <w:rPr>
          <w:rFonts w:cs="Segoe UI"/>
          <w:szCs w:val="22"/>
          <w:lang w:val="hr-HR"/>
        </w:rPr>
        <w:t xml:space="preserve">n za Tursku od početka </w:t>
      </w:r>
      <w:r w:rsidR="00357208" w:rsidRPr="00316D1F">
        <w:rPr>
          <w:rFonts w:cs="Segoe UI"/>
          <w:szCs w:val="22"/>
          <w:lang w:val="hr-HR"/>
        </w:rPr>
        <w:t xml:space="preserve">izvještajnog </w:t>
      </w:r>
      <w:r w:rsidR="00DB7881" w:rsidRPr="00316D1F">
        <w:rPr>
          <w:rFonts w:cs="Segoe UI"/>
          <w:szCs w:val="22"/>
          <w:lang w:val="hr-HR"/>
        </w:rPr>
        <w:t>razdoblja.</w:t>
      </w:r>
    </w:p>
    <w:p w14:paraId="16AD4278" w14:textId="35905A11" w:rsidR="00226640" w:rsidRPr="00316D1F" w:rsidRDefault="00226640" w:rsidP="00226640">
      <w:pPr>
        <w:rPr>
          <w:rFonts w:cs="Segoe UI"/>
          <w:bCs/>
          <w:szCs w:val="22"/>
          <w:lang w:val="hr-HR"/>
        </w:rPr>
      </w:pPr>
    </w:p>
    <w:p w14:paraId="7DDC0E92" w14:textId="71E44B80" w:rsidR="00DB7881" w:rsidRPr="00316D1F" w:rsidRDefault="00DB7881" w:rsidP="00226640">
      <w:pPr>
        <w:rPr>
          <w:rFonts w:cs="Segoe UI"/>
          <w:bCs/>
          <w:szCs w:val="22"/>
          <w:lang w:val="hr-HR"/>
        </w:rPr>
      </w:pPr>
      <w:r w:rsidRPr="00316D1F">
        <w:rPr>
          <w:rFonts w:cs="Segoe UI"/>
          <w:b/>
          <w:szCs w:val="22"/>
          <w:lang w:val="hr-HR"/>
        </w:rPr>
        <w:t>Prilagođena operativna dobit (prilagođeni EBIT)</w:t>
      </w:r>
      <w:r w:rsidRPr="00316D1F">
        <w:rPr>
          <w:rFonts w:cs="Segoe UI"/>
          <w:bCs/>
          <w:szCs w:val="22"/>
          <w:lang w:val="hr-HR"/>
        </w:rPr>
        <w:t xml:space="preserve"> bio je 1,166 milijuna eura u prvoj polovici godine, u usporedbi s 1,430 milijuna eura u </w:t>
      </w:r>
      <w:r w:rsidR="00357208" w:rsidRPr="00316D1F">
        <w:rPr>
          <w:rFonts w:cs="Segoe UI"/>
          <w:bCs/>
          <w:szCs w:val="22"/>
          <w:lang w:val="hr-HR"/>
        </w:rPr>
        <w:t xml:space="preserve">prošlogodišnjem </w:t>
      </w:r>
      <w:r w:rsidRPr="00316D1F">
        <w:rPr>
          <w:rFonts w:cs="Segoe UI"/>
          <w:bCs/>
          <w:szCs w:val="22"/>
          <w:lang w:val="hr-HR"/>
        </w:rPr>
        <w:t xml:space="preserve">razdoblju. Uzrok pada uglavnom je značajan porast cijena </w:t>
      </w:r>
      <w:r w:rsidR="00357208" w:rsidRPr="00316D1F">
        <w:rPr>
          <w:rFonts w:cs="Segoe UI"/>
          <w:bCs/>
          <w:szCs w:val="22"/>
          <w:lang w:val="hr-HR"/>
        </w:rPr>
        <w:t xml:space="preserve">izravnih </w:t>
      </w:r>
      <w:r w:rsidRPr="00316D1F">
        <w:rPr>
          <w:rFonts w:cs="Segoe UI"/>
          <w:bCs/>
          <w:szCs w:val="22"/>
          <w:lang w:val="hr-HR"/>
        </w:rPr>
        <w:t>materijal</w:t>
      </w:r>
      <w:r w:rsidR="00357208" w:rsidRPr="00316D1F">
        <w:rPr>
          <w:rFonts w:cs="Segoe UI"/>
          <w:bCs/>
          <w:szCs w:val="22"/>
          <w:lang w:val="hr-HR"/>
        </w:rPr>
        <w:t>a</w:t>
      </w:r>
      <w:r w:rsidRPr="00316D1F">
        <w:rPr>
          <w:rFonts w:cs="Segoe UI"/>
          <w:bCs/>
          <w:szCs w:val="22"/>
          <w:lang w:val="hr-HR"/>
        </w:rPr>
        <w:t>.</w:t>
      </w:r>
    </w:p>
    <w:p w14:paraId="4AD248B2" w14:textId="77777777" w:rsidR="00357208" w:rsidRPr="00316D1F" w:rsidRDefault="00357208" w:rsidP="00226640">
      <w:pPr>
        <w:rPr>
          <w:rFonts w:cs="Segoe UI"/>
          <w:bCs/>
          <w:szCs w:val="22"/>
        </w:rPr>
      </w:pPr>
    </w:p>
    <w:p w14:paraId="2B683C08" w14:textId="655267CC" w:rsidR="005846A7" w:rsidRPr="00316D1F" w:rsidRDefault="00DB7881" w:rsidP="00226640">
      <w:pPr>
        <w:rPr>
          <w:rFonts w:cs="Segoe UI"/>
          <w:szCs w:val="22"/>
          <w:lang w:val="hr-HR"/>
        </w:rPr>
      </w:pPr>
      <w:r w:rsidRPr="00316D1F">
        <w:rPr>
          <w:rFonts w:cs="Segoe UI"/>
          <w:b/>
          <w:bCs/>
          <w:szCs w:val="22"/>
          <w:lang w:val="hr-HR"/>
        </w:rPr>
        <w:t xml:space="preserve">Prilagođeni prinos od prodaje (prilagođena </w:t>
      </w:r>
      <w:r w:rsidR="00357208" w:rsidRPr="00316D1F">
        <w:rPr>
          <w:rFonts w:cs="Segoe UI"/>
          <w:b/>
          <w:bCs/>
          <w:szCs w:val="22"/>
          <w:lang w:val="hr-HR"/>
        </w:rPr>
        <w:t xml:space="preserve">marža </w:t>
      </w:r>
      <w:r w:rsidRPr="00316D1F">
        <w:rPr>
          <w:rFonts w:cs="Segoe UI"/>
          <w:b/>
          <w:bCs/>
          <w:szCs w:val="22"/>
          <w:lang w:val="hr-HR"/>
        </w:rPr>
        <w:t>EBIT)</w:t>
      </w:r>
      <w:r w:rsidRPr="00316D1F">
        <w:rPr>
          <w:rFonts w:cs="Segoe UI"/>
          <w:szCs w:val="22"/>
          <w:lang w:val="hr-HR"/>
        </w:rPr>
        <w:t xml:space="preserve"> pala je s 14,4 posto na 10,7 posto zbog značajno viših cijena </w:t>
      </w:r>
      <w:r w:rsidR="00357208" w:rsidRPr="00316D1F">
        <w:rPr>
          <w:rFonts w:cs="Segoe UI"/>
          <w:szCs w:val="22"/>
          <w:lang w:val="hr-HR"/>
        </w:rPr>
        <w:t xml:space="preserve">izravnih </w:t>
      </w:r>
      <w:r w:rsidRPr="00316D1F">
        <w:rPr>
          <w:rFonts w:cs="Segoe UI"/>
          <w:szCs w:val="22"/>
          <w:lang w:val="hr-HR"/>
        </w:rPr>
        <w:t>materijal</w:t>
      </w:r>
      <w:r w:rsidR="00357208" w:rsidRPr="00316D1F">
        <w:rPr>
          <w:rFonts w:cs="Segoe UI"/>
          <w:szCs w:val="22"/>
          <w:lang w:val="hr-HR"/>
        </w:rPr>
        <w:t>a</w:t>
      </w:r>
      <w:r w:rsidRPr="00316D1F">
        <w:rPr>
          <w:rFonts w:cs="Segoe UI"/>
          <w:szCs w:val="22"/>
          <w:lang w:val="hr-HR"/>
        </w:rPr>
        <w:t>.</w:t>
      </w:r>
    </w:p>
    <w:p w14:paraId="3BACE2B3" w14:textId="5A67CE11" w:rsidR="00DB7881" w:rsidRPr="00316D1F" w:rsidRDefault="00DB7881" w:rsidP="00226640">
      <w:pPr>
        <w:rPr>
          <w:rFonts w:cs="Segoe UI"/>
          <w:szCs w:val="22"/>
          <w:lang w:val="hr-HR"/>
        </w:rPr>
      </w:pPr>
      <w:r w:rsidRPr="00316D1F">
        <w:rPr>
          <w:rFonts w:cs="Segoe UI"/>
          <w:b/>
          <w:bCs/>
          <w:szCs w:val="22"/>
          <w:lang w:val="hr-HR"/>
        </w:rPr>
        <w:t>Prilagođena zarada po povlaštenoj dionici</w:t>
      </w:r>
      <w:r w:rsidRPr="00316D1F">
        <w:rPr>
          <w:rFonts w:cs="Segoe UI"/>
          <w:szCs w:val="22"/>
          <w:lang w:val="hr-HR"/>
        </w:rPr>
        <w:t xml:space="preserve"> bila je na 1,95 eura u prvoj polovici 2022. Pri stalnom tečaju, to pokazuje pad od -20,8 posto u usporedbi s istim razdobljem prošle godine. Taj je razvoj uglavnom pokrenut značajnim povećanjem </w:t>
      </w:r>
      <w:r w:rsidR="00357208" w:rsidRPr="00316D1F">
        <w:rPr>
          <w:rFonts w:cs="Segoe UI"/>
          <w:szCs w:val="22"/>
          <w:lang w:val="hr-HR"/>
        </w:rPr>
        <w:t>cijena izravnih</w:t>
      </w:r>
      <w:r w:rsidRPr="00316D1F">
        <w:rPr>
          <w:rFonts w:cs="Segoe UI"/>
          <w:szCs w:val="22"/>
          <w:lang w:val="hr-HR"/>
        </w:rPr>
        <w:t xml:space="preserve"> materijal</w:t>
      </w:r>
      <w:r w:rsidR="00357208" w:rsidRPr="00316D1F">
        <w:rPr>
          <w:rFonts w:cs="Segoe UI"/>
          <w:szCs w:val="22"/>
          <w:lang w:val="hr-HR"/>
        </w:rPr>
        <w:t>a</w:t>
      </w:r>
      <w:r w:rsidRPr="00316D1F">
        <w:rPr>
          <w:rFonts w:cs="Segoe UI"/>
          <w:szCs w:val="22"/>
          <w:lang w:val="hr-HR"/>
        </w:rPr>
        <w:t>.</w:t>
      </w:r>
    </w:p>
    <w:p w14:paraId="35F2C594" w14:textId="420B5E55" w:rsidR="00226640" w:rsidRPr="00316D1F" w:rsidRDefault="00226640" w:rsidP="00226640">
      <w:pPr>
        <w:rPr>
          <w:rFonts w:cs="Segoe UI"/>
          <w:szCs w:val="22"/>
          <w:lang w:val="hr-HR"/>
        </w:rPr>
      </w:pPr>
    </w:p>
    <w:p w14:paraId="492EBE37" w14:textId="40CAF03A" w:rsidR="002F05AC" w:rsidRPr="00316D1F" w:rsidRDefault="00DB7881" w:rsidP="00226640">
      <w:pPr>
        <w:rPr>
          <w:rFonts w:cs="Segoe UI"/>
          <w:szCs w:val="22"/>
          <w:lang w:val="hr-HR"/>
        </w:rPr>
      </w:pPr>
      <w:r w:rsidRPr="00316D1F">
        <w:rPr>
          <w:rFonts w:cs="Segoe UI"/>
          <w:b/>
          <w:bCs/>
          <w:szCs w:val="22"/>
          <w:lang w:val="hr-HR"/>
        </w:rPr>
        <w:t>Neto</w:t>
      </w:r>
      <w:r w:rsidR="004624B1" w:rsidRPr="00316D1F">
        <w:rPr>
          <w:rFonts w:cs="Segoe UI"/>
          <w:b/>
          <w:bCs/>
          <w:szCs w:val="22"/>
          <w:lang w:val="hr-HR"/>
        </w:rPr>
        <w:t xml:space="preserve"> obrtna sredstva</w:t>
      </w:r>
      <w:r w:rsidR="004624B1" w:rsidRPr="00316D1F">
        <w:rPr>
          <w:rFonts w:cs="Segoe UI"/>
          <w:szCs w:val="22"/>
          <w:lang w:val="hr-HR"/>
        </w:rPr>
        <w:t xml:space="preserve"> porasla su za 1,6 posto bodova na 5,2 posto prodaje (u prošlogodišnjem razdoblju: 3,6 posto), na što je također utjecao nagli rast cijena sirovina.</w:t>
      </w:r>
    </w:p>
    <w:p w14:paraId="54BCA557" w14:textId="641FE860" w:rsidR="004624B1" w:rsidRPr="00316D1F" w:rsidRDefault="004624B1" w:rsidP="00226640">
      <w:pPr>
        <w:rPr>
          <w:rFonts w:cs="Segoe UI"/>
          <w:szCs w:val="22"/>
          <w:lang w:val="hr-HR"/>
        </w:rPr>
      </w:pPr>
    </w:p>
    <w:p w14:paraId="372288B0" w14:textId="1014B0F7" w:rsidR="004624B1" w:rsidRPr="00316D1F" w:rsidRDefault="004624B1" w:rsidP="00226640">
      <w:pPr>
        <w:rPr>
          <w:rFonts w:cs="Segoe UI"/>
          <w:szCs w:val="22"/>
          <w:lang w:val="hr-HR"/>
        </w:rPr>
      </w:pPr>
      <w:r w:rsidRPr="00316D1F">
        <w:rPr>
          <w:rFonts w:cs="Segoe UI"/>
          <w:b/>
          <w:bCs/>
          <w:szCs w:val="22"/>
          <w:lang w:val="hr-HR"/>
        </w:rPr>
        <w:t>Slobodni novčani tokovi</w:t>
      </w:r>
      <w:r w:rsidRPr="00316D1F">
        <w:rPr>
          <w:rFonts w:cs="Segoe UI"/>
          <w:szCs w:val="22"/>
          <w:lang w:val="hr-HR"/>
        </w:rPr>
        <w:t xml:space="preserve"> od 46 milijuna eura bili su niži nego u prvoj polovici 2021. (471 milijun eura), zbog nižeg toka gotovine od poslovnih aktivnosti kao rezultat nižeg </w:t>
      </w:r>
      <w:r w:rsidR="0069084E" w:rsidRPr="00316D1F">
        <w:rPr>
          <w:rFonts w:cs="Segoe UI"/>
          <w:szCs w:val="22"/>
          <w:lang w:val="hr-HR"/>
        </w:rPr>
        <w:t>operativn</w:t>
      </w:r>
      <w:r w:rsidRPr="00316D1F">
        <w:rPr>
          <w:rFonts w:cs="Segoe UI"/>
          <w:szCs w:val="22"/>
          <w:lang w:val="hr-HR"/>
        </w:rPr>
        <w:t>og profita i višeg neto</w:t>
      </w:r>
      <w:r w:rsidR="0069084E" w:rsidRPr="00316D1F">
        <w:rPr>
          <w:rFonts w:cs="Segoe UI"/>
          <w:szCs w:val="22"/>
          <w:lang w:val="hr-HR"/>
        </w:rPr>
        <w:t xml:space="preserve"> radnog kapitala.</w:t>
      </w:r>
    </w:p>
    <w:p w14:paraId="3D928F8A" w14:textId="372F9122" w:rsidR="00226640" w:rsidRPr="00316D1F" w:rsidRDefault="00226640" w:rsidP="00226640"/>
    <w:p w14:paraId="7B7F71A0" w14:textId="6BA86B76" w:rsidR="00C44EFC" w:rsidRPr="00316D1F" w:rsidRDefault="0069084E" w:rsidP="00226640">
      <w:pPr>
        <w:spacing w:after="120"/>
        <w:rPr>
          <w:rFonts w:cs="Segoe UI"/>
          <w:szCs w:val="22"/>
          <w:lang w:val="hr-HR" w:eastAsia="de-DE"/>
        </w:rPr>
      </w:pPr>
      <w:r w:rsidRPr="00316D1F">
        <w:rPr>
          <w:rFonts w:cs="Segoe UI"/>
          <w:szCs w:val="22"/>
          <w:lang w:val="hr-HR" w:eastAsia="de-DE"/>
        </w:rPr>
        <w:t xml:space="preserve">Od 30. srpnja 2022., </w:t>
      </w:r>
      <w:r w:rsidRPr="00316D1F">
        <w:rPr>
          <w:rFonts w:cs="Segoe UI"/>
          <w:b/>
          <w:bCs/>
          <w:szCs w:val="22"/>
          <w:lang w:val="hr-HR" w:eastAsia="de-DE"/>
        </w:rPr>
        <w:t>neto financijski položaj</w:t>
      </w:r>
      <w:r w:rsidRPr="00316D1F">
        <w:rPr>
          <w:rFonts w:cs="Segoe UI"/>
          <w:szCs w:val="22"/>
          <w:lang w:val="hr-HR" w:eastAsia="de-DE"/>
        </w:rPr>
        <w:t xml:space="preserve"> iznosio je -1</w:t>
      </w:r>
      <w:r w:rsidR="00357208" w:rsidRPr="00316D1F">
        <w:rPr>
          <w:rFonts w:cs="Segoe UI"/>
          <w:szCs w:val="22"/>
          <w:lang w:val="hr-HR" w:eastAsia="de-DE"/>
        </w:rPr>
        <w:t>.</w:t>
      </w:r>
      <w:r w:rsidRPr="00316D1F">
        <w:rPr>
          <w:rFonts w:cs="Segoe UI"/>
          <w:szCs w:val="22"/>
          <w:lang w:val="hr-HR" w:eastAsia="de-DE"/>
        </w:rPr>
        <w:t>441 milijun eura (31. prosinca 2021</w:t>
      </w:r>
      <w:r w:rsidR="00357208" w:rsidRPr="00316D1F">
        <w:rPr>
          <w:rFonts w:cs="Segoe UI"/>
          <w:szCs w:val="22"/>
          <w:lang w:val="hr-HR" w:eastAsia="de-DE"/>
        </w:rPr>
        <w:t>.</w:t>
      </w:r>
      <w:r w:rsidRPr="00316D1F">
        <w:rPr>
          <w:rFonts w:cs="Segoe UI"/>
          <w:szCs w:val="22"/>
          <w:lang w:val="hr-HR" w:eastAsia="de-DE"/>
        </w:rPr>
        <w:t>: -292 milijuna eura). Taj razvoj također uključuje troškove od oko 430 milijuna eura u programu otkupa dionica pokrenutom u veljači 2022. kao i isplata dividendi od oko 800 milijuna eura u drugom tromjesečju.</w:t>
      </w:r>
    </w:p>
    <w:p w14:paraId="114A3911" w14:textId="3FCF01D5" w:rsidR="0036268A" w:rsidRPr="00316D1F" w:rsidRDefault="0036268A" w:rsidP="0036268A">
      <w:pPr>
        <w:rPr>
          <w:rFonts w:cs="Segoe UI"/>
          <w:szCs w:val="22"/>
          <w:lang w:val="hr-HR"/>
        </w:rPr>
      </w:pPr>
      <w:bookmarkStart w:id="1" w:name="_Hlk78300139"/>
    </w:p>
    <w:p w14:paraId="0386278B" w14:textId="0DBF4EA2" w:rsidR="002F05AC" w:rsidRDefault="0069084E" w:rsidP="003E1974">
      <w:pPr>
        <w:tabs>
          <w:tab w:val="left" w:pos="5924"/>
        </w:tabs>
        <w:rPr>
          <w:rFonts w:cs="Segoe UI"/>
          <w:b/>
          <w:bCs/>
          <w:szCs w:val="22"/>
          <w:lang w:val="hr-HR"/>
        </w:rPr>
      </w:pPr>
      <w:r w:rsidRPr="00316D1F">
        <w:rPr>
          <w:rFonts w:cs="Segoe UI"/>
          <w:b/>
          <w:bCs/>
          <w:szCs w:val="22"/>
          <w:lang w:val="hr-HR"/>
        </w:rPr>
        <w:t>Poslovanje poslovnih sektora u prvoj polovici 2022.</w:t>
      </w:r>
      <w:r w:rsidR="003E1974">
        <w:rPr>
          <w:rFonts w:cs="Segoe UI"/>
          <w:b/>
          <w:bCs/>
          <w:szCs w:val="22"/>
          <w:lang w:val="hr-HR"/>
        </w:rPr>
        <w:tab/>
      </w:r>
    </w:p>
    <w:p w14:paraId="7F384589" w14:textId="77777777" w:rsidR="003E1974" w:rsidRPr="00316D1F" w:rsidRDefault="003E1974" w:rsidP="003E1974">
      <w:pPr>
        <w:tabs>
          <w:tab w:val="left" w:pos="5924"/>
        </w:tabs>
        <w:rPr>
          <w:rFonts w:cs="Segoe UI"/>
          <w:b/>
          <w:bCs/>
          <w:szCs w:val="22"/>
          <w:lang w:val="hr-HR"/>
        </w:rPr>
      </w:pPr>
    </w:p>
    <w:p w14:paraId="5E99920F" w14:textId="04BAE567" w:rsidR="00BD71F4" w:rsidRPr="00316D1F" w:rsidRDefault="0069084E" w:rsidP="00234CA1">
      <w:pPr>
        <w:rPr>
          <w:rFonts w:cs="Segoe UI"/>
          <w:szCs w:val="22"/>
          <w:lang w:val="hr-HR"/>
        </w:rPr>
      </w:pPr>
      <w:r w:rsidRPr="00316D1F">
        <w:rPr>
          <w:rFonts w:cs="Segoe UI"/>
          <w:szCs w:val="22"/>
          <w:lang w:val="hr-HR"/>
        </w:rPr>
        <w:t xml:space="preserve">U prvoj polovici 2022. </w:t>
      </w:r>
      <w:r w:rsidRPr="00316D1F">
        <w:rPr>
          <w:rFonts w:cs="Segoe UI"/>
          <w:b/>
          <w:bCs/>
          <w:szCs w:val="22"/>
          <w:lang w:val="hr-HR"/>
        </w:rPr>
        <w:t>prodaja</w:t>
      </w:r>
      <w:r w:rsidRPr="00316D1F">
        <w:rPr>
          <w:rFonts w:cs="Segoe UI"/>
          <w:szCs w:val="22"/>
          <w:lang w:val="hr-HR"/>
        </w:rPr>
        <w:t xml:space="preserve"> sektora </w:t>
      </w:r>
      <w:r w:rsidRPr="00316D1F">
        <w:rPr>
          <w:rFonts w:cs="Segoe UI"/>
          <w:b/>
          <w:bCs/>
          <w:szCs w:val="22"/>
          <w:lang w:val="hr-HR"/>
        </w:rPr>
        <w:t>Ljepila i tehnologije</w:t>
      </w:r>
      <w:r w:rsidRPr="00316D1F">
        <w:rPr>
          <w:rFonts w:cs="Segoe UI"/>
          <w:szCs w:val="22"/>
          <w:lang w:val="hr-HR"/>
        </w:rPr>
        <w:t xml:space="preserve"> povećala se nominalno za +15,0 posto na 5</w:t>
      </w:r>
      <w:r w:rsidR="00357208" w:rsidRPr="00316D1F">
        <w:rPr>
          <w:rFonts w:cs="Segoe UI"/>
          <w:szCs w:val="22"/>
          <w:lang w:val="hr-HR"/>
        </w:rPr>
        <w:t>.</w:t>
      </w:r>
      <w:r w:rsidRPr="00316D1F">
        <w:rPr>
          <w:rFonts w:cs="Segoe UI"/>
          <w:szCs w:val="22"/>
          <w:lang w:val="hr-HR"/>
        </w:rPr>
        <w:t>467 milijuna eura (Q2: 2</w:t>
      </w:r>
      <w:r w:rsidR="00234CA1" w:rsidRPr="00316D1F">
        <w:rPr>
          <w:rFonts w:cs="Segoe UI"/>
          <w:szCs w:val="22"/>
          <w:lang w:val="hr-HR"/>
        </w:rPr>
        <w:t>.</w:t>
      </w:r>
      <w:r w:rsidRPr="00316D1F">
        <w:rPr>
          <w:rFonts w:cs="Segoe UI"/>
          <w:szCs w:val="22"/>
          <w:lang w:val="hr-HR"/>
        </w:rPr>
        <w:t xml:space="preserve">836 milijuna eura, +18,5 posto). </w:t>
      </w:r>
      <w:r w:rsidRPr="00316D1F">
        <w:rPr>
          <w:rFonts w:cs="Segoe UI"/>
          <w:b/>
          <w:bCs/>
          <w:szCs w:val="22"/>
          <w:lang w:val="hr-HR"/>
        </w:rPr>
        <w:t xml:space="preserve">Organska prodaja </w:t>
      </w:r>
      <w:r w:rsidRPr="00316D1F">
        <w:rPr>
          <w:rFonts w:cs="Segoe UI"/>
          <w:szCs w:val="22"/>
          <w:lang w:val="hr-HR"/>
        </w:rPr>
        <w:t>povećala se za +12,2 posto (Q2: +13,7 posto).</w:t>
      </w:r>
      <w:bookmarkEnd w:id="1"/>
    </w:p>
    <w:p w14:paraId="36604F96" w14:textId="63CDE19A" w:rsidR="002F05AC" w:rsidRPr="00316D1F" w:rsidRDefault="0069084E" w:rsidP="005A2CCC">
      <w:pPr>
        <w:spacing w:after="120"/>
        <w:rPr>
          <w:rFonts w:cs="Segoe UI"/>
          <w:szCs w:val="22"/>
          <w:lang w:val="hr-HR" w:eastAsia="de-DE"/>
        </w:rPr>
      </w:pPr>
      <w:r w:rsidRPr="00316D1F">
        <w:rPr>
          <w:rFonts w:cs="Segoe UI"/>
          <w:szCs w:val="22"/>
          <w:lang w:val="hr-HR" w:eastAsia="de-DE"/>
        </w:rPr>
        <w:lastRenderedPageBreak/>
        <w:t xml:space="preserve">U sektoru </w:t>
      </w:r>
      <w:r w:rsidRPr="00316D1F">
        <w:rPr>
          <w:rFonts w:cs="Segoe UI"/>
          <w:b/>
          <w:bCs/>
          <w:szCs w:val="22"/>
          <w:lang w:val="hr-HR" w:eastAsia="de-DE"/>
        </w:rPr>
        <w:t>Beauty Care</w:t>
      </w:r>
      <w:r w:rsidRPr="00316D1F">
        <w:rPr>
          <w:rFonts w:cs="Segoe UI"/>
          <w:szCs w:val="22"/>
          <w:lang w:val="hr-HR" w:eastAsia="de-DE"/>
        </w:rPr>
        <w:t xml:space="preserve">, </w:t>
      </w:r>
      <w:r w:rsidRPr="00316D1F">
        <w:rPr>
          <w:rFonts w:cs="Segoe UI"/>
          <w:b/>
          <w:bCs/>
          <w:szCs w:val="22"/>
          <w:lang w:val="hr-HR" w:eastAsia="de-DE"/>
        </w:rPr>
        <w:t>prodaja</w:t>
      </w:r>
      <w:r w:rsidRPr="00316D1F">
        <w:rPr>
          <w:rFonts w:cs="Segoe UI"/>
          <w:szCs w:val="22"/>
          <w:lang w:val="hr-HR" w:eastAsia="de-DE"/>
        </w:rPr>
        <w:t xml:space="preserve"> se </w:t>
      </w:r>
      <w:r w:rsidRPr="00316D1F">
        <w:rPr>
          <w:rFonts w:cs="Segoe UI"/>
          <w:b/>
          <w:bCs/>
          <w:szCs w:val="22"/>
          <w:lang w:val="hr-HR" w:eastAsia="de-DE"/>
        </w:rPr>
        <w:t>organski</w:t>
      </w:r>
      <w:r w:rsidRPr="00316D1F">
        <w:rPr>
          <w:rFonts w:cs="Segoe UI"/>
          <w:szCs w:val="22"/>
          <w:lang w:val="hr-HR" w:eastAsia="de-DE"/>
        </w:rPr>
        <w:t xml:space="preserve"> povećala za +0,4 posto (Q2: +2,1 posto) u prvih šest mjesec</w:t>
      </w:r>
      <w:r w:rsidR="00234CA1" w:rsidRPr="00316D1F">
        <w:rPr>
          <w:rFonts w:cs="Segoe UI"/>
          <w:szCs w:val="22"/>
          <w:lang w:val="hr-HR" w:eastAsia="de-DE"/>
        </w:rPr>
        <w:t>i</w:t>
      </w:r>
      <w:r w:rsidRPr="00316D1F">
        <w:rPr>
          <w:rFonts w:cs="Segoe UI"/>
          <w:szCs w:val="22"/>
          <w:lang w:val="hr-HR" w:eastAsia="de-DE"/>
        </w:rPr>
        <w:t xml:space="preserve"> 2022. U nominalnim </w:t>
      </w:r>
      <w:r w:rsidR="00EF464A" w:rsidRPr="00316D1F">
        <w:rPr>
          <w:rFonts w:cs="Segoe UI"/>
          <w:szCs w:val="22"/>
          <w:lang w:val="hr-HR" w:eastAsia="de-DE"/>
        </w:rPr>
        <w:t>vrijednostima</w:t>
      </w:r>
      <w:r w:rsidRPr="00316D1F">
        <w:rPr>
          <w:rFonts w:cs="Segoe UI"/>
          <w:szCs w:val="22"/>
          <w:lang w:val="hr-HR" w:eastAsia="de-DE"/>
        </w:rPr>
        <w:t>, prodaja se povećala za 0,2 posto i dosegla 1</w:t>
      </w:r>
      <w:r w:rsidR="00234CA1" w:rsidRPr="00316D1F">
        <w:rPr>
          <w:rFonts w:cs="Segoe UI"/>
          <w:szCs w:val="22"/>
          <w:lang w:val="hr-HR" w:eastAsia="de-DE"/>
        </w:rPr>
        <w:t>.</w:t>
      </w:r>
      <w:r w:rsidRPr="00316D1F">
        <w:rPr>
          <w:rFonts w:cs="Segoe UI"/>
          <w:szCs w:val="22"/>
          <w:lang w:val="hr-HR" w:eastAsia="de-DE"/>
        </w:rPr>
        <w:t>842 milijuna eura (Q2: 950 milijuna eura, +3,9 posto).</w:t>
      </w:r>
    </w:p>
    <w:p w14:paraId="26A8D12D" w14:textId="1342CCE3" w:rsidR="0069084E" w:rsidRPr="00316D1F" w:rsidRDefault="00EF464A" w:rsidP="005A2CCC">
      <w:pPr>
        <w:spacing w:after="120"/>
        <w:rPr>
          <w:rFonts w:cs="Segoe UI"/>
          <w:szCs w:val="22"/>
          <w:lang w:val="hr-HR" w:eastAsia="de-DE"/>
        </w:rPr>
      </w:pPr>
      <w:r w:rsidRPr="00316D1F">
        <w:rPr>
          <w:rFonts w:cs="Segoe UI"/>
          <w:szCs w:val="22"/>
          <w:lang w:val="hr-HR" w:eastAsia="de-DE"/>
        </w:rPr>
        <w:t xml:space="preserve">Sektor </w:t>
      </w:r>
      <w:r w:rsidRPr="00316D1F">
        <w:rPr>
          <w:rFonts w:cs="Segoe UI"/>
          <w:b/>
          <w:bCs/>
          <w:szCs w:val="22"/>
          <w:lang w:val="hr-HR" w:eastAsia="de-DE"/>
        </w:rPr>
        <w:t>Sredstva za pranje i čišćenje</w:t>
      </w:r>
      <w:r w:rsidRPr="00316D1F">
        <w:rPr>
          <w:rFonts w:cs="Segoe UI"/>
          <w:szCs w:val="22"/>
          <w:lang w:val="hr-HR" w:eastAsia="de-DE"/>
        </w:rPr>
        <w:t xml:space="preserve"> postigao je značaj</w:t>
      </w:r>
      <w:r w:rsidR="00234CA1" w:rsidRPr="00316D1F">
        <w:rPr>
          <w:rFonts w:cs="Segoe UI"/>
          <w:szCs w:val="22"/>
          <w:lang w:val="hr-HR" w:eastAsia="de-DE"/>
        </w:rPr>
        <w:t>a</w:t>
      </w:r>
      <w:r w:rsidRPr="00316D1F">
        <w:rPr>
          <w:rFonts w:cs="Segoe UI"/>
          <w:szCs w:val="22"/>
          <w:lang w:val="hr-HR" w:eastAsia="de-DE"/>
        </w:rPr>
        <w:t xml:space="preserve">n </w:t>
      </w:r>
      <w:r w:rsidR="00234CA1" w:rsidRPr="00316D1F">
        <w:rPr>
          <w:rFonts w:cs="Segoe UI"/>
          <w:szCs w:val="22"/>
          <w:lang w:val="hr-HR" w:eastAsia="de-DE"/>
        </w:rPr>
        <w:t xml:space="preserve">rast </w:t>
      </w:r>
      <w:r w:rsidRPr="00316D1F">
        <w:rPr>
          <w:rFonts w:cs="Segoe UI"/>
          <w:b/>
          <w:bCs/>
          <w:szCs w:val="22"/>
          <w:lang w:val="hr-HR" w:eastAsia="de-DE"/>
        </w:rPr>
        <w:t>organsk</w:t>
      </w:r>
      <w:r w:rsidR="00234CA1" w:rsidRPr="00316D1F">
        <w:rPr>
          <w:rFonts w:cs="Segoe UI"/>
          <w:b/>
          <w:bCs/>
          <w:szCs w:val="22"/>
          <w:lang w:val="hr-HR" w:eastAsia="de-DE"/>
        </w:rPr>
        <w:t>e</w:t>
      </w:r>
      <w:r w:rsidRPr="00316D1F">
        <w:rPr>
          <w:rFonts w:cs="Segoe UI"/>
          <w:b/>
          <w:bCs/>
          <w:szCs w:val="22"/>
          <w:lang w:val="hr-HR" w:eastAsia="de-DE"/>
        </w:rPr>
        <w:t xml:space="preserve"> prodaj</w:t>
      </w:r>
      <w:r w:rsidR="00234CA1" w:rsidRPr="00316D1F">
        <w:rPr>
          <w:rFonts w:cs="Segoe UI"/>
          <w:b/>
          <w:bCs/>
          <w:szCs w:val="22"/>
          <w:lang w:val="hr-HR" w:eastAsia="de-DE"/>
        </w:rPr>
        <w:t>e</w:t>
      </w:r>
      <w:r w:rsidRPr="00316D1F">
        <w:rPr>
          <w:rFonts w:cs="Segoe UI"/>
          <w:szCs w:val="22"/>
          <w:lang w:val="hr-HR" w:eastAsia="de-DE"/>
        </w:rPr>
        <w:t xml:space="preserve"> od +7,4 posto u prvoj polovici 2022. (Q2: +10,1 posto). U nominalnim vrijednostima, prodaja se povećala za +6,7 posto na 3</w:t>
      </w:r>
      <w:r w:rsidR="00234CA1" w:rsidRPr="00316D1F">
        <w:rPr>
          <w:rFonts w:cs="Segoe UI"/>
          <w:szCs w:val="22"/>
          <w:lang w:val="hr-HR" w:eastAsia="de-DE"/>
        </w:rPr>
        <w:t>.</w:t>
      </w:r>
      <w:r w:rsidRPr="00316D1F">
        <w:rPr>
          <w:rFonts w:cs="Segoe UI"/>
          <w:szCs w:val="22"/>
          <w:lang w:val="hr-HR" w:eastAsia="de-DE"/>
        </w:rPr>
        <w:t>494 milijuna eura (Q2: 1</w:t>
      </w:r>
      <w:r w:rsidR="00234CA1" w:rsidRPr="00316D1F">
        <w:rPr>
          <w:rFonts w:cs="Segoe UI"/>
          <w:szCs w:val="22"/>
          <w:lang w:val="hr-HR" w:eastAsia="de-DE"/>
        </w:rPr>
        <w:t>.</w:t>
      </w:r>
      <w:r w:rsidRPr="00316D1F">
        <w:rPr>
          <w:rFonts w:cs="Segoe UI"/>
          <w:szCs w:val="22"/>
          <w:lang w:val="hr-HR" w:eastAsia="de-DE"/>
        </w:rPr>
        <w:t>802 milijuna eura, +11,3 posto).</w:t>
      </w:r>
    </w:p>
    <w:p w14:paraId="5876A5B8" w14:textId="752C7E65" w:rsidR="005A2CCC" w:rsidRPr="00316D1F" w:rsidRDefault="005A2CCC" w:rsidP="005A2CCC">
      <w:pPr>
        <w:autoSpaceDE w:val="0"/>
        <w:autoSpaceDN w:val="0"/>
        <w:adjustRightInd w:val="0"/>
        <w:rPr>
          <w:rFonts w:cs="Segoe UI"/>
          <w:szCs w:val="22"/>
          <w:lang w:val="hr-HR" w:eastAsia="de-DE"/>
        </w:rPr>
      </w:pPr>
      <w:bookmarkStart w:id="2" w:name="_Hlk109204398"/>
    </w:p>
    <w:p w14:paraId="46F9F063" w14:textId="42F2F755" w:rsidR="002F05AC" w:rsidRDefault="00EF464A" w:rsidP="005A2CCC">
      <w:pPr>
        <w:autoSpaceDE w:val="0"/>
        <w:autoSpaceDN w:val="0"/>
        <w:adjustRightInd w:val="0"/>
        <w:rPr>
          <w:rFonts w:cs="Segoe UI"/>
          <w:b/>
          <w:bCs/>
          <w:szCs w:val="22"/>
          <w:lang w:val="hr-HR" w:eastAsia="de-DE"/>
        </w:rPr>
      </w:pPr>
      <w:r w:rsidRPr="00316D1F">
        <w:rPr>
          <w:rFonts w:cs="Segoe UI"/>
          <w:b/>
          <w:bCs/>
          <w:szCs w:val="22"/>
          <w:lang w:val="hr-HR" w:eastAsia="de-DE"/>
        </w:rPr>
        <w:t>Program za svrhoviti rast: dobar napredak</w:t>
      </w:r>
    </w:p>
    <w:p w14:paraId="7E073FBB" w14:textId="77777777" w:rsidR="00571DF7" w:rsidRPr="00316D1F" w:rsidRDefault="00571DF7" w:rsidP="005A2CCC">
      <w:pPr>
        <w:autoSpaceDE w:val="0"/>
        <w:autoSpaceDN w:val="0"/>
        <w:adjustRightInd w:val="0"/>
        <w:rPr>
          <w:rFonts w:cs="Segoe UI"/>
          <w:b/>
          <w:bCs/>
          <w:szCs w:val="22"/>
          <w:lang w:val="hr-HR" w:eastAsia="de-DE"/>
        </w:rPr>
      </w:pPr>
    </w:p>
    <w:p w14:paraId="605CB69C" w14:textId="2825C31C" w:rsidR="002F05AC" w:rsidRPr="00316D1F" w:rsidRDefault="00983389" w:rsidP="005A2CCC">
      <w:pPr>
        <w:autoSpaceDE w:val="0"/>
        <w:autoSpaceDN w:val="0"/>
        <w:adjustRightInd w:val="0"/>
        <w:rPr>
          <w:rFonts w:cs="Segoe UI"/>
          <w:szCs w:val="22"/>
          <w:lang w:val="hr-HR" w:eastAsia="de-DE"/>
        </w:rPr>
      </w:pPr>
      <w:r w:rsidRPr="00316D1F">
        <w:rPr>
          <w:rFonts w:cs="Segoe UI"/>
          <w:szCs w:val="22"/>
          <w:lang w:val="hr-HR" w:eastAsia="de-DE"/>
        </w:rPr>
        <w:t xml:space="preserve">Henkel provodi program za svrhoviti rast i razvio je jasni strateški okvir za </w:t>
      </w:r>
      <w:r w:rsidR="00683CF8" w:rsidRPr="00316D1F">
        <w:rPr>
          <w:rFonts w:cs="Segoe UI"/>
          <w:szCs w:val="22"/>
          <w:lang w:val="hr-HR" w:eastAsia="de-DE"/>
        </w:rPr>
        <w:t>njega</w:t>
      </w:r>
      <w:r w:rsidRPr="00316D1F">
        <w:rPr>
          <w:rFonts w:cs="Segoe UI"/>
          <w:szCs w:val="22"/>
          <w:lang w:val="hr-HR" w:eastAsia="de-DE"/>
        </w:rPr>
        <w:t>. Ključni elementi strateškog okvira jesu uspješan portfelj, jasna konkurentnost u područjima inovacije, održivosti i digitalizacij</w:t>
      </w:r>
      <w:r w:rsidR="00683CF8" w:rsidRPr="00316D1F">
        <w:rPr>
          <w:rFonts w:cs="Segoe UI"/>
          <w:szCs w:val="22"/>
          <w:lang w:val="hr-HR" w:eastAsia="de-DE"/>
        </w:rPr>
        <w:t>e</w:t>
      </w:r>
      <w:r w:rsidRPr="00316D1F">
        <w:rPr>
          <w:rFonts w:cs="Segoe UI"/>
          <w:szCs w:val="22"/>
          <w:lang w:val="hr-HR" w:eastAsia="de-DE"/>
        </w:rPr>
        <w:t xml:space="preserve"> kao i operativnih modela spremnih za budućnost – na temelju snažne </w:t>
      </w:r>
      <w:r w:rsidR="00683CF8" w:rsidRPr="00316D1F">
        <w:rPr>
          <w:rFonts w:cs="Segoe UI"/>
          <w:szCs w:val="22"/>
          <w:lang w:val="hr-HR" w:eastAsia="de-DE"/>
        </w:rPr>
        <w:t xml:space="preserve">korporativne </w:t>
      </w:r>
      <w:r w:rsidRPr="00316D1F">
        <w:rPr>
          <w:rFonts w:cs="Segoe UI"/>
          <w:szCs w:val="22"/>
          <w:lang w:val="hr-HR" w:eastAsia="de-DE"/>
        </w:rPr>
        <w:t>kultur</w:t>
      </w:r>
      <w:r w:rsidR="00683CF8" w:rsidRPr="00316D1F">
        <w:rPr>
          <w:rFonts w:cs="Segoe UI"/>
          <w:szCs w:val="22"/>
          <w:lang w:val="hr-HR" w:eastAsia="de-DE"/>
        </w:rPr>
        <w:t>e</w:t>
      </w:r>
      <w:r w:rsidRPr="00316D1F">
        <w:rPr>
          <w:rFonts w:cs="Segoe UI"/>
          <w:szCs w:val="22"/>
          <w:lang w:val="hr-HR" w:eastAsia="de-DE"/>
        </w:rPr>
        <w:t>.</w:t>
      </w:r>
    </w:p>
    <w:bookmarkEnd w:id="2"/>
    <w:p w14:paraId="24DEC5D2" w14:textId="35868ACE" w:rsidR="005A2CCC" w:rsidRPr="00316D1F" w:rsidRDefault="005A2CCC" w:rsidP="005A2CCC">
      <w:pPr>
        <w:autoSpaceDE w:val="0"/>
        <w:autoSpaceDN w:val="0"/>
        <w:adjustRightInd w:val="0"/>
        <w:rPr>
          <w:rFonts w:cs="Segoe UI"/>
          <w:szCs w:val="22"/>
          <w:lang w:val="hr-HR"/>
        </w:rPr>
      </w:pPr>
    </w:p>
    <w:p w14:paraId="0587C95F" w14:textId="3A436438" w:rsidR="002F05AC" w:rsidRPr="00316D1F" w:rsidRDefault="00983389" w:rsidP="005A2CCC">
      <w:pPr>
        <w:autoSpaceDE w:val="0"/>
        <w:autoSpaceDN w:val="0"/>
        <w:adjustRightInd w:val="0"/>
        <w:rPr>
          <w:rFonts w:cs="Segoe UI"/>
          <w:szCs w:val="22"/>
          <w:lang w:val="hr-HR"/>
        </w:rPr>
      </w:pPr>
      <w:r w:rsidRPr="00316D1F">
        <w:rPr>
          <w:rFonts w:cs="Segoe UI"/>
          <w:szCs w:val="22"/>
          <w:lang w:val="hr-HR"/>
        </w:rPr>
        <w:t xml:space="preserve">U prvoj polovici 2022. Henkel je nastavio dosljedno raditi na provođenju svog programa rasta i </w:t>
      </w:r>
      <w:r w:rsidR="00683CF8" w:rsidRPr="00316D1F">
        <w:rPr>
          <w:rFonts w:cs="Segoe UI"/>
          <w:szCs w:val="22"/>
          <w:lang w:val="hr-HR"/>
        </w:rPr>
        <w:t>ostvar</w:t>
      </w:r>
      <w:r w:rsidRPr="00316D1F">
        <w:rPr>
          <w:rFonts w:cs="Segoe UI"/>
          <w:szCs w:val="22"/>
          <w:lang w:val="hr-HR"/>
        </w:rPr>
        <w:t xml:space="preserve">io je dobar napredak </w:t>
      </w:r>
      <w:r w:rsidR="00683CF8" w:rsidRPr="00316D1F">
        <w:rPr>
          <w:rFonts w:cs="Segoe UI"/>
          <w:szCs w:val="22"/>
          <w:lang w:val="hr-HR"/>
        </w:rPr>
        <w:t>po svim točkama</w:t>
      </w:r>
      <w:r w:rsidRPr="00316D1F">
        <w:rPr>
          <w:rFonts w:cs="Segoe UI"/>
          <w:szCs w:val="22"/>
          <w:lang w:val="hr-HR"/>
        </w:rPr>
        <w:t xml:space="preserve">. Spajanjem sektora Sredstva za pranje i čišćenje </w:t>
      </w:r>
      <w:r w:rsidR="00683CF8" w:rsidRPr="00316D1F">
        <w:rPr>
          <w:rFonts w:cs="Segoe UI"/>
          <w:szCs w:val="22"/>
          <w:lang w:val="hr-HR"/>
        </w:rPr>
        <w:t>i sektora</w:t>
      </w:r>
      <w:r w:rsidRPr="00316D1F">
        <w:rPr>
          <w:rFonts w:cs="Segoe UI"/>
          <w:szCs w:val="22"/>
          <w:lang w:val="hr-HR"/>
        </w:rPr>
        <w:t xml:space="preserve"> Beauty Carea u novi sektor </w:t>
      </w:r>
      <w:r w:rsidRPr="00316D1F">
        <w:rPr>
          <w:rFonts w:cs="Segoe UI"/>
          <w:b/>
          <w:bCs/>
          <w:szCs w:val="22"/>
          <w:lang w:val="hr-HR"/>
        </w:rPr>
        <w:t>Henkel Consumer Brands</w:t>
      </w:r>
      <w:r w:rsidRPr="00316D1F">
        <w:rPr>
          <w:rFonts w:cs="Segoe UI"/>
          <w:szCs w:val="22"/>
          <w:lang w:val="hr-HR"/>
        </w:rPr>
        <w:t>, Henkel unapređuje svoj program svrhovitog rasta. Struktura novog sektora sastoji se od dvije globalne kategorije Sredstva za pranje i čišćenje te</w:t>
      </w:r>
      <w:r w:rsidR="00F65CAA" w:rsidRPr="00316D1F">
        <w:rPr>
          <w:rFonts w:cs="Segoe UI"/>
          <w:szCs w:val="22"/>
          <w:lang w:val="hr-HR"/>
        </w:rPr>
        <w:t xml:space="preserve"> Hair Care, </w:t>
      </w:r>
      <w:r w:rsidR="00683CF8" w:rsidRPr="00316D1F">
        <w:rPr>
          <w:rFonts w:cs="Segoe UI"/>
          <w:szCs w:val="22"/>
          <w:lang w:val="hr-HR"/>
        </w:rPr>
        <w:t>uz</w:t>
      </w:r>
      <w:r w:rsidR="00F65CAA" w:rsidRPr="00316D1F">
        <w:rPr>
          <w:rFonts w:cs="Segoe UI"/>
          <w:szCs w:val="22"/>
          <w:lang w:val="hr-HR"/>
        </w:rPr>
        <w:t xml:space="preserve"> podr</w:t>
      </w:r>
      <w:r w:rsidR="00683CF8" w:rsidRPr="00316D1F">
        <w:rPr>
          <w:rFonts w:cs="Segoe UI"/>
          <w:szCs w:val="22"/>
          <w:lang w:val="hr-HR"/>
        </w:rPr>
        <w:t>šku</w:t>
      </w:r>
      <w:r w:rsidR="00F65CAA" w:rsidRPr="00316D1F">
        <w:rPr>
          <w:rFonts w:cs="Segoe UI"/>
          <w:szCs w:val="22"/>
          <w:lang w:val="hr-HR"/>
        </w:rPr>
        <w:t xml:space="preserve"> centralni</w:t>
      </w:r>
      <w:r w:rsidR="009F49E1" w:rsidRPr="00316D1F">
        <w:rPr>
          <w:rFonts w:cs="Segoe UI"/>
          <w:szCs w:val="22"/>
          <w:lang w:val="hr-HR"/>
        </w:rPr>
        <w:t>h</w:t>
      </w:r>
      <w:r w:rsidR="00F65CAA" w:rsidRPr="00316D1F">
        <w:rPr>
          <w:rFonts w:cs="Segoe UI"/>
          <w:szCs w:val="22"/>
          <w:lang w:val="hr-HR"/>
        </w:rPr>
        <w:t xml:space="preserve"> funkcija i četiri regij</w:t>
      </w:r>
      <w:r w:rsidR="009F49E1" w:rsidRPr="00316D1F">
        <w:rPr>
          <w:rFonts w:cs="Segoe UI"/>
          <w:szCs w:val="22"/>
          <w:lang w:val="hr-HR"/>
        </w:rPr>
        <w:t>e</w:t>
      </w:r>
      <w:r w:rsidR="00F65CAA" w:rsidRPr="00316D1F">
        <w:rPr>
          <w:rFonts w:cs="Segoe UI"/>
          <w:szCs w:val="22"/>
          <w:lang w:val="hr-HR"/>
        </w:rPr>
        <w:t xml:space="preserve">. Daljnje kategorije bit će pod regionalnom upravom. Prve četiri upravljačke razine sada su definirane. </w:t>
      </w:r>
      <w:r w:rsidR="009F49E1" w:rsidRPr="00316D1F">
        <w:rPr>
          <w:rFonts w:cs="Segoe UI"/>
          <w:szCs w:val="22"/>
          <w:lang w:val="hr-HR"/>
        </w:rPr>
        <w:t>Na</w:t>
      </w:r>
      <w:r w:rsidR="00F65CAA" w:rsidRPr="00316D1F">
        <w:rPr>
          <w:rFonts w:cs="Segoe UI"/>
          <w:szCs w:val="22"/>
          <w:lang w:val="hr-HR"/>
        </w:rPr>
        <w:t xml:space="preserve"> Henkelovom najvećem tržištu, SAD-u, očekuje se da će nova organizacija </w:t>
      </w:r>
      <w:r w:rsidR="009F49E1" w:rsidRPr="00316D1F">
        <w:rPr>
          <w:rFonts w:cs="Segoe UI"/>
          <w:szCs w:val="22"/>
          <w:lang w:val="hr-HR"/>
        </w:rPr>
        <w:t xml:space="preserve">biti </w:t>
      </w:r>
      <w:r w:rsidR="00F65CAA" w:rsidRPr="00316D1F">
        <w:rPr>
          <w:rFonts w:cs="Segoe UI"/>
          <w:szCs w:val="22"/>
          <w:lang w:val="hr-HR"/>
        </w:rPr>
        <w:t>pokrenut</w:t>
      </w:r>
      <w:r w:rsidR="009F49E1" w:rsidRPr="00316D1F">
        <w:rPr>
          <w:rFonts w:cs="Segoe UI"/>
          <w:szCs w:val="22"/>
          <w:lang w:val="hr-HR"/>
        </w:rPr>
        <w:t>a</w:t>
      </w:r>
      <w:r w:rsidR="00F65CAA" w:rsidRPr="00316D1F">
        <w:rPr>
          <w:rFonts w:cs="Segoe UI"/>
          <w:szCs w:val="22"/>
          <w:lang w:val="hr-HR"/>
        </w:rPr>
        <w:t xml:space="preserve"> već u rujnu.</w:t>
      </w:r>
    </w:p>
    <w:p w14:paraId="46689BA0" w14:textId="77777777" w:rsidR="009F49E1" w:rsidRPr="00316D1F" w:rsidRDefault="009F49E1" w:rsidP="005A2CCC">
      <w:pPr>
        <w:autoSpaceDE w:val="0"/>
        <w:autoSpaceDN w:val="0"/>
        <w:adjustRightInd w:val="0"/>
        <w:rPr>
          <w:rFonts w:cs="Segoe UI"/>
          <w:szCs w:val="22"/>
          <w:lang w:val="hr-HR"/>
        </w:rPr>
      </w:pPr>
    </w:p>
    <w:p w14:paraId="7A268CB4" w14:textId="331F2F60" w:rsidR="00B02550" w:rsidRPr="00316D1F" w:rsidRDefault="00F65CAA" w:rsidP="005A2CCC">
      <w:pPr>
        <w:rPr>
          <w:rFonts w:cs="Segoe UI"/>
          <w:szCs w:val="22"/>
          <w:lang w:val="hr-HR"/>
        </w:rPr>
      </w:pPr>
      <w:bookmarkStart w:id="3" w:name="_Hlk109204760"/>
      <w:r w:rsidRPr="00316D1F">
        <w:rPr>
          <w:rFonts w:cs="Segoe UI"/>
          <w:szCs w:val="22"/>
          <w:lang w:val="hr-HR"/>
        </w:rPr>
        <w:t>U kontekstu spajanja dva potrošačka poslov</w:t>
      </w:r>
      <w:r w:rsidR="009F49E1" w:rsidRPr="00316D1F">
        <w:rPr>
          <w:rFonts w:cs="Segoe UI"/>
          <w:szCs w:val="22"/>
          <w:lang w:val="hr-HR"/>
        </w:rPr>
        <w:t>na sektora</w:t>
      </w:r>
      <w:r w:rsidRPr="00316D1F">
        <w:rPr>
          <w:rFonts w:cs="Segoe UI"/>
          <w:szCs w:val="22"/>
          <w:lang w:val="hr-HR"/>
        </w:rPr>
        <w:t xml:space="preserve"> kao dio </w:t>
      </w:r>
      <w:r w:rsidRPr="00316D1F">
        <w:rPr>
          <w:rFonts w:cs="Segoe UI"/>
          <w:b/>
          <w:bCs/>
          <w:szCs w:val="22"/>
          <w:lang w:val="hr-HR"/>
        </w:rPr>
        <w:t>aktivnog upravljanja portfeljem</w:t>
      </w:r>
      <w:r w:rsidRPr="00316D1F">
        <w:rPr>
          <w:rFonts w:cs="Segoe UI"/>
          <w:szCs w:val="22"/>
          <w:lang w:val="hr-HR"/>
        </w:rPr>
        <w:t>,</w:t>
      </w:r>
      <w:r w:rsidR="009F49E1" w:rsidRPr="00316D1F">
        <w:rPr>
          <w:rFonts w:cs="Segoe UI"/>
          <w:szCs w:val="22"/>
          <w:lang w:val="hr-HR"/>
        </w:rPr>
        <w:t xml:space="preserve"> trenutačno se provjeravaju</w:t>
      </w:r>
      <w:r w:rsidRPr="00316D1F">
        <w:rPr>
          <w:rFonts w:cs="Segoe UI"/>
          <w:szCs w:val="22"/>
          <w:lang w:val="hr-HR"/>
        </w:rPr>
        <w:t xml:space="preserve"> sektori i brendovi koji čine ukupnu prodaju od 1 milijarde eura. To uključuje dezinvesticije ili prekid poslovanja, koj</w:t>
      </w:r>
      <w:r w:rsidR="009F49E1" w:rsidRPr="00316D1F">
        <w:rPr>
          <w:rFonts w:cs="Segoe UI"/>
          <w:szCs w:val="22"/>
          <w:lang w:val="hr-HR"/>
        </w:rPr>
        <w:t>i</w:t>
      </w:r>
      <w:r w:rsidRPr="00316D1F">
        <w:rPr>
          <w:rFonts w:cs="Segoe UI"/>
          <w:szCs w:val="22"/>
          <w:lang w:val="hr-HR"/>
        </w:rPr>
        <w:t xml:space="preserve"> ne ostvaruju Henkelov kriterij rasta i profitabilnosti. U prvoj polovici 2022. Henkel je već napravio dobar napredak </w:t>
      </w:r>
      <w:r w:rsidR="006F6319" w:rsidRPr="00316D1F">
        <w:rPr>
          <w:rFonts w:cs="Segoe UI"/>
          <w:szCs w:val="22"/>
          <w:lang w:val="hr-HR"/>
        </w:rPr>
        <w:t>izlaskom iz nekih sporednih poslova</w:t>
      </w:r>
      <w:r w:rsidR="009F49E1" w:rsidRPr="00316D1F">
        <w:rPr>
          <w:rFonts w:cs="Segoe UI"/>
          <w:szCs w:val="22"/>
          <w:lang w:val="hr-HR"/>
        </w:rPr>
        <w:t>nja</w:t>
      </w:r>
      <w:r w:rsidR="006F6319" w:rsidRPr="00316D1F">
        <w:rPr>
          <w:rFonts w:cs="Segoe UI"/>
          <w:szCs w:val="22"/>
          <w:lang w:val="hr-HR"/>
        </w:rPr>
        <w:t xml:space="preserve"> u sektoru Beauty Care. To je dio mjera portfelja u sektoru Beauty Care s volumenom prodaje od oko 200 milijuna eura, čije je izvršenje planirano do kraja godine.</w:t>
      </w:r>
    </w:p>
    <w:p w14:paraId="01A63B8C" w14:textId="61472A85" w:rsidR="002F05AC" w:rsidRPr="00316D1F" w:rsidRDefault="002F05AC" w:rsidP="005A2CCC">
      <w:pPr>
        <w:rPr>
          <w:rFonts w:cs="Segoe UI"/>
          <w:szCs w:val="22"/>
          <w:lang w:val="hr-HR"/>
        </w:rPr>
      </w:pPr>
    </w:p>
    <w:bookmarkEnd w:id="3"/>
    <w:p w14:paraId="49990794" w14:textId="4B1CCBED" w:rsidR="005A2CCC" w:rsidRPr="00316D1F" w:rsidRDefault="006F6319" w:rsidP="00FB478E">
      <w:pPr>
        <w:rPr>
          <w:rFonts w:cs="Segoe UI"/>
          <w:szCs w:val="22"/>
          <w:lang w:val="hr-HR"/>
        </w:rPr>
      </w:pPr>
      <w:r w:rsidRPr="00316D1F">
        <w:rPr>
          <w:rFonts w:cs="Segoe UI"/>
          <w:szCs w:val="22"/>
          <w:lang w:val="hr-HR"/>
        </w:rPr>
        <w:t xml:space="preserve">Henkel je </w:t>
      </w:r>
      <w:r w:rsidR="009F49E1" w:rsidRPr="00316D1F">
        <w:rPr>
          <w:rFonts w:cs="Segoe UI"/>
          <w:b/>
          <w:bCs/>
          <w:szCs w:val="22"/>
          <w:lang w:val="hr-HR"/>
        </w:rPr>
        <w:t>akvizicijama</w:t>
      </w:r>
      <w:r w:rsidR="009F49E1" w:rsidRPr="00316D1F">
        <w:rPr>
          <w:rFonts w:cs="Segoe UI"/>
          <w:szCs w:val="22"/>
          <w:lang w:val="hr-HR"/>
        </w:rPr>
        <w:t xml:space="preserve"> </w:t>
      </w:r>
      <w:r w:rsidRPr="00316D1F">
        <w:rPr>
          <w:rFonts w:cs="Segoe UI"/>
          <w:szCs w:val="22"/>
          <w:lang w:val="hr-HR"/>
        </w:rPr>
        <w:t>dodatno ojačao svoj portfelj</w:t>
      </w:r>
      <w:r w:rsidR="003842C3" w:rsidRPr="00316D1F">
        <w:rPr>
          <w:rFonts w:cs="Segoe UI"/>
          <w:szCs w:val="22"/>
          <w:lang w:val="hr-HR"/>
        </w:rPr>
        <w:t xml:space="preserve">. U srpnju 2022. dovršena je akvizicija Shiseido's Hair Professional u regiji Azija-Pacifik. To je učinilo Henkel globalnim su-brojem 2 u </w:t>
      </w:r>
      <w:r w:rsidR="00FB478E" w:rsidRPr="00316D1F">
        <w:rPr>
          <w:rFonts w:cs="Segoe UI"/>
          <w:szCs w:val="22"/>
          <w:lang w:val="hr-HR"/>
        </w:rPr>
        <w:t xml:space="preserve">poslovanju </w:t>
      </w:r>
      <w:r w:rsidR="003842C3" w:rsidRPr="00316D1F">
        <w:rPr>
          <w:rFonts w:cs="Segoe UI"/>
          <w:szCs w:val="22"/>
          <w:lang w:val="hr-HR"/>
        </w:rPr>
        <w:t>p</w:t>
      </w:r>
      <w:r w:rsidR="00341C77" w:rsidRPr="00316D1F">
        <w:rPr>
          <w:rFonts w:cs="Segoe UI"/>
          <w:szCs w:val="22"/>
          <w:lang w:val="hr-HR"/>
        </w:rPr>
        <w:t>rofesionalnim proizvodima za kosu.</w:t>
      </w:r>
    </w:p>
    <w:p w14:paraId="2AC82D46" w14:textId="77777777" w:rsidR="00FB478E" w:rsidRPr="00316D1F" w:rsidRDefault="00FB478E" w:rsidP="00FB478E">
      <w:pPr>
        <w:rPr>
          <w:rFonts w:cs="Segoe UI"/>
          <w:szCs w:val="22"/>
        </w:rPr>
      </w:pPr>
    </w:p>
    <w:p w14:paraId="0B373777" w14:textId="50F56A5E" w:rsidR="00341C77" w:rsidRPr="00316D1F" w:rsidRDefault="003842C3" w:rsidP="00341C77">
      <w:pPr>
        <w:autoSpaceDE w:val="0"/>
        <w:autoSpaceDN w:val="0"/>
        <w:adjustRightInd w:val="0"/>
        <w:rPr>
          <w:rFonts w:cs="Segoe UI"/>
          <w:bCs/>
          <w:szCs w:val="22"/>
          <w:lang w:val="hr-HR"/>
        </w:rPr>
      </w:pPr>
      <w:r w:rsidRPr="00316D1F">
        <w:rPr>
          <w:rFonts w:cs="Segoe UI"/>
          <w:bCs/>
          <w:szCs w:val="22"/>
          <w:lang w:val="hr-HR"/>
        </w:rPr>
        <w:lastRenderedPageBreak/>
        <w:t xml:space="preserve">Kako bi ojačao </w:t>
      </w:r>
      <w:r w:rsidRPr="00316D1F">
        <w:rPr>
          <w:rFonts w:cs="Segoe UI"/>
          <w:b/>
          <w:szCs w:val="22"/>
          <w:lang w:val="hr-HR"/>
        </w:rPr>
        <w:t>konkurentnost</w:t>
      </w:r>
      <w:r w:rsidRPr="00316D1F">
        <w:rPr>
          <w:rFonts w:cs="Segoe UI"/>
          <w:bCs/>
          <w:szCs w:val="22"/>
          <w:lang w:val="hr-HR"/>
        </w:rPr>
        <w:t xml:space="preserve">, Henkel se usredotočio na daljnje ubrzavanje </w:t>
      </w:r>
      <w:r w:rsidRPr="00316D1F">
        <w:rPr>
          <w:rFonts w:cs="Segoe UI"/>
          <w:b/>
          <w:szCs w:val="22"/>
          <w:lang w:val="hr-HR"/>
        </w:rPr>
        <w:t>inovacija</w:t>
      </w:r>
      <w:r w:rsidRPr="00316D1F">
        <w:rPr>
          <w:rFonts w:cs="Segoe UI"/>
          <w:bCs/>
          <w:szCs w:val="22"/>
          <w:lang w:val="hr-HR"/>
        </w:rPr>
        <w:t xml:space="preserve">, </w:t>
      </w:r>
      <w:r w:rsidR="00341C77" w:rsidRPr="00316D1F">
        <w:rPr>
          <w:rFonts w:cs="Segoe UI"/>
          <w:bCs/>
          <w:szCs w:val="22"/>
          <w:lang w:val="hr-HR"/>
        </w:rPr>
        <w:t>ojačavanj</w:t>
      </w:r>
      <w:r w:rsidR="00FB478E" w:rsidRPr="00316D1F">
        <w:rPr>
          <w:rFonts w:cs="Segoe UI"/>
          <w:bCs/>
          <w:szCs w:val="22"/>
          <w:lang w:val="hr-HR"/>
        </w:rPr>
        <w:t>e</w:t>
      </w:r>
      <w:r w:rsidR="00341C77" w:rsidRPr="00316D1F">
        <w:rPr>
          <w:rFonts w:cs="Segoe UI"/>
          <w:bCs/>
          <w:szCs w:val="22"/>
          <w:lang w:val="hr-HR"/>
        </w:rPr>
        <w:t xml:space="preserve"> </w:t>
      </w:r>
      <w:r w:rsidR="00341C77" w:rsidRPr="00316D1F">
        <w:rPr>
          <w:rFonts w:cs="Segoe UI"/>
          <w:b/>
          <w:szCs w:val="22"/>
          <w:lang w:val="hr-HR"/>
        </w:rPr>
        <w:t>održivosti</w:t>
      </w:r>
      <w:r w:rsidR="00341C77" w:rsidRPr="00316D1F">
        <w:rPr>
          <w:rFonts w:cs="Segoe UI"/>
          <w:bCs/>
          <w:szCs w:val="22"/>
          <w:lang w:val="hr-HR"/>
        </w:rPr>
        <w:t xml:space="preserve"> kao </w:t>
      </w:r>
      <w:r w:rsidR="00FB478E" w:rsidRPr="00316D1F">
        <w:rPr>
          <w:rFonts w:cs="Segoe UI"/>
          <w:bCs/>
          <w:szCs w:val="22"/>
          <w:lang w:val="hr-HR"/>
        </w:rPr>
        <w:t>faktora</w:t>
      </w:r>
      <w:r w:rsidR="00341C77" w:rsidRPr="00316D1F">
        <w:rPr>
          <w:rFonts w:cs="Segoe UI"/>
          <w:bCs/>
          <w:szCs w:val="22"/>
          <w:lang w:val="hr-HR"/>
        </w:rPr>
        <w:t xml:space="preserve"> razlikovanja te na poveća</w:t>
      </w:r>
      <w:r w:rsidR="00FB478E" w:rsidRPr="00316D1F">
        <w:rPr>
          <w:rFonts w:cs="Segoe UI"/>
          <w:bCs/>
          <w:szCs w:val="22"/>
          <w:lang w:val="hr-HR"/>
        </w:rPr>
        <w:t>va</w:t>
      </w:r>
      <w:r w:rsidR="00341C77" w:rsidRPr="00316D1F">
        <w:rPr>
          <w:rFonts w:cs="Segoe UI"/>
          <w:bCs/>
          <w:szCs w:val="22"/>
          <w:lang w:val="hr-HR"/>
        </w:rPr>
        <w:t>nje stvaranja vrijednosti za k</w:t>
      </w:r>
      <w:r w:rsidR="00FB478E" w:rsidRPr="00316D1F">
        <w:rPr>
          <w:rFonts w:cs="Segoe UI"/>
          <w:bCs/>
          <w:szCs w:val="22"/>
          <w:lang w:val="hr-HR"/>
        </w:rPr>
        <w:t>lijente</w:t>
      </w:r>
      <w:r w:rsidR="00341C77" w:rsidRPr="00316D1F">
        <w:rPr>
          <w:rFonts w:cs="Segoe UI"/>
          <w:bCs/>
          <w:szCs w:val="22"/>
          <w:lang w:val="hr-HR"/>
        </w:rPr>
        <w:t xml:space="preserve"> i potrošače putem </w:t>
      </w:r>
      <w:r w:rsidR="00341C77" w:rsidRPr="00316D1F">
        <w:rPr>
          <w:rFonts w:cs="Segoe UI"/>
          <w:b/>
          <w:szCs w:val="22"/>
          <w:lang w:val="hr-HR"/>
        </w:rPr>
        <w:t>digitalizacije</w:t>
      </w:r>
      <w:r w:rsidR="00341C77" w:rsidRPr="00316D1F">
        <w:rPr>
          <w:rFonts w:cs="Segoe UI"/>
          <w:bCs/>
          <w:szCs w:val="22"/>
          <w:lang w:val="hr-HR"/>
        </w:rPr>
        <w:t>.</w:t>
      </w:r>
    </w:p>
    <w:p w14:paraId="4CEE6889" w14:textId="3D03C20F" w:rsidR="005A2CCC" w:rsidRPr="00316D1F" w:rsidRDefault="005A2CCC" w:rsidP="005A2CCC">
      <w:pPr>
        <w:autoSpaceDE w:val="0"/>
        <w:autoSpaceDN w:val="0"/>
        <w:adjustRightInd w:val="0"/>
        <w:rPr>
          <w:rFonts w:cs="Segoe UI"/>
          <w:bCs/>
          <w:szCs w:val="22"/>
          <w:lang w:val="hr-HR"/>
        </w:rPr>
      </w:pPr>
    </w:p>
    <w:p w14:paraId="340EC500" w14:textId="176205DE" w:rsidR="001C66A9" w:rsidRPr="00316D1F" w:rsidRDefault="00341C77" w:rsidP="001C66A9">
      <w:pPr>
        <w:autoSpaceDE w:val="0"/>
        <w:autoSpaceDN w:val="0"/>
        <w:adjustRightInd w:val="0"/>
        <w:rPr>
          <w:rFonts w:cs="Segoe UI"/>
          <w:bCs/>
          <w:szCs w:val="22"/>
          <w:lang w:val="hr-HR"/>
        </w:rPr>
      </w:pPr>
      <w:r w:rsidRPr="00316D1F">
        <w:rPr>
          <w:rFonts w:cs="Segoe UI"/>
          <w:bCs/>
          <w:szCs w:val="22"/>
          <w:lang w:val="hr-HR"/>
        </w:rPr>
        <w:t>Ključn</w:t>
      </w:r>
      <w:r w:rsidR="00FB478E" w:rsidRPr="00316D1F">
        <w:rPr>
          <w:rFonts w:cs="Segoe UI"/>
          <w:bCs/>
          <w:szCs w:val="22"/>
          <w:lang w:val="hr-HR"/>
        </w:rPr>
        <w:t>a točka</w:t>
      </w:r>
      <w:r w:rsidRPr="00316D1F">
        <w:rPr>
          <w:rFonts w:cs="Segoe UI"/>
          <w:bCs/>
          <w:szCs w:val="22"/>
          <w:lang w:val="hr-HR"/>
        </w:rPr>
        <w:t xml:space="preserve"> Henkelove strategije jest </w:t>
      </w:r>
      <w:r w:rsidR="00FB478E" w:rsidRPr="00316D1F">
        <w:rPr>
          <w:rFonts w:cs="Segoe UI"/>
          <w:bCs/>
          <w:szCs w:val="22"/>
          <w:lang w:val="hr-HR"/>
        </w:rPr>
        <w:t xml:space="preserve">da se </w:t>
      </w:r>
      <w:r w:rsidRPr="00316D1F">
        <w:rPr>
          <w:rFonts w:cs="Segoe UI"/>
          <w:bCs/>
          <w:szCs w:val="22"/>
          <w:lang w:val="hr-HR"/>
        </w:rPr>
        <w:t xml:space="preserve">svojim uspješnim </w:t>
      </w:r>
      <w:r w:rsidRPr="00316D1F">
        <w:rPr>
          <w:rFonts w:cs="Segoe UI"/>
          <w:b/>
          <w:szCs w:val="22"/>
          <w:lang w:val="hr-HR"/>
        </w:rPr>
        <w:t>inovacijama</w:t>
      </w:r>
      <w:r w:rsidR="00FB478E" w:rsidRPr="00316D1F">
        <w:rPr>
          <w:rFonts w:cs="Segoe UI"/>
          <w:b/>
          <w:szCs w:val="22"/>
          <w:lang w:val="hr-HR"/>
        </w:rPr>
        <w:t xml:space="preserve"> </w:t>
      </w:r>
      <w:r w:rsidR="00FB478E" w:rsidRPr="00316D1F">
        <w:rPr>
          <w:rFonts w:cs="Segoe UI"/>
          <w:bCs/>
          <w:szCs w:val="22"/>
          <w:lang w:val="hr-HR"/>
        </w:rPr>
        <w:t>jasno razlikuje na tržištu</w:t>
      </w:r>
      <w:r w:rsidRPr="00316D1F">
        <w:rPr>
          <w:rFonts w:cs="Segoe UI"/>
          <w:bCs/>
          <w:szCs w:val="22"/>
          <w:lang w:val="hr-HR"/>
        </w:rPr>
        <w:t xml:space="preserve">. To je značajno podržalo rast u prvoj polovici godine. </w:t>
      </w:r>
      <w:r w:rsidR="008F342B" w:rsidRPr="00316D1F">
        <w:rPr>
          <w:rFonts w:cs="Segoe UI"/>
          <w:bCs/>
          <w:szCs w:val="22"/>
          <w:lang w:val="hr-HR"/>
        </w:rPr>
        <w:t>Primjerice, u</w:t>
      </w:r>
      <w:r w:rsidRPr="00316D1F">
        <w:rPr>
          <w:rFonts w:cs="Segoe UI"/>
          <w:bCs/>
          <w:szCs w:val="22"/>
          <w:lang w:val="hr-HR"/>
        </w:rPr>
        <w:t xml:space="preserve"> sektoru Ljepila i tehnologija, Henkel je razvio novi protupožarni premaz za baterije električnih vozila. </w:t>
      </w:r>
      <w:r w:rsidR="001C66A9" w:rsidRPr="00316D1F">
        <w:rPr>
          <w:rFonts w:cs="Segoe UI"/>
          <w:bCs/>
          <w:szCs w:val="22"/>
          <w:lang w:val="hr-HR"/>
        </w:rPr>
        <w:t>To ne samo da značajno povećava sigurnost putnika nego i omogućuj</w:t>
      </w:r>
      <w:r w:rsidR="008F342B" w:rsidRPr="00316D1F">
        <w:rPr>
          <w:rFonts w:cs="Segoe UI"/>
          <w:bCs/>
          <w:szCs w:val="22"/>
          <w:lang w:val="hr-HR"/>
        </w:rPr>
        <w:t>e</w:t>
      </w:r>
      <w:r w:rsidR="001C66A9" w:rsidRPr="00316D1F">
        <w:rPr>
          <w:rFonts w:cs="Segoe UI"/>
          <w:bCs/>
          <w:szCs w:val="22"/>
          <w:lang w:val="hr-HR"/>
        </w:rPr>
        <w:t xml:space="preserve"> </w:t>
      </w:r>
      <w:r w:rsidR="008F342B" w:rsidRPr="00316D1F">
        <w:rPr>
          <w:rFonts w:cs="Segoe UI"/>
          <w:bCs/>
          <w:szCs w:val="22"/>
          <w:lang w:val="hr-HR"/>
        </w:rPr>
        <w:t>klijentima</w:t>
      </w:r>
      <w:r w:rsidR="001C66A9" w:rsidRPr="00316D1F">
        <w:rPr>
          <w:rFonts w:cs="Segoe UI"/>
          <w:bCs/>
          <w:szCs w:val="22"/>
          <w:lang w:val="hr-HR"/>
        </w:rPr>
        <w:t xml:space="preserve"> u automobilskoj industriji da postignu isplativu proizvodnju. U sektoru Beauty Care, Henkel je ponovno lansirao svoju marku za njegu kose Schauma s novim održivim i redizajniranim konceptom pakovanja </w:t>
      </w:r>
      <w:r w:rsidR="008F342B" w:rsidRPr="00316D1F">
        <w:rPr>
          <w:rFonts w:cs="Segoe UI"/>
          <w:bCs/>
          <w:szCs w:val="22"/>
          <w:lang w:val="hr-HR"/>
        </w:rPr>
        <w:t>koji koristi</w:t>
      </w:r>
      <w:r w:rsidR="001C66A9" w:rsidRPr="00316D1F">
        <w:rPr>
          <w:rFonts w:cs="Segoe UI"/>
          <w:bCs/>
          <w:szCs w:val="22"/>
          <w:lang w:val="hr-HR"/>
        </w:rPr>
        <w:t xml:space="preserve"> 50 do 100 posto reciklirane plastike. U sektoru Sredstva za pranje i čišćenje, dvoznamenkasti rast i ostvareni dobitak tržišnog udjela s Persilom, podržan </w:t>
      </w:r>
      <w:r w:rsidR="008F342B" w:rsidRPr="00316D1F">
        <w:rPr>
          <w:rFonts w:cs="Segoe UI"/>
          <w:bCs/>
          <w:szCs w:val="22"/>
          <w:lang w:val="hr-HR"/>
        </w:rPr>
        <w:t xml:space="preserve">je </w:t>
      </w:r>
      <w:r w:rsidR="001C66A9" w:rsidRPr="00316D1F">
        <w:rPr>
          <w:rFonts w:cs="Segoe UI"/>
          <w:bCs/>
          <w:szCs w:val="22"/>
          <w:lang w:val="hr-HR"/>
        </w:rPr>
        <w:t>širenjem održivog asortimana proizvoda spremnih za e-trgovinu.</w:t>
      </w:r>
    </w:p>
    <w:p w14:paraId="54389383" w14:textId="35A87255" w:rsidR="002F05AC" w:rsidRPr="00316D1F" w:rsidRDefault="002F05AC" w:rsidP="005A2CCC">
      <w:pPr>
        <w:autoSpaceDE w:val="0"/>
        <w:autoSpaceDN w:val="0"/>
        <w:adjustRightInd w:val="0"/>
        <w:rPr>
          <w:rFonts w:cs="Segoe UI"/>
          <w:bCs/>
          <w:szCs w:val="22"/>
          <w:lang w:val="hr-HR"/>
        </w:rPr>
      </w:pPr>
    </w:p>
    <w:p w14:paraId="385F80B7" w14:textId="74E7CD8F" w:rsidR="000D0006" w:rsidRPr="00316D1F" w:rsidRDefault="000D0006" w:rsidP="000D0006">
      <w:pPr>
        <w:autoSpaceDE w:val="0"/>
        <w:autoSpaceDN w:val="0"/>
        <w:adjustRightInd w:val="0"/>
        <w:rPr>
          <w:rFonts w:cs="Segoe UI"/>
          <w:shd w:val="clear" w:color="auto" w:fill="FFFFFF"/>
          <w:lang w:val="hr-HR"/>
        </w:rPr>
      </w:pPr>
      <w:r w:rsidRPr="00316D1F">
        <w:rPr>
          <w:rFonts w:cs="Segoe UI"/>
          <w:b/>
          <w:bCs/>
          <w:shd w:val="clear" w:color="auto" w:fill="FFFFFF"/>
          <w:lang w:val="hr-HR"/>
        </w:rPr>
        <w:t>Održivost</w:t>
      </w:r>
      <w:r w:rsidRPr="00316D1F">
        <w:rPr>
          <w:rFonts w:cs="Segoe UI"/>
          <w:shd w:val="clear" w:color="auto" w:fill="FFFFFF"/>
          <w:lang w:val="hr-HR"/>
        </w:rPr>
        <w:t xml:space="preserve"> je dugo bila jedna od Henkelovih najvećih </w:t>
      </w:r>
      <w:r w:rsidR="008F342B" w:rsidRPr="00316D1F">
        <w:rPr>
          <w:rFonts w:cs="Segoe UI"/>
          <w:shd w:val="clear" w:color="auto" w:fill="FFFFFF"/>
          <w:lang w:val="hr-HR"/>
        </w:rPr>
        <w:t>prednosti</w:t>
      </w:r>
      <w:r w:rsidRPr="00316D1F">
        <w:rPr>
          <w:rFonts w:cs="Segoe UI"/>
          <w:shd w:val="clear" w:color="auto" w:fill="FFFFFF"/>
          <w:lang w:val="hr-HR"/>
        </w:rPr>
        <w:t>. Kako bi odražavao sve veću važnost održivog upravljanja i rastuća očekivanja kupaca i društva, Henkel je unaprijedio svoju dugoročnu strategiju održivosti svojim novim “</w:t>
      </w:r>
      <w:r w:rsidRPr="00316D1F">
        <w:rPr>
          <w:rFonts w:cs="Segoe UI"/>
          <w:iCs/>
          <w:szCs w:val="20"/>
          <w:lang w:val="hr-HR"/>
        </w:rPr>
        <w:t xml:space="preserve"> Strateški</w:t>
      </w:r>
      <w:r w:rsidR="008F342B" w:rsidRPr="00316D1F">
        <w:rPr>
          <w:rFonts w:cs="Segoe UI"/>
          <w:iCs/>
          <w:szCs w:val="20"/>
          <w:lang w:val="hr-HR"/>
        </w:rPr>
        <w:t>m</w:t>
      </w:r>
      <w:r w:rsidRPr="00316D1F">
        <w:rPr>
          <w:rFonts w:cs="Segoe UI"/>
          <w:iCs/>
          <w:szCs w:val="20"/>
          <w:lang w:val="hr-HR"/>
        </w:rPr>
        <w:t xml:space="preserve"> okvir</w:t>
      </w:r>
      <w:r w:rsidR="008F342B" w:rsidRPr="00316D1F">
        <w:rPr>
          <w:rFonts w:cs="Segoe UI"/>
          <w:iCs/>
          <w:szCs w:val="20"/>
          <w:lang w:val="hr-HR"/>
        </w:rPr>
        <w:t>om</w:t>
      </w:r>
      <w:r w:rsidRPr="00316D1F">
        <w:rPr>
          <w:rFonts w:cs="Segoe UI"/>
          <w:iCs/>
          <w:szCs w:val="20"/>
          <w:lang w:val="hr-HR"/>
        </w:rPr>
        <w:t xml:space="preserve"> za ostvarivanje ambicije održivog poslovanja 2030+</w:t>
      </w:r>
      <w:r w:rsidRPr="00316D1F">
        <w:rPr>
          <w:rFonts w:cs="Segoe UI"/>
          <w:shd w:val="clear" w:color="auto" w:fill="FFFFFF"/>
          <w:lang w:val="hr-HR"/>
        </w:rPr>
        <w:t>”, predstavljenim početkom ove godine. Uz postojeće ciljeve, postavljene su nove dugoročne ambicije za poticanje daljnjeg napretka u tri dimenzije: “Obnovljiv planet”, “Prosperitetne zajednice” i “Partner od povjerenja”.</w:t>
      </w:r>
    </w:p>
    <w:p w14:paraId="4BB5CAEF" w14:textId="18371F40" w:rsidR="002F05AC" w:rsidRPr="00316D1F" w:rsidRDefault="002F05AC" w:rsidP="005A2CCC">
      <w:pPr>
        <w:autoSpaceDE w:val="0"/>
        <w:autoSpaceDN w:val="0"/>
        <w:adjustRightInd w:val="0"/>
        <w:rPr>
          <w:rFonts w:cs="Segoe UI"/>
          <w:shd w:val="clear" w:color="auto" w:fill="FFFFFF"/>
          <w:lang w:val="hr-HR"/>
        </w:rPr>
      </w:pPr>
    </w:p>
    <w:p w14:paraId="5EA22519" w14:textId="3F64BEF2" w:rsidR="003F04D1" w:rsidRPr="00316D1F" w:rsidRDefault="003F04D1" w:rsidP="003F04D1">
      <w:pPr>
        <w:autoSpaceDE w:val="0"/>
        <w:autoSpaceDN w:val="0"/>
        <w:adjustRightInd w:val="0"/>
        <w:rPr>
          <w:rFonts w:cs="Segoe UI"/>
          <w:bCs/>
          <w:szCs w:val="22"/>
          <w:lang w:val="hr-HR"/>
        </w:rPr>
      </w:pPr>
      <w:bookmarkStart w:id="4" w:name="_Hlk109206660"/>
      <w:r w:rsidRPr="00316D1F">
        <w:rPr>
          <w:rFonts w:cs="Segoe UI"/>
          <w:bCs/>
          <w:szCs w:val="22"/>
          <w:lang w:val="hr-HR"/>
        </w:rPr>
        <w:t xml:space="preserve">Henkel je dodatno napredovao u održivosti u prvoj polovici 2022. </w:t>
      </w:r>
      <w:r w:rsidR="008F342B" w:rsidRPr="00316D1F">
        <w:rPr>
          <w:rFonts w:cs="Segoe UI"/>
          <w:bCs/>
          <w:szCs w:val="22"/>
          <w:lang w:val="hr-HR"/>
        </w:rPr>
        <w:t>Primjerice, n</w:t>
      </w:r>
      <w:r w:rsidRPr="00316D1F">
        <w:rPr>
          <w:rFonts w:cs="Segoe UI"/>
          <w:bCs/>
          <w:szCs w:val="22"/>
          <w:lang w:val="hr-HR"/>
        </w:rPr>
        <w:t xml:space="preserve">a putu prema postizanju cilja klimatski pozitivne </w:t>
      </w:r>
      <w:r w:rsidR="008F342B" w:rsidRPr="00316D1F">
        <w:rPr>
          <w:rFonts w:cs="Segoe UI"/>
          <w:bCs/>
          <w:szCs w:val="22"/>
          <w:lang w:val="hr-HR"/>
        </w:rPr>
        <w:t>ravnoteže</w:t>
      </w:r>
      <w:r w:rsidRPr="00316D1F">
        <w:rPr>
          <w:rFonts w:cs="Segoe UI"/>
          <w:bCs/>
          <w:szCs w:val="22"/>
          <w:lang w:val="hr-HR"/>
        </w:rPr>
        <w:t xml:space="preserve"> CO2 za svoje proizvodne pogone do 2030., Henkel je</w:t>
      </w:r>
      <w:r w:rsidR="008F342B" w:rsidRPr="00316D1F">
        <w:rPr>
          <w:rFonts w:cs="Segoe UI"/>
          <w:bCs/>
          <w:szCs w:val="22"/>
          <w:lang w:val="hr-HR"/>
        </w:rPr>
        <w:t xml:space="preserve"> </w:t>
      </w:r>
      <w:r w:rsidRPr="00316D1F">
        <w:rPr>
          <w:rFonts w:cs="Segoe UI"/>
          <w:bCs/>
          <w:szCs w:val="22"/>
          <w:lang w:val="hr-HR"/>
        </w:rPr>
        <w:t xml:space="preserve">preuredio tri dodatna pogona u Europi </w:t>
      </w:r>
      <w:r w:rsidR="008F342B" w:rsidRPr="00316D1F">
        <w:rPr>
          <w:rFonts w:cs="Segoe UI"/>
          <w:bCs/>
          <w:szCs w:val="22"/>
          <w:lang w:val="hr-HR"/>
        </w:rPr>
        <w:t>kako bi</w:t>
      </w:r>
      <w:r w:rsidRPr="00316D1F">
        <w:rPr>
          <w:rFonts w:cs="Segoe UI"/>
          <w:bCs/>
          <w:szCs w:val="22"/>
          <w:lang w:val="hr-HR"/>
        </w:rPr>
        <w:t xml:space="preserve"> rad</w:t>
      </w:r>
      <w:r w:rsidR="008F342B" w:rsidRPr="00316D1F">
        <w:rPr>
          <w:rFonts w:cs="Segoe UI"/>
          <w:bCs/>
          <w:szCs w:val="22"/>
          <w:lang w:val="hr-HR"/>
        </w:rPr>
        <w:t>ili</w:t>
      </w:r>
      <w:r w:rsidRPr="00316D1F">
        <w:rPr>
          <w:rFonts w:cs="Segoe UI"/>
          <w:bCs/>
          <w:szCs w:val="22"/>
          <w:lang w:val="hr-HR"/>
        </w:rPr>
        <w:t xml:space="preserve"> sa stopostotnom CO2-neutralnom energijom. Usto, Henkel se i dalje dosljedno oslanja na obnovljive sirovine. Partnerstvom s BASF-om, oko 110</w:t>
      </w:r>
      <w:r w:rsidR="008F342B" w:rsidRPr="00316D1F">
        <w:rPr>
          <w:rFonts w:cs="Segoe UI"/>
          <w:bCs/>
          <w:szCs w:val="22"/>
          <w:lang w:val="hr-HR"/>
        </w:rPr>
        <w:t xml:space="preserve"> </w:t>
      </w:r>
      <w:r w:rsidRPr="00316D1F">
        <w:rPr>
          <w:rFonts w:cs="Segoe UI"/>
          <w:bCs/>
          <w:szCs w:val="22"/>
          <w:lang w:val="hr-HR"/>
        </w:rPr>
        <w:t>000 tona fosilnih materijala zamijenjeno je obnovljivim izvorima ugljika.</w:t>
      </w:r>
    </w:p>
    <w:bookmarkEnd w:id="4"/>
    <w:p w14:paraId="74B10BC7" w14:textId="319803A4" w:rsidR="005A2CCC" w:rsidRPr="00316D1F" w:rsidRDefault="005A2CCC" w:rsidP="005A2CCC">
      <w:pPr>
        <w:rPr>
          <w:rFonts w:cs="Segoe UI"/>
          <w:bCs/>
          <w:szCs w:val="22"/>
        </w:rPr>
      </w:pPr>
    </w:p>
    <w:p w14:paraId="308D0B17" w14:textId="70BF4233" w:rsidR="003F04D1" w:rsidRPr="00316D1F" w:rsidRDefault="003F04D1" w:rsidP="003F04D1">
      <w:pPr>
        <w:rPr>
          <w:rFonts w:cs="Segoe UI"/>
          <w:szCs w:val="22"/>
          <w:lang w:val="hr-HR" w:eastAsia="de-DE"/>
        </w:rPr>
      </w:pPr>
      <w:r w:rsidRPr="00316D1F">
        <w:rPr>
          <w:rFonts w:cs="Segoe UI"/>
          <w:szCs w:val="22"/>
          <w:lang w:val="hr-HR" w:eastAsia="de-DE"/>
        </w:rPr>
        <w:t>Uz inovacije i održivost, Henkel je</w:t>
      </w:r>
      <w:r w:rsidRPr="00316D1F">
        <w:rPr>
          <w:rFonts w:cs="Segoe UI"/>
          <w:b/>
          <w:bCs/>
          <w:szCs w:val="22"/>
          <w:lang w:val="hr-HR" w:eastAsia="de-DE"/>
        </w:rPr>
        <w:t xml:space="preserve"> digitalizaciju</w:t>
      </w:r>
      <w:r w:rsidRPr="00316D1F">
        <w:rPr>
          <w:rFonts w:cs="Segoe UI"/>
          <w:szCs w:val="22"/>
          <w:lang w:val="hr-HR" w:eastAsia="de-DE"/>
        </w:rPr>
        <w:t xml:space="preserve"> definirao kao ključnu polugu za jačanje svoje konkurentnosti. U prvom polugodištu udio prodaje ostvaren digitalnim kanalima porastao je</w:t>
      </w:r>
      <w:r w:rsidR="008F342B" w:rsidRPr="00316D1F">
        <w:rPr>
          <w:rFonts w:cs="Segoe UI"/>
          <w:szCs w:val="22"/>
          <w:lang w:val="hr-HR" w:eastAsia="de-DE"/>
        </w:rPr>
        <w:t xml:space="preserve"> na</w:t>
      </w:r>
      <w:r w:rsidRPr="00316D1F">
        <w:rPr>
          <w:rFonts w:cs="Segoe UI"/>
          <w:szCs w:val="22"/>
          <w:lang w:val="hr-HR" w:eastAsia="de-DE"/>
        </w:rPr>
        <w:t xml:space="preserve"> dvoznamenkast</w:t>
      </w:r>
      <w:r w:rsidR="008F342B" w:rsidRPr="00316D1F">
        <w:rPr>
          <w:rFonts w:cs="Segoe UI"/>
          <w:szCs w:val="22"/>
          <w:lang w:val="hr-HR" w:eastAsia="de-DE"/>
        </w:rPr>
        <w:t>i broj</w:t>
      </w:r>
      <w:r w:rsidRPr="00316D1F">
        <w:rPr>
          <w:rFonts w:cs="Segoe UI"/>
          <w:szCs w:val="22"/>
          <w:lang w:val="hr-HR" w:eastAsia="de-DE"/>
        </w:rPr>
        <w:t>, dosegnuvši više od 20 posto. Putem svoje platforme za e-trgovinu</w:t>
      </w:r>
      <w:r w:rsidR="00B879FF" w:rsidRPr="00316D1F">
        <w:rPr>
          <w:rFonts w:cs="Segoe UI"/>
          <w:szCs w:val="22"/>
          <w:lang w:val="hr-HR" w:eastAsia="de-DE"/>
        </w:rPr>
        <w:t xml:space="preserve"> sektor Ljepila i tehnologije</w:t>
      </w:r>
      <w:r w:rsidRPr="00316D1F">
        <w:rPr>
          <w:rFonts w:cs="Segoe UI"/>
          <w:szCs w:val="22"/>
          <w:lang w:val="hr-HR" w:eastAsia="de-DE"/>
        </w:rPr>
        <w:t xml:space="preserve"> ostvari</w:t>
      </w:r>
      <w:r w:rsidR="00B879FF" w:rsidRPr="00316D1F">
        <w:rPr>
          <w:rFonts w:cs="Segoe UI"/>
          <w:szCs w:val="22"/>
          <w:lang w:val="hr-HR" w:eastAsia="de-DE"/>
        </w:rPr>
        <w:t>o</w:t>
      </w:r>
      <w:r w:rsidRPr="00316D1F">
        <w:rPr>
          <w:rFonts w:cs="Segoe UI"/>
          <w:szCs w:val="22"/>
          <w:lang w:val="hr-HR" w:eastAsia="de-DE"/>
        </w:rPr>
        <w:t xml:space="preserve"> je dvoznamenkasti rast u prvoj polovici 2022. eShop u poslovanju </w:t>
      </w:r>
      <w:r w:rsidR="00B879FF" w:rsidRPr="00316D1F">
        <w:rPr>
          <w:rFonts w:cs="Segoe UI"/>
          <w:szCs w:val="22"/>
          <w:lang w:val="hr-HR" w:eastAsia="de-DE"/>
        </w:rPr>
        <w:t>profesionalnih proizvoda za kosu</w:t>
      </w:r>
      <w:r w:rsidRPr="00316D1F">
        <w:rPr>
          <w:rFonts w:cs="Segoe UI"/>
          <w:szCs w:val="22"/>
          <w:lang w:val="hr-HR" w:eastAsia="de-DE"/>
        </w:rPr>
        <w:t xml:space="preserve"> također je zabilježio dvoznamenkasti rast s proširenom ponudom </w:t>
      </w:r>
      <w:r w:rsidR="008F342B" w:rsidRPr="00316D1F">
        <w:rPr>
          <w:rFonts w:cs="Segoe UI"/>
          <w:szCs w:val="22"/>
          <w:lang w:val="hr-HR" w:eastAsia="de-DE"/>
        </w:rPr>
        <w:t>marki</w:t>
      </w:r>
      <w:r w:rsidRPr="00316D1F">
        <w:rPr>
          <w:rFonts w:cs="Segoe UI"/>
          <w:szCs w:val="22"/>
          <w:lang w:val="hr-HR" w:eastAsia="de-DE"/>
        </w:rPr>
        <w:t xml:space="preserve"> i proizvoda. </w:t>
      </w:r>
      <w:r w:rsidR="00B879FF" w:rsidRPr="00316D1F">
        <w:rPr>
          <w:rFonts w:cs="Segoe UI"/>
          <w:szCs w:val="22"/>
          <w:lang w:val="hr-HR" w:eastAsia="de-DE"/>
        </w:rPr>
        <w:t>Usto</w:t>
      </w:r>
      <w:r w:rsidRPr="00316D1F">
        <w:rPr>
          <w:rFonts w:cs="Segoe UI"/>
          <w:szCs w:val="22"/>
          <w:lang w:val="hr-HR" w:eastAsia="de-DE"/>
        </w:rPr>
        <w:t xml:space="preserve">, Henkel dodatno proširuje svoju ponudu spremnu za e-trgovinu u </w:t>
      </w:r>
      <w:r w:rsidR="00B879FF" w:rsidRPr="00316D1F">
        <w:rPr>
          <w:rFonts w:cs="Segoe UI"/>
          <w:szCs w:val="22"/>
          <w:lang w:val="hr-HR" w:eastAsia="de-DE"/>
        </w:rPr>
        <w:t>sektoru Sredstva za pranje i čišćenje</w:t>
      </w:r>
      <w:r w:rsidRPr="00316D1F">
        <w:rPr>
          <w:rFonts w:cs="Segoe UI"/>
          <w:szCs w:val="22"/>
          <w:lang w:val="hr-HR" w:eastAsia="de-DE"/>
        </w:rPr>
        <w:t>. Tom</w:t>
      </w:r>
      <w:r w:rsidR="00B879FF" w:rsidRPr="00316D1F">
        <w:rPr>
          <w:rFonts w:cs="Segoe UI"/>
          <w:szCs w:val="22"/>
          <w:lang w:val="hr-HR" w:eastAsia="de-DE"/>
        </w:rPr>
        <w:t>u</w:t>
      </w:r>
      <w:r w:rsidRPr="00316D1F">
        <w:rPr>
          <w:rFonts w:cs="Segoe UI"/>
          <w:szCs w:val="22"/>
          <w:lang w:val="hr-HR" w:eastAsia="de-DE"/>
        </w:rPr>
        <w:t xml:space="preserve"> je pridonijela nova integrirana tehnička platforma RAQN.</w:t>
      </w:r>
    </w:p>
    <w:p w14:paraId="471DD2FE" w14:textId="4F7B1234" w:rsidR="005A2CCC" w:rsidRPr="00316D1F" w:rsidRDefault="005A2CCC" w:rsidP="005A2CCC">
      <w:pPr>
        <w:rPr>
          <w:rFonts w:cs="Segoe UI"/>
          <w:szCs w:val="22"/>
          <w:lang w:val="hr-HR" w:eastAsia="de-DE"/>
        </w:rPr>
      </w:pPr>
    </w:p>
    <w:p w14:paraId="49756DFE" w14:textId="7C4D08E7" w:rsidR="00B879FF" w:rsidRPr="00316D1F" w:rsidRDefault="0056247B" w:rsidP="00B879FF">
      <w:pPr>
        <w:rPr>
          <w:rFonts w:asciiTheme="majorHAnsi" w:hAnsiTheme="majorHAnsi" w:cstheme="majorHAnsi"/>
          <w:bCs/>
        </w:rPr>
      </w:pPr>
      <w:bookmarkStart w:id="5" w:name="_Hlk109386180"/>
      <w:r w:rsidRPr="00316D1F">
        <w:rPr>
          <w:rFonts w:asciiTheme="majorHAnsi" w:hAnsiTheme="majorHAnsi" w:cstheme="majorHAnsi"/>
          <w:bCs/>
          <w:lang w:val="hr-HR"/>
        </w:rPr>
        <w:t>Jasn</w:t>
      </w:r>
      <w:r w:rsidR="00B879FF" w:rsidRPr="00316D1F">
        <w:rPr>
          <w:rFonts w:asciiTheme="majorHAnsi" w:hAnsiTheme="majorHAnsi" w:cstheme="majorHAnsi"/>
          <w:bCs/>
          <w:lang w:val="hr-HR"/>
        </w:rPr>
        <w:t xml:space="preserve">i, brzi i za </w:t>
      </w:r>
      <w:r w:rsidR="00B879FF" w:rsidRPr="00316D1F">
        <w:rPr>
          <w:rFonts w:asciiTheme="majorHAnsi" w:hAnsiTheme="majorHAnsi" w:cstheme="majorHAnsi"/>
          <w:b/>
          <w:lang w:val="hr-HR"/>
        </w:rPr>
        <w:t>budućnost spremni operativni modeli</w:t>
      </w:r>
      <w:r w:rsidR="00B879FF" w:rsidRPr="00316D1F">
        <w:rPr>
          <w:rFonts w:asciiTheme="majorHAnsi" w:hAnsiTheme="majorHAnsi" w:cstheme="majorHAnsi"/>
          <w:bCs/>
          <w:lang w:val="hr-HR"/>
        </w:rPr>
        <w:t xml:space="preserve"> važni su elementi Henkelovog strateškog okvira. Henkel je dodatno proširio promjene pokrenute 2020.: digitalni sektor </w:t>
      </w:r>
      <w:r w:rsidR="00B879FF" w:rsidRPr="00316D1F">
        <w:rPr>
          <w:rFonts w:asciiTheme="majorHAnsi" w:hAnsiTheme="majorHAnsi" w:cstheme="majorHAnsi"/>
          <w:bCs/>
          <w:lang w:val="hr-HR"/>
        </w:rPr>
        <w:lastRenderedPageBreak/>
        <w:t>Henkel dx ima visokoučinkovite strukture koje</w:t>
      </w:r>
      <w:r w:rsidRPr="00316D1F">
        <w:rPr>
          <w:rFonts w:asciiTheme="majorHAnsi" w:hAnsiTheme="majorHAnsi" w:cstheme="majorHAnsi"/>
          <w:bCs/>
          <w:lang w:val="hr-HR"/>
        </w:rPr>
        <w:t xml:space="preserve"> uz stabilne troškove</w:t>
      </w:r>
      <w:r w:rsidR="00B879FF" w:rsidRPr="00316D1F">
        <w:rPr>
          <w:rFonts w:asciiTheme="majorHAnsi" w:hAnsiTheme="majorHAnsi" w:cstheme="majorHAnsi"/>
          <w:bCs/>
          <w:lang w:val="hr-HR"/>
        </w:rPr>
        <w:t xml:space="preserve"> omoguć</w:t>
      </w:r>
      <w:r w:rsidRPr="00316D1F">
        <w:rPr>
          <w:rFonts w:asciiTheme="majorHAnsi" w:hAnsiTheme="majorHAnsi" w:cstheme="majorHAnsi"/>
          <w:bCs/>
          <w:lang w:val="hr-HR"/>
        </w:rPr>
        <w:t>ava</w:t>
      </w:r>
      <w:r w:rsidR="00B879FF" w:rsidRPr="00316D1F">
        <w:rPr>
          <w:rFonts w:asciiTheme="majorHAnsi" w:hAnsiTheme="majorHAnsi" w:cstheme="majorHAnsi"/>
          <w:bCs/>
          <w:lang w:val="hr-HR"/>
        </w:rPr>
        <w:t>ju veća ulaganja u IT projekte.</w:t>
      </w:r>
    </w:p>
    <w:p w14:paraId="5803274D" w14:textId="1A34D7B4" w:rsidR="002F05AC" w:rsidRPr="00316D1F" w:rsidRDefault="002F05AC" w:rsidP="005A2CCC">
      <w:pPr>
        <w:rPr>
          <w:rStyle w:val="AboutandContactHeadline"/>
          <w:rFonts w:asciiTheme="majorHAnsi" w:hAnsiTheme="majorHAnsi" w:cstheme="majorHAnsi"/>
          <w:b w:val="0"/>
          <w:sz w:val="22"/>
          <w:lang w:val="hr-HR"/>
        </w:rPr>
      </w:pPr>
    </w:p>
    <w:p w14:paraId="4D519F24" w14:textId="172054D4" w:rsidR="00B879FF" w:rsidRPr="00316D1F" w:rsidRDefault="00B879FF" w:rsidP="00B879FF">
      <w:pPr>
        <w:rPr>
          <w:lang w:val="hr-HR"/>
        </w:rPr>
      </w:pPr>
      <w:bookmarkStart w:id="6" w:name="_Hlk109386825"/>
      <w:bookmarkEnd w:id="5"/>
      <w:r w:rsidRPr="00316D1F">
        <w:rPr>
          <w:lang w:val="hr-HR"/>
        </w:rPr>
        <w:t>Još jedan ključni element Programa svrhovitog rasta je</w:t>
      </w:r>
      <w:r w:rsidR="0056247B" w:rsidRPr="00316D1F">
        <w:rPr>
          <w:lang w:val="hr-HR"/>
        </w:rPr>
        <w:t>st</w:t>
      </w:r>
      <w:r w:rsidRPr="00316D1F">
        <w:rPr>
          <w:lang w:val="hr-HR"/>
        </w:rPr>
        <w:t xml:space="preserve"> daljnji razvoj Henkelove korporativne kulture i ubrzanje </w:t>
      </w:r>
      <w:r w:rsidRPr="00316D1F">
        <w:rPr>
          <w:b/>
          <w:bCs/>
          <w:lang w:val="hr-HR"/>
        </w:rPr>
        <w:t>kulturne transformacije</w:t>
      </w:r>
      <w:r w:rsidRPr="00316D1F">
        <w:rPr>
          <w:lang w:val="hr-HR"/>
        </w:rPr>
        <w:t xml:space="preserve">. </w:t>
      </w:r>
      <w:r w:rsidR="0056247B" w:rsidRPr="00316D1F">
        <w:rPr>
          <w:lang w:val="hr-HR"/>
        </w:rPr>
        <w:t>Cilj kompanije jest</w:t>
      </w:r>
      <w:r w:rsidRPr="00316D1F">
        <w:rPr>
          <w:lang w:val="hr-HR"/>
        </w:rPr>
        <w:t xml:space="preserve"> njegovati kulturu suradnje. U prvoj polovici </w:t>
      </w:r>
      <w:r w:rsidR="0056247B" w:rsidRPr="00316D1F">
        <w:rPr>
          <w:lang w:val="hr-HR"/>
        </w:rPr>
        <w:t xml:space="preserve">ove </w:t>
      </w:r>
      <w:r w:rsidRPr="00316D1F">
        <w:rPr>
          <w:lang w:val="hr-HR"/>
        </w:rPr>
        <w:t>godine Henkel je nastavio s pokretanjem niza mjera za postizanje ovog cilja i daljnje osnaživanje svojih zaposlenika.</w:t>
      </w:r>
    </w:p>
    <w:p w14:paraId="6BC03D13" w14:textId="296593A0" w:rsidR="005A2CCC" w:rsidRPr="00316D1F" w:rsidRDefault="005A2CCC" w:rsidP="005A2CCC">
      <w:pPr>
        <w:rPr>
          <w:lang w:val="hr-HR"/>
        </w:rPr>
      </w:pPr>
    </w:p>
    <w:bookmarkEnd w:id="6"/>
    <w:p w14:paraId="35195CB5" w14:textId="4EA659B2" w:rsidR="00182F21" w:rsidRPr="00316D1F" w:rsidRDefault="00182F21" w:rsidP="00182F21">
      <w:pPr>
        <w:rPr>
          <w:rFonts w:cs="Segoe UI"/>
          <w:szCs w:val="22"/>
          <w:highlight w:val="yellow"/>
          <w:lang w:val="hr-HR" w:eastAsia="de-DE"/>
        </w:rPr>
      </w:pPr>
      <w:r w:rsidRPr="00316D1F">
        <w:rPr>
          <w:rFonts w:cs="Segoe UI"/>
          <w:szCs w:val="22"/>
          <w:lang w:val="hr-HR" w:eastAsia="de-DE"/>
        </w:rPr>
        <w:t xml:space="preserve">Na primjer, Henkel je pokrenuo opsežan program promjenjivog upravljanja </w:t>
      </w:r>
      <w:r w:rsidR="00D332E6" w:rsidRPr="00316D1F">
        <w:rPr>
          <w:rFonts w:cs="Segoe UI"/>
          <w:szCs w:val="22"/>
          <w:lang w:val="hr-HR" w:eastAsia="de-DE"/>
        </w:rPr>
        <w:t>zbog</w:t>
      </w:r>
      <w:r w:rsidRPr="00316D1F">
        <w:rPr>
          <w:rFonts w:cs="Segoe UI"/>
          <w:szCs w:val="22"/>
          <w:lang w:val="hr-HR" w:eastAsia="de-DE"/>
        </w:rPr>
        <w:t xml:space="preserve"> spajanj</w:t>
      </w:r>
      <w:r w:rsidR="00D332E6" w:rsidRPr="00316D1F">
        <w:rPr>
          <w:rFonts w:cs="Segoe UI"/>
          <w:szCs w:val="22"/>
          <w:lang w:val="hr-HR" w:eastAsia="de-DE"/>
        </w:rPr>
        <w:t>a</w:t>
      </w:r>
      <w:r w:rsidRPr="00316D1F">
        <w:rPr>
          <w:rFonts w:cs="Segoe UI"/>
          <w:szCs w:val="22"/>
          <w:lang w:val="hr-HR" w:eastAsia="de-DE"/>
        </w:rPr>
        <w:t xml:space="preserve"> sektora Sredstva za pranje i čišćenje i sektora Beauty Care. Program se fokusira na promjenu vještina i transformaciju tima. Usto, kako bi postigao cilj ravnopravnosti spolova na svim razinama upravljanja do 2025., Henkel je poduzeo daljnje konkretne korake i pokrenuo inicijative kao što je Tjedan različitosti, jednakosti i uključenosti. Kao dio sveobuhvatnog koncepta Smart Work, uvedene su nove inicijative usmjerene na mentalno zdravlje i dobrobit zaposlenika.</w:t>
      </w:r>
    </w:p>
    <w:p w14:paraId="51D6D097" w14:textId="3AA31A33" w:rsidR="005A2CCC" w:rsidRPr="00316D1F" w:rsidRDefault="005A2CCC" w:rsidP="005A2CCC">
      <w:pPr>
        <w:rPr>
          <w:rFonts w:cs="Segoe UI"/>
          <w:szCs w:val="22"/>
          <w:highlight w:val="yellow"/>
          <w:lang w:val="hr-HR" w:eastAsia="de-DE"/>
        </w:rPr>
      </w:pPr>
    </w:p>
    <w:p w14:paraId="40EA36B8" w14:textId="474E4A24" w:rsidR="00182F21" w:rsidRPr="00316D1F" w:rsidRDefault="00182F21" w:rsidP="00182F21">
      <w:pPr>
        <w:rPr>
          <w:rFonts w:cs="Segoe UI"/>
          <w:szCs w:val="22"/>
          <w:lang w:val="hr-HR" w:eastAsia="de-DE"/>
        </w:rPr>
      </w:pPr>
      <w:bookmarkStart w:id="7" w:name="_Hlk109211145"/>
      <w:r w:rsidRPr="00316D1F">
        <w:rPr>
          <w:rFonts w:cs="Segoe UI"/>
          <w:szCs w:val="22"/>
          <w:lang w:val="hr-HR" w:eastAsia="de-DE"/>
        </w:rPr>
        <w:t>“Iako smo bili suočeni s posljedicama pandemije COVID</w:t>
      </w:r>
      <w:r w:rsidR="00D332E6" w:rsidRPr="00316D1F">
        <w:rPr>
          <w:rFonts w:cs="Segoe UI"/>
          <w:szCs w:val="22"/>
          <w:lang w:val="hr-HR" w:eastAsia="de-DE"/>
        </w:rPr>
        <w:t xml:space="preserve"> 19</w:t>
      </w:r>
      <w:r w:rsidRPr="00316D1F">
        <w:rPr>
          <w:rFonts w:cs="Segoe UI"/>
          <w:szCs w:val="22"/>
          <w:lang w:val="hr-HR" w:eastAsia="de-DE"/>
        </w:rPr>
        <w:t>, kao i posljedicama rata u Ukrajini, značajno smo povećali organsku</w:t>
      </w:r>
      <w:r w:rsidR="00D332E6" w:rsidRPr="00316D1F">
        <w:rPr>
          <w:rFonts w:cs="Segoe UI"/>
          <w:szCs w:val="22"/>
          <w:lang w:val="hr-HR" w:eastAsia="de-DE"/>
        </w:rPr>
        <w:t xml:space="preserve"> prodaju</w:t>
      </w:r>
      <w:r w:rsidRPr="00316D1F">
        <w:rPr>
          <w:rFonts w:cs="Segoe UI"/>
          <w:szCs w:val="22"/>
          <w:lang w:val="hr-HR" w:eastAsia="de-DE"/>
        </w:rPr>
        <w:t xml:space="preserve"> i prikazan</w:t>
      </w:r>
      <w:r w:rsidR="00D332E6" w:rsidRPr="00316D1F">
        <w:rPr>
          <w:rFonts w:cs="Segoe UI"/>
          <w:szCs w:val="22"/>
          <w:lang w:val="hr-HR" w:eastAsia="de-DE"/>
        </w:rPr>
        <w:t>e</w:t>
      </w:r>
      <w:r w:rsidRPr="00316D1F">
        <w:rPr>
          <w:rFonts w:cs="Segoe UI"/>
          <w:szCs w:val="22"/>
          <w:lang w:val="hr-HR" w:eastAsia="de-DE"/>
        </w:rPr>
        <w:t xml:space="preserve"> prihod</w:t>
      </w:r>
      <w:r w:rsidR="00D332E6" w:rsidRPr="00316D1F">
        <w:rPr>
          <w:rFonts w:cs="Segoe UI"/>
          <w:szCs w:val="22"/>
          <w:lang w:val="hr-HR" w:eastAsia="de-DE"/>
        </w:rPr>
        <w:t>e</w:t>
      </w:r>
      <w:r w:rsidRPr="00316D1F">
        <w:rPr>
          <w:rFonts w:cs="Segoe UI"/>
          <w:szCs w:val="22"/>
          <w:lang w:val="hr-HR" w:eastAsia="de-DE"/>
        </w:rPr>
        <w:t xml:space="preserve"> u prvoj polovici godine. Očekivano, na naše je rezultate ponajviše utjecalo drastično povećanje </w:t>
      </w:r>
      <w:r w:rsidR="004E32D5" w:rsidRPr="00316D1F">
        <w:rPr>
          <w:rFonts w:cs="Segoe UI"/>
          <w:szCs w:val="22"/>
          <w:lang w:val="hr-HR" w:eastAsia="de-DE"/>
        </w:rPr>
        <w:t>cijen</w:t>
      </w:r>
      <w:r w:rsidRPr="00316D1F">
        <w:rPr>
          <w:rFonts w:cs="Segoe UI"/>
          <w:szCs w:val="22"/>
          <w:lang w:val="hr-HR" w:eastAsia="de-DE"/>
        </w:rPr>
        <w:t xml:space="preserve">a sirovina i logistike. To se također </w:t>
      </w:r>
      <w:r w:rsidR="004E32D5" w:rsidRPr="00316D1F">
        <w:rPr>
          <w:rFonts w:cs="Segoe UI"/>
          <w:szCs w:val="22"/>
          <w:lang w:val="hr-HR" w:eastAsia="de-DE"/>
        </w:rPr>
        <w:t>vidi</w:t>
      </w:r>
      <w:r w:rsidRPr="00316D1F">
        <w:rPr>
          <w:rFonts w:cs="Segoe UI"/>
          <w:szCs w:val="22"/>
          <w:lang w:val="hr-HR" w:eastAsia="de-DE"/>
        </w:rPr>
        <w:t xml:space="preserve"> u naš</w:t>
      </w:r>
      <w:r w:rsidR="004E32D5" w:rsidRPr="00316D1F">
        <w:rPr>
          <w:rFonts w:cs="Segoe UI"/>
          <w:szCs w:val="22"/>
          <w:lang w:val="hr-HR" w:eastAsia="de-DE"/>
        </w:rPr>
        <w:t>oj</w:t>
      </w:r>
      <w:r w:rsidRPr="00316D1F">
        <w:rPr>
          <w:rFonts w:cs="Segoe UI"/>
          <w:szCs w:val="22"/>
          <w:lang w:val="hr-HR" w:eastAsia="de-DE"/>
        </w:rPr>
        <w:t xml:space="preserve"> </w:t>
      </w:r>
      <w:r w:rsidR="004E32D5" w:rsidRPr="00316D1F">
        <w:rPr>
          <w:rFonts w:cs="Segoe UI"/>
          <w:szCs w:val="22"/>
          <w:lang w:val="hr-HR" w:eastAsia="de-DE"/>
        </w:rPr>
        <w:t>korigiranoj</w:t>
      </w:r>
      <w:r w:rsidRPr="00316D1F">
        <w:rPr>
          <w:rFonts w:cs="Segoe UI"/>
          <w:szCs w:val="22"/>
          <w:lang w:val="hr-HR" w:eastAsia="de-DE"/>
        </w:rPr>
        <w:t xml:space="preserve"> </w:t>
      </w:r>
      <w:r w:rsidR="004E32D5" w:rsidRPr="00316D1F">
        <w:rPr>
          <w:rFonts w:cs="Segoe UI"/>
          <w:szCs w:val="22"/>
          <w:lang w:val="hr-HR" w:eastAsia="de-DE"/>
        </w:rPr>
        <w:t>prognozi</w:t>
      </w:r>
      <w:r w:rsidRPr="00316D1F">
        <w:rPr>
          <w:rFonts w:cs="Segoe UI"/>
          <w:szCs w:val="22"/>
          <w:lang w:val="hr-HR" w:eastAsia="de-DE"/>
        </w:rPr>
        <w:t xml:space="preserve"> za fiskalnu 2022.“, </w:t>
      </w:r>
      <w:r w:rsidR="00D332E6" w:rsidRPr="00316D1F">
        <w:rPr>
          <w:rFonts w:cs="Segoe UI"/>
          <w:szCs w:val="22"/>
          <w:lang w:val="hr-HR" w:eastAsia="de-DE"/>
        </w:rPr>
        <w:t>objasni</w:t>
      </w:r>
      <w:r w:rsidRPr="00316D1F">
        <w:rPr>
          <w:rFonts w:cs="Segoe UI"/>
          <w:szCs w:val="22"/>
          <w:lang w:val="hr-HR" w:eastAsia="de-DE"/>
        </w:rPr>
        <w:t>o je Carsten Knobel. "Ponosni smo na dobar napredak koji smo postig</w:t>
      </w:r>
      <w:r w:rsidR="004E32D5" w:rsidRPr="00316D1F">
        <w:rPr>
          <w:rFonts w:cs="Segoe UI"/>
          <w:szCs w:val="22"/>
          <w:lang w:val="hr-HR" w:eastAsia="de-DE"/>
        </w:rPr>
        <w:t>nu</w:t>
      </w:r>
      <w:r w:rsidRPr="00316D1F">
        <w:rPr>
          <w:rFonts w:cs="Segoe UI"/>
          <w:szCs w:val="22"/>
          <w:lang w:val="hr-HR" w:eastAsia="de-DE"/>
        </w:rPr>
        <w:t>li u provedbi naše</w:t>
      </w:r>
      <w:r w:rsidR="004E32D5" w:rsidRPr="00316D1F">
        <w:rPr>
          <w:rFonts w:cs="Segoe UI"/>
          <w:szCs w:val="22"/>
          <w:lang w:val="hr-HR" w:eastAsia="de-DE"/>
        </w:rPr>
        <w:t>g</w:t>
      </w:r>
      <w:r w:rsidRPr="00316D1F">
        <w:rPr>
          <w:rFonts w:cs="Segoe UI"/>
          <w:szCs w:val="22"/>
          <w:lang w:val="hr-HR" w:eastAsia="de-DE"/>
        </w:rPr>
        <w:t xml:space="preserve"> stratešk</w:t>
      </w:r>
      <w:r w:rsidR="004E32D5" w:rsidRPr="00316D1F">
        <w:rPr>
          <w:rFonts w:cs="Segoe UI"/>
          <w:szCs w:val="22"/>
          <w:lang w:val="hr-HR" w:eastAsia="de-DE"/>
        </w:rPr>
        <w:t>og programa</w:t>
      </w:r>
      <w:r w:rsidRPr="00316D1F">
        <w:rPr>
          <w:rFonts w:cs="Segoe UI"/>
          <w:szCs w:val="22"/>
          <w:lang w:val="hr-HR" w:eastAsia="de-DE"/>
        </w:rPr>
        <w:t xml:space="preserve"> za svrhovit rast i nastavit ćemo dosljedno slijediti našu strategiju u ovom cjelokupnom izazovnom okruženju."</w:t>
      </w:r>
    </w:p>
    <w:bookmarkEnd w:id="7"/>
    <w:p w14:paraId="28F86B96" w14:textId="2A5FCACC" w:rsidR="0013225D" w:rsidRPr="00316D1F" w:rsidRDefault="0013225D">
      <w:pPr>
        <w:spacing w:line="240" w:lineRule="auto"/>
        <w:jc w:val="left"/>
        <w:rPr>
          <w:rStyle w:val="AboutandContactHeadline"/>
          <w:szCs w:val="18"/>
          <w:lang w:val="hr-HR"/>
        </w:rPr>
      </w:pPr>
    </w:p>
    <w:p w14:paraId="172F005E" w14:textId="77777777" w:rsidR="00E53506" w:rsidRPr="00F63F8D" w:rsidRDefault="00E53506" w:rsidP="00E53506">
      <w:pPr>
        <w:rPr>
          <w:rStyle w:val="AboutandContactHeadline"/>
          <w:szCs w:val="18"/>
          <w:lang w:val="hr-HR"/>
        </w:rPr>
      </w:pPr>
      <w:r w:rsidRPr="00F63F8D">
        <w:rPr>
          <w:rStyle w:val="AboutandContactHeadline"/>
          <w:lang w:val="hr-HR"/>
        </w:rPr>
        <w:t>O Henkelu</w:t>
      </w:r>
    </w:p>
    <w:p w14:paraId="012DD8B0" w14:textId="77777777" w:rsidR="00E53506" w:rsidRPr="00F63F8D" w:rsidRDefault="00E53506" w:rsidP="00E53506">
      <w:pPr>
        <w:rPr>
          <w:rStyle w:val="AboutandContactBody"/>
          <w:szCs w:val="18"/>
          <w:lang w:val="hr-HR"/>
        </w:rPr>
      </w:pPr>
      <w:r w:rsidRPr="00F63F8D">
        <w:rPr>
          <w:rStyle w:val="AboutandContactBody"/>
          <w:lang w:val="hr-HR"/>
        </w:rPr>
        <w:t>Henkel posluje</w:t>
      </w:r>
      <w:r>
        <w:rPr>
          <w:rStyle w:val="AboutandContactBody"/>
          <w:lang w:val="hr-HR"/>
        </w:rPr>
        <w:t xml:space="preserve"> diljem</w:t>
      </w:r>
      <w:r w:rsidRPr="00F63F8D">
        <w:rPr>
          <w:rStyle w:val="AboutandContactBody"/>
          <w:lang w:val="hr-HR"/>
        </w:rPr>
        <w:t xml:space="preserve"> svijeta s uravnoteženim i raznolikim portfeljem. Tvrtka zauzima vodeće pozicije sa svoja tri poslovna sektora na područjima industrijskog tržišta, kao i proizvoda široke potrošnje, zahvaljujući snažnim bren</w:t>
      </w:r>
      <w:r>
        <w:rPr>
          <w:rStyle w:val="AboutandContactBody"/>
          <w:lang w:val="hr-HR"/>
        </w:rPr>
        <w:t>d</w:t>
      </w:r>
      <w:r w:rsidRPr="00F63F8D">
        <w:rPr>
          <w:rStyle w:val="AboutandContactBody"/>
          <w:lang w:val="hr-HR"/>
        </w:rPr>
        <w:t xml:space="preserve">ovima, inovacijama i tehnologijama. Henkelov sektor Ljepila i tehnologije svjetski je predvodnik na tržištu ljepila  u svim industrijskim segmentima na svijetu. Sa sektorima Sredstva za pranje i čišćenje u domaćinstvu i Beauty Care, Henkel drži vodeće pozicije na mnogim tržištima i kategorijama širom svijeta. Osnovan 1876. godine, Henkel iza sebe ima više od 140 godina uspješnog poslovanja. U 2021. godini Henkel je ostvario prodaju veću od 20 milijardi eura i operativnu dobit veću od 2,7 milijardi eura. Henkel zapošljava više od 52.000 ljudi širom svijeta </w:t>
      </w:r>
      <w:r w:rsidRPr="00BE74EC">
        <w:rPr>
          <w:rStyle w:val="AboutandContactBody"/>
          <w:lang w:val="hr-HR"/>
        </w:rPr>
        <w:t>–</w:t>
      </w:r>
      <w:r w:rsidRPr="00F63F8D">
        <w:rPr>
          <w:rStyle w:val="AboutandContactBody"/>
          <w:lang w:val="hr-HR"/>
        </w:rPr>
        <w:t xml:space="preserve"> predan i vrlo raznolik tim ujedinjen snažnom korporativnom kulturom, zajedničkim ciljem postizanja održivih standarda i zajedničkim vrijednostima. Kao priznati lider u održivosti, Henkel je na vrhu mnogih međunarodnih indeksa i popisa. Henkelove povlaštene dionice navedene su u njemačkom indeksu DAX.  Za više informacija posjetite </w:t>
      </w:r>
      <w:hyperlink r:id="rId12" w:history="1">
        <w:r w:rsidRPr="00F63F8D">
          <w:rPr>
            <w:rStyle w:val="Hyperlink"/>
            <w:lang w:val="hr-HR"/>
          </w:rPr>
          <w:t>www.henkel.com</w:t>
        </w:r>
      </w:hyperlink>
      <w:r w:rsidRPr="00F63F8D">
        <w:rPr>
          <w:rStyle w:val="AboutandContactBody"/>
          <w:lang w:val="hr-HR"/>
        </w:rPr>
        <w:t>.</w:t>
      </w:r>
    </w:p>
    <w:p w14:paraId="56DE96CD" w14:textId="77777777" w:rsidR="00E53506" w:rsidRPr="00F63F8D" w:rsidRDefault="00E53506" w:rsidP="00E53506">
      <w:pPr>
        <w:rPr>
          <w:rStyle w:val="AboutandContactBody"/>
          <w:szCs w:val="18"/>
          <w:lang w:val="hr-HR"/>
        </w:rPr>
      </w:pPr>
    </w:p>
    <w:p w14:paraId="344C1F86" w14:textId="77777777" w:rsidR="00E53506" w:rsidRPr="00E53506" w:rsidRDefault="00E53506" w:rsidP="00E53506">
      <w:pPr>
        <w:rPr>
          <w:rStyle w:val="AboutandContactBody"/>
          <w:rFonts w:asciiTheme="majorHAnsi" w:hAnsiTheme="majorHAnsi" w:cstheme="majorHAnsi"/>
          <w:sz w:val="16"/>
          <w:szCs w:val="16"/>
          <w:lang w:val="hr-HR"/>
        </w:rPr>
      </w:pPr>
      <w:r w:rsidRPr="00E53506">
        <w:rPr>
          <w:rStyle w:val="AboutandContactBody"/>
          <w:rFonts w:asciiTheme="majorHAnsi" w:hAnsiTheme="majorHAnsi"/>
          <w:sz w:val="16"/>
          <w:szCs w:val="16"/>
          <w:lang w:val="hr-HR"/>
        </w:rPr>
        <w:t xml:space="preserve">Ove informacije sadrže izjave koje se odnose na budućnost temeljene na trenutnim procjenama i predviđanjima menadžmenta Henkela AG &amp; Co. KGaA. Izjave o budućnosti karakteriziraju riječi kao što su „očekivati“, „namjeriti“, „planirati“, „predvidjeti“, „procijeniti“ i slični izrazi. Takve izjave ni na koji način ne jamče da će takva očekivanja biti ispunjena. Budući učinci i rezultati koje Henkel AG &amp; Co. KGAA i njegove podružnice očekuju zapravo ovise o više rizika i neizvjesnosti te se stoga mogu značajno razlikovati od izjava koje se odnose na budućnost. Mnogi od ovih čimbenika su izvan Henkelove kontrole i ne mogu se točno </w:t>
      </w:r>
      <w:r w:rsidRPr="00E53506">
        <w:rPr>
          <w:rStyle w:val="AboutandContactBody"/>
          <w:rFonts w:asciiTheme="majorHAnsi" w:hAnsiTheme="majorHAnsi"/>
          <w:sz w:val="16"/>
          <w:szCs w:val="16"/>
          <w:lang w:val="hr-HR"/>
        </w:rPr>
        <w:lastRenderedPageBreak/>
        <w:t>predvidjeti, kao što su buduće gospodarsko okruženje i radnje konkurenata i drugih uključenih u tržište. Henkel ne planira niti se obvezuje ažurirati nijednu izjavu o budućnosti.</w:t>
      </w:r>
    </w:p>
    <w:p w14:paraId="67622FF1" w14:textId="77777777" w:rsidR="00E53506" w:rsidRPr="00E53506" w:rsidRDefault="00E53506" w:rsidP="00E53506">
      <w:pPr>
        <w:rPr>
          <w:rStyle w:val="AboutandContactBody"/>
          <w:rFonts w:asciiTheme="majorHAnsi" w:hAnsiTheme="majorHAnsi" w:cstheme="majorHAnsi"/>
          <w:sz w:val="16"/>
          <w:szCs w:val="16"/>
          <w:lang w:val="hr-HR"/>
        </w:rPr>
      </w:pPr>
    </w:p>
    <w:p w14:paraId="3CD62FB4" w14:textId="77777777" w:rsidR="00E53506" w:rsidRPr="00E53506" w:rsidRDefault="00E53506" w:rsidP="00E53506">
      <w:pPr>
        <w:rPr>
          <w:rStyle w:val="AboutandContactBody"/>
          <w:rFonts w:asciiTheme="majorHAnsi" w:hAnsiTheme="majorHAnsi" w:cstheme="majorHAnsi"/>
          <w:sz w:val="16"/>
          <w:szCs w:val="16"/>
          <w:lang w:val="hr-HR"/>
        </w:rPr>
      </w:pPr>
      <w:r w:rsidRPr="00E53506">
        <w:rPr>
          <w:rStyle w:val="AboutandContactBody"/>
          <w:rFonts w:asciiTheme="majorHAnsi" w:hAnsiTheme="majorHAnsi"/>
          <w:sz w:val="16"/>
          <w:szCs w:val="16"/>
          <w:lang w:val="hr-HR"/>
        </w:rPr>
        <w:t>Ovaj dokument uključuje, unutar primjenjivog okvira financijskog izvještavanja koji nije jasno definiran, dodatne financijske mjere koje jesu ili mogu biti alternative mjerama uspješnosti (mjere koje nisu GAAP). Ove dodatne financijske mjere ne treba promatrati zasebno ili kao alternativu mjerama Henkelove neto imovine i financijskih pozicija ili rezultata poslovanja prikazanih u skladu s primjenjivim okvirom financijskog izvještavanja u njegovim konsolidiranim financijskim izvještajima. Druge tvrtke koje izvješćuju ili opisuju alternativne mjere učinka sličnog naslova mogle bi ih izračunati drugačije.</w:t>
      </w:r>
    </w:p>
    <w:p w14:paraId="7FF0EF98" w14:textId="77777777" w:rsidR="00E53506" w:rsidRPr="00E53506" w:rsidRDefault="00E53506" w:rsidP="00E53506">
      <w:pPr>
        <w:rPr>
          <w:rStyle w:val="AboutandContactBody"/>
          <w:rFonts w:asciiTheme="majorHAnsi" w:hAnsiTheme="majorHAnsi" w:cstheme="majorHAnsi"/>
          <w:sz w:val="16"/>
          <w:szCs w:val="16"/>
          <w:lang w:val="hr-HR"/>
        </w:rPr>
      </w:pPr>
    </w:p>
    <w:p w14:paraId="592486F0" w14:textId="77777777" w:rsidR="00E53506" w:rsidRPr="00E53506" w:rsidRDefault="00E53506" w:rsidP="00E53506">
      <w:pPr>
        <w:rPr>
          <w:rStyle w:val="AboutandContactBody"/>
          <w:rFonts w:asciiTheme="majorHAnsi" w:hAnsiTheme="majorHAnsi" w:cstheme="majorHAnsi"/>
          <w:sz w:val="16"/>
          <w:szCs w:val="16"/>
          <w:lang w:val="hr-HR"/>
        </w:rPr>
      </w:pPr>
      <w:r w:rsidRPr="00E53506">
        <w:rPr>
          <w:rStyle w:val="AboutandContactBody"/>
          <w:rFonts w:asciiTheme="majorHAnsi" w:hAnsiTheme="majorHAnsi"/>
          <w:sz w:val="16"/>
          <w:szCs w:val="16"/>
          <w:lang w:val="hr-HR"/>
        </w:rPr>
        <w:t>Ovaj dokument je izdan samo u informativne svrhe i nije namijenjen da služi kao investicijski savjet ili ponuda za prodaju ili traženje ponude za kupnju bilo kojih vrijednosnih papira.</w:t>
      </w:r>
    </w:p>
    <w:p w14:paraId="6959949B" w14:textId="77777777" w:rsidR="00E53506" w:rsidRPr="00F63F8D" w:rsidRDefault="00E53506" w:rsidP="00E53506">
      <w:pPr>
        <w:rPr>
          <w:rStyle w:val="AboutandContactHeadline"/>
          <w:lang w:val="hr-HR"/>
        </w:rPr>
      </w:pPr>
    </w:p>
    <w:p w14:paraId="2CA6DBF8" w14:textId="77777777" w:rsidR="00E53506" w:rsidRPr="00F63F8D" w:rsidRDefault="00E53506" w:rsidP="00E53506">
      <w:pPr>
        <w:tabs>
          <w:tab w:val="left" w:pos="1080"/>
          <w:tab w:val="left" w:pos="4500"/>
        </w:tabs>
        <w:rPr>
          <w:rStyle w:val="AboutandContactBody"/>
          <w:rFonts w:asciiTheme="majorHAnsi" w:hAnsiTheme="majorHAnsi" w:cstheme="majorHAnsi"/>
          <w:b/>
          <w:bCs/>
          <w:lang w:val="hr-HR"/>
        </w:rPr>
      </w:pPr>
      <w:r w:rsidRPr="00F63F8D">
        <w:rPr>
          <w:rStyle w:val="AboutandContactBody"/>
          <w:rFonts w:asciiTheme="majorHAnsi" w:hAnsiTheme="majorHAnsi"/>
          <w:b/>
          <w:lang w:val="hr-HR"/>
        </w:rPr>
        <w:t xml:space="preserve">Kontakti </w:t>
      </w:r>
    </w:p>
    <w:p w14:paraId="185194E2" w14:textId="77777777" w:rsidR="00E53506" w:rsidRPr="00F63F8D" w:rsidRDefault="00E53506" w:rsidP="00E53506">
      <w:pPr>
        <w:tabs>
          <w:tab w:val="left" w:pos="1080"/>
          <w:tab w:val="left" w:pos="4500"/>
        </w:tabs>
        <w:rPr>
          <w:rStyle w:val="AboutandContactBody"/>
          <w:rFonts w:asciiTheme="majorHAnsi" w:hAnsiTheme="majorHAnsi" w:cstheme="majorHAnsi"/>
          <w:b/>
          <w:bCs/>
          <w:lang w:val="hr-HR"/>
        </w:rPr>
      </w:pPr>
    </w:p>
    <w:p w14:paraId="0CC96923" w14:textId="77777777" w:rsidR="00E53506" w:rsidRPr="00F63F8D" w:rsidRDefault="00E53506" w:rsidP="00E53506">
      <w:pPr>
        <w:tabs>
          <w:tab w:val="left" w:pos="1080"/>
          <w:tab w:val="left" w:pos="4500"/>
        </w:tabs>
        <w:rPr>
          <w:rStyle w:val="AboutandContactBody"/>
          <w:rFonts w:asciiTheme="majorHAnsi" w:hAnsiTheme="majorHAnsi" w:cstheme="majorHAnsi"/>
          <w:lang w:val="hr-HR"/>
        </w:rPr>
      </w:pPr>
      <w:r w:rsidRPr="00F63F8D">
        <w:rPr>
          <w:rStyle w:val="AboutandContactBody"/>
          <w:rFonts w:asciiTheme="majorHAnsi" w:hAnsiTheme="majorHAnsi"/>
          <w:b/>
          <w:lang w:val="hr-HR"/>
        </w:rPr>
        <w:t>Jelena Gavrilović Šarenac</w:t>
      </w:r>
      <w:r w:rsidRPr="00F63F8D">
        <w:rPr>
          <w:rStyle w:val="AboutandContactBody"/>
          <w:rFonts w:asciiTheme="majorHAnsi" w:hAnsiTheme="majorHAnsi"/>
          <w:lang w:val="hr-HR"/>
        </w:rPr>
        <w:tab/>
      </w:r>
    </w:p>
    <w:p w14:paraId="25D31EAF" w14:textId="77777777" w:rsidR="00E53506" w:rsidRPr="00F63F8D" w:rsidRDefault="00E53506" w:rsidP="00E53506">
      <w:pPr>
        <w:tabs>
          <w:tab w:val="left" w:pos="1080"/>
          <w:tab w:val="left" w:pos="4500"/>
        </w:tabs>
        <w:rPr>
          <w:rStyle w:val="AboutandContactBody"/>
          <w:rFonts w:asciiTheme="majorHAnsi" w:hAnsiTheme="majorHAnsi" w:cstheme="majorHAnsi"/>
          <w:lang w:val="hr-HR"/>
        </w:rPr>
      </w:pPr>
      <w:r w:rsidRPr="00F63F8D">
        <w:rPr>
          <w:rStyle w:val="AboutandContactBody"/>
          <w:rFonts w:asciiTheme="majorHAnsi" w:hAnsiTheme="majorHAnsi"/>
          <w:lang w:val="hr-HR"/>
        </w:rPr>
        <w:t>Telefon: +381 11 207 22 09</w:t>
      </w:r>
      <w:r w:rsidRPr="00F63F8D">
        <w:rPr>
          <w:rStyle w:val="AboutandContactBody"/>
          <w:rFonts w:asciiTheme="majorHAnsi" w:hAnsiTheme="majorHAnsi"/>
          <w:lang w:val="hr-HR"/>
        </w:rPr>
        <w:tab/>
      </w:r>
    </w:p>
    <w:p w14:paraId="2F4CF78B" w14:textId="77777777" w:rsidR="00E53506" w:rsidRPr="00F63F8D" w:rsidRDefault="00E53506" w:rsidP="00E53506">
      <w:pPr>
        <w:tabs>
          <w:tab w:val="left" w:pos="1080"/>
          <w:tab w:val="left" w:pos="4500"/>
        </w:tabs>
        <w:rPr>
          <w:rStyle w:val="AboutandContactBody"/>
          <w:rFonts w:asciiTheme="majorHAnsi" w:hAnsiTheme="majorHAnsi" w:cstheme="majorHAnsi"/>
          <w:lang w:val="hr-HR"/>
        </w:rPr>
      </w:pPr>
      <w:r w:rsidRPr="00F63F8D">
        <w:rPr>
          <w:rStyle w:val="AboutandContactBody"/>
          <w:rFonts w:asciiTheme="majorHAnsi" w:hAnsiTheme="majorHAnsi"/>
          <w:lang w:val="hr-HR"/>
        </w:rPr>
        <w:t xml:space="preserve">E-mail: </w:t>
      </w:r>
      <w:hyperlink r:id="rId13" w:history="1">
        <w:r w:rsidRPr="00F63F8D">
          <w:rPr>
            <w:rStyle w:val="Hyperlink"/>
            <w:rFonts w:asciiTheme="majorHAnsi" w:hAnsiTheme="majorHAnsi"/>
            <w:lang w:val="hr-HR"/>
          </w:rPr>
          <w:t>jelena.sarenac@henkel.com</w:t>
        </w:r>
      </w:hyperlink>
      <w:r w:rsidRPr="00F63F8D">
        <w:rPr>
          <w:rStyle w:val="AboutandContactBody"/>
          <w:rFonts w:asciiTheme="majorHAnsi" w:hAnsiTheme="majorHAnsi"/>
          <w:lang w:val="hr-HR"/>
        </w:rPr>
        <w:t xml:space="preserve"> </w:t>
      </w:r>
      <w:r w:rsidRPr="00F63F8D">
        <w:rPr>
          <w:rStyle w:val="AboutandContactBody"/>
          <w:rFonts w:asciiTheme="majorHAnsi" w:hAnsiTheme="majorHAnsi"/>
          <w:lang w:val="hr-HR"/>
        </w:rPr>
        <w:tab/>
        <w:t xml:space="preserve"> </w:t>
      </w:r>
    </w:p>
    <w:p w14:paraId="36C14C6A" w14:textId="77777777" w:rsidR="00E53506" w:rsidRPr="00F63F8D" w:rsidRDefault="00E53506" w:rsidP="00E53506">
      <w:pPr>
        <w:rPr>
          <w:rStyle w:val="AboutandContactHeadline"/>
          <w:lang w:val="hr-HR"/>
        </w:rPr>
      </w:pPr>
    </w:p>
    <w:p w14:paraId="309D4BD6" w14:textId="77777777" w:rsidR="00E53506" w:rsidRPr="00F63F8D" w:rsidRDefault="005615E0" w:rsidP="00E53506">
      <w:pPr>
        <w:tabs>
          <w:tab w:val="left" w:pos="1080"/>
          <w:tab w:val="left" w:pos="4500"/>
        </w:tabs>
        <w:spacing w:line="264" w:lineRule="auto"/>
        <w:rPr>
          <w:rStyle w:val="Hyperlink"/>
          <w:rFonts w:asciiTheme="majorHAnsi" w:hAnsiTheme="majorHAnsi" w:cstheme="majorHAnsi"/>
          <w:lang w:val="hr-HR"/>
        </w:rPr>
      </w:pPr>
      <w:hyperlink r:id="rId14" w:history="1">
        <w:r w:rsidR="00E53506" w:rsidRPr="00F63F8D">
          <w:rPr>
            <w:rStyle w:val="Hyperlink"/>
            <w:rFonts w:asciiTheme="majorHAnsi" w:hAnsiTheme="majorHAnsi"/>
            <w:lang w:val="hr-HR"/>
          </w:rPr>
          <w:t>www.henkel.com/press</w:t>
        </w:r>
      </w:hyperlink>
    </w:p>
    <w:p w14:paraId="1D73159B" w14:textId="77777777" w:rsidR="00E53506" w:rsidRPr="00F63F8D" w:rsidRDefault="005615E0" w:rsidP="00E53506">
      <w:pPr>
        <w:tabs>
          <w:tab w:val="left" w:pos="1080"/>
          <w:tab w:val="left" w:pos="4500"/>
        </w:tabs>
        <w:spacing w:line="264" w:lineRule="auto"/>
        <w:rPr>
          <w:rStyle w:val="Hyperlink"/>
          <w:rFonts w:asciiTheme="majorHAnsi" w:hAnsiTheme="majorHAnsi" w:cstheme="majorHAnsi"/>
          <w:lang w:val="hr-HR"/>
        </w:rPr>
      </w:pPr>
      <w:hyperlink r:id="rId15" w:history="1">
        <w:r w:rsidR="00E53506" w:rsidRPr="00F63F8D">
          <w:rPr>
            <w:rStyle w:val="Hyperlink"/>
            <w:rFonts w:asciiTheme="majorHAnsi" w:hAnsiTheme="majorHAnsi"/>
            <w:lang w:val="hr-HR"/>
          </w:rPr>
          <w:t>www.henkel.com/</w:t>
        </w:r>
      </w:hyperlink>
      <w:r w:rsidR="00E53506" w:rsidRPr="00F63F8D">
        <w:rPr>
          <w:rStyle w:val="Hyperlink"/>
          <w:rFonts w:asciiTheme="majorHAnsi" w:hAnsiTheme="majorHAnsi"/>
          <w:lang w:val="hr-HR"/>
        </w:rPr>
        <w:t>ir</w:t>
      </w:r>
    </w:p>
    <w:p w14:paraId="23552B25" w14:textId="6A9799BE" w:rsidR="00A15D78" w:rsidRPr="00316D1F" w:rsidRDefault="00A15D78" w:rsidP="0001450F">
      <w:pPr>
        <w:tabs>
          <w:tab w:val="left" w:pos="1080"/>
          <w:tab w:val="left" w:pos="4500"/>
        </w:tabs>
        <w:spacing w:line="264" w:lineRule="auto"/>
        <w:rPr>
          <w:rStyle w:val="Hyperlink"/>
          <w:rFonts w:asciiTheme="majorHAnsi" w:hAnsiTheme="majorHAnsi" w:cs="Calibri Light"/>
          <w:color w:val="auto"/>
          <w:lang w:val="hr-HR"/>
        </w:rPr>
      </w:pPr>
    </w:p>
    <w:sectPr w:rsidR="00A15D78" w:rsidRPr="00316D1F" w:rsidSect="00DC2465">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8953F" w14:textId="77777777" w:rsidR="005615E0" w:rsidRDefault="005615E0">
      <w:r>
        <w:separator/>
      </w:r>
    </w:p>
  </w:endnote>
  <w:endnote w:type="continuationSeparator" w:id="0">
    <w:p w14:paraId="0A0CD9DF" w14:textId="77777777" w:rsidR="005615E0" w:rsidRDefault="00561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UI">
    <w:altName w:val="Segoe UI"/>
    <w:charset w:val="00"/>
    <w:family w:val="swiss"/>
    <w:pitch w:val="variable"/>
    <w:sig w:usb0="E4002EFF" w:usb1="C000E47F" w:usb2="00000009" w:usb3="00000000" w:csb0="000001FF" w:csb1="00000000"/>
  </w:font>
  <w:font w:name="SegoeUI-Bold">
    <w:altName w:val="Segoe UI"/>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7BCAE067" w:rsidR="00CF6F33" w:rsidRPr="00112A28" w:rsidRDefault="00112A28" w:rsidP="00112A28">
    <w:pPr>
      <w:pStyle w:val="Footer"/>
      <w:tabs>
        <w:tab w:val="clear" w:pos="7083"/>
        <w:tab w:val="clear" w:pos="8640"/>
        <w:tab w:val="right" w:pos="9071"/>
      </w:tabs>
      <w:jc w:val="both"/>
    </w:pPr>
    <w:r w:rsidRPr="00BF6E82">
      <w:t>Henkel AG &amp; Co. KGaA</w:t>
    </w:r>
    <w:r>
      <w:tab/>
    </w:r>
    <w:r w:rsidR="00EF55E6">
      <w:t>Seit</w:t>
    </w:r>
    <w:r w:rsidR="00EF55E6" w:rsidRPr="00BF6E82">
      <w:t xml:space="preserve">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51506B8F" w:rsidR="00CF6F33" w:rsidRPr="00992A11" w:rsidRDefault="0059722C" w:rsidP="00992A11">
    <w:pPr>
      <w:pStyle w:val="Footer"/>
    </w:pPr>
    <w:bookmarkStart w:id="8"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8"/>
    <w:r w:rsidR="005A2CCC">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32DA1" w14:textId="77777777" w:rsidR="005615E0" w:rsidRDefault="005615E0">
      <w:r>
        <w:separator/>
      </w:r>
    </w:p>
  </w:footnote>
  <w:footnote w:type="continuationSeparator" w:id="0">
    <w:p w14:paraId="11A2C865" w14:textId="77777777" w:rsidR="005615E0" w:rsidRDefault="00561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66841389"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39A96BC"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" stroked="f" strokecolor="#e1000f" strokeweight=".5pt"/>
              <w10:wrap anchorx="page" anchory="page"/>
            </v:group>
          </w:pict>
        </mc:Fallback>
      </mc:AlternateContent>
    </w:r>
    <w:r w:rsidR="00D40964" w:rsidRPr="00D40964">
      <w:rPr>
        <w:lang w:val="hr-HR"/>
      </w:rPr>
      <w:t xml:space="preserve"> </w:t>
    </w:r>
    <w:r w:rsidR="00D40964" w:rsidRPr="00F569AC">
      <w:rPr>
        <w:lang w:val="hr-HR"/>
      </w:rPr>
      <w:t>Priopćenje za javnost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3118484">
    <w:abstractNumId w:val="2"/>
  </w:num>
  <w:num w:numId="2" w16cid:durableId="551162569">
    <w:abstractNumId w:val="1"/>
  </w:num>
  <w:num w:numId="3" w16cid:durableId="269555478">
    <w:abstractNumId w:val="9"/>
  </w:num>
  <w:num w:numId="4" w16cid:durableId="1603610541">
    <w:abstractNumId w:val="6"/>
  </w:num>
  <w:num w:numId="5" w16cid:durableId="458768014">
    <w:abstractNumId w:val="4"/>
  </w:num>
  <w:num w:numId="6" w16cid:durableId="869955884">
    <w:abstractNumId w:val="7"/>
  </w:num>
  <w:num w:numId="7" w16cid:durableId="1731995347">
    <w:abstractNumId w:val="5"/>
  </w:num>
  <w:num w:numId="8" w16cid:durableId="577907970">
    <w:abstractNumId w:val="0"/>
  </w:num>
  <w:num w:numId="9" w16cid:durableId="508570664">
    <w:abstractNumId w:val="8"/>
  </w:num>
  <w:num w:numId="10" w16cid:durableId="916212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360"/>
    <w:rsid w:val="00000839"/>
    <w:rsid w:val="000016AF"/>
    <w:rsid w:val="00002AA4"/>
    <w:rsid w:val="00005267"/>
    <w:rsid w:val="00006346"/>
    <w:rsid w:val="00006663"/>
    <w:rsid w:val="000069EB"/>
    <w:rsid w:val="00006A45"/>
    <w:rsid w:val="00007718"/>
    <w:rsid w:val="00007ACA"/>
    <w:rsid w:val="0001002C"/>
    <w:rsid w:val="000109CE"/>
    <w:rsid w:val="00011965"/>
    <w:rsid w:val="0001450F"/>
    <w:rsid w:val="00016137"/>
    <w:rsid w:val="00021C67"/>
    <w:rsid w:val="00023871"/>
    <w:rsid w:val="00023ED9"/>
    <w:rsid w:val="000301F0"/>
    <w:rsid w:val="00030557"/>
    <w:rsid w:val="00030701"/>
    <w:rsid w:val="00030F51"/>
    <w:rsid w:val="00032298"/>
    <w:rsid w:val="000343EB"/>
    <w:rsid w:val="00035285"/>
    <w:rsid w:val="00035A84"/>
    <w:rsid w:val="00040218"/>
    <w:rsid w:val="000402B6"/>
    <w:rsid w:val="00040CC9"/>
    <w:rsid w:val="00042329"/>
    <w:rsid w:val="000425ED"/>
    <w:rsid w:val="00044E68"/>
    <w:rsid w:val="000510FC"/>
    <w:rsid w:val="00051E86"/>
    <w:rsid w:val="00053A77"/>
    <w:rsid w:val="00054613"/>
    <w:rsid w:val="00054AFE"/>
    <w:rsid w:val="000575F9"/>
    <w:rsid w:val="000618FC"/>
    <w:rsid w:val="0006396D"/>
    <w:rsid w:val="00064CCE"/>
    <w:rsid w:val="000665F3"/>
    <w:rsid w:val="00067071"/>
    <w:rsid w:val="00067F67"/>
    <w:rsid w:val="00070757"/>
    <w:rsid w:val="00070B4E"/>
    <w:rsid w:val="00074C4A"/>
    <w:rsid w:val="000751A7"/>
    <w:rsid w:val="00077AF9"/>
    <w:rsid w:val="00080D10"/>
    <w:rsid w:val="00081241"/>
    <w:rsid w:val="000813FB"/>
    <w:rsid w:val="00081EF8"/>
    <w:rsid w:val="0008357F"/>
    <w:rsid w:val="0008406B"/>
    <w:rsid w:val="00085ABA"/>
    <w:rsid w:val="000925EE"/>
    <w:rsid w:val="00096AD4"/>
    <w:rsid w:val="00097336"/>
    <w:rsid w:val="000A23CD"/>
    <w:rsid w:val="000A3FAD"/>
    <w:rsid w:val="000B005C"/>
    <w:rsid w:val="000B2E86"/>
    <w:rsid w:val="000B55CE"/>
    <w:rsid w:val="000B5657"/>
    <w:rsid w:val="000B5D2F"/>
    <w:rsid w:val="000B6244"/>
    <w:rsid w:val="000B695A"/>
    <w:rsid w:val="000B72A8"/>
    <w:rsid w:val="000C210A"/>
    <w:rsid w:val="000C27E5"/>
    <w:rsid w:val="000C56DD"/>
    <w:rsid w:val="000D0006"/>
    <w:rsid w:val="000D10D2"/>
    <w:rsid w:val="000D1672"/>
    <w:rsid w:val="000D178A"/>
    <w:rsid w:val="000D6C67"/>
    <w:rsid w:val="000E0FB6"/>
    <w:rsid w:val="000E1B84"/>
    <w:rsid w:val="000E2F62"/>
    <w:rsid w:val="000E38ED"/>
    <w:rsid w:val="000E4668"/>
    <w:rsid w:val="000E7F24"/>
    <w:rsid w:val="000F03BE"/>
    <w:rsid w:val="000F1757"/>
    <w:rsid w:val="000F225B"/>
    <w:rsid w:val="000F48E9"/>
    <w:rsid w:val="000F70AD"/>
    <w:rsid w:val="000F7933"/>
    <w:rsid w:val="000F7FAF"/>
    <w:rsid w:val="0010226B"/>
    <w:rsid w:val="001027F2"/>
    <w:rsid w:val="0010465B"/>
    <w:rsid w:val="00105975"/>
    <w:rsid w:val="00105C2E"/>
    <w:rsid w:val="00107F44"/>
    <w:rsid w:val="0011116D"/>
    <w:rsid w:val="00111C0C"/>
    <w:rsid w:val="00111F4D"/>
    <w:rsid w:val="00112A28"/>
    <w:rsid w:val="00115230"/>
    <w:rsid w:val="00115B5F"/>
    <w:rsid w:val="001162B4"/>
    <w:rsid w:val="001210D4"/>
    <w:rsid w:val="00122CBC"/>
    <w:rsid w:val="00124EA9"/>
    <w:rsid w:val="00126C65"/>
    <w:rsid w:val="00126D4A"/>
    <w:rsid w:val="00127F6F"/>
    <w:rsid w:val="001318EB"/>
    <w:rsid w:val="0013225D"/>
    <w:rsid w:val="00132A8B"/>
    <w:rsid w:val="00132DA9"/>
    <w:rsid w:val="0013305B"/>
    <w:rsid w:val="0013318B"/>
    <w:rsid w:val="00133B99"/>
    <w:rsid w:val="0013569C"/>
    <w:rsid w:val="001443BD"/>
    <w:rsid w:val="0014449A"/>
    <w:rsid w:val="00144A87"/>
    <w:rsid w:val="00146193"/>
    <w:rsid w:val="00146222"/>
    <w:rsid w:val="00147431"/>
    <w:rsid w:val="0015206B"/>
    <w:rsid w:val="001577E9"/>
    <w:rsid w:val="0016138C"/>
    <w:rsid w:val="00161FC1"/>
    <w:rsid w:val="00162D60"/>
    <w:rsid w:val="001640D5"/>
    <w:rsid w:val="001649E4"/>
    <w:rsid w:val="001659FB"/>
    <w:rsid w:val="001660C5"/>
    <w:rsid w:val="00172C99"/>
    <w:rsid w:val="001731CE"/>
    <w:rsid w:val="00175C72"/>
    <w:rsid w:val="00181B06"/>
    <w:rsid w:val="00182F21"/>
    <w:rsid w:val="0018501C"/>
    <w:rsid w:val="00185167"/>
    <w:rsid w:val="00186228"/>
    <w:rsid w:val="00190A13"/>
    <w:rsid w:val="0019635E"/>
    <w:rsid w:val="00196956"/>
    <w:rsid w:val="00197E9B"/>
    <w:rsid w:val="001A3D77"/>
    <w:rsid w:val="001A62F7"/>
    <w:rsid w:val="001A7D44"/>
    <w:rsid w:val="001B1523"/>
    <w:rsid w:val="001B5B6F"/>
    <w:rsid w:val="001B771D"/>
    <w:rsid w:val="001B7C20"/>
    <w:rsid w:val="001C0B32"/>
    <w:rsid w:val="001C158C"/>
    <w:rsid w:val="001C2D66"/>
    <w:rsid w:val="001C36F7"/>
    <w:rsid w:val="001C4BE1"/>
    <w:rsid w:val="001C66A9"/>
    <w:rsid w:val="001D7ADF"/>
    <w:rsid w:val="001E0F71"/>
    <w:rsid w:val="001E1CF5"/>
    <w:rsid w:val="001E2B9B"/>
    <w:rsid w:val="001E3D73"/>
    <w:rsid w:val="001E4CCB"/>
    <w:rsid w:val="001E6344"/>
    <w:rsid w:val="001E683F"/>
    <w:rsid w:val="001E699D"/>
    <w:rsid w:val="001E6D05"/>
    <w:rsid w:val="001E73E8"/>
    <w:rsid w:val="001E7C28"/>
    <w:rsid w:val="001F1252"/>
    <w:rsid w:val="001F1BDF"/>
    <w:rsid w:val="001F2CD0"/>
    <w:rsid w:val="001F35F8"/>
    <w:rsid w:val="001F52E0"/>
    <w:rsid w:val="001F590C"/>
    <w:rsid w:val="001F7110"/>
    <w:rsid w:val="001F7E96"/>
    <w:rsid w:val="002002AB"/>
    <w:rsid w:val="002005F5"/>
    <w:rsid w:val="00202284"/>
    <w:rsid w:val="00203E12"/>
    <w:rsid w:val="0020528D"/>
    <w:rsid w:val="0020543B"/>
    <w:rsid w:val="00205A66"/>
    <w:rsid w:val="002063CF"/>
    <w:rsid w:val="00206613"/>
    <w:rsid w:val="0021158F"/>
    <w:rsid w:val="00212488"/>
    <w:rsid w:val="002129A6"/>
    <w:rsid w:val="00220628"/>
    <w:rsid w:val="002226D0"/>
    <w:rsid w:val="00222DDC"/>
    <w:rsid w:val="0022308F"/>
    <w:rsid w:val="002260C7"/>
    <w:rsid w:val="00226640"/>
    <w:rsid w:val="002304D2"/>
    <w:rsid w:val="00233D04"/>
    <w:rsid w:val="00234ABD"/>
    <w:rsid w:val="00234CA1"/>
    <w:rsid w:val="00236491"/>
    <w:rsid w:val="00236C3B"/>
    <w:rsid w:val="00236E2A"/>
    <w:rsid w:val="00237F62"/>
    <w:rsid w:val="002423C5"/>
    <w:rsid w:val="00243CEA"/>
    <w:rsid w:val="002455A1"/>
    <w:rsid w:val="0024586A"/>
    <w:rsid w:val="00245D18"/>
    <w:rsid w:val="002502E1"/>
    <w:rsid w:val="00251624"/>
    <w:rsid w:val="002518A2"/>
    <w:rsid w:val="002528B3"/>
    <w:rsid w:val="00256174"/>
    <w:rsid w:val="00256F0C"/>
    <w:rsid w:val="00262A91"/>
    <w:rsid w:val="00262C05"/>
    <w:rsid w:val="002634FC"/>
    <w:rsid w:val="00264A77"/>
    <w:rsid w:val="00267470"/>
    <w:rsid w:val="00270551"/>
    <w:rsid w:val="002715AF"/>
    <w:rsid w:val="00274D13"/>
    <w:rsid w:val="00276B8D"/>
    <w:rsid w:val="002803C4"/>
    <w:rsid w:val="00281D14"/>
    <w:rsid w:val="00282C13"/>
    <w:rsid w:val="002833C0"/>
    <w:rsid w:val="002833D8"/>
    <w:rsid w:val="00285FD5"/>
    <w:rsid w:val="00286134"/>
    <w:rsid w:val="00286BF6"/>
    <w:rsid w:val="00295D74"/>
    <w:rsid w:val="002A0DF7"/>
    <w:rsid w:val="002A2975"/>
    <w:rsid w:val="002A460D"/>
    <w:rsid w:val="002A544D"/>
    <w:rsid w:val="002A5EE9"/>
    <w:rsid w:val="002A60E0"/>
    <w:rsid w:val="002A7FC7"/>
    <w:rsid w:val="002B04F8"/>
    <w:rsid w:val="002B359D"/>
    <w:rsid w:val="002B3CE3"/>
    <w:rsid w:val="002B4111"/>
    <w:rsid w:val="002B538B"/>
    <w:rsid w:val="002B687A"/>
    <w:rsid w:val="002C1344"/>
    <w:rsid w:val="002C252E"/>
    <w:rsid w:val="002C459B"/>
    <w:rsid w:val="002C4D39"/>
    <w:rsid w:val="002C4E37"/>
    <w:rsid w:val="002C54F5"/>
    <w:rsid w:val="002C57DB"/>
    <w:rsid w:val="002C6773"/>
    <w:rsid w:val="002D269A"/>
    <w:rsid w:val="002D292F"/>
    <w:rsid w:val="002D2A3D"/>
    <w:rsid w:val="002D43BB"/>
    <w:rsid w:val="002D54A9"/>
    <w:rsid w:val="002D5D1D"/>
    <w:rsid w:val="002D6EFD"/>
    <w:rsid w:val="002D74CF"/>
    <w:rsid w:val="002E0B17"/>
    <w:rsid w:val="002E24F9"/>
    <w:rsid w:val="002E26B4"/>
    <w:rsid w:val="002E41D4"/>
    <w:rsid w:val="002E4FFB"/>
    <w:rsid w:val="002E788F"/>
    <w:rsid w:val="002E7DED"/>
    <w:rsid w:val="002F05AC"/>
    <w:rsid w:val="002F1024"/>
    <w:rsid w:val="002F7E11"/>
    <w:rsid w:val="00302CF9"/>
    <w:rsid w:val="00304087"/>
    <w:rsid w:val="003057B1"/>
    <w:rsid w:val="003062AD"/>
    <w:rsid w:val="00310ACD"/>
    <w:rsid w:val="00312834"/>
    <w:rsid w:val="0031379F"/>
    <w:rsid w:val="0031621E"/>
    <w:rsid w:val="0031661F"/>
    <w:rsid w:val="00316A16"/>
    <w:rsid w:val="00316D1F"/>
    <w:rsid w:val="00320A26"/>
    <w:rsid w:val="00320E5F"/>
    <w:rsid w:val="00321174"/>
    <w:rsid w:val="00321344"/>
    <w:rsid w:val="0032152B"/>
    <w:rsid w:val="00325064"/>
    <w:rsid w:val="00325EC9"/>
    <w:rsid w:val="0033451C"/>
    <w:rsid w:val="00334CB3"/>
    <w:rsid w:val="00336854"/>
    <w:rsid w:val="0033750F"/>
    <w:rsid w:val="0033769B"/>
    <w:rsid w:val="0034015C"/>
    <w:rsid w:val="00341C77"/>
    <w:rsid w:val="003425B2"/>
    <w:rsid w:val="003442F4"/>
    <w:rsid w:val="00345C66"/>
    <w:rsid w:val="0034797F"/>
    <w:rsid w:val="003509CB"/>
    <w:rsid w:val="00350CB4"/>
    <w:rsid w:val="00351DF1"/>
    <w:rsid w:val="00353705"/>
    <w:rsid w:val="003562E8"/>
    <w:rsid w:val="00357208"/>
    <w:rsid w:val="00360922"/>
    <w:rsid w:val="00362057"/>
    <w:rsid w:val="0036268A"/>
    <w:rsid w:val="00362F56"/>
    <w:rsid w:val="0036357D"/>
    <w:rsid w:val="003649BC"/>
    <w:rsid w:val="00364F7E"/>
    <w:rsid w:val="00365E44"/>
    <w:rsid w:val="003662B1"/>
    <w:rsid w:val="003669AC"/>
    <w:rsid w:val="00367AA1"/>
    <w:rsid w:val="00370A5B"/>
    <w:rsid w:val="00370CF7"/>
    <w:rsid w:val="00372E36"/>
    <w:rsid w:val="00375F7D"/>
    <w:rsid w:val="00376EE9"/>
    <w:rsid w:val="00376FFC"/>
    <w:rsid w:val="00377CBB"/>
    <w:rsid w:val="003811A5"/>
    <w:rsid w:val="00381BDA"/>
    <w:rsid w:val="00382112"/>
    <w:rsid w:val="003842C3"/>
    <w:rsid w:val="00384F62"/>
    <w:rsid w:val="00385355"/>
    <w:rsid w:val="00385438"/>
    <w:rsid w:val="003858E5"/>
    <w:rsid w:val="003877B6"/>
    <w:rsid w:val="0039036A"/>
    <w:rsid w:val="00391539"/>
    <w:rsid w:val="00391A5F"/>
    <w:rsid w:val="00393887"/>
    <w:rsid w:val="00394C6B"/>
    <w:rsid w:val="003957E0"/>
    <w:rsid w:val="00397EE6"/>
    <w:rsid w:val="003A066C"/>
    <w:rsid w:val="003A3FD5"/>
    <w:rsid w:val="003A4E2E"/>
    <w:rsid w:val="003A4E62"/>
    <w:rsid w:val="003A5A6A"/>
    <w:rsid w:val="003B1069"/>
    <w:rsid w:val="003B38CC"/>
    <w:rsid w:val="003B390A"/>
    <w:rsid w:val="003B4E3A"/>
    <w:rsid w:val="003B5E62"/>
    <w:rsid w:val="003C0D76"/>
    <w:rsid w:val="003C15DE"/>
    <w:rsid w:val="003C2889"/>
    <w:rsid w:val="003C342D"/>
    <w:rsid w:val="003C4EB2"/>
    <w:rsid w:val="003C52EC"/>
    <w:rsid w:val="003D3968"/>
    <w:rsid w:val="003D42AF"/>
    <w:rsid w:val="003D48E4"/>
    <w:rsid w:val="003D4A14"/>
    <w:rsid w:val="003E031D"/>
    <w:rsid w:val="003E1974"/>
    <w:rsid w:val="003F04D1"/>
    <w:rsid w:val="003F1AF3"/>
    <w:rsid w:val="003F2688"/>
    <w:rsid w:val="003F4D8D"/>
    <w:rsid w:val="003F4EE7"/>
    <w:rsid w:val="003F7A8E"/>
    <w:rsid w:val="00401508"/>
    <w:rsid w:val="00401688"/>
    <w:rsid w:val="0040386D"/>
    <w:rsid w:val="00412237"/>
    <w:rsid w:val="004125D4"/>
    <w:rsid w:val="004137C0"/>
    <w:rsid w:val="004138F3"/>
    <w:rsid w:val="004174D6"/>
    <w:rsid w:val="00420F61"/>
    <w:rsid w:val="00421F20"/>
    <w:rsid w:val="004220F5"/>
    <w:rsid w:val="00424090"/>
    <w:rsid w:val="00425755"/>
    <w:rsid w:val="004313E7"/>
    <w:rsid w:val="004339B2"/>
    <w:rsid w:val="00434DCD"/>
    <w:rsid w:val="00435150"/>
    <w:rsid w:val="004375F6"/>
    <w:rsid w:val="00441A3A"/>
    <w:rsid w:val="004423B1"/>
    <w:rsid w:val="00444A70"/>
    <w:rsid w:val="0044763B"/>
    <w:rsid w:val="00452696"/>
    <w:rsid w:val="0045600B"/>
    <w:rsid w:val="00456A53"/>
    <w:rsid w:val="004571D1"/>
    <w:rsid w:val="004614F7"/>
    <w:rsid w:val="004624B1"/>
    <w:rsid w:val="0046262B"/>
    <w:rsid w:val="0046266D"/>
    <w:rsid w:val="004629B3"/>
    <w:rsid w:val="0046376E"/>
    <w:rsid w:val="004640B1"/>
    <w:rsid w:val="00465C53"/>
    <w:rsid w:val="0046690F"/>
    <w:rsid w:val="00466B0F"/>
    <w:rsid w:val="00467047"/>
    <w:rsid w:val="00467DFA"/>
    <w:rsid w:val="00470E3B"/>
    <w:rsid w:val="00472FEC"/>
    <w:rsid w:val="00477F71"/>
    <w:rsid w:val="00483F75"/>
    <w:rsid w:val="004858E1"/>
    <w:rsid w:val="004864A1"/>
    <w:rsid w:val="00490A03"/>
    <w:rsid w:val="0049220C"/>
    <w:rsid w:val="00492B0A"/>
    <w:rsid w:val="00493327"/>
    <w:rsid w:val="0049382E"/>
    <w:rsid w:val="004947F2"/>
    <w:rsid w:val="00494DBE"/>
    <w:rsid w:val="0049579A"/>
    <w:rsid w:val="00495CE6"/>
    <w:rsid w:val="004968C3"/>
    <w:rsid w:val="004A144D"/>
    <w:rsid w:val="004A1D27"/>
    <w:rsid w:val="004A323C"/>
    <w:rsid w:val="004A4F6C"/>
    <w:rsid w:val="004B0801"/>
    <w:rsid w:val="004B1117"/>
    <w:rsid w:val="004B1A6B"/>
    <w:rsid w:val="004B54E8"/>
    <w:rsid w:val="004B7CCC"/>
    <w:rsid w:val="004C0138"/>
    <w:rsid w:val="004C034F"/>
    <w:rsid w:val="004C12E8"/>
    <w:rsid w:val="004C1578"/>
    <w:rsid w:val="004C1871"/>
    <w:rsid w:val="004C18DD"/>
    <w:rsid w:val="004C2B18"/>
    <w:rsid w:val="004C3049"/>
    <w:rsid w:val="004C33BA"/>
    <w:rsid w:val="004C4B20"/>
    <w:rsid w:val="004C4FEB"/>
    <w:rsid w:val="004C5AF1"/>
    <w:rsid w:val="004C6B79"/>
    <w:rsid w:val="004C7345"/>
    <w:rsid w:val="004C76C0"/>
    <w:rsid w:val="004D059B"/>
    <w:rsid w:val="004D0E64"/>
    <w:rsid w:val="004D48A8"/>
    <w:rsid w:val="004D4CB6"/>
    <w:rsid w:val="004D4DCB"/>
    <w:rsid w:val="004D5A57"/>
    <w:rsid w:val="004E0907"/>
    <w:rsid w:val="004E2650"/>
    <w:rsid w:val="004E32D5"/>
    <w:rsid w:val="004E3341"/>
    <w:rsid w:val="004E768A"/>
    <w:rsid w:val="004E77CD"/>
    <w:rsid w:val="004F10C1"/>
    <w:rsid w:val="004F25C7"/>
    <w:rsid w:val="004F2CFC"/>
    <w:rsid w:val="004F5AD9"/>
    <w:rsid w:val="00501D3D"/>
    <w:rsid w:val="00501F2F"/>
    <w:rsid w:val="00502E62"/>
    <w:rsid w:val="00503762"/>
    <w:rsid w:val="0050484D"/>
    <w:rsid w:val="00505B81"/>
    <w:rsid w:val="00506B8A"/>
    <w:rsid w:val="00511B95"/>
    <w:rsid w:val="0051248E"/>
    <w:rsid w:val="00515102"/>
    <w:rsid w:val="0052021B"/>
    <w:rsid w:val="0052212B"/>
    <w:rsid w:val="005230C7"/>
    <w:rsid w:val="005266EA"/>
    <w:rsid w:val="0053184C"/>
    <w:rsid w:val="00534344"/>
    <w:rsid w:val="00534ADD"/>
    <w:rsid w:val="00534B46"/>
    <w:rsid w:val="00540358"/>
    <w:rsid w:val="00540D47"/>
    <w:rsid w:val="00542578"/>
    <w:rsid w:val="005428D7"/>
    <w:rsid w:val="00542D43"/>
    <w:rsid w:val="005463C3"/>
    <w:rsid w:val="005507DE"/>
    <w:rsid w:val="00550864"/>
    <w:rsid w:val="0055121D"/>
    <w:rsid w:val="00551D6C"/>
    <w:rsid w:val="005535DF"/>
    <w:rsid w:val="0055571E"/>
    <w:rsid w:val="00556F67"/>
    <w:rsid w:val="005615E0"/>
    <w:rsid w:val="005617FD"/>
    <w:rsid w:val="0056247B"/>
    <w:rsid w:val="005652E8"/>
    <w:rsid w:val="0056749A"/>
    <w:rsid w:val="00570CF0"/>
    <w:rsid w:val="00571DF7"/>
    <w:rsid w:val="00575196"/>
    <w:rsid w:val="005761BA"/>
    <w:rsid w:val="0057667C"/>
    <w:rsid w:val="00576BDA"/>
    <w:rsid w:val="0058042D"/>
    <w:rsid w:val="005826DA"/>
    <w:rsid w:val="005833F0"/>
    <w:rsid w:val="00583B3C"/>
    <w:rsid w:val="005846A7"/>
    <w:rsid w:val="00586280"/>
    <w:rsid w:val="00586609"/>
    <w:rsid w:val="005869CE"/>
    <w:rsid w:val="00586CAF"/>
    <w:rsid w:val="005873E9"/>
    <w:rsid w:val="00591180"/>
    <w:rsid w:val="00591B6F"/>
    <w:rsid w:val="0059722C"/>
    <w:rsid w:val="00597D07"/>
    <w:rsid w:val="005A1018"/>
    <w:rsid w:val="005A16E6"/>
    <w:rsid w:val="005A2CCC"/>
    <w:rsid w:val="005A30D7"/>
    <w:rsid w:val="005A3846"/>
    <w:rsid w:val="005A4685"/>
    <w:rsid w:val="005A63CE"/>
    <w:rsid w:val="005A7E97"/>
    <w:rsid w:val="005B2CD2"/>
    <w:rsid w:val="005B379D"/>
    <w:rsid w:val="005B3CEC"/>
    <w:rsid w:val="005B5778"/>
    <w:rsid w:val="005B6A58"/>
    <w:rsid w:val="005C12EA"/>
    <w:rsid w:val="005C4A5B"/>
    <w:rsid w:val="005C57F0"/>
    <w:rsid w:val="005C58DB"/>
    <w:rsid w:val="005C7112"/>
    <w:rsid w:val="005D0561"/>
    <w:rsid w:val="005D0AD9"/>
    <w:rsid w:val="005D1A67"/>
    <w:rsid w:val="005D22F6"/>
    <w:rsid w:val="005D5FA0"/>
    <w:rsid w:val="005D68AA"/>
    <w:rsid w:val="005E0C30"/>
    <w:rsid w:val="005E0D58"/>
    <w:rsid w:val="005E134A"/>
    <w:rsid w:val="005E3EAB"/>
    <w:rsid w:val="005E3FBB"/>
    <w:rsid w:val="005E69D9"/>
    <w:rsid w:val="005F27F4"/>
    <w:rsid w:val="005F3239"/>
    <w:rsid w:val="005F6567"/>
    <w:rsid w:val="005F7A49"/>
    <w:rsid w:val="005F7A8A"/>
    <w:rsid w:val="00600A5E"/>
    <w:rsid w:val="00600ACF"/>
    <w:rsid w:val="00601ED3"/>
    <w:rsid w:val="006034EA"/>
    <w:rsid w:val="00604D69"/>
    <w:rsid w:val="00605F3A"/>
    <w:rsid w:val="00607094"/>
    <w:rsid w:val="00607256"/>
    <w:rsid w:val="0060790C"/>
    <w:rsid w:val="006144B1"/>
    <w:rsid w:val="006177FF"/>
    <w:rsid w:val="00624E82"/>
    <w:rsid w:val="006260F9"/>
    <w:rsid w:val="006265FD"/>
    <w:rsid w:val="00631F44"/>
    <w:rsid w:val="006335F1"/>
    <w:rsid w:val="006345B6"/>
    <w:rsid w:val="00635616"/>
    <w:rsid w:val="00635712"/>
    <w:rsid w:val="006368FF"/>
    <w:rsid w:val="00637394"/>
    <w:rsid w:val="0064107F"/>
    <w:rsid w:val="00643D8A"/>
    <w:rsid w:val="00645A5C"/>
    <w:rsid w:val="00646C33"/>
    <w:rsid w:val="00647CA6"/>
    <w:rsid w:val="00651FEA"/>
    <w:rsid w:val="00652229"/>
    <w:rsid w:val="00652793"/>
    <w:rsid w:val="00656513"/>
    <w:rsid w:val="006614FF"/>
    <w:rsid w:val="0066187E"/>
    <w:rsid w:val="006626CA"/>
    <w:rsid w:val="00663487"/>
    <w:rsid w:val="00664612"/>
    <w:rsid w:val="006655D3"/>
    <w:rsid w:val="00671877"/>
    <w:rsid w:val="00672382"/>
    <w:rsid w:val="00676CCD"/>
    <w:rsid w:val="00677016"/>
    <w:rsid w:val="00681257"/>
    <w:rsid w:val="00681524"/>
    <w:rsid w:val="00682643"/>
    <w:rsid w:val="00682EB9"/>
    <w:rsid w:val="00683CF8"/>
    <w:rsid w:val="0068441A"/>
    <w:rsid w:val="0069084E"/>
    <w:rsid w:val="00690A61"/>
    <w:rsid w:val="00690B19"/>
    <w:rsid w:val="00693400"/>
    <w:rsid w:val="006A0A3C"/>
    <w:rsid w:val="006A17C9"/>
    <w:rsid w:val="006A59E9"/>
    <w:rsid w:val="006A79F0"/>
    <w:rsid w:val="006B0142"/>
    <w:rsid w:val="006B14D8"/>
    <w:rsid w:val="006B1987"/>
    <w:rsid w:val="006B3442"/>
    <w:rsid w:val="006B3A37"/>
    <w:rsid w:val="006B47EE"/>
    <w:rsid w:val="006B499F"/>
    <w:rsid w:val="006B5105"/>
    <w:rsid w:val="006B5E98"/>
    <w:rsid w:val="006C33BE"/>
    <w:rsid w:val="006C5B53"/>
    <w:rsid w:val="006C7E78"/>
    <w:rsid w:val="006D098F"/>
    <w:rsid w:val="006D20E3"/>
    <w:rsid w:val="006D3FF3"/>
    <w:rsid w:val="006D4996"/>
    <w:rsid w:val="006D535B"/>
    <w:rsid w:val="006D54AB"/>
    <w:rsid w:val="006D583A"/>
    <w:rsid w:val="006D5FC6"/>
    <w:rsid w:val="006E1FA9"/>
    <w:rsid w:val="006E29A0"/>
    <w:rsid w:val="006E3006"/>
    <w:rsid w:val="006E5032"/>
    <w:rsid w:val="006E5721"/>
    <w:rsid w:val="006E5BDA"/>
    <w:rsid w:val="006F056C"/>
    <w:rsid w:val="006F0FC7"/>
    <w:rsid w:val="006F39A9"/>
    <w:rsid w:val="006F4119"/>
    <w:rsid w:val="006F5B98"/>
    <w:rsid w:val="006F6319"/>
    <w:rsid w:val="006F643F"/>
    <w:rsid w:val="006F670F"/>
    <w:rsid w:val="006F77F3"/>
    <w:rsid w:val="007010EE"/>
    <w:rsid w:val="00701DCE"/>
    <w:rsid w:val="00702921"/>
    <w:rsid w:val="00703272"/>
    <w:rsid w:val="0070733C"/>
    <w:rsid w:val="00710C5D"/>
    <w:rsid w:val="0071348C"/>
    <w:rsid w:val="00717220"/>
    <w:rsid w:val="00717273"/>
    <w:rsid w:val="00720FD4"/>
    <w:rsid w:val="007228B5"/>
    <w:rsid w:val="00724AF2"/>
    <w:rsid w:val="0073096C"/>
    <w:rsid w:val="0073100D"/>
    <w:rsid w:val="00731115"/>
    <w:rsid w:val="00732827"/>
    <w:rsid w:val="00733429"/>
    <w:rsid w:val="00733A46"/>
    <w:rsid w:val="00735E2D"/>
    <w:rsid w:val="00740F46"/>
    <w:rsid w:val="007419C8"/>
    <w:rsid w:val="00742398"/>
    <w:rsid w:val="007432A9"/>
    <w:rsid w:val="0074371C"/>
    <w:rsid w:val="00745104"/>
    <w:rsid w:val="007507B5"/>
    <w:rsid w:val="0075091D"/>
    <w:rsid w:val="007524A0"/>
    <w:rsid w:val="00752D67"/>
    <w:rsid w:val="00753A24"/>
    <w:rsid w:val="0075430D"/>
    <w:rsid w:val="007560B0"/>
    <w:rsid w:val="00757E6A"/>
    <w:rsid w:val="00767F2F"/>
    <w:rsid w:val="007709ED"/>
    <w:rsid w:val="00772188"/>
    <w:rsid w:val="0077222A"/>
    <w:rsid w:val="00774C85"/>
    <w:rsid w:val="00775FBF"/>
    <w:rsid w:val="007813D0"/>
    <w:rsid w:val="007828DE"/>
    <w:rsid w:val="007845AC"/>
    <w:rsid w:val="00784F3F"/>
    <w:rsid w:val="00785248"/>
    <w:rsid w:val="00785993"/>
    <w:rsid w:val="007859F2"/>
    <w:rsid w:val="00785E5A"/>
    <w:rsid w:val="007866E2"/>
    <w:rsid w:val="00786BA3"/>
    <w:rsid w:val="00791B1A"/>
    <w:rsid w:val="0079202F"/>
    <w:rsid w:val="007927E2"/>
    <w:rsid w:val="007934C3"/>
    <w:rsid w:val="00793A4C"/>
    <w:rsid w:val="00794903"/>
    <w:rsid w:val="00795AF2"/>
    <w:rsid w:val="00795E4F"/>
    <w:rsid w:val="007A09FC"/>
    <w:rsid w:val="007A22C8"/>
    <w:rsid w:val="007A2AAD"/>
    <w:rsid w:val="007A4021"/>
    <w:rsid w:val="007A4432"/>
    <w:rsid w:val="007A68B3"/>
    <w:rsid w:val="007A784E"/>
    <w:rsid w:val="007A7855"/>
    <w:rsid w:val="007A7E31"/>
    <w:rsid w:val="007B0B16"/>
    <w:rsid w:val="007B246A"/>
    <w:rsid w:val="007B2DAD"/>
    <w:rsid w:val="007B3805"/>
    <w:rsid w:val="007B4939"/>
    <w:rsid w:val="007B499C"/>
    <w:rsid w:val="007B4D4B"/>
    <w:rsid w:val="007B58C6"/>
    <w:rsid w:val="007C0646"/>
    <w:rsid w:val="007C1E9D"/>
    <w:rsid w:val="007C37C5"/>
    <w:rsid w:val="007C3AE3"/>
    <w:rsid w:val="007C3CC1"/>
    <w:rsid w:val="007D0000"/>
    <w:rsid w:val="007D2A02"/>
    <w:rsid w:val="007D62A4"/>
    <w:rsid w:val="007E1736"/>
    <w:rsid w:val="007E2079"/>
    <w:rsid w:val="007E2887"/>
    <w:rsid w:val="007E6EA1"/>
    <w:rsid w:val="007E7E69"/>
    <w:rsid w:val="007E7F63"/>
    <w:rsid w:val="007F023C"/>
    <w:rsid w:val="007F0F63"/>
    <w:rsid w:val="007F2261"/>
    <w:rsid w:val="007F2B1E"/>
    <w:rsid w:val="007F4590"/>
    <w:rsid w:val="007F62B4"/>
    <w:rsid w:val="007F71B3"/>
    <w:rsid w:val="007F7DF9"/>
    <w:rsid w:val="00801517"/>
    <w:rsid w:val="00810E17"/>
    <w:rsid w:val="00813492"/>
    <w:rsid w:val="0081698D"/>
    <w:rsid w:val="00817895"/>
    <w:rsid w:val="00817AE8"/>
    <w:rsid w:val="00817DE8"/>
    <w:rsid w:val="008229F5"/>
    <w:rsid w:val="0082699A"/>
    <w:rsid w:val="00827F2A"/>
    <w:rsid w:val="00832633"/>
    <w:rsid w:val="00833CEB"/>
    <w:rsid w:val="0083710E"/>
    <w:rsid w:val="008372D2"/>
    <w:rsid w:val="008377BC"/>
    <w:rsid w:val="0084201F"/>
    <w:rsid w:val="00844C17"/>
    <w:rsid w:val="00846017"/>
    <w:rsid w:val="00847726"/>
    <w:rsid w:val="00851593"/>
    <w:rsid w:val="00851CB1"/>
    <w:rsid w:val="00851EA1"/>
    <w:rsid w:val="00852511"/>
    <w:rsid w:val="00852F56"/>
    <w:rsid w:val="0085429D"/>
    <w:rsid w:val="00855CA4"/>
    <w:rsid w:val="0085729F"/>
    <w:rsid w:val="00857408"/>
    <w:rsid w:val="008578A9"/>
    <w:rsid w:val="0086072A"/>
    <w:rsid w:val="0086088F"/>
    <w:rsid w:val="008614F1"/>
    <w:rsid w:val="00861DEE"/>
    <w:rsid w:val="008625C6"/>
    <w:rsid w:val="008639B3"/>
    <w:rsid w:val="00863C1A"/>
    <w:rsid w:val="0086470F"/>
    <w:rsid w:val="00864D86"/>
    <w:rsid w:val="00865882"/>
    <w:rsid w:val="00866CDD"/>
    <w:rsid w:val="008712FE"/>
    <w:rsid w:val="0087142D"/>
    <w:rsid w:val="00872928"/>
    <w:rsid w:val="00873416"/>
    <w:rsid w:val="00873956"/>
    <w:rsid w:val="00877800"/>
    <w:rsid w:val="00880E72"/>
    <w:rsid w:val="008825EE"/>
    <w:rsid w:val="008827AC"/>
    <w:rsid w:val="00883B3B"/>
    <w:rsid w:val="00883CC0"/>
    <w:rsid w:val="008842CA"/>
    <w:rsid w:val="0088596E"/>
    <w:rsid w:val="00886C54"/>
    <w:rsid w:val="008870ED"/>
    <w:rsid w:val="008877FC"/>
    <w:rsid w:val="0089796A"/>
    <w:rsid w:val="008A2375"/>
    <w:rsid w:val="008A54B6"/>
    <w:rsid w:val="008B119F"/>
    <w:rsid w:val="008B251E"/>
    <w:rsid w:val="008B73F3"/>
    <w:rsid w:val="008C02E6"/>
    <w:rsid w:val="008C5181"/>
    <w:rsid w:val="008C6041"/>
    <w:rsid w:val="008C74E3"/>
    <w:rsid w:val="008D6264"/>
    <w:rsid w:val="008D693B"/>
    <w:rsid w:val="008D76C5"/>
    <w:rsid w:val="008E0A04"/>
    <w:rsid w:val="008E0AFA"/>
    <w:rsid w:val="008E5D13"/>
    <w:rsid w:val="008E709A"/>
    <w:rsid w:val="008E75D3"/>
    <w:rsid w:val="008E7BE6"/>
    <w:rsid w:val="008F02E9"/>
    <w:rsid w:val="008F0CE4"/>
    <w:rsid w:val="008F125E"/>
    <w:rsid w:val="008F1C0E"/>
    <w:rsid w:val="008F2B54"/>
    <w:rsid w:val="008F342B"/>
    <w:rsid w:val="008F4C1E"/>
    <w:rsid w:val="008F4D2F"/>
    <w:rsid w:val="008F510A"/>
    <w:rsid w:val="008F66C9"/>
    <w:rsid w:val="00900235"/>
    <w:rsid w:val="00900440"/>
    <w:rsid w:val="00906292"/>
    <w:rsid w:val="00906C23"/>
    <w:rsid w:val="009110EF"/>
    <w:rsid w:val="009111C4"/>
    <w:rsid w:val="00914B5B"/>
    <w:rsid w:val="00917162"/>
    <w:rsid w:val="009172B9"/>
    <w:rsid w:val="009178AA"/>
    <w:rsid w:val="009242C4"/>
    <w:rsid w:val="009251CC"/>
    <w:rsid w:val="00925E5C"/>
    <w:rsid w:val="0092714E"/>
    <w:rsid w:val="009324F0"/>
    <w:rsid w:val="0094024E"/>
    <w:rsid w:val="00942002"/>
    <w:rsid w:val="00942359"/>
    <w:rsid w:val="00943626"/>
    <w:rsid w:val="00944A6B"/>
    <w:rsid w:val="00945C90"/>
    <w:rsid w:val="00947885"/>
    <w:rsid w:val="00947BC2"/>
    <w:rsid w:val="009504AB"/>
    <w:rsid w:val="0095097D"/>
    <w:rsid w:val="00951212"/>
    <w:rsid w:val="00952168"/>
    <w:rsid w:val="009527FE"/>
    <w:rsid w:val="009529B2"/>
    <w:rsid w:val="009535A6"/>
    <w:rsid w:val="00960539"/>
    <w:rsid w:val="00962BA6"/>
    <w:rsid w:val="00971FD4"/>
    <w:rsid w:val="009739A0"/>
    <w:rsid w:val="00974150"/>
    <w:rsid w:val="00974EE4"/>
    <w:rsid w:val="00974F84"/>
    <w:rsid w:val="00976216"/>
    <w:rsid w:val="009767C7"/>
    <w:rsid w:val="00976B7D"/>
    <w:rsid w:val="00983389"/>
    <w:rsid w:val="0098579A"/>
    <w:rsid w:val="00990CCD"/>
    <w:rsid w:val="00991475"/>
    <w:rsid w:val="009918DD"/>
    <w:rsid w:val="0099195A"/>
    <w:rsid w:val="00992A11"/>
    <w:rsid w:val="00994681"/>
    <w:rsid w:val="0099486A"/>
    <w:rsid w:val="0099549D"/>
    <w:rsid w:val="0099600B"/>
    <w:rsid w:val="00996AD2"/>
    <w:rsid w:val="009A032B"/>
    <w:rsid w:val="009A0E26"/>
    <w:rsid w:val="009A0E33"/>
    <w:rsid w:val="009A16EC"/>
    <w:rsid w:val="009A22C2"/>
    <w:rsid w:val="009B0819"/>
    <w:rsid w:val="009B29B7"/>
    <w:rsid w:val="009B3199"/>
    <w:rsid w:val="009B3B37"/>
    <w:rsid w:val="009B59D6"/>
    <w:rsid w:val="009B7D1F"/>
    <w:rsid w:val="009C032B"/>
    <w:rsid w:val="009C088E"/>
    <w:rsid w:val="009C1E32"/>
    <w:rsid w:val="009C4D35"/>
    <w:rsid w:val="009D1522"/>
    <w:rsid w:val="009D522D"/>
    <w:rsid w:val="009D7252"/>
    <w:rsid w:val="009E5EB4"/>
    <w:rsid w:val="009E7A25"/>
    <w:rsid w:val="009F01FB"/>
    <w:rsid w:val="009F21A7"/>
    <w:rsid w:val="009F49E1"/>
    <w:rsid w:val="009F563C"/>
    <w:rsid w:val="009F610E"/>
    <w:rsid w:val="009F6400"/>
    <w:rsid w:val="00A00F7E"/>
    <w:rsid w:val="00A01F37"/>
    <w:rsid w:val="00A044D6"/>
    <w:rsid w:val="00A04ADB"/>
    <w:rsid w:val="00A04F89"/>
    <w:rsid w:val="00A05D26"/>
    <w:rsid w:val="00A05F11"/>
    <w:rsid w:val="00A11B1B"/>
    <w:rsid w:val="00A11E0F"/>
    <w:rsid w:val="00A141E9"/>
    <w:rsid w:val="00A15D78"/>
    <w:rsid w:val="00A16FC1"/>
    <w:rsid w:val="00A216E5"/>
    <w:rsid w:val="00A22886"/>
    <w:rsid w:val="00A26744"/>
    <w:rsid w:val="00A26CB6"/>
    <w:rsid w:val="00A306C3"/>
    <w:rsid w:val="00A32F82"/>
    <w:rsid w:val="00A32F8B"/>
    <w:rsid w:val="00A3756F"/>
    <w:rsid w:val="00A37906"/>
    <w:rsid w:val="00A41A4C"/>
    <w:rsid w:val="00A42D6F"/>
    <w:rsid w:val="00A4474B"/>
    <w:rsid w:val="00A45A62"/>
    <w:rsid w:val="00A4674C"/>
    <w:rsid w:val="00A5268A"/>
    <w:rsid w:val="00A54AC5"/>
    <w:rsid w:val="00A55DC3"/>
    <w:rsid w:val="00A56D41"/>
    <w:rsid w:val="00A56DEC"/>
    <w:rsid w:val="00A60529"/>
    <w:rsid w:val="00A61353"/>
    <w:rsid w:val="00A61481"/>
    <w:rsid w:val="00A629D6"/>
    <w:rsid w:val="00A637C9"/>
    <w:rsid w:val="00A648DE"/>
    <w:rsid w:val="00A66958"/>
    <w:rsid w:val="00A66DB1"/>
    <w:rsid w:val="00A67A92"/>
    <w:rsid w:val="00A70DC6"/>
    <w:rsid w:val="00A71459"/>
    <w:rsid w:val="00A71A39"/>
    <w:rsid w:val="00A770B5"/>
    <w:rsid w:val="00A834FD"/>
    <w:rsid w:val="00A842D5"/>
    <w:rsid w:val="00A86644"/>
    <w:rsid w:val="00A87870"/>
    <w:rsid w:val="00A91A70"/>
    <w:rsid w:val="00A9290C"/>
    <w:rsid w:val="00A944BB"/>
    <w:rsid w:val="00A957F6"/>
    <w:rsid w:val="00A97316"/>
    <w:rsid w:val="00AA0D54"/>
    <w:rsid w:val="00AA1B85"/>
    <w:rsid w:val="00AA1E3B"/>
    <w:rsid w:val="00AA3290"/>
    <w:rsid w:val="00AA346C"/>
    <w:rsid w:val="00AB1CB6"/>
    <w:rsid w:val="00AB1D9A"/>
    <w:rsid w:val="00AB2B21"/>
    <w:rsid w:val="00AB333F"/>
    <w:rsid w:val="00AB47EC"/>
    <w:rsid w:val="00AC234B"/>
    <w:rsid w:val="00AC3540"/>
    <w:rsid w:val="00AC50FB"/>
    <w:rsid w:val="00AC546B"/>
    <w:rsid w:val="00AC63A8"/>
    <w:rsid w:val="00AD0109"/>
    <w:rsid w:val="00AD0A56"/>
    <w:rsid w:val="00AD0C22"/>
    <w:rsid w:val="00AD442C"/>
    <w:rsid w:val="00AD44FE"/>
    <w:rsid w:val="00AD5A37"/>
    <w:rsid w:val="00AD6AA1"/>
    <w:rsid w:val="00AE05A4"/>
    <w:rsid w:val="00AE25FC"/>
    <w:rsid w:val="00AE400C"/>
    <w:rsid w:val="00AE49F1"/>
    <w:rsid w:val="00AE4A1C"/>
    <w:rsid w:val="00AE4B7A"/>
    <w:rsid w:val="00AE5532"/>
    <w:rsid w:val="00AE6879"/>
    <w:rsid w:val="00AE756A"/>
    <w:rsid w:val="00AF5B77"/>
    <w:rsid w:val="00B02550"/>
    <w:rsid w:val="00B02C7B"/>
    <w:rsid w:val="00B05CCA"/>
    <w:rsid w:val="00B06D92"/>
    <w:rsid w:val="00B07125"/>
    <w:rsid w:val="00B1132A"/>
    <w:rsid w:val="00B12B54"/>
    <w:rsid w:val="00B14271"/>
    <w:rsid w:val="00B16270"/>
    <w:rsid w:val="00B1753B"/>
    <w:rsid w:val="00B216CE"/>
    <w:rsid w:val="00B23C16"/>
    <w:rsid w:val="00B23C52"/>
    <w:rsid w:val="00B2438D"/>
    <w:rsid w:val="00B259E1"/>
    <w:rsid w:val="00B2685D"/>
    <w:rsid w:val="00B30351"/>
    <w:rsid w:val="00B33C2A"/>
    <w:rsid w:val="00B35967"/>
    <w:rsid w:val="00B422EC"/>
    <w:rsid w:val="00B44875"/>
    <w:rsid w:val="00B460B5"/>
    <w:rsid w:val="00B47F0A"/>
    <w:rsid w:val="00B50B6B"/>
    <w:rsid w:val="00B517CD"/>
    <w:rsid w:val="00B54885"/>
    <w:rsid w:val="00B550DE"/>
    <w:rsid w:val="00B5628D"/>
    <w:rsid w:val="00B634AB"/>
    <w:rsid w:val="00B63624"/>
    <w:rsid w:val="00B675CD"/>
    <w:rsid w:val="00B714EF"/>
    <w:rsid w:val="00B715CF"/>
    <w:rsid w:val="00B726D4"/>
    <w:rsid w:val="00B73A1C"/>
    <w:rsid w:val="00B748CA"/>
    <w:rsid w:val="00B75032"/>
    <w:rsid w:val="00B80896"/>
    <w:rsid w:val="00B8214F"/>
    <w:rsid w:val="00B82B43"/>
    <w:rsid w:val="00B82B48"/>
    <w:rsid w:val="00B84AE3"/>
    <w:rsid w:val="00B85133"/>
    <w:rsid w:val="00B86178"/>
    <w:rsid w:val="00B86A4F"/>
    <w:rsid w:val="00B879FF"/>
    <w:rsid w:val="00B921F8"/>
    <w:rsid w:val="00B924E4"/>
    <w:rsid w:val="00B93035"/>
    <w:rsid w:val="00B953F9"/>
    <w:rsid w:val="00B958E8"/>
    <w:rsid w:val="00B97CBC"/>
    <w:rsid w:val="00B97E4A"/>
    <w:rsid w:val="00BA09B2"/>
    <w:rsid w:val="00BA0F35"/>
    <w:rsid w:val="00BA1EEC"/>
    <w:rsid w:val="00BA465D"/>
    <w:rsid w:val="00BA5B46"/>
    <w:rsid w:val="00BB0327"/>
    <w:rsid w:val="00BB2D73"/>
    <w:rsid w:val="00BB45BA"/>
    <w:rsid w:val="00BB4A3A"/>
    <w:rsid w:val="00BB5D0B"/>
    <w:rsid w:val="00BB63A8"/>
    <w:rsid w:val="00BC0995"/>
    <w:rsid w:val="00BC179A"/>
    <w:rsid w:val="00BC61BB"/>
    <w:rsid w:val="00BC6DE2"/>
    <w:rsid w:val="00BC6E62"/>
    <w:rsid w:val="00BD0A65"/>
    <w:rsid w:val="00BD3A53"/>
    <w:rsid w:val="00BD656A"/>
    <w:rsid w:val="00BD707B"/>
    <w:rsid w:val="00BD71F4"/>
    <w:rsid w:val="00BE00D8"/>
    <w:rsid w:val="00BE0A46"/>
    <w:rsid w:val="00BE2D0A"/>
    <w:rsid w:val="00BE47D4"/>
    <w:rsid w:val="00BE48D3"/>
    <w:rsid w:val="00BE4BF9"/>
    <w:rsid w:val="00BE793A"/>
    <w:rsid w:val="00BE7A0B"/>
    <w:rsid w:val="00BE7A4D"/>
    <w:rsid w:val="00BF0564"/>
    <w:rsid w:val="00BF2B82"/>
    <w:rsid w:val="00BF432A"/>
    <w:rsid w:val="00BF6E82"/>
    <w:rsid w:val="00BF6F12"/>
    <w:rsid w:val="00C060C7"/>
    <w:rsid w:val="00C06E23"/>
    <w:rsid w:val="00C10EA4"/>
    <w:rsid w:val="00C132DD"/>
    <w:rsid w:val="00C169EE"/>
    <w:rsid w:val="00C16F8F"/>
    <w:rsid w:val="00C17762"/>
    <w:rsid w:val="00C1787E"/>
    <w:rsid w:val="00C2036B"/>
    <w:rsid w:val="00C21897"/>
    <w:rsid w:val="00C223C7"/>
    <w:rsid w:val="00C24C17"/>
    <w:rsid w:val="00C31148"/>
    <w:rsid w:val="00C34829"/>
    <w:rsid w:val="00C3628C"/>
    <w:rsid w:val="00C3758F"/>
    <w:rsid w:val="00C40B88"/>
    <w:rsid w:val="00C40EA7"/>
    <w:rsid w:val="00C43087"/>
    <w:rsid w:val="00C433B8"/>
    <w:rsid w:val="00C44489"/>
    <w:rsid w:val="00C44EFC"/>
    <w:rsid w:val="00C44FC2"/>
    <w:rsid w:val="00C47D87"/>
    <w:rsid w:val="00C5376E"/>
    <w:rsid w:val="00C5425F"/>
    <w:rsid w:val="00C55AEE"/>
    <w:rsid w:val="00C5701B"/>
    <w:rsid w:val="00C64D40"/>
    <w:rsid w:val="00C65D49"/>
    <w:rsid w:val="00C66218"/>
    <w:rsid w:val="00C6721A"/>
    <w:rsid w:val="00C677C9"/>
    <w:rsid w:val="00C70DBC"/>
    <w:rsid w:val="00C70E96"/>
    <w:rsid w:val="00C73719"/>
    <w:rsid w:val="00C76A8E"/>
    <w:rsid w:val="00C808A6"/>
    <w:rsid w:val="00C814E9"/>
    <w:rsid w:val="00C81F23"/>
    <w:rsid w:val="00C855DB"/>
    <w:rsid w:val="00C855F3"/>
    <w:rsid w:val="00C85AEA"/>
    <w:rsid w:val="00C86270"/>
    <w:rsid w:val="00C8725F"/>
    <w:rsid w:val="00C905CB"/>
    <w:rsid w:val="00C96A6A"/>
    <w:rsid w:val="00C97091"/>
    <w:rsid w:val="00C97260"/>
    <w:rsid w:val="00CA015E"/>
    <w:rsid w:val="00CA2001"/>
    <w:rsid w:val="00CA3B72"/>
    <w:rsid w:val="00CB2211"/>
    <w:rsid w:val="00CB3782"/>
    <w:rsid w:val="00CB5B6C"/>
    <w:rsid w:val="00CB5C5D"/>
    <w:rsid w:val="00CC052E"/>
    <w:rsid w:val="00CC1B25"/>
    <w:rsid w:val="00CC3B07"/>
    <w:rsid w:val="00CC7E82"/>
    <w:rsid w:val="00CD16BE"/>
    <w:rsid w:val="00CD2268"/>
    <w:rsid w:val="00CD4616"/>
    <w:rsid w:val="00CD56AF"/>
    <w:rsid w:val="00CE2A8C"/>
    <w:rsid w:val="00CE33D5"/>
    <w:rsid w:val="00CE4712"/>
    <w:rsid w:val="00CE7F84"/>
    <w:rsid w:val="00CF44F7"/>
    <w:rsid w:val="00CF5316"/>
    <w:rsid w:val="00CF531A"/>
    <w:rsid w:val="00CF5D37"/>
    <w:rsid w:val="00CF6F33"/>
    <w:rsid w:val="00D00A97"/>
    <w:rsid w:val="00D012A9"/>
    <w:rsid w:val="00D02248"/>
    <w:rsid w:val="00D04429"/>
    <w:rsid w:val="00D04E37"/>
    <w:rsid w:val="00D0568F"/>
    <w:rsid w:val="00D063B8"/>
    <w:rsid w:val="00D06825"/>
    <w:rsid w:val="00D0723C"/>
    <w:rsid w:val="00D07467"/>
    <w:rsid w:val="00D07A0C"/>
    <w:rsid w:val="00D107B3"/>
    <w:rsid w:val="00D11AF4"/>
    <w:rsid w:val="00D12024"/>
    <w:rsid w:val="00D152CF"/>
    <w:rsid w:val="00D16B2B"/>
    <w:rsid w:val="00D17E3B"/>
    <w:rsid w:val="00D2306F"/>
    <w:rsid w:val="00D23C09"/>
    <w:rsid w:val="00D23CED"/>
    <w:rsid w:val="00D241D1"/>
    <w:rsid w:val="00D249AB"/>
    <w:rsid w:val="00D24BD2"/>
    <w:rsid w:val="00D2573D"/>
    <w:rsid w:val="00D260A2"/>
    <w:rsid w:val="00D26A56"/>
    <w:rsid w:val="00D30CC6"/>
    <w:rsid w:val="00D31722"/>
    <w:rsid w:val="00D31C11"/>
    <w:rsid w:val="00D3260C"/>
    <w:rsid w:val="00D332E6"/>
    <w:rsid w:val="00D33DB5"/>
    <w:rsid w:val="00D35790"/>
    <w:rsid w:val="00D37DD9"/>
    <w:rsid w:val="00D40964"/>
    <w:rsid w:val="00D41BFE"/>
    <w:rsid w:val="00D42585"/>
    <w:rsid w:val="00D4700E"/>
    <w:rsid w:val="00D50EEC"/>
    <w:rsid w:val="00D51350"/>
    <w:rsid w:val="00D514D8"/>
    <w:rsid w:val="00D519AF"/>
    <w:rsid w:val="00D532A9"/>
    <w:rsid w:val="00D5437A"/>
    <w:rsid w:val="00D5611E"/>
    <w:rsid w:val="00D56358"/>
    <w:rsid w:val="00D5653B"/>
    <w:rsid w:val="00D5726D"/>
    <w:rsid w:val="00D57B8C"/>
    <w:rsid w:val="00D61D6E"/>
    <w:rsid w:val="00D62EF1"/>
    <w:rsid w:val="00D6309D"/>
    <w:rsid w:val="00D6329C"/>
    <w:rsid w:val="00D63915"/>
    <w:rsid w:val="00D64145"/>
    <w:rsid w:val="00D644C2"/>
    <w:rsid w:val="00D644CA"/>
    <w:rsid w:val="00D64EA0"/>
    <w:rsid w:val="00D66FC2"/>
    <w:rsid w:val="00D7044E"/>
    <w:rsid w:val="00D72DD3"/>
    <w:rsid w:val="00D72E1E"/>
    <w:rsid w:val="00D738B2"/>
    <w:rsid w:val="00D76C7E"/>
    <w:rsid w:val="00D76E73"/>
    <w:rsid w:val="00D771DE"/>
    <w:rsid w:val="00D7776D"/>
    <w:rsid w:val="00D82A0F"/>
    <w:rsid w:val="00D834F1"/>
    <w:rsid w:val="00D835F6"/>
    <w:rsid w:val="00D83609"/>
    <w:rsid w:val="00D9088C"/>
    <w:rsid w:val="00D92179"/>
    <w:rsid w:val="00D922C6"/>
    <w:rsid w:val="00D9293F"/>
    <w:rsid w:val="00D92DE7"/>
    <w:rsid w:val="00D93598"/>
    <w:rsid w:val="00D93FDD"/>
    <w:rsid w:val="00D94168"/>
    <w:rsid w:val="00DA1E18"/>
    <w:rsid w:val="00DA2009"/>
    <w:rsid w:val="00DA4D27"/>
    <w:rsid w:val="00DA7769"/>
    <w:rsid w:val="00DB05B1"/>
    <w:rsid w:val="00DB2823"/>
    <w:rsid w:val="00DB2D74"/>
    <w:rsid w:val="00DB3786"/>
    <w:rsid w:val="00DB59E8"/>
    <w:rsid w:val="00DB5A79"/>
    <w:rsid w:val="00DB7881"/>
    <w:rsid w:val="00DC2465"/>
    <w:rsid w:val="00DC6195"/>
    <w:rsid w:val="00DC7D48"/>
    <w:rsid w:val="00DD0C3F"/>
    <w:rsid w:val="00DD145A"/>
    <w:rsid w:val="00DD1A30"/>
    <w:rsid w:val="00DD3080"/>
    <w:rsid w:val="00DD512E"/>
    <w:rsid w:val="00DD5EC8"/>
    <w:rsid w:val="00DE1177"/>
    <w:rsid w:val="00DE2052"/>
    <w:rsid w:val="00DE2CEA"/>
    <w:rsid w:val="00DE5075"/>
    <w:rsid w:val="00DE55CF"/>
    <w:rsid w:val="00DE6154"/>
    <w:rsid w:val="00DE6A3C"/>
    <w:rsid w:val="00DE6D2A"/>
    <w:rsid w:val="00DE74F4"/>
    <w:rsid w:val="00DE7F97"/>
    <w:rsid w:val="00DF1010"/>
    <w:rsid w:val="00DF5AEA"/>
    <w:rsid w:val="00DF63F6"/>
    <w:rsid w:val="00DF7BD0"/>
    <w:rsid w:val="00E006F4"/>
    <w:rsid w:val="00E00AEF"/>
    <w:rsid w:val="00E0219D"/>
    <w:rsid w:val="00E033FC"/>
    <w:rsid w:val="00E0374B"/>
    <w:rsid w:val="00E07AB9"/>
    <w:rsid w:val="00E10218"/>
    <w:rsid w:val="00E10B28"/>
    <w:rsid w:val="00E117FD"/>
    <w:rsid w:val="00E13747"/>
    <w:rsid w:val="00E14758"/>
    <w:rsid w:val="00E172C7"/>
    <w:rsid w:val="00E21088"/>
    <w:rsid w:val="00E22A7F"/>
    <w:rsid w:val="00E23E29"/>
    <w:rsid w:val="00E24632"/>
    <w:rsid w:val="00E259A7"/>
    <w:rsid w:val="00E25AEA"/>
    <w:rsid w:val="00E25F09"/>
    <w:rsid w:val="00E306A1"/>
    <w:rsid w:val="00E30D26"/>
    <w:rsid w:val="00E30DEF"/>
    <w:rsid w:val="00E30ED2"/>
    <w:rsid w:val="00E31276"/>
    <w:rsid w:val="00E32102"/>
    <w:rsid w:val="00E34666"/>
    <w:rsid w:val="00E35A62"/>
    <w:rsid w:val="00E36A66"/>
    <w:rsid w:val="00E37F70"/>
    <w:rsid w:val="00E41377"/>
    <w:rsid w:val="00E41985"/>
    <w:rsid w:val="00E41CE4"/>
    <w:rsid w:val="00E446C1"/>
    <w:rsid w:val="00E45F68"/>
    <w:rsid w:val="00E46BCD"/>
    <w:rsid w:val="00E4740A"/>
    <w:rsid w:val="00E47FE7"/>
    <w:rsid w:val="00E53506"/>
    <w:rsid w:val="00E545D7"/>
    <w:rsid w:val="00E547FE"/>
    <w:rsid w:val="00E5669C"/>
    <w:rsid w:val="00E57DDC"/>
    <w:rsid w:val="00E60ECA"/>
    <w:rsid w:val="00E613AB"/>
    <w:rsid w:val="00E621EA"/>
    <w:rsid w:val="00E6312A"/>
    <w:rsid w:val="00E63F65"/>
    <w:rsid w:val="00E64B6E"/>
    <w:rsid w:val="00E663B6"/>
    <w:rsid w:val="00E6780D"/>
    <w:rsid w:val="00E71439"/>
    <w:rsid w:val="00E71CB0"/>
    <w:rsid w:val="00E73848"/>
    <w:rsid w:val="00E758B9"/>
    <w:rsid w:val="00E82191"/>
    <w:rsid w:val="00E84236"/>
    <w:rsid w:val="00E85569"/>
    <w:rsid w:val="00E856AF"/>
    <w:rsid w:val="00E86B83"/>
    <w:rsid w:val="00E86C57"/>
    <w:rsid w:val="00E87C64"/>
    <w:rsid w:val="00E93A01"/>
    <w:rsid w:val="00E93FF8"/>
    <w:rsid w:val="00E94EB6"/>
    <w:rsid w:val="00E95AC2"/>
    <w:rsid w:val="00E95CA8"/>
    <w:rsid w:val="00E96643"/>
    <w:rsid w:val="00E96EAF"/>
    <w:rsid w:val="00EA0DBD"/>
    <w:rsid w:val="00EA1752"/>
    <w:rsid w:val="00EA539B"/>
    <w:rsid w:val="00EA5A89"/>
    <w:rsid w:val="00EA5BDB"/>
    <w:rsid w:val="00EA60E6"/>
    <w:rsid w:val="00EA63FA"/>
    <w:rsid w:val="00EB051C"/>
    <w:rsid w:val="00EB1DE2"/>
    <w:rsid w:val="00EB20AB"/>
    <w:rsid w:val="00EB46D9"/>
    <w:rsid w:val="00EC0E64"/>
    <w:rsid w:val="00EC142D"/>
    <w:rsid w:val="00EC1E16"/>
    <w:rsid w:val="00EC2DD1"/>
    <w:rsid w:val="00EC52DA"/>
    <w:rsid w:val="00EC7BA8"/>
    <w:rsid w:val="00ED0024"/>
    <w:rsid w:val="00ED0EA0"/>
    <w:rsid w:val="00ED0F85"/>
    <w:rsid w:val="00ED2B5C"/>
    <w:rsid w:val="00ED3269"/>
    <w:rsid w:val="00ED3A18"/>
    <w:rsid w:val="00ED7A08"/>
    <w:rsid w:val="00EE1A8C"/>
    <w:rsid w:val="00EE3034"/>
    <w:rsid w:val="00EE416B"/>
    <w:rsid w:val="00EE4643"/>
    <w:rsid w:val="00EE529F"/>
    <w:rsid w:val="00EE7F1A"/>
    <w:rsid w:val="00EF1330"/>
    <w:rsid w:val="00EF15FF"/>
    <w:rsid w:val="00EF464A"/>
    <w:rsid w:val="00EF55E6"/>
    <w:rsid w:val="00EF5707"/>
    <w:rsid w:val="00EF6F3B"/>
    <w:rsid w:val="00EF70EC"/>
    <w:rsid w:val="00EF7111"/>
    <w:rsid w:val="00EF7D1A"/>
    <w:rsid w:val="00EF7D5B"/>
    <w:rsid w:val="00F02759"/>
    <w:rsid w:val="00F0448F"/>
    <w:rsid w:val="00F0716C"/>
    <w:rsid w:val="00F07DD9"/>
    <w:rsid w:val="00F105AE"/>
    <w:rsid w:val="00F108A8"/>
    <w:rsid w:val="00F13F58"/>
    <w:rsid w:val="00F16135"/>
    <w:rsid w:val="00F1776A"/>
    <w:rsid w:val="00F270E9"/>
    <w:rsid w:val="00F27440"/>
    <w:rsid w:val="00F275C0"/>
    <w:rsid w:val="00F30319"/>
    <w:rsid w:val="00F317B5"/>
    <w:rsid w:val="00F32094"/>
    <w:rsid w:val="00F33B8F"/>
    <w:rsid w:val="00F346B6"/>
    <w:rsid w:val="00F36145"/>
    <w:rsid w:val="00F37BDD"/>
    <w:rsid w:val="00F41503"/>
    <w:rsid w:val="00F44D82"/>
    <w:rsid w:val="00F46207"/>
    <w:rsid w:val="00F466C8"/>
    <w:rsid w:val="00F469A9"/>
    <w:rsid w:val="00F46B50"/>
    <w:rsid w:val="00F47C20"/>
    <w:rsid w:val="00F5043C"/>
    <w:rsid w:val="00F50B46"/>
    <w:rsid w:val="00F50D1F"/>
    <w:rsid w:val="00F51545"/>
    <w:rsid w:val="00F55325"/>
    <w:rsid w:val="00F56043"/>
    <w:rsid w:val="00F56BD8"/>
    <w:rsid w:val="00F5789A"/>
    <w:rsid w:val="00F6171A"/>
    <w:rsid w:val="00F635FC"/>
    <w:rsid w:val="00F63D03"/>
    <w:rsid w:val="00F65CAA"/>
    <w:rsid w:val="00F65E2F"/>
    <w:rsid w:val="00F67DF1"/>
    <w:rsid w:val="00F7054E"/>
    <w:rsid w:val="00F75193"/>
    <w:rsid w:val="00F8309B"/>
    <w:rsid w:val="00F833C9"/>
    <w:rsid w:val="00F84965"/>
    <w:rsid w:val="00F86752"/>
    <w:rsid w:val="00F87932"/>
    <w:rsid w:val="00F90064"/>
    <w:rsid w:val="00F93C47"/>
    <w:rsid w:val="00F94217"/>
    <w:rsid w:val="00F952BA"/>
    <w:rsid w:val="00F9586C"/>
    <w:rsid w:val="00F96AFD"/>
    <w:rsid w:val="00FA07F4"/>
    <w:rsid w:val="00FA0F6E"/>
    <w:rsid w:val="00FA1398"/>
    <w:rsid w:val="00FA2E19"/>
    <w:rsid w:val="00FA42CC"/>
    <w:rsid w:val="00FA6665"/>
    <w:rsid w:val="00FA697F"/>
    <w:rsid w:val="00FA734E"/>
    <w:rsid w:val="00FB3846"/>
    <w:rsid w:val="00FB429D"/>
    <w:rsid w:val="00FB478E"/>
    <w:rsid w:val="00FB5521"/>
    <w:rsid w:val="00FB610D"/>
    <w:rsid w:val="00FC4477"/>
    <w:rsid w:val="00FC46FB"/>
    <w:rsid w:val="00FC4F25"/>
    <w:rsid w:val="00FC5921"/>
    <w:rsid w:val="00FC7B66"/>
    <w:rsid w:val="00FD106C"/>
    <w:rsid w:val="00FD2BD3"/>
    <w:rsid w:val="00FD3DEF"/>
    <w:rsid w:val="00FD4CCA"/>
    <w:rsid w:val="00FE0F32"/>
    <w:rsid w:val="00FE234B"/>
    <w:rsid w:val="00FE2772"/>
    <w:rsid w:val="00FE2A9E"/>
    <w:rsid w:val="00FE34B3"/>
    <w:rsid w:val="00FE3DAA"/>
    <w:rsid w:val="00FE46B7"/>
    <w:rsid w:val="00FF0420"/>
    <w:rsid w:val="00FF14D1"/>
    <w:rsid w:val="00FF286E"/>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customStyle="1" w:styleId="He01FlietextAufzhlung1Ebene">
    <w:name w:val="_He_01_Fließtext Aufzählung 1. Ebene"/>
    <w:next w:val="Normal"/>
    <w:qFormat/>
    <w:rsid w:val="0001002C"/>
    <w:pPr>
      <w:numPr>
        <w:numId w:val="8"/>
      </w:numPr>
      <w:spacing w:after="113"/>
      <w:ind w:left="357" w:hanging="357"/>
    </w:pPr>
    <w:rPr>
      <w:rFonts w:eastAsiaTheme="minorHAnsi" w:cstheme="minorBidi"/>
      <w:sz w:val="22"/>
      <w:szCs w:val="22"/>
      <w:lang w:val="de-DE"/>
    </w:rPr>
  </w:style>
  <w:style w:type="character" w:styleId="Strong">
    <w:name w:val="Strong"/>
    <w:basedOn w:val="DefaultParagraphFont"/>
    <w:uiPriority w:val="22"/>
    <w:qFormat/>
    <w:rsid w:val="007C3CC1"/>
    <w:rPr>
      <w:b/>
      <w:bCs/>
    </w:rPr>
  </w:style>
  <w:style w:type="paragraph" w:styleId="Revision">
    <w:name w:val="Revision"/>
    <w:hidden/>
    <w:uiPriority w:val="62"/>
    <w:unhideWhenUsed/>
    <w:rsid w:val="00E71439"/>
    <w:rPr>
      <w:sz w:val="22"/>
    </w:rPr>
  </w:style>
  <w:style w:type="paragraph" w:customStyle="1" w:styleId="He01FlietextAufzhlung2Ebene">
    <w:name w:val="_He_01_Fließtext Aufzählung 2. Ebene"/>
    <w:next w:val="Normal"/>
    <w:qFormat/>
    <w:rsid w:val="00534ADD"/>
    <w:pPr>
      <w:numPr>
        <w:numId w:val="10"/>
      </w:numPr>
      <w:spacing w:after="160"/>
    </w:pPr>
    <w:rPr>
      <w:rFonts w:eastAsiaTheme="minorHAnsi" w:cstheme="minorBidi"/>
      <w:sz w:val="22"/>
      <w:szCs w:val="22"/>
      <w:lang w:val="de-DE"/>
    </w:rPr>
  </w:style>
  <w:style w:type="paragraph" w:customStyle="1" w:styleId="THe01berschrift">
    <w:name w:val="T_He_01_Überschrift"/>
    <w:next w:val="Normal"/>
    <w:qFormat/>
    <w:rsid w:val="00534ADD"/>
    <w:pPr>
      <w:numPr>
        <w:numId w:val="9"/>
      </w:numPr>
      <w:spacing w:after="160" w:line="259" w:lineRule="auto"/>
    </w:pPr>
    <w:rPr>
      <w:rFonts w:eastAsiaTheme="minorHAnsi" w:cstheme="minorBidi"/>
      <w:b/>
      <w:color w:val="5F6973"/>
      <w:sz w:val="24"/>
      <w:szCs w:val="22"/>
      <w:lang w:val="de-DE"/>
    </w:rPr>
  </w:style>
  <w:style w:type="paragraph" w:customStyle="1" w:styleId="THe02liFunotenummeriert">
    <w:name w:val="T_He_02_li Fußnote nummeriert"/>
    <w:qFormat/>
    <w:rsid w:val="00534ADD"/>
    <w:pPr>
      <w:numPr>
        <w:ilvl w:val="1"/>
        <w:numId w:val="9"/>
      </w:numPr>
      <w:spacing w:before="20" w:after="20" w:line="259" w:lineRule="auto"/>
      <w:contextualSpacing/>
    </w:pPr>
    <w:rPr>
      <w:rFonts w:eastAsiaTheme="minorHAnsi" w:cstheme="minorBidi"/>
      <w:color w:val="5F6973"/>
      <w:sz w:val="14"/>
      <w:szCs w:val="22"/>
      <w:lang w:val="de-DE"/>
    </w:rPr>
  </w:style>
  <w:style w:type="character" w:styleId="FootnoteReference">
    <w:name w:val="footnote reference"/>
    <w:basedOn w:val="DefaultParagraphFont"/>
    <w:uiPriority w:val="99"/>
    <w:unhideWhenUsed/>
    <w:rsid w:val="00534ADD"/>
    <w:rPr>
      <w:vertAlign w:val="superscript"/>
    </w:rPr>
  </w:style>
  <w:style w:type="paragraph" w:customStyle="1" w:styleId="He01Flietext">
    <w:name w:val="_He_01_Fließtext"/>
    <w:qFormat/>
    <w:rsid w:val="003509CB"/>
    <w:pPr>
      <w:spacing w:after="160"/>
    </w:pPr>
    <w:rPr>
      <w:rFonts w:eastAsiaTheme="minorHAnsi" w:cstheme="minorBidi"/>
      <w:sz w:val="22"/>
      <w:szCs w:val="22"/>
      <w:lang w:val="de-DE"/>
    </w:rPr>
  </w:style>
  <w:style w:type="paragraph" w:styleId="HTMLPreformatted">
    <w:name w:val="HTML Preformatted"/>
    <w:basedOn w:val="Normal"/>
    <w:link w:val="HTMLPreformattedChar"/>
    <w:semiHidden/>
    <w:unhideWhenUsed/>
    <w:rsid w:val="00664612"/>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66461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743669">
      <w:bodyDiv w:val="1"/>
      <w:marLeft w:val="0"/>
      <w:marRight w:val="0"/>
      <w:marTop w:val="0"/>
      <w:marBottom w:val="0"/>
      <w:divBdr>
        <w:top w:val="none" w:sz="0" w:space="0" w:color="auto"/>
        <w:left w:val="none" w:sz="0" w:space="0" w:color="auto"/>
        <w:bottom w:val="none" w:sz="0" w:space="0" w:color="auto"/>
        <w:right w:val="none" w:sz="0" w:space="0" w:color="auto"/>
      </w:divBdr>
      <w:divsChild>
        <w:div w:id="1704669240">
          <w:marLeft w:val="0"/>
          <w:marRight w:val="0"/>
          <w:marTop w:val="0"/>
          <w:marBottom w:val="0"/>
          <w:divBdr>
            <w:top w:val="none" w:sz="0" w:space="0" w:color="auto"/>
            <w:left w:val="none" w:sz="0" w:space="0" w:color="auto"/>
            <w:bottom w:val="none" w:sz="0" w:space="0" w:color="auto"/>
            <w:right w:val="none" w:sz="0" w:space="0" w:color="auto"/>
          </w:divBdr>
        </w:div>
        <w:div w:id="988051361">
          <w:marLeft w:val="0"/>
          <w:marRight w:val="0"/>
          <w:marTop w:val="0"/>
          <w:marBottom w:val="0"/>
          <w:divBdr>
            <w:top w:val="none" w:sz="0" w:space="0" w:color="auto"/>
            <w:left w:val="none" w:sz="0" w:space="0" w:color="auto"/>
            <w:bottom w:val="none" w:sz="0" w:space="0" w:color="auto"/>
            <w:right w:val="none" w:sz="0" w:space="0" w:color="auto"/>
          </w:divBdr>
          <w:divsChild>
            <w:div w:id="124008737">
              <w:marLeft w:val="0"/>
              <w:marRight w:val="165"/>
              <w:marTop w:val="150"/>
              <w:marBottom w:val="0"/>
              <w:divBdr>
                <w:top w:val="none" w:sz="0" w:space="0" w:color="auto"/>
                <w:left w:val="none" w:sz="0" w:space="0" w:color="auto"/>
                <w:bottom w:val="none" w:sz="0" w:space="0" w:color="auto"/>
                <w:right w:val="none" w:sz="0" w:space="0" w:color="auto"/>
              </w:divBdr>
              <w:divsChild>
                <w:div w:id="1125662631">
                  <w:marLeft w:val="0"/>
                  <w:marRight w:val="0"/>
                  <w:marTop w:val="0"/>
                  <w:marBottom w:val="0"/>
                  <w:divBdr>
                    <w:top w:val="none" w:sz="0" w:space="0" w:color="auto"/>
                    <w:left w:val="none" w:sz="0" w:space="0" w:color="auto"/>
                    <w:bottom w:val="none" w:sz="0" w:space="0" w:color="auto"/>
                    <w:right w:val="none" w:sz="0" w:space="0" w:color="auto"/>
                  </w:divBdr>
                  <w:divsChild>
                    <w:div w:id="19487361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777681825">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846678322">
      <w:bodyDiv w:val="1"/>
      <w:marLeft w:val="0"/>
      <w:marRight w:val="0"/>
      <w:marTop w:val="0"/>
      <w:marBottom w:val="0"/>
      <w:divBdr>
        <w:top w:val="none" w:sz="0" w:space="0" w:color="auto"/>
        <w:left w:val="none" w:sz="0" w:space="0" w:color="auto"/>
        <w:bottom w:val="none" w:sz="0" w:space="0" w:color="auto"/>
        <w:right w:val="none" w:sz="0" w:space="0" w:color="auto"/>
      </w:divBdr>
    </w:div>
    <w:div w:id="957679738">
      <w:bodyDiv w:val="1"/>
      <w:marLeft w:val="0"/>
      <w:marRight w:val="0"/>
      <w:marTop w:val="0"/>
      <w:marBottom w:val="0"/>
      <w:divBdr>
        <w:top w:val="none" w:sz="0" w:space="0" w:color="auto"/>
        <w:left w:val="none" w:sz="0" w:space="0" w:color="auto"/>
        <w:bottom w:val="none" w:sz="0" w:space="0" w:color="auto"/>
        <w:right w:val="none" w:sz="0" w:space="0" w:color="auto"/>
      </w:divBdr>
    </w:div>
    <w:div w:id="962075281">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091899800">
      <w:bodyDiv w:val="1"/>
      <w:marLeft w:val="0"/>
      <w:marRight w:val="0"/>
      <w:marTop w:val="0"/>
      <w:marBottom w:val="0"/>
      <w:divBdr>
        <w:top w:val="none" w:sz="0" w:space="0" w:color="auto"/>
        <w:left w:val="none" w:sz="0" w:space="0" w:color="auto"/>
        <w:bottom w:val="none" w:sz="0" w:space="0" w:color="auto"/>
        <w:right w:val="none" w:sz="0" w:space="0" w:color="auto"/>
      </w:divBdr>
    </w:div>
    <w:div w:id="1165319850">
      <w:bodyDiv w:val="1"/>
      <w:marLeft w:val="0"/>
      <w:marRight w:val="0"/>
      <w:marTop w:val="0"/>
      <w:marBottom w:val="0"/>
      <w:divBdr>
        <w:top w:val="none" w:sz="0" w:space="0" w:color="auto"/>
        <w:left w:val="none" w:sz="0" w:space="0" w:color="auto"/>
        <w:bottom w:val="none" w:sz="0" w:space="0" w:color="auto"/>
        <w:right w:val="none" w:sz="0" w:space="0" w:color="auto"/>
      </w:divBdr>
    </w:div>
    <w:div w:id="117750156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22993876">
      <w:bodyDiv w:val="1"/>
      <w:marLeft w:val="0"/>
      <w:marRight w:val="0"/>
      <w:marTop w:val="0"/>
      <w:marBottom w:val="0"/>
      <w:divBdr>
        <w:top w:val="none" w:sz="0" w:space="0" w:color="auto"/>
        <w:left w:val="none" w:sz="0" w:space="0" w:color="auto"/>
        <w:bottom w:val="none" w:sz="0" w:space="0" w:color="auto"/>
        <w:right w:val="none" w:sz="0" w:space="0" w:color="auto"/>
      </w:divBdr>
    </w:div>
    <w:div w:id="1451827152">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555771934">
      <w:bodyDiv w:val="1"/>
      <w:marLeft w:val="0"/>
      <w:marRight w:val="0"/>
      <w:marTop w:val="0"/>
      <w:marBottom w:val="0"/>
      <w:divBdr>
        <w:top w:val="none" w:sz="0" w:space="0" w:color="auto"/>
        <w:left w:val="none" w:sz="0" w:space="0" w:color="auto"/>
        <w:bottom w:val="none" w:sz="0" w:space="0" w:color="auto"/>
        <w:right w:val="none" w:sz="0" w:space="0" w:color="auto"/>
      </w:divBdr>
    </w:div>
    <w:div w:id="1702851818">
      <w:bodyDiv w:val="1"/>
      <w:marLeft w:val="0"/>
      <w:marRight w:val="0"/>
      <w:marTop w:val="0"/>
      <w:marBottom w:val="0"/>
      <w:divBdr>
        <w:top w:val="none" w:sz="0" w:space="0" w:color="auto"/>
        <w:left w:val="none" w:sz="0" w:space="0" w:color="auto"/>
        <w:bottom w:val="none" w:sz="0" w:space="0" w:color="auto"/>
        <w:right w:val="none" w:sz="0" w:space="0" w:color="auto"/>
      </w:divBdr>
    </w:div>
    <w:div w:id="1762681831">
      <w:bodyDiv w:val="1"/>
      <w:marLeft w:val="0"/>
      <w:marRight w:val="0"/>
      <w:marTop w:val="0"/>
      <w:marBottom w:val="0"/>
      <w:divBdr>
        <w:top w:val="none" w:sz="0" w:space="0" w:color="auto"/>
        <w:left w:val="none" w:sz="0" w:space="0" w:color="auto"/>
        <w:bottom w:val="none" w:sz="0" w:space="0" w:color="auto"/>
        <w:right w:val="none" w:sz="0" w:space="0" w:color="auto"/>
      </w:divBdr>
    </w:div>
    <w:div w:id="1807619528">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331104911">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 w:id="237326346">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lena.sarenac@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pres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9" ma:contentTypeDescription="Create a new document." ma:contentTypeScope="" ma:versionID="825475ee42d6d3916f0f035df9a60211">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42fdeaaf15d4786a8267b6cc6b9b50c2"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um xmlns="487aa4a8-6e08-4624-a126-3644f60fbb35" xsi:nil="true"/>
    <TaxCatchAll xmlns="ef406d6b-70e0-427c-b08d-4edfc77771aa" xsi:nil="true"/>
    <lcf76f155ced4ddcb4097134ff3c332f xmlns="487aa4a8-6e08-4624-a126-3644f60fbb35">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67E8EB1A-819D-464A-85A2-FD9A56005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487aa4a8-6e08-4624-a126-3644f60fbb35"/>
    <ds:schemaRef ds:uri="ef406d6b-70e0-427c-b08d-4edfc77771aa"/>
  </ds:schemaRefs>
</ds:datastoreItem>
</file>

<file path=customXml/itemProps5.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7</Pages>
  <Words>2360</Words>
  <Characters>13456</Characters>
  <Application>Microsoft Office Word</Application>
  <DocSecurity>0</DocSecurity>
  <Lines>112</Lines>
  <Paragraphs>31</Paragraphs>
  <ScaleCrop>false</ScaleCrop>
  <HeadingPairs>
    <vt:vector size="6" baseType="variant">
      <vt:variant>
        <vt:lpstr>Naslov</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15785</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Jelena Stojanovic (ext)</cp:lastModifiedBy>
  <cp:revision>19</cp:revision>
  <cp:lastPrinted>2022-08-18T08:03:00Z</cp:lastPrinted>
  <dcterms:created xsi:type="dcterms:W3CDTF">2022-08-17T15:03:00Z</dcterms:created>
  <dcterms:modified xsi:type="dcterms:W3CDTF">2022-08-18T08:03:00Z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MediaServiceImageTags">
    <vt:lpwstr/>
  </property>
</Properties>
</file>